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shd w:val="clear" w:fill="FFCA0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sz w:val="40"/>
          <w:szCs w:val="40"/>
          <w:bdr w:val="none" w:color="auto" w:sz="0" w:space="0"/>
          <w:shd w:val="clear" w:fill="FFCA00"/>
        </w:rPr>
      </w:pPr>
      <w:bookmarkStart w:id="0" w:name="_GoBack"/>
      <w:r>
        <w:rPr>
          <w:rStyle w:val="5"/>
          <w:rFonts w:hint="eastAsia"/>
          <w:sz w:val="40"/>
          <w:szCs w:val="40"/>
          <w:bdr w:val="none" w:color="auto" w:sz="0" w:space="0"/>
          <w:shd w:val="clear" w:fill="FFCA00"/>
          <w:lang w:val="en-US" w:eastAsia="zh-CN"/>
        </w:rPr>
        <w:t>IP-VPN</w:t>
      </w:r>
      <w:r>
        <w:rPr>
          <w:rStyle w:val="5"/>
          <w:rFonts w:hint="eastAsia"/>
          <w:sz w:val="40"/>
          <w:szCs w:val="40"/>
          <w:bdr w:val="none" w:color="auto" w:sz="0" w:space="0"/>
          <w:shd w:val="clear" w:fill="FFCA00"/>
        </w:rPr>
        <w:t>许可证申请指南及申请条件</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shd w:val="clear" w:fill="FFCA0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shd w:val="clear" w:fill="FFCA0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shd w:val="clear" w:fill="FFCA0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shd w:val="clear" w:fill="FFCA00"/>
        </w:rPr>
        <w:t>IP-VPN许可证简介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IP-VPN也叫国内因特网虚拟专用网业务。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shd w:val="clear" w:fill="FFCA00"/>
        </w:rPr>
        <w:t>哪些企业需要办理IP-VPN许可证？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VPN本身就是一项业务，只要是经营售卖VPN业务就必须要办理IP-VPN许可证方可经营。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shd w:val="clear" w:fill="FFCA00"/>
        </w:rPr>
        <w:t>延伸阅读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IP-VPN许可证的标准含义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国内因特网虚拟专用网业务是指经营者利用自有或租用的互联网网络资源，采用TCP/IP协议，为国内用户定制互联网闭合用户群网络的服务。互联网虚拟专用网主要采用IP隧道等基于TCP/IP的技术组建，并提供一定的安全性和保密性，专网内可实现加密的透明分组传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审批机构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全网IP-VPN证在国家工信部办理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年检要求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IP-VPN的有效时间是5年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有效期限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IP-VPN许可证年检审核是每年3月-5月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shd w:val="clear" w:fill="FFCA00"/>
        </w:rPr>
        <w:t>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全网和地网申请条件是一样的，区别在于申办部门。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a. 经营者为依法设立的公司；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b. 有与开展经营活动相适应的资金和专业人员；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c. 全国业务注册资本最低为1000万元；省内业务注册资本最低为100万元；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d. 公司及其主要出资者和主要经营管理人员三年内无违反电信监督管理制度的违法记录；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e.国家规定的其他条件；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9"/>
          <w:szCs w:val="19"/>
          <w:bdr w:val="none" w:color="auto" w:sz="0" w:space="0"/>
          <w:shd w:val="clear" w:fill="FFCA00"/>
        </w:rPr>
        <w:t>温馨提示：以上均是通过政府部门办理所需要的条件，关于</w:t>
      </w:r>
      <w:r>
        <w:rPr>
          <w:color w:val="E50F0F"/>
          <w:sz w:val="19"/>
          <w:szCs w:val="19"/>
          <w:bdr w:val="none" w:color="auto" w:sz="0" w:space="0"/>
          <w:shd w:val="clear" w:fill="FFCA00"/>
        </w:rPr>
        <w:t>“</w:t>
      </w:r>
      <w:r>
        <w:rPr>
          <w:rStyle w:val="5"/>
          <w:color w:val="E50F0F"/>
          <w:sz w:val="19"/>
          <w:szCs w:val="19"/>
          <w:bdr w:val="none" w:color="auto" w:sz="0" w:space="0"/>
          <w:shd w:val="clear" w:fill="FECA00"/>
        </w:rPr>
        <w:t>国家规定的其它条件”</w:t>
      </w:r>
      <w:r>
        <w:rPr>
          <w:rStyle w:val="5"/>
          <w:sz w:val="19"/>
          <w:szCs w:val="19"/>
          <w:bdr w:val="none" w:color="auto" w:sz="0" w:space="0"/>
          <w:shd w:val="clear" w:fill="FFCA00"/>
        </w:rPr>
        <w:t>办理时请咨询铭普科技，通过郑州铭普科技有限公司办理可化繁为简，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A9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2019-06-13T08:42:45Z</dcterms:created>
  <dc:creator>hongliang</dc:creator>
  <cp:lastModifiedBy>The handsome Mr.lee</cp:lastModifiedBy>
  <dcterms:modified xsi:type="dcterms:W3CDTF">2019-06-13T08:43:20Z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