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途鹰·城配管理系统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APP端操作说明书V1.0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2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topo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山东途步信息科技有限公司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山东·济南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8586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Cs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14" w:name="_GoBack"/>
          <w:bookmarkEnd w:id="14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_Toc32028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系统登陆</w:t>
          </w:r>
          <w:r>
            <w:tab/>
          </w:r>
          <w:r>
            <w:fldChar w:fldCharType="begin"/>
          </w:r>
          <w:r>
            <w:instrText xml:space="preserve"> PAGEREF _Toc32028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_Toc130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车次管理</w:t>
          </w:r>
          <w:r>
            <w:tab/>
          </w:r>
          <w:r>
            <w:fldChar w:fldCharType="begin"/>
          </w:r>
          <w:r>
            <w:instrText xml:space="preserve"> PAGEREF _Toc130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_Toc28882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竞价</w:t>
          </w:r>
          <w:r>
            <w:tab/>
          </w:r>
          <w:r>
            <w:fldChar w:fldCharType="begin"/>
          </w:r>
          <w:r>
            <w:instrText xml:space="preserve"> PAGEREF _Toc28882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_Toc28490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2.2. </w:t>
          </w:r>
          <w:r>
            <w:rPr>
              <w:rFonts w:hint="eastAsia"/>
              <w:lang w:val="en-US" w:eastAsia="zh-CN"/>
            </w:rPr>
            <w:t>竞价记录</w:t>
          </w:r>
          <w:r>
            <w:tab/>
          </w:r>
          <w:r>
            <w:fldChar w:fldCharType="begin"/>
          </w:r>
          <w:r>
            <w:instrText xml:space="preserve"> PAGEREF _Toc28490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_Toc2269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2.3. </w:t>
          </w:r>
          <w:r>
            <w:rPr>
              <w:rFonts w:hint="eastAsia"/>
              <w:lang w:val="en-US" w:eastAsia="zh-CN"/>
            </w:rPr>
            <w:t>车次操作</w:t>
          </w:r>
          <w:r>
            <w:tab/>
          </w:r>
          <w:r>
            <w:fldChar w:fldCharType="begin"/>
          </w:r>
          <w:r>
            <w:instrText xml:space="preserve"> PAGEREF _Toc2269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_Toc13219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2.4. </w:t>
          </w:r>
          <w:r>
            <w:rPr>
              <w:rFonts w:hint="eastAsia"/>
              <w:lang w:val="en-US" w:eastAsia="zh-CN"/>
            </w:rPr>
            <w:t>开单</w:t>
          </w:r>
          <w:r>
            <w:tab/>
          </w:r>
          <w:r>
            <w:fldChar w:fldCharType="begin"/>
          </w:r>
          <w:r>
            <w:instrText xml:space="preserve"> PAGEREF _Toc13219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_Toc27010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订单管理</w:t>
          </w:r>
          <w:r>
            <w:tab/>
          </w:r>
          <w:r>
            <w:fldChar w:fldCharType="begin"/>
          </w:r>
          <w:r>
            <w:instrText xml:space="preserve"> PAGEREF _Toc27010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_Toc3902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3.1. </w:t>
          </w:r>
          <w:r>
            <w:rPr>
              <w:rFonts w:hint="eastAsia"/>
              <w:lang w:val="en-US" w:eastAsia="zh-CN"/>
            </w:rPr>
            <w:t>已接单</w:t>
          </w:r>
          <w:r>
            <w:tab/>
          </w:r>
          <w:r>
            <w:fldChar w:fldCharType="begin"/>
          </w:r>
          <w:r>
            <w:instrText xml:space="preserve"> PAGEREF _Toc3902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_Toc18986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3.2. </w:t>
          </w:r>
          <w:r>
            <w:rPr>
              <w:rFonts w:hint="eastAsia"/>
              <w:lang w:val="en-US" w:eastAsia="zh-CN"/>
            </w:rPr>
            <w:t>已装车</w:t>
          </w:r>
          <w:r>
            <w:tab/>
          </w:r>
          <w:r>
            <w:fldChar w:fldCharType="begin"/>
          </w:r>
          <w:r>
            <w:instrText xml:space="preserve"> PAGEREF _Toc18986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_Toc20088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3.3. </w:t>
          </w:r>
          <w:r>
            <w:rPr>
              <w:rFonts w:hint="eastAsia"/>
              <w:lang w:val="en-US" w:eastAsia="zh-CN"/>
            </w:rPr>
            <w:t>已签收</w:t>
          </w:r>
          <w:r>
            <w:tab/>
          </w:r>
          <w:r>
            <w:fldChar w:fldCharType="begin"/>
          </w:r>
          <w:r>
            <w:instrText xml:space="preserve"> PAGEREF _Toc20088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_Toc13836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3.4. </w:t>
          </w:r>
          <w:r>
            <w:rPr>
              <w:rFonts w:hint="eastAsia"/>
              <w:lang w:val="en-US" w:eastAsia="zh-CN"/>
            </w:rPr>
            <w:t>已结算</w:t>
          </w:r>
          <w:r>
            <w:tab/>
          </w:r>
          <w:r>
            <w:fldChar w:fldCharType="begin"/>
          </w:r>
          <w:r>
            <w:instrText xml:space="preserve"> PAGEREF _Toc13836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_Toc9931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_Toc9931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_Toc3917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关于</w:t>
          </w:r>
          <w:r>
            <w:tab/>
          </w:r>
          <w:r>
            <w:fldChar w:fldCharType="begin"/>
          </w:r>
          <w:r>
            <w:instrText xml:space="preserve"> PAGEREF _Toc3917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instrText xml:space="preserve"> HYPERLINK \l _Toc20983 </w:instrText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退出系统</w:t>
          </w:r>
          <w:r>
            <w:tab/>
          </w:r>
          <w:r>
            <w:fldChar w:fldCharType="begin"/>
          </w:r>
          <w:r>
            <w:instrText xml:space="preserve"> PAGEREF _Toc20983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  <w:p>
          <w:pPr>
            <w:numPr>
              <w:ilvl w:val="0"/>
              <w:numId w:val="0"/>
            </w:numPr>
            <w:jc w:val="both"/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</w:pPr>
          <w:r>
            <w:rPr>
              <w:rFonts w:hint="eastAsia" w:ascii="宋体" w:hAnsi="宋体" w:eastAsia="宋体" w:cs="宋体"/>
              <w:bCs/>
              <w:szCs w:val="32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rPr>
          <w:rFonts w:hint="eastAsia"/>
          <w:lang w:val="en-US" w:eastAsia="zh-CN"/>
        </w:rPr>
      </w:pPr>
      <w:bookmarkStart w:id="0" w:name="_Toc32028"/>
      <w:r>
        <w:rPr>
          <w:rFonts w:hint="eastAsia"/>
          <w:lang w:val="en-US" w:eastAsia="zh-CN"/>
        </w:rPr>
        <w:t>系统登陆</w:t>
      </w:r>
      <w:bookmarkEnd w:id="0"/>
    </w:p>
    <w:p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途鹰·城配管理系统（t-DMS）APP访问可用手机浏览器或QQ扫描PC端系统首页的二维码进行下载安装后，输入账号及密码进行登陆。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47005" cy="2221230"/>
            <wp:effectExtent l="0" t="0" r="10160" b="2540"/>
            <wp:docPr id="33" name="图片 33" descr="15930166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9301666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2123440" cy="2769870"/>
            <wp:effectExtent l="0" t="0" r="3175" b="4445"/>
            <wp:docPr id="34" name="图片 34" descr="15930168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9301684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2241550" cy="2754630"/>
            <wp:effectExtent l="0" t="0" r="3810" b="8890"/>
            <wp:docPr id="35" name="图片 35" descr="1593017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9301738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" w:name="_Toc130"/>
      <w:r>
        <w:rPr>
          <w:rFonts w:hint="eastAsia"/>
          <w:lang w:val="en-US" w:eastAsia="zh-CN"/>
        </w:rPr>
        <w:t>车次管理</w:t>
      </w:r>
      <w:bookmarkEnd w:id="1"/>
    </w:p>
    <w:p>
      <w:pPr>
        <w:pStyle w:val="3"/>
        <w:bidi w:val="0"/>
        <w:rPr>
          <w:rFonts w:hint="eastAsia"/>
          <w:lang w:val="en-US" w:eastAsia="zh-CN"/>
        </w:rPr>
      </w:pPr>
      <w:bookmarkStart w:id="2" w:name="_Toc28882"/>
      <w:r>
        <w:rPr>
          <w:rFonts w:hint="eastAsia"/>
          <w:lang w:val="en-US" w:eastAsia="zh-CN"/>
        </w:rPr>
        <w:t>竞价</w:t>
      </w:r>
      <w:bookmarkEnd w:id="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73070" cy="2952115"/>
            <wp:effectExtent l="0" t="0" r="6350" b="5715"/>
            <wp:docPr id="36" name="图片 36" descr="15930177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9301772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司机可在该模块看到配送公司发布的竞价消息，并点击“竞价”，输入竞价运费金额进行提交。提交后的竞价信息进入PC端“车次管理”——“竞价中”模块。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" w:name="_Toc28490"/>
      <w:r>
        <w:rPr>
          <w:rFonts w:hint="eastAsia"/>
          <w:lang w:val="en-US" w:eastAsia="zh-CN"/>
        </w:rPr>
        <w:t>竞价记录</w:t>
      </w:r>
      <w:bookmarkEnd w:id="3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16505" cy="3276600"/>
            <wp:effectExtent l="0" t="0" r="9525" b="5080"/>
            <wp:docPr id="37" name="图片 37" descr="15930179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9301790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司机可在该模块看到自己参与竞价的所有竞价消息，并可对竞价中的车次信息进行取消操作。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4" w:name="_Toc2269"/>
      <w:r>
        <w:rPr>
          <w:rFonts w:hint="eastAsia"/>
          <w:lang w:val="en-US" w:eastAsia="zh-CN"/>
        </w:rPr>
        <w:t>车次操作</w:t>
      </w:r>
      <w:bookmarkEnd w:id="4"/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99690" cy="2559685"/>
            <wp:effectExtent l="0" t="0" r="1905" b="9525"/>
            <wp:docPr id="38" name="图片 38" descr="1593018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59301803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78710" cy="2774315"/>
            <wp:effectExtent l="0" t="0" r="6985" b="0"/>
            <wp:docPr id="39" name="图片 39" descr="15930182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9301826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司机可在该模块看到自己已承运车次下所有运单的状态，并可实现线路规划及运费结算申请。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13219"/>
      <w:r>
        <w:rPr>
          <w:rFonts w:hint="eastAsia"/>
          <w:lang w:val="en-US" w:eastAsia="zh-CN"/>
        </w:rPr>
        <w:t>开单</w:t>
      </w:r>
      <w:bookmarkEnd w:id="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49195" cy="3413760"/>
            <wp:effectExtent l="0" t="0" r="1270" b="8255"/>
            <wp:docPr id="40" name="图片 40" descr="15930184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59301849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司机可在该模块为客户进行开单，提交后该运单进入PC端“运输管理”——“司机开单管理”模块等待审核。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6" w:name="_Toc27010"/>
      <w:r>
        <w:rPr>
          <w:rFonts w:hint="eastAsia"/>
          <w:lang w:val="en-US" w:eastAsia="zh-CN"/>
        </w:rPr>
        <w:t>订单管理</w:t>
      </w:r>
      <w:bookmarkEnd w:id="6"/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3902"/>
      <w:r>
        <w:rPr>
          <w:rFonts w:hint="eastAsia"/>
          <w:lang w:val="en-US" w:eastAsia="zh-CN"/>
        </w:rPr>
        <w:t>已接单</w:t>
      </w:r>
      <w:bookmarkEnd w:id="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57755" cy="3402330"/>
            <wp:effectExtent l="0" t="0" r="6350" b="8890"/>
            <wp:docPr id="41" name="图片 41" descr="15930186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59301863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343785" cy="3399790"/>
            <wp:effectExtent l="0" t="0" r="9525" b="635"/>
            <wp:docPr id="44" name="图片 44" descr="15930188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59301888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司机可在该模块查询所有已接单未装车的运单信息，并完成装车操作及异常上报。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8" w:name="_Toc18986"/>
      <w:r>
        <w:rPr>
          <w:rFonts w:hint="eastAsia"/>
          <w:lang w:val="en-US" w:eastAsia="zh-CN"/>
        </w:rPr>
        <w:t>已装车</w:t>
      </w:r>
      <w:bookmarkEnd w:id="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03170" cy="2549525"/>
            <wp:effectExtent l="0" t="0" r="1270" b="8890"/>
            <wp:docPr id="42" name="图片 42" descr="15930187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59301874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524125" cy="2485390"/>
            <wp:effectExtent l="0" t="0" r="1905" b="8255"/>
            <wp:docPr id="43" name="图片 43" descr="15930188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593018843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司机可在该模块查询所有已装车未签收的运单信息，并完成订单签收及异常上报。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9" w:name="_Toc20088"/>
      <w:r>
        <w:rPr>
          <w:rFonts w:hint="eastAsia"/>
          <w:lang w:val="en-US" w:eastAsia="zh-CN"/>
        </w:rPr>
        <w:t>已签收</w:t>
      </w:r>
      <w:bookmarkEnd w:id="9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22575" cy="2550160"/>
            <wp:effectExtent l="0" t="0" r="5715" b="8255"/>
            <wp:docPr id="45" name="图片 45" descr="15930189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593018981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司机可在该模块查询所有已签收的运单信息，并完成申请结算。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13836"/>
      <w:r>
        <w:rPr>
          <w:rFonts w:hint="eastAsia"/>
          <w:lang w:val="en-US" w:eastAsia="zh-CN"/>
        </w:rPr>
        <w:t>已结算</w:t>
      </w:r>
      <w:bookmarkEnd w:id="1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98445" cy="2509520"/>
            <wp:effectExtent l="0" t="0" r="8255" b="5715"/>
            <wp:docPr id="46" name="图片 46" descr="15930190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93019054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司机可在该模块查询所有已结算的运单信息。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11" w:name="_Toc9931"/>
      <w:r>
        <w:rPr>
          <w:rFonts w:hint="eastAsia"/>
          <w:lang w:val="en-US" w:eastAsia="zh-CN"/>
        </w:rPr>
        <w:t>修改密码</w:t>
      </w:r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36545" cy="2315210"/>
            <wp:effectExtent l="0" t="0" r="2540" b="5715"/>
            <wp:docPr id="47" name="图片 47" descr="15930191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593019118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司机可在该模块对APP系统登录密码进行修改。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12" w:name="_Toc3917"/>
      <w:r>
        <w:rPr>
          <w:rFonts w:hint="eastAsia"/>
          <w:lang w:val="en-US" w:eastAsia="zh-CN"/>
        </w:rPr>
        <w:t>关于</w:t>
      </w:r>
      <w:bookmarkEnd w:id="1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9540" cy="2677795"/>
            <wp:effectExtent l="0" t="0" r="7620" b="10160"/>
            <wp:docPr id="48" name="图片 48" descr="15930191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593019172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司机可在该模块检测到APP最新版本并进行下载更新。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13" w:name="_Toc20983"/>
      <w:r>
        <w:rPr>
          <w:rFonts w:hint="eastAsia"/>
          <w:lang w:val="en-US" w:eastAsia="zh-CN"/>
        </w:rPr>
        <w:t>退出系统</w:t>
      </w:r>
      <w:bookmarkEnd w:id="13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93010" cy="2524125"/>
            <wp:effectExtent l="0" t="0" r="635" b="1905"/>
            <wp:docPr id="49" name="图片 49" descr="15930192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59301924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司机可在该模块退出登录系统。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0A767"/>
    <w:multiLevelType w:val="multilevel"/>
    <w:tmpl w:val="2510A76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5293725B"/>
    <w:multiLevelType w:val="singleLevel"/>
    <w:tmpl w:val="5293725B"/>
    <w:lvl w:ilvl="0" w:tentative="0">
      <w:start w:val="1"/>
      <w:numFmt w:val="lowerRoman"/>
      <w:suff w:val="nothing"/>
      <w:lvlText w:val="%1-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AA6F19"/>
    <w:rsid w:val="038F61A0"/>
    <w:rsid w:val="0B843A36"/>
    <w:rsid w:val="10BF5F9B"/>
    <w:rsid w:val="114201FC"/>
    <w:rsid w:val="16FB7C52"/>
    <w:rsid w:val="191A0410"/>
    <w:rsid w:val="1989327A"/>
    <w:rsid w:val="2CEE71B3"/>
    <w:rsid w:val="2EFA78BD"/>
    <w:rsid w:val="30CB3046"/>
    <w:rsid w:val="3AF938BD"/>
    <w:rsid w:val="3E4D6475"/>
    <w:rsid w:val="402C4923"/>
    <w:rsid w:val="4312797E"/>
    <w:rsid w:val="4446727E"/>
    <w:rsid w:val="4D0A1BA6"/>
    <w:rsid w:val="4DB32F96"/>
    <w:rsid w:val="4ECE2B5E"/>
    <w:rsid w:val="56AB5234"/>
    <w:rsid w:val="56B8177F"/>
    <w:rsid w:val="57F75EA6"/>
    <w:rsid w:val="5C141FCB"/>
    <w:rsid w:val="5EC9117A"/>
    <w:rsid w:val="67541A3C"/>
    <w:rsid w:val="6D9F5E21"/>
    <w:rsid w:val="6E753648"/>
    <w:rsid w:val="744A4803"/>
    <w:rsid w:val="75C97F50"/>
    <w:rsid w:val="75DF7999"/>
    <w:rsid w:val="784414E9"/>
    <w:rsid w:val="78D3498D"/>
    <w:rsid w:val="7A706271"/>
    <w:rsid w:val="7B86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44"/>
      <w:szCs w:val="22"/>
    </w:rPr>
  </w:style>
  <w:style w:type="paragraph" w:styleId="3">
    <w:name w:val="heading 2"/>
    <w:basedOn w:val="1"/>
    <w:next w:val="1"/>
    <w:link w:val="18"/>
    <w:unhideWhenUsed/>
    <w:qFormat/>
    <w:uiPriority w:val="0"/>
    <w:pPr>
      <w:keepNext/>
      <w:keepLines/>
      <w:numPr>
        <w:ilvl w:val="1"/>
        <w:numId w:val="1"/>
      </w:numPr>
      <w:spacing w:before="260" w:after="50" w:line="416" w:lineRule="auto"/>
      <w:ind w:left="575" w:hanging="575"/>
      <w:outlineLvl w:val="1"/>
    </w:pPr>
    <w:rPr>
      <w:rFonts w:asciiTheme="minorAscii" w:hAnsiTheme="minorAscii" w:eastAsiaTheme="min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eastAsiaTheme="minorEastAsia"/>
      <w:b/>
      <w:bCs/>
      <w:sz w:val="32"/>
      <w:szCs w:val="2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Theme="minorAscii" w:hAnsiTheme="minorAscii" w:eastAsiaTheme="minorEastAsia"/>
      <w:b/>
      <w:sz w:val="28"/>
      <w:szCs w:val="22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qFormat/>
    <w:uiPriority w:val="0"/>
  </w:style>
  <w:style w:type="table" w:default="1" w:styleId="1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iPriority w:val="0"/>
    <w:pPr>
      <w:ind w:left="840" w:leftChars="400"/>
    </w:pPr>
  </w:style>
  <w:style w:type="paragraph" w:styleId="12">
    <w:name w:val="toc 1"/>
    <w:basedOn w:val="1"/>
    <w:next w:val="1"/>
    <w:uiPriority w:val="0"/>
  </w:style>
  <w:style w:type="paragraph" w:styleId="13">
    <w:name w:val="toc 2"/>
    <w:basedOn w:val="1"/>
    <w:next w:val="1"/>
    <w:uiPriority w:val="0"/>
    <w:pPr>
      <w:ind w:left="420" w:leftChars="200"/>
    </w:pPr>
  </w:style>
  <w:style w:type="character" w:styleId="16">
    <w:name w:val="Hyperlink"/>
    <w:basedOn w:val="15"/>
    <w:uiPriority w:val="0"/>
    <w:rPr>
      <w:color w:val="0000FF"/>
      <w:u w:val="single"/>
    </w:rPr>
  </w:style>
  <w:style w:type="character" w:customStyle="1" w:styleId="17">
    <w:name w:val="标题 3 Char"/>
    <w:link w:val="4"/>
    <w:qFormat/>
    <w:uiPriority w:val="0"/>
    <w:rPr>
      <w:rFonts w:asciiTheme="minorAscii" w:hAnsiTheme="minorAscii" w:eastAsiaTheme="minorEastAsia"/>
      <w:b/>
      <w:bCs/>
      <w:sz w:val="32"/>
      <w:szCs w:val="22"/>
    </w:rPr>
  </w:style>
  <w:style w:type="character" w:customStyle="1" w:styleId="18">
    <w:name w:val="标题 2 Char"/>
    <w:basedOn w:val="15"/>
    <w:link w:val="3"/>
    <w:qFormat/>
    <w:uiPriority w:val="9"/>
    <w:rPr>
      <w:rFonts w:asciiTheme="minorAscii" w:hAnsiTheme="minorAscii" w:eastAsiaTheme="min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2020-06-24T00:37:00Z</dcterms:created>
  <dc:creator>Surface</dc:creator>
  <cp:lastModifiedBy>刘庆环</cp:lastModifiedBy>
  <dcterms:modified xsi:type="dcterms:W3CDTF">2020-06-24T17:23:06Z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