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短信平台操作说明书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after="156" w:line="360" w:lineRule="auto"/>
        <w:rPr>
          <w:rFonts w:asciiTheme="minorEastAsia" w:hAnsiTheme="minorEastAsia"/>
          <w:sz w:val="21"/>
          <w:szCs w:val="21"/>
        </w:rPr>
      </w:pPr>
      <w:bookmarkStart w:id="0" w:name="_Toc453142270"/>
      <w:bookmarkStart w:id="1" w:name="_Toc11821"/>
      <w:r>
        <w:rPr>
          <w:rFonts w:hint="eastAsia" w:asciiTheme="minorEastAsia" w:hAnsiTheme="minorEastAsia"/>
          <w:sz w:val="21"/>
          <w:szCs w:val="21"/>
        </w:rPr>
        <w:t>系统登录</w:t>
      </w:r>
      <w:bookmarkEnd w:id="0"/>
      <w:bookmarkEnd w:id="1"/>
    </w:p>
    <w:p>
      <w:pPr>
        <w:pStyle w:val="3"/>
        <w:spacing w:after="156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2" w:name="_Toc453142271"/>
      <w:bookmarkStart w:id="3" w:name="_Toc32000"/>
      <w:r>
        <w:rPr>
          <w:rFonts w:asciiTheme="minorEastAsia" w:hAnsiTheme="minorEastAsia" w:eastAsiaTheme="minorEastAsia"/>
          <w:sz w:val="21"/>
          <w:szCs w:val="21"/>
        </w:rPr>
        <w:t>地址访问</w:t>
      </w:r>
      <w:bookmarkEnd w:id="2"/>
      <w:bookmarkEnd w:id="3"/>
    </w:p>
    <w:p>
      <w:pPr>
        <w:pStyle w:val="9"/>
        <w:spacing w:after="156"/>
        <w:ind w:firstLine="420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系统部署后，可以直接通过浏览器访问仓储管理系统，根据管理员分配的系统用户和密码登录系统，登录后请及时修改密码，以防泄露，在浏览器地址栏输入地址并回车后，系统将进入登录页面。</w:t>
      </w:r>
    </w:p>
    <w:p>
      <w:pPr>
        <w:pStyle w:val="3"/>
        <w:spacing w:after="156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4" w:name="_Toc7857"/>
      <w:bookmarkStart w:id="5" w:name="_Toc453142272"/>
      <w:r>
        <w:rPr>
          <w:rFonts w:asciiTheme="minorEastAsia" w:hAnsiTheme="minorEastAsia" w:eastAsiaTheme="minorEastAsia"/>
          <w:sz w:val="21"/>
          <w:szCs w:val="21"/>
        </w:rPr>
        <w:t>登录</w:t>
      </w:r>
      <w:bookmarkEnd w:id="4"/>
      <w:bookmarkEnd w:id="5"/>
    </w:p>
    <w:p>
      <w:r>
        <w:drawing>
          <wp:inline distT="0" distB="0" distL="114300" distR="114300">
            <wp:extent cx="5273675" cy="2230120"/>
            <wp:effectExtent l="0" t="0" r="317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after="156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6" w:name="_Toc17484"/>
      <w:bookmarkStart w:id="7" w:name="_Toc453142273"/>
      <w:r>
        <w:rPr>
          <w:rFonts w:asciiTheme="minorEastAsia" w:hAnsiTheme="minorEastAsia" w:eastAsiaTheme="minorEastAsia"/>
          <w:sz w:val="21"/>
          <w:szCs w:val="21"/>
        </w:rPr>
        <w:t>系统风格</w:t>
      </w:r>
      <w:bookmarkEnd w:id="6"/>
      <w:bookmarkEnd w:id="7"/>
    </w:p>
    <w:p>
      <w:pPr>
        <w:spacing w:after="156" w:line="360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用户在首页面不仅可以看到，</w:t>
      </w:r>
      <w:r>
        <w:rPr>
          <w:rFonts w:hint="eastAsia" w:asciiTheme="minorEastAsia" w:hAnsiTheme="minorEastAsia"/>
          <w:szCs w:val="21"/>
          <w:lang w:val="en-US" w:eastAsia="zh-CN"/>
        </w:rPr>
        <w:t>当前用户登录账号，头部logo，可以看到左侧导航系统客户管理、短信发送、用户管理等模块。</w:t>
      </w:r>
    </w:p>
    <w:p>
      <w:pPr>
        <w:spacing w:after="156" w:line="360" w:lineRule="auto"/>
      </w:pPr>
      <w:r>
        <w:drawing>
          <wp:inline distT="0" distB="0" distL="114300" distR="114300">
            <wp:extent cx="5271770" cy="904240"/>
            <wp:effectExtent l="0" t="0" r="508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after="156" w:line="360" w:lineRule="auto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系统操作</w:t>
      </w:r>
    </w:p>
    <w:p>
      <w:pPr>
        <w:pStyle w:val="3"/>
        <w:numPr>
          <w:ilvl w:val="1"/>
          <w:numId w:val="0"/>
        </w:numPr>
        <w:spacing w:after="156" w:line="360" w:lineRule="auto"/>
        <w:ind w:leftChars="0"/>
        <w:rPr>
          <w:rFonts w:hint="default" w:asciiTheme="minorEastAsia" w:hAnsiTheme="minorEastAsia" w:eastAsiaTheme="minorEastAsia"/>
          <w:sz w:val="21"/>
          <w:szCs w:val="21"/>
          <w:lang w:val="en-US"/>
        </w:rPr>
      </w:pPr>
      <w:bookmarkStart w:id="8" w:name="_Toc664"/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2.1</w:t>
      </w:r>
      <w:bookmarkEnd w:id="8"/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客户管理</w:t>
      </w:r>
    </w:p>
    <w:p>
      <w:pPr>
        <w:pStyle w:val="4"/>
        <w:numPr>
          <w:ilvl w:val="2"/>
          <w:numId w:val="0"/>
        </w:numPr>
        <w:spacing w:after="156" w:line="360" w:lineRule="auto"/>
        <w:ind w:leftChars="0"/>
        <w:rPr>
          <w:rFonts w:hint="eastAsia" w:asciiTheme="minorEastAsia" w:hAnsiTheme="minorEastAsia"/>
          <w:sz w:val="21"/>
          <w:szCs w:val="21"/>
          <w:lang w:val="en-US" w:eastAsia="zh-CN"/>
        </w:rPr>
      </w:pPr>
      <w:bookmarkStart w:id="9" w:name="_Toc510"/>
      <w:r>
        <w:rPr>
          <w:rFonts w:hint="eastAsia" w:asciiTheme="minorEastAsia" w:hAnsiTheme="minorEastAsia"/>
          <w:sz w:val="21"/>
          <w:szCs w:val="21"/>
          <w:lang w:val="en-US" w:eastAsia="zh-CN"/>
        </w:rPr>
        <w:t>2.1.1</w:t>
      </w:r>
      <w:bookmarkEnd w:id="9"/>
      <w:r>
        <w:rPr>
          <w:rFonts w:hint="eastAsia" w:asciiTheme="minorEastAsia" w:hAnsiTheme="minorEastAsia"/>
          <w:sz w:val="21"/>
          <w:szCs w:val="21"/>
          <w:lang w:val="en-US" w:eastAsia="zh-CN"/>
        </w:rPr>
        <w:t>创建组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在客户所属组模块下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点击【添加】输入组名称，点击【确定】提示添加成功！</w:t>
      </w:r>
    </w:p>
    <w:p>
      <w:pPr>
        <w:rPr>
          <w:rFonts w:hint="default"/>
          <w:lang w:val="en-US"/>
        </w:rPr>
      </w:pPr>
    </w:p>
    <w:p>
      <w:pPr>
        <w:spacing w:after="156" w:line="360" w:lineRule="auto"/>
      </w:pPr>
      <w:r>
        <w:drawing>
          <wp:inline distT="0" distB="0" distL="114300" distR="114300">
            <wp:extent cx="5269230" cy="2105025"/>
            <wp:effectExtent l="0" t="0" r="762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2.1.1添加客户</w:t>
      </w:r>
    </w:p>
    <w:p>
      <w:pPr>
        <w:spacing w:after="156" w:line="360" w:lineRule="auto"/>
        <w:ind w:firstLine="420" w:firstLineChars="200"/>
        <w:rPr>
          <w:rFonts w:hint="default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在客户管理模块下，点击要添加客户信息的组，在点击【添加】按钮，</w:t>
      </w:r>
      <w:r>
        <w:rPr>
          <w:rFonts w:hint="eastAsia"/>
          <w:lang w:val="en-US" w:eastAsia="zh-CN"/>
        </w:rPr>
        <w:t>在弹出客户管理界面中，输入客户信息（姓名，电话，还款金额，还款日为 必填项），点击确定，系统提示添加成功！</w:t>
      </w:r>
    </w:p>
    <w:p>
      <w:pPr>
        <w:spacing w:after="156" w:line="360" w:lineRule="auto"/>
      </w:pPr>
      <w:r>
        <w:drawing>
          <wp:inline distT="0" distB="0" distL="114300" distR="114300">
            <wp:extent cx="5267960" cy="1146175"/>
            <wp:effectExtent l="0" t="0" r="8890" b="1587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在客户所属组下点击任意组，可查看该组下所用客户信息。</w:t>
      </w:r>
    </w:p>
    <w:p>
      <w:pPr>
        <w:spacing w:after="156" w:line="360" w:lineRule="auto"/>
      </w:pPr>
      <w:r>
        <w:drawing>
          <wp:inline distT="0" distB="0" distL="114300" distR="114300">
            <wp:extent cx="5269230" cy="833120"/>
            <wp:effectExtent l="0" t="0" r="7620" b="508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</w:pPr>
    </w:p>
    <w:p>
      <w:pPr>
        <w:pStyle w:val="3"/>
        <w:numPr>
          <w:ilvl w:val="1"/>
          <w:numId w:val="0"/>
        </w:numPr>
        <w:spacing w:after="156" w:line="360" w:lineRule="auto"/>
        <w:ind w:leftChars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bookmarkStart w:id="10" w:name="_Toc453142281"/>
      <w:bookmarkStart w:id="11" w:name="_Toc18896"/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2.2 </w:t>
      </w:r>
      <w:bookmarkEnd w:id="10"/>
      <w:bookmarkEnd w:id="11"/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短信发送</w:t>
      </w:r>
    </w:p>
    <w:p>
      <w:pPr>
        <w:spacing w:after="156" w:line="360" w:lineRule="auto"/>
      </w:pPr>
      <w:r>
        <w:rPr>
          <w:rFonts w:hint="eastAsia"/>
          <w:lang w:val="en-US" w:eastAsia="zh-CN"/>
        </w:rPr>
        <w:t>在短信发送模块中点击【发送短信】，在发送短信界面中点击【常用短信】弹出常用短信模板，点击【搜索】选择要是用的短信模板，如模板选择错误可点击【清除信息】按钮清楚短信内容然后重新选择模板。</w:t>
      </w:r>
      <w:r>
        <w:drawing>
          <wp:inline distT="0" distB="0" distL="114300" distR="114300">
            <wp:extent cx="5272405" cy="1395730"/>
            <wp:effectExtent l="0" t="0" r="4445" b="139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</w:pPr>
      <w:r>
        <w:rPr>
          <w:rFonts w:hint="eastAsia"/>
          <w:lang w:val="en-US" w:eastAsia="zh-CN"/>
        </w:rPr>
        <w:t>点击“定时时间”后的空白框即可选择发送日期及时间，如不选择则立即发送。</w:t>
      </w:r>
    </w:p>
    <w:p>
      <w:pPr>
        <w:spacing w:after="156" w:line="360" w:lineRule="auto"/>
      </w:pPr>
      <w:r>
        <w:drawing>
          <wp:inline distT="0" distB="0" distL="114300" distR="114300">
            <wp:extent cx="5271135" cy="3726180"/>
            <wp:effectExtent l="0" t="0" r="571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</w:pPr>
      <w:r>
        <w:rPr>
          <w:rFonts w:hint="eastAsia"/>
          <w:lang w:val="en-US" w:eastAsia="zh-CN"/>
        </w:rPr>
        <w:t>点击【通讯录】弹出客户信息管理对话框，点击【搜索】选择要发送短信客户，点击【确定】，系统提示信息发送成功！</w:t>
      </w:r>
    </w:p>
    <w:p>
      <w:pPr>
        <w:spacing w:after="156" w:line="360" w:lineRule="auto"/>
      </w:pPr>
      <w:r>
        <w:drawing>
          <wp:inline distT="0" distB="0" distL="114300" distR="114300">
            <wp:extent cx="5274310" cy="1775460"/>
            <wp:effectExtent l="0" t="0" r="254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</w:pPr>
      <w:r>
        <w:drawing>
          <wp:inline distT="0" distB="0" distL="114300" distR="114300">
            <wp:extent cx="5267960" cy="2266950"/>
            <wp:effectExtent l="0" t="0" r="889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56"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注：1短信模板模块只可查询现有模板内容，不可自行添加</w:t>
      </w:r>
    </w:p>
    <w:p>
      <w:pPr>
        <w:spacing w:after="156"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2短信发送模块中高级发送为开发中模块，暂时不可以使用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360" w:lineRule="auto"/>
        <w:ind w:firstLine="42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3短信查询模块可查看发出短信的状态</w:t>
      </w:r>
      <w:bookmarkStart w:id="14" w:name="_GoBack"/>
      <w:bookmarkEnd w:id="14"/>
      <w:r>
        <w:rPr>
          <w:rFonts w:hint="eastAsia"/>
          <w:lang w:val="en-US" w:eastAsia="zh-CN"/>
        </w:rPr>
        <w:t>成功与否</w:t>
      </w:r>
    </w:p>
    <w:p>
      <w:pPr>
        <w:pStyle w:val="3"/>
        <w:numPr>
          <w:ilvl w:val="1"/>
          <w:numId w:val="0"/>
        </w:numPr>
        <w:spacing w:after="156" w:line="360" w:lineRule="auto"/>
        <w:ind w:leftChars="0"/>
        <w:rPr>
          <w:rFonts w:asciiTheme="minorEastAsia" w:hAnsiTheme="minorEastAsia" w:eastAsiaTheme="minorEastAsia"/>
          <w:sz w:val="21"/>
          <w:szCs w:val="21"/>
        </w:rPr>
      </w:pPr>
      <w:bookmarkStart w:id="12" w:name="_Toc453142275"/>
      <w:bookmarkStart w:id="13" w:name="_Toc32024"/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2.3 用户</w:t>
      </w:r>
      <w:r>
        <w:rPr>
          <w:rFonts w:asciiTheme="minorEastAsia" w:hAnsiTheme="minorEastAsia" w:eastAsiaTheme="minorEastAsia"/>
          <w:sz w:val="21"/>
          <w:szCs w:val="21"/>
        </w:rPr>
        <w:t>管理</w:t>
      </w:r>
      <w:bookmarkEnd w:id="12"/>
      <w:bookmarkEnd w:id="13"/>
    </w:p>
    <w:p>
      <w:pPr>
        <w:spacing w:after="156"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用户可通过用户管理模块查看账户余额、充值记录、已发送短信条数、剩余短信条数、黑名单等用户信息。</w:t>
      </w:r>
    </w:p>
    <w:p>
      <w:pPr>
        <w:spacing w:after="156" w:line="360" w:lineRule="auto"/>
        <w:rPr>
          <w:rFonts w:hint="default"/>
          <w:lang w:val="en-US" w:eastAsia="zh-CN"/>
        </w:rPr>
      </w:pPr>
    </w:p>
    <w:p>
      <w:pPr>
        <w:spacing w:after="156"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326"/>
    <w:multiLevelType w:val="multilevel"/>
    <w:tmpl w:val="0597332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Theme="minorEastAsia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标准小四"/>
    <w:basedOn w:val="1"/>
    <w:qFormat/>
    <w:uiPriority w:val="0"/>
    <w:pPr>
      <w:widowControl w:val="0"/>
      <w:spacing w:afterLines="0" w:line="360" w:lineRule="auto"/>
      <w:ind w:firstLine="480" w:firstLineChars="200"/>
    </w:pPr>
    <w:rPr>
      <w:rFonts w:ascii="Arial" w:hAnsi="Arial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baci</cp:lastModifiedBy>
  <dcterms:modified xsi:type="dcterms:W3CDTF">2019-03-20T02:55:54Z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