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企业三要素核验</w:t>
      </w:r>
      <w:r>
        <w:rPr>
          <w:rFonts w:hint="eastAsia"/>
          <w:lang w:val="en-US" w:eastAsia="zh-CN"/>
        </w:rPr>
        <w:t>说明文档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t>企业三要素核验， 企业工商信息核验， 企业名称、统一社会信用代码、法人姓名一致性验证。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</w:pPr>
      <w:r>
        <w:t>请求参数（Body）</w:t>
      </w:r>
      <w:r>
        <w:br w:type="textWrapping"/>
      </w:r>
      <w:r>
        <w:t>    名称                        类型              是否必须                描述</w:t>
      </w:r>
      <w:r>
        <w:br w:type="textWrapping"/>
      </w:r>
      <w:r>
        <w:t>creditcode               STRING              是             统一社会信用代码</w:t>
      </w:r>
      <w:r>
        <w:br w:type="textWrapping"/>
      </w:r>
      <w:r>
        <w:t>entname                  STRING              是                    企业名称</w:t>
      </w:r>
      <w:r>
        <w:br w:type="textWrapping"/>
      </w:r>
      <w:r>
        <w:t>frname                     STRING              是                    法人代表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{ "code": "10000", "message": "成功", "data": { "state": "1" }, "seqNo": "L6O1975R1809291407" }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t>{ "code": "10002", "message": "查询无结果", "data": null, "seqNo": "L6O1975R1809291407" }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错误码定义      </w:t>
      </w:r>
    </w:p>
    <w:p>
      <w:pPr>
        <w:pStyle w:val="2"/>
        <w:keepNext w:val="0"/>
        <w:keepLines w:val="0"/>
        <w:widowControl/>
        <w:suppressLineNumbers w:val="0"/>
      </w:pPr>
      <w:r>
        <w:t>错误码      错误信息         描述</w:t>
      </w:r>
      <w:r>
        <w:br w:type="textWrapping"/>
      </w:r>
      <w:r>
        <w:t>10000       成功               成功</w:t>
      </w:r>
      <w:r>
        <w:br w:type="textWrapping"/>
      </w:r>
      <w:r>
        <w:t>10001      系统异常      系统异常</w:t>
      </w:r>
      <w:r>
        <w:br w:type="textWrapping"/>
      </w:r>
      <w:r>
        <w:t>10002      查询无结果   查询无结果</w:t>
      </w:r>
    </w:p>
    <w:p>
      <w:pPr>
        <w:pStyle w:val="2"/>
        <w:keepNext w:val="0"/>
        <w:keepLines w:val="0"/>
        <w:widowControl/>
        <w:suppressLineNumbers w:val="0"/>
      </w:pPr>
      <w:r>
        <w:t>产品亮点</w:t>
      </w:r>
      <w:r>
        <w:br w:type="textWrapping"/>
      </w:r>
      <w:r>
        <w:t>通过核验企业名称、统一社会信用代码、法人姓名一致性验证企业工商信息真伪。针对B2B等互联网电商平台、供应链金融平台入驻企业的身份核验。同时可用于各商业银行、互联网金融平台给企业贷款，用于核验法人信息。</w:t>
      </w:r>
      <w:r>
        <w:br w:type="textWrapping"/>
      </w:r>
      <w:r>
        <w:t>产品说明</w:t>
      </w:r>
      <w:r>
        <w:br w:type="textWrapping"/>
      </w:r>
      <w:r>
        <w:t>企业三要素核验接口是通过输入企业全名、统一社会信用代码、法定代表人姓名 输出一致、不一致等，覆盖全国企业和个体工商户，周更新，一周一到两次，验得计费（即code10000，message成功）收费，message异常不收费。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7CDA"/>
    <w:rsid w:val="30A600E4"/>
    <w:rsid w:val="4B764042"/>
    <w:rsid w:val="702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pete</dc:creator>
  <cp:lastModifiedBy>江潭落月</cp:lastModifiedBy>
  <dcterms:modified xsi:type="dcterms:W3CDTF">2020-11-18T06:14:41Z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