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right" w:leader="dot" w:pos="8306"/>
        </w:tabs>
        <w:jc w:val="center"/>
        <w:rPr>
          <w:rStyle w:val="26"/>
          <w:rFonts w:asciiTheme="minorEastAsia" w:hAnsiTheme="minorEastAsia" w:eastAsiaTheme="minorEastAsia" w:cstheme="minorEastAsia"/>
          <w:b/>
          <w:bCs/>
          <w:sz w:val="44"/>
          <w:szCs w:val="44"/>
        </w:rPr>
      </w:pPr>
    </w:p>
    <w:p>
      <w:pPr>
        <w:pStyle w:val="31"/>
        <w:jc w:val="center"/>
        <w:rPr>
          <w:rFonts w:hint="eastAsia" w:ascii="宋体" w:hAnsi="宋体" w:eastAsia="宋体"/>
          <w:b/>
          <w:sz w:val="56"/>
          <w:szCs w:val="56"/>
          <w:lang w:val="en-US" w:eastAsia="zh-CN"/>
        </w:rPr>
      </w:pPr>
      <w:r>
        <w:rPr>
          <w:rFonts w:hint="eastAsia" w:ascii="宋体" w:hAnsi="宋体" w:eastAsia="宋体"/>
          <w:b/>
          <w:sz w:val="56"/>
          <w:szCs w:val="56"/>
          <w:lang w:eastAsia="zh-CN"/>
        </w:rPr>
        <w:t>望城经开区智慧园区运营中心</w:t>
      </w:r>
    </w:p>
    <w:p>
      <w:pPr>
        <w:pStyle w:val="19"/>
        <w:tabs>
          <w:tab w:val="right" w:leader="dot" w:pos="8306"/>
        </w:tabs>
        <w:ind w:firstLine="3080" w:firstLineChars="700"/>
        <w:jc w:val="both"/>
        <w:rPr>
          <w:rStyle w:val="26"/>
          <w:rFonts w:asciiTheme="minorEastAsia" w:hAnsiTheme="minorEastAsia" w:eastAsiaTheme="minorEastAsia" w:cstheme="minorEastAsia"/>
          <w:b w:val="0"/>
          <w:bCs/>
          <w:sz w:val="44"/>
          <w:szCs w:val="44"/>
        </w:rPr>
      </w:pPr>
      <w:r>
        <w:rPr>
          <w:rStyle w:val="26"/>
          <w:rFonts w:hint="eastAsia" w:asciiTheme="minorEastAsia" w:hAnsiTheme="minorEastAsia" w:eastAsiaTheme="minorEastAsia" w:cstheme="minorEastAsia"/>
          <w:b w:val="0"/>
          <w:bCs/>
          <w:sz w:val="44"/>
          <w:szCs w:val="44"/>
          <w:lang w:eastAsia="zh-CN"/>
        </w:rPr>
        <w:t>功能简介</w:t>
      </w:r>
      <w:r>
        <w:rPr>
          <w:rStyle w:val="26"/>
          <w:rFonts w:hint="eastAsia" w:asciiTheme="minorEastAsia" w:hAnsiTheme="minorEastAsia" w:eastAsiaTheme="minorEastAsia" w:cstheme="minorEastAsia"/>
          <w:b w:val="0"/>
          <w:bCs/>
          <w:sz w:val="44"/>
          <w:szCs w:val="44"/>
        </w:rPr>
        <w:t xml:space="preserve"> </w:t>
      </w:r>
    </w:p>
    <w:p/>
    <w:p/>
    <w:p/>
    <w:p/>
    <w:p>
      <w:pPr>
        <w:pStyle w:val="19"/>
        <w:tabs>
          <w:tab w:val="right" w:leader="dot" w:pos="8306"/>
        </w:tabs>
        <w:rPr>
          <w:rStyle w:val="26"/>
          <w:rFonts w:asciiTheme="minorEastAsia" w:hAnsiTheme="minorEastAsia" w:eastAsiaTheme="minorEastAsia" w:cstheme="minorEastAsia"/>
          <w:b/>
          <w:bCs/>
          <w:sz w:val="48"/>
          <w:szCs w:val="48"/>
        </w:rPr>
      </w:pPr>
    </w:p>
    <w:p>
      <w:pPr>
        <w:jc w:val="center"/>
        <w:rPr>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p>
    <w:p>
      <w:pPr>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2021年</w:t>
      </w:r>
      <w:r>
        <w:rPr>
          <w:rFonts w:hint="eastAsia" w:asciiTheme="minorEastAsia" w:hAnsiTheme="minorEastAsia" w:eastAsiaTheme="minorEastAsia" w:cstheme="minorEastAsia"/>
          <w:sz w:val="36"/>
          <w:szCs w:val="36"/>
          <w:lang w:val="en-US" w:eastAsia="zh-CN"/>
        </w:rPr>
        <w:t>4</w:t>
      </w:r>
      <w:r>
        <w:rPr>
          <w:rFonts w:hint="eastAsia" w:asciiTheme="minorEastAsia" w:hAnsiTheme="minorEastAsia" w:eastAsiaTheme="minorEastAsia" w:cstheme="minorEastAsia"/>
          <w:sz w:val="36"/>
          <w:szCs w:val="36"/>
        </w:rPr>
        <w:t>月</w:t>
      </w:r>
    </w:p>
    <w:p>
      <w:pPr>
        <w:rPr>
          <w:sz w:val="40"/>
          <w:szCs w:val="40"/>
        </w:rPr>
      </w:pPr>
    </w:p>
    <w:p>
      <w:pPr>
        <w:jc w:val="center"/>
        <w:rPr>
          <w:rFonts w:asciiTheme="minorEastAsia" w:hAnsiTheme="minorEastAsia" w:eastAsiaTheme="minorEastAsia"/>
          <w:sz w:val="40"/>
          <w:szCs w:val="40"/>
        </w:rPr>
      </w:pPr>
    </w:p>
    <w:p>
      <w:pPr>
        <w:rPr>
          <w:rStyle w:val="26"/>
          <w:rFonts w:asciiTheme="minorEastAsia" w:hAnsiTheme="minorEastAsia" w:eastAsiaTheme="minorEastAsia" w:cstheme="minorEastAsia"/>
          <w:sz w:val="44"/>
          <w:szCs w:val="44"/>
        </w:rPr>
      </w:pPr>
    </w:p>
    <w:p>
      <w:pPr>
        <w:rPr>
          <w:rStyle w:val="26"/>
          <w:rFonts w:asciiTheme="minorEastAsia" w:hAnsiTheme="minorEastAsia" w:eastAsiaTheme="minorEastAsia" w:cstheme="minorEastAsia"/>
          <w:sz w:val="44"/>
          <w:szCs w:val="44"/>
        </w:rPr>
      </w:pPr>
    </w:p>
    <w:p>
      <w:pPr>
        <w:rPr>
          <w:rStyle w:val="26"/>
          <w:rFonts w:asciiTheme="minorEastAsia" w:hAnsiTheme="minorEastAsia" w:eastAsiaTheme="minorEastAsia" w:cstheme="minorEastAsia"/>
          <w:sz w:val="44"/>
          <w:szCs w:val="44"/>
        </w:rPr>
      </w:pPr>
    </w:p>
    <w:tbl>
      <w:tblPr>
        <w:tblStyle w:val="24"/>
        <w:tblpPr w:leftFromText="180" w:rightFromText="180" w:vertAnchor="text" w:horzAnchor="page" w:tblpX="1680" w:tblpY="633"/>
        <w:tblOverlap w:val="never"/>
        <w:tblW w:w="8840" w:type="dxa"/>
        <w:tblInd w:w="0" w:type="dxa"/>
        <w:tblLayout w:type="autofit"/>
        <w:tblCellMar>
          <w:top w:w="0" w:type="dxa"/>
          <w:left w:w="108" w:type="dxa"/>
          <w:bottom w:w="0" w:type="dxa"/>
          <w:right w:w="108" w:type="dxa"/>
        </w:tblCellMar>
      </w:tblPr>
      <w:tblGrid>
        <w:gridCol w:w="2041"/>
        <w:gridCol w:w="1905"/>
        <w:gridCol w:w="3657"/>
        <w:gridCol w:w="1237"/>
      </w:tblGrid>
      <w:tr>
        <w:tblPrEx>
          <w:tblCellMar>
            <w:top w:w="0" w:type="dxa"/>
            <w:left w:w="108" w:type="dxa"/>
            <w:bottom w:w="0" w:type="dxa"/>
            <w:right w:w="108" w:type="dxa"/>
          </w:tblCellMar>
        </w:tblPrEx>
        <w:trPr>
          <w:trHeight w:val="702" w:hRule="atLeast"/>
        </w:trPr>
        <w:tc>
          <w:tcPr>
            <w:tcW w:w="8840" w:type="dxa"/>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adjustRightInd/>
              <w:snapToGrid/>
              <w:spacing w:after="0"/>
              <w:jc w:val="center"/>
              <w:rPr>
                <w:rFonts w:hint="eastAsia" w:ascii="宋体" w:hAnsi="宋体" w:eastAsia="宋体" w:cs="宋体"/>
                <w:b/>
                <w:bCs/>
                <w:color w:val="000000" w:themeColor="text1"/>
                <w:sz w:val="24"/>
                <w:szCs w:val="24"/>
              </w:rPr>
            </w:pPr>
            <w:r>
              <w:rPr>
                <w:rFonts w:hint="eastAsia" w:ascii="宋体" w:hAnsi="宋体" w:eastAsia="宋体" w:cs="宋体"/>
                <w:b/>
                <w:bCs/>
                <w:color w:val="000000" w:themeColor="text1"/>
                <w:sz w:val="24"/>
                <w:szCs w:val="24"/>
              </w:rPr>
              <w:t>修订记录</w:t>
            </w:r>
          </w:p>
        </w:tc>
      </w:tr>
      <w:tr>
        <w:tblPrEx>
          <w:tblCellMar>
            <w:top w:w="0" w:type="dxa"/>
            <w:left w:w="108" w:type="dxa"/>
            <w:bottom w:w="0" w:type="dxa"/>
            <w:right w:w="108" w:type="dxa"/>
          </w:tblCellMar>
        </w:tblPrEx>
        <w:trPr>
          <w:trHeight w:val="400" w:hRule="atLeast"/>
        </w:trPr>
        <w:tc>
          <w:tcPr>
            <w:tcW w:w="2041" w:type="dxa"/>
            <w:tcBorders>
              <w:top w:val="nil"/>
              <w:left w:val="single" w:color="auto" w:sz="4" w:space="0"/>
              <w:bottom w:val="single" w:color="auto" w:sz="4" w:space="0"/>
              <w:right w:val="single" w:color="auto" w:sz="4" w:space="0"/>
            </w:tcBorders>
            <w:shd w:val="clear" w:color="auto" w:fill="auto"/>
            <w:noWrap/>
            <w:vAlign w:val="center"/>
          </w:tcPr>
          <w:p>
            <w:pPr>
              <w:adjustRightInd/>
              <w:snapToGrid/>
              <w:spacing w:after="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日期</w:t>
            </w:r>
          </w:p>
        </w:tc>
        <w:tc>
          <w:tcPr>
            <w:tcW w:w="1905" w:type="dxa"/>
            <w:tcBorders>
              <w:top w:val="nil"/>
              <w:left w:val="nil"/>
              <w:bottom w:val="single" w:color="auto" w:sz="4" w:space="0"/>
              <w:right w:val="single" w:color="auto" w:sz="4" w:space="0"/>
            </w:tcBorders>
            <w:shd w:val="clear" w:color="auto" w:fill="auto"/>
            <w:vAlign w:val="center"/>
          </w:tcPr>
          <w:p>
            <w:pPr>
              <w:adjustRightInd/>
              <w:snapToGrid/>
              <w:spacing w:after="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版本</w:t>
            </w:r>
          </w:p>
        </w:tc>
        <w:tc>
          <w:tcPr>
            <w:tcW w:w="3657" w:type="dxa"/>
            <w:tcBorders>
              <w:top w:val="nil"/>
              <w:left w:val="nil"/>
              <w:bottom w:val="single" w:color="auto" w:sz="4" w:space="0"/>
              <w:right w:val="single" w:color="auto" w:sz="4" w:space="0"/>
            </w:tcBorders>
            <w:shd w:val="clear" w:color="auto" w:fill="auto"/>
            <w:vAlign w:val="center"/>
          </w:tcPr>
          <w:p>
            <w:pPr>
              <w:adjustRightInd/>
              <w:snapToGrid/>
              <w:spacing w:after="0" w:line="276"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内容</w:t>
            </w: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修订人</w:t>
            </w: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2021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0</w:t>
            </w:r>
            <w:r>
              <w:rPr>
                <w:rFonts w:hint="eastAsia" w:ascii="宋体" w:hAnsi="宋体" w:eastAsia="宋体" w:cs="宋体"/>
                <w:color w:val="000000"/>
                <w:sz w:val="24"/>
                <w:szCs w:val="24"/>
                <w:lang w:val="en-US" w:eastAsia="zh-CN"/>
              </w:rPr>
              <w:t>4-19</w:t>
            </w: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jc w:val="center"/>
              <w:rPr>
                <w:rFonts w:hint="eastAsia" w:ascii="宋体" w:hAnsi="宋体" w:eastAsia="宋体" w:cs="宋体"/>
                <w:color w:val="000000"/>
                <w:sz w:val="24"/>
                <w:szCs w:val="24"/>
              </w:rPr>
            </w:pPr>
            <w:r>
              <w:rPr>
                <w:rFonts w:hint="eastAsia" w:ascii="宋体" w:hAnsi="宋体" w:eastAsia="宋体" w:cs="宋体"/>
                <w:color w:val="000000"/>
                <w:sz w:val="24"/>
                <w:szCs w:val="24"/>
              </w:rPr>
              <w:t>V1.0</w:t>
            </w:r>
          </w:p>
        </w:tc>
        <w:tc>
          <w:tcPr>
            <w:tcW w:w="3657" w:type="dxa"/>
            <w:tcBorders>
              <w:top w:val="nil"/>
              <w:left w:val="nil"/>
              <w:bottom w:val="single" w:color="auto" w:sz="4" w:space="0"/>
              <w:right w:val="single" w:color="auto" w:sz="4" w:space="0"/>
            </w:tcBorders>
            <w:shd w:val="clear" w:color="auto" w:fill="auto"/>
            <w:vAlign w:val="bottom"/>
          </w:tcPr>
          <w:p>
            <w:pPr>
              <w:numPr>
                <w:ilvl w:val="0"/>
                <w:numId w:val="0"/>
              </w:numPr>
              <w:adjustRightInd/>
              <w:snapToGrid/>
              <w:spacing w:after="0"/>
              <w:ind w:leftChar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望城经开区智慧园区运营中心</w:t>
            </w:r>
            <w:r>
              <w:rPr>
                <w:rFonts w:hint="eastAsia" w:ascii="宋体" w:hAnsi="宋体" w:eastAsia="宋体" w:cs="宋体"/>
                <w:color w:val="000000"/>
                <w:sz w:val="24"/>
                <w:szCs w:val="24"/>
                <w:lang w:val="en-US" w:eastAsia="zh-CN"/>
              </w:rPr>
              <w:t>功能简介</w:t>
            </w: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ind w:left="480" w:leftChars="109" w:hanging="240" w:hangingChars="1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王开来</w:t>
            </w:r>
          </w:p>
          <w:p>
            <w:pPr>
              <w:adjustRightInd/>
              <w:snapToGrid/>
              <w:spacing w:after="0"/>
              <w:ind w:left="480" w:leftChars="109" w:hanging="240" w:hangingChars="100"/>
              <w:jc w:val="both"/>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李永雪</w:t>
            </w: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r>
        <w:tblPrEx>
          <w:tblCellMar>
            <w:top w:w="0" w:type="dxa"/>
            <w:left w:w="108" w:type="dxa"/>
            <w:bottom w:w="0" w:type="dxa"/>
            <w:right w:w="108" w:type="dxa"/>
          </w:tblCellMar>
        </w:tblPrEx>
        <w:trPr>
          <w:trHeight w:val="499" w:hRule="atLeast"/>
        </w:trPr>
        <w:tc>
          <w:tcPr>
            <w:tcW w:w="2041" w:type="dxa"/>
            <w:tcBorders>
              <w:top w:val="nil"/>
              <w:left w:val="single" w:color="auto" w:sz="4" w:space="0"/>
              <w:bottom w:val="single" w:color="auto" w:sz="4" w:space="0"/>
              <w:right w:val="single" w:color="auto" w:sz="4" w:space="0"/>
            </w:tcBorders>
            <w:shd w:val="clear" w:color="auto" w:fill="auto"/>
            <w:noWrap/>
            <w:vAlign w:val="bottom"/>
          </w:tcPr>
          <w:p>
            <w:pPr>
              <w:adjustRightInd/>
              <w:snapToGrid/>
              <w:spacing w:after="0" w:line="276" w:lineRule="auto"/>
              <w:jc w:val="center"/>
              <w:rPr>
                <w:rFonts w:hint="eastAsia" w:asciiTheme="minorEastAsia" w:hAnsiTheme="minorEastAsia" w:eastAsiaTheme="minorEastAsia" w:cstheme="minorEastAsia"/>
                <w:color w:val="000000"/>
                <w:sz w:val="24"/>
                <w:szCs w:val="24"/>
              </w:rPr>
            </w:pPr>
          </w:p>
        </w:tc>
        <w:tc>
          <w:tcPr>
            <w:tcW w:w="1905" w:type="dxa"/>
            <w:tcBorders>
              <w:top w:val="nil"/>
              <w:left w:val="nil"/>
              <w:bottom w:val="single" w:color="auto" w:sz="4" w:space="0"/>
              <w:right w:val="single" w:color="auto" w:sz="4" w:space="0"/>
            </w:tcBorders>
            <w:shd w:val="clear" w:color="auto" w:fill="auto"/>
            <w:noWrap/>
            <w:vAlign w:val="bottom"/>
          </w:tcPr>
          <w:p>
            <w:pPr>
              <w:adjustRightInd/>
              <w:snapToGrid/>
              <w:spacing w:after="0" w:line="360" w:lineRule="auto"/>
              <w:jc w:val="center"/>
              <w:rPr>
                <w:rFonts w:hint="eastAsia" w:asciiTheme="minorEastAsia" w:hAnsiTheme="minorEastAsia" w:eastAsiaTheme="minorEastAsia" w:cstheme="minorEastAsia"/>
                <w:color w:val="000000"/>
                <w:sz w:val="24"/>
                <w:szCs w:val="24"/>
              </w:rPr>
            </w:pPr>
          </w:p>
        </w:tc>
        <w:tc>
          <w:tcPr>
            <w:tcW w:w="3657" w:type="dxa"/>
            <w:tcBorders>
              <w:top w:val="nil"/>
              <w:left w:val="nil"/>
              <w:bottom w:val="single" w:color="auto" w:sz="4" w:space="0"/>
              <w:right w:val="single" w:color="auto" w:sz="4" w:space="0"/>
            </w:tcBorders>
            <w:shd w:val="clear" w:color="auto" w:fill="auto"/>
            <w:vAlign w:val="bottom"/>
          </w:tcPr>
          <w:p>
            <w:pPr>
              <w:adjustRightInd/>
              <w:snapToGrid/>
              <w:spacing w:after="0" w:line="360" w:lineRule="auto"/>
              <w:rPr>
                <w:rFonts w:hint="eastAsia" w:asciiTheme="minorEastAsia" w:hAnsiTheme="minorEastAsia" w:eastAsiaTheme="minorEastAsia" w:cstheme="minorEastAsia"/>
                <w:color w:val="000000"/>
                <w:sz w:val="24"/>
                <w:szCs w:val="24"/>
              </w:rPr>
            </w:pPr>
          </w:p>
        </w:tc>
        <w:tc>
          <w:tcPr>
            <w:tcW w:w="1237" w:type="dxa"/>
            <w:tcBorders>
              <w:top w:val="nil"/>
              <w:left w:val="nil"/>
              <w:bottom w:val="single" w:color="auto" w:sz="4" w:space="0"/>
              <w:right w:val="single" w:color="auto" w:sz="4" w:space="0"/>
            </w:tcBorders>
            <w:shd w:val="clear" w:color="auto" w:fill="auto"/>
            <w:noWrap/>
            <w:vAlign w:val="center"/>
          </w:tcPr>
          <w:p>
            <w:pPr>
              <w:adjustRightInd/>
              <w:snapToGrid/>
              <w:spacing w:after="0"/>
              <w:jc w:val="center"/>
              <w:rPr>
                <w:rFonts w:hint="eastAsia" w:asciiTheme="minorEastAsia" w:hAnsiTheme="minorEastAsia" w:eastAsiaTheme="minorEastAsia" w:cstheme="minorEastAsia"/>
                <w:color w:val="000000"/>
                <w:sz w:val="24"/>
                <w:szCs w:val="24"/>
              </w:rPr>
            </w:pPr>
          </w:p>
        </w:tc>
      </w:tr>
    </w:tbl>
    <w:p>
      <w:pPr>
        <w:rPr>
          <w:rStyle w:val="26"/>
          <w:rFonts w:asciiTheme="minorEastAsia" w:hAnsiTheme="minorEastAsia" w:eastAsiaTheme="minorEastAsia" w:cstheme="minorEastAsia"/>
          <w:sz w:val="44"/>
          <w:szCs w:val="44"/>
        </w:rPr>
      </w:pPr>
    </w:p>
    <w:p/>
    <w:p/>
    <w:p/>
    <w:p>
      <w:pPr>
        <w:pStyle w:val="2"/>
        <w:numPr>
          <w:ilvl w:val="0"/>
          <w:numId w:val="0"/>
        </w:numPr>
        <w:rPr>
          <w:rStyle w:val="26"/>
          <w:rFonts w:asciiTheme="minorEastAsia" w:hAnsiTheme="minorEastAsia" w:eastAsiaTheme="minorEastAsia" w:cstheme="minorEastAsia"/>
          <w:b/>
          <w:bCs/>
        </w:rPr>
        <w:sectPr>
          <w:pgSz w:w="11906" w:h="16838"/>
          <w:pgMar w:top="1440" w:right="1800" w:bottom="1440" w:left="1800" w:header="708" w:footer="708" w:gutter="0"/>
          <w:cols w:space="708" w:num="1"/>
          <w:docGrid w:linePitch="360" w:charSpace="0"/>
        </w:sectPr>
      </w:pPr>
    </w:p>
    <w:p>
      <w:pPr>
        <w:pStyle w:val="2"/>
        <w:numPr>
          <w:ilvl w:val="3"/>
          <w:numId w:val="0"/>
        </w:numPr>
        <w:ind w:leftChars="0"/>
        <w:rPr>
          <w:rFonts w:hint="eastAsia" w:ascii="宋体" w:hAnsi="宋体" w:eastAsia="宋体"/>
          <w:lang w:val="en-US" w:eastAsia="zh-CN"/>
        </w:rPr>
      </w:pPr>
      <w:r>
        <w:rPr>
          <w:rFonts w:hint="eastAsia" w:ascii="宋体" w:hAnsi="宋体" w:eastAsia="宋体"/>
          <w:lang w:val="en-US" w:eastAsia="zh-CN"/>
        </w:rPr>
        <w:t>第一章：项目简介</w:t>
      </w:r>
    </w:p>
    <w:p>
      <w:pPr>
        <w:rPr>
          <w:rFonts w:hint="eastAsia"/>
          <w:lang w:val="en-US" w:eastAsia="zh-CN"/>
        </w:rPr>
      </w:pPr>
      <w:r>
        <w:drawing>
          <wp:inline distT="0" distB="0" distL="114300" distR="114300">
            <wp:extent cx="5266055" cy="318770"/>
            <wp:effectExtent l="0" t="0" r="10795"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5"/>
                    <a:stretch>
                      <a:fillRect/>
                    </a:stretch>
                  </pic:blipFill>
                  <pic:spPr>
                    <a:xfrm>
                      <a:off x="0" y="0"/>
                      <a:ext cx="5266055" cy="318770"/>
                    </a:xfrm>
                    <a:prstGeom prst="rect">
                      <a:avLst/>
                    </a:prstGeom>
                    <a:noFill/>
                    <a:ln>
                      <a:noFill/>
                    </a:ln>
                  </pic:spPr>
                </pic:pic>
              </a:graphicData>
            </a:graphic>
          </wp:inline>
        </w:drawing>
      </w:r>
    </w:p>
    <w:p>
      <w:pPr>
        <w:pStyle w:val="3"/>
        <w:numPr>
          <w:ilvl w:val="3"/>
          <w:numId w:val="0"/>
        </w:numPr>
        <w:ind w:leftChars="0"/>
        <w:rPr>
          <w:rFonts w:hint="eastAsia"/>
          <w:lang w:val="en-US" w:eastAsia="zh-CN"/>
        </w:rPr>
      </w:pPr>
      <w:r>
        <w:rPr>
          <w:rFonts w:hint="eastAsia" w:ascii="宋体" w:hAnsi="宋体" w:eastAsia="宋体"/>
          <w:b w:val="0"/>
          <w:bCs w:val="0"/>
          <w:sz w:val="24"/>
        </w:rPr>
        <w:t>大屏主页框架页面，</w:t>
      </w:r>
      <w:r>
        <w:rPr>
          <w:rFonts w:hint="eastAsia" w:ascii="宋体" w:hAnsi="宋体" w:eastAsia="宋体"/>
          <w:b w:val="0"/>
          <w:bCs w:val="0"/>
          <w:sz w:val="24"/>
          <w:lang w:val="zh-CN"/>
        </w:rPr>
        <w:t>页面顶部显示业务功能子模块，包括</w:t>
      </w:r>
      <w:r>
        <w:rPr>
          <w:rFonts w:hint="eastAsia" w:ascii="宋体" w:hAnsi="宋体" w:eastAsia="宋体"/>
          <w:b/>
          <w:bCs/>
          <w:sz w:val="24"/>
          <w:lang w:val="zh-CN"/>
        </w:rPr>
        <w:t>园区总览、政企服务、国土资源、项目建设、智慧物联、安监环保、工业互联、经济运行</w:t>
      </w:r>
      <w:r>
        <w:rPr>
          <w:rFonts w:ascii="宋体" w:hAnsi="宋体" w:eastAsia="宋体"/>
          <w:b w:val="0"/>
          <w:bCs w:val="0"/>
          <w:sz w:val="24"/>
          <w:lang w:val="zh-CN"/>
        </w:rPr>
        <w:t>8个功能主菜单，菜单支持后台配置管理，并在主屏工作区嵌入经开区三维地图页面。</w:t>
      </w:r>
      <w:bookmarkStart w:id="0" w:name="_Toc68091277"/>
    </w:p>
    <w:p>
      <w:pPr>
        <w:pStyle w:val="2"/>
        <w:numPr>
          <w:ilvl w:val="1"/>
          <w:numId w:val="0"/>
        </w:numPr>
        <w:ind w:leftChars="0"/>
        <w:rPr>
          <w:rFonts w:hint="eastAsia" w:ascii="宋体" w:hAnsi="宋体" w:eastAsia="宋体"/>
        </w:rPr>
      </w:pPr>
      <w:r>
        <w:rPr>
          <w:rFonts w:hint="eastAsia" w:ascii="宋体" w:hAnsi="宋体" w:eastAsia="宋体"/>
          <w:lang w:eastAsia="zh-CN"/>
        </w:rPr>
        <w:t>第二章：</w:t>
      </w:r>
      <w:r>
        <w:rPr>
          <w:rFonts w:hint="eastAsia" w:ascii="宋体" w:hAnsi="宋体" w:eastAsia="宋体"/>
        </w:rPr>
        <w:t>园区总览</w:t>
      </w:r>
    </w:p>
    <w:p>
      <w:pPr>
        <w:rPr>
          <w:rFonts w:hint="eastAsia"/>
        </w:rPr>
      </w:pPr>
      <w:r>
        <w:drawing>
          <wp:inline distT="0" distB="0" distL="114300" distR="114300">
            <wp:extent cx="5300980" cy="1452245"/>
            <wp:effectExtent l="0" t="0" r="1397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300980" cy="1452245"/>
                    </a:xfrm>
                    <a:prstGeom prst="rect">
                      <a:avLst/>
                    </a:prstGeom>
                    <a:noFill/>
                    <a:ln>
                      <a:noFill/>
                    </a:ln>
                  </pic:spPr>
                </pic:pic>
              </a:graphicData>
            </a:graphic>
          </wp:inline>
        </w:drawing>
      </w:r>
    </w:p>
    <w:p>
      <w:pPr>
        <w:pStyle w:val="45"/>
        <w:ind w:left="0" w:leftChars="0" w:firstLine="0" w:firstLineChars="0"/>
        <w:rPr>
          <w:rFonts w:hint="eastAsia" w:ascii="宋体" w:hAnsi="宋体" w:eastAsia="宋体"/>
          <w:sz w:val="24"/>
        </w:rPr>
      </w:pPr>
      <w:r>
        <w:rPr>
          <w:rFonts w:hint="eastAsia" w:ascii="宋体" w:hAnsi="宋体"/>
          <w:color w:val="000000" w:themeColor="text1"/>
        </w:rPr>
        <w:t>园区总览根据园区的主营业务类型，提炼管理层关心的、涉及园区运营管理业务的各类关键指标，以直观的图形和报表形式形象地展示园区产业、企业服务、项目建设的情况等</w:t>
      </w:r>
      <w:r>
        <w:rPr>
          <w:rFonts w:ascii="宋体" w:hAnsi="宋体"/>
          <w:color w:val="000000" w:themeColor="text1"/>
        </w:rPr>
        <w:t>,</w:t>
      </w:r>
      <w:r>
        <w:rPr>
          <w:rFonts w:hint="eastAsia" w:ascii="宋体" w:hAnsi="宋体"/>
          <w:color w:val="000000" w:themeColor="text1"/>
        </w:rPr>
        <w:t>并对异常指标进行预警和挖掘分析，为管理者提供</w:t>
      </w:r>
      <w:r>
        <w:rPr>
          <w:rFonts w:ascii="宋体" w:hAnsi="宋体"/>
          <w:color w:val="000000" w:themeColor="text1"/>
        </w:rPr>
        <w:t>“</w:t>
      </w:r>
      <w:r>
        <w:rPr>
          <w:rFonts w:hint="eastAsia" w:ascii="宋体" w:hAnsi="宋体"/>
          <w:color w:val="000000" w:themeColor="text1"/>
        </w:rPr>
        <w:t>一站式</w:t>
      </w:r>
      <w:r>
        <w:rPr>
          <w:rFonts w:ascii="宋体" w:hAnsi="宋体"/>
          <w:color w:val="000000" w:themeColor="text1"/>
        </w:rPr>
        <w:t>”</w:t>
      </w:r>
      <w:r>
        <w:rPr>
          <w:rFonts w:hint="eastAsia" w:ascii="宋体" w:hAnsi="宋体"/>
          <w:color w:val="000000" w:themeColor="text1"/>
        </w:rPr>
        <w:t>决策支持信息服务。通过仪表盘直观显示的各种量化指标，迅速、清楚地掌握园区的前进状况，及时发现问所在，有利于管理者高效决策。</w:t>
      </w:r>
    </w:p>
    <w:p>
      <w:pPr>
        <w:pStyle w:val="3"/>
        <w:numPr>
          <w:ilvl w:val="1"/>
          <w:numId w:val="0"/>
        </w:numPr>
        <w:ind w:leftChars="0"/>
        <w:rPr>
          <w:rFonts w:hint="eastAsia" w:ascii="宋体" w:hAnsi="宋体" w:eastAsia="宋体" w:cstheme="minorBidi"/>
          <w:b/>
          <w:bCs/>
          <w:sz w:val="24"/>
          <w:szCs w:val="22"/>
          <w:lang w:val="en-US" w:eastAsia="zh-CN" w:bidi="ar-SA"/>
        </w:rPr>
      </w:pPr>
      <w:r>
        <w:rPr>
          <w:rFonts w:hint="eastAsia" w:ascii="宋体" w:hAnsi="宋体" w:eastAsia="宋体"/>
          <w:lang w:val="en-US" w:eastAsia="zh-CN"/>
        </w:rPr>
        <w:t>2.1基础信息功能描述</w:t>
      </w:r>
    </w:p>
    <w:p>
      <w:pPr>
        <w:pStyle w:val="4"/>
        <w:numPr>
          <w:ilvl w:val="1"/>
          <w:numId w:val="0"/>
        </w:numPr>
        <w:ind w:leftChars="0"/>
        <w:rPr>
          <w:rFonts w:hint="eastAsia" w:ascii="宋体" w:hAnsi="宋体" w:eastAsia="宋体" w:cstheme="minorBidi"/>
          <w:b/>
          <w:bCs/>
          <w:sz w:val="24"/>
          <w:szCs w:val="22"/>
          <w:lang w:val="en-US" w:eastAsia="zh-CN" w:bidi="ar-SA"/>
        </w:rPr>
      </w:pPr>
      <w:r>
        <w:rPr>
          <w:rFonts w:hint="eastAsia" w:ascii="宋体" w:hAnsi="宋体" w:eastAsia="宋体" w:cstheme="minorBidi"/>
          <w:b/>
          <w:bCs/>
          <w:sz w:val="24"/>
          <w:szCs w:val="22"/>
          <w:lang w:val="en-US" w:eastAsia="zh-CN" w:bidi="ar-SA"/>
        </w:rPr>
        <w:t>&lt;1&gt;系统名称显示，支持后台配置</w:t>
      </w:r>
    </w:p>
    <w:p>
      <w:pPr>
        <w:pStyle w:val="45"/>
        <w:ind w:firstLine="0" w:firstLineChars="0"/>
        <w:rPr>
          <w:rFonts w:ascii="宋体" w:hAnsi="宋体"/>
          <w:lang w:val="en-US"/>
        </w:rPr>
      </w:pPr>
      <w:r>
        <w:rPr>
          <w:rFonts w:ascii="宋体" w:hAnsi="宋体"/>
          <w:lang w:val="en-US"/>
        </w:rPr>
        <w:drawing>
          <wp:inline distT="0" distB="0" distL="114300" distR="114300">
            <wp:extent cx="3883025" cy="548640"/>
            <wp:effectExtent l="0" t="0" r="3175" b="381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7"/>
                    <a:stretch>
                      <a:fillRect/>
                    </a:stretch>
                  </pic:blipFill>
                  <pic:spPr>
                    <a:xfrm>
                      <a:off x="0" y="0"/>
                      <a:ext cx="3883025" cy="548640"/>
                    </a:xfrm>
                    <a:prstGeom prst="rect">
                      <a:avLst/>
                    </a:prstGeom>
                    <a:noFill/>
                    <a:ln>
                      <a:noFill/>
                    </a:ln>
                  </pic:spPr>
                </pic:pic>
              </a:graphicData>
            </a:graphic>
          </wp:inline>
        </w:drawing>
      </w:r>
    </w:p>
    <w:p>
      <w:pPr>
        <w:pStyle w:val="4"/>
        <w:numPr>
          <w:ilvl w:val="1"/>
          <w:numId w:val="0"/>
        </w:numPr>
        <w:ind w:leftChars="0"/>
        <w:rPr>
          <w:rFonts w:hint="eastAsia" w:ascii="宋体" w:hAnsi="宋体" w:eastAsia="宋体" w:cstheme="minorBidi"/>
          <w:b/>
          <w:bCs/>
          <w:sz w:val="24"/>
          <w:szCs w:val="22"/>
          <w:lang w:val="en-US" w:eastAsia="zh-CN" w:bidi="ar-SA"/>
        </w:rPr>
      </w:pPr>
      <w:r>
        <w:rPr>
          <w:rFonts w:hint="eastAsia" w:ascii="宋体" w:hAnsi="宋体" w:eastAsia="宋体" w:cstheme="minorBidi"/>
          <w:b/>
          <w:bCs/>
          <w:sz w:val="24"/>
          <w:szCs w:val="22"/>
          <w:lang w:val="en-US" w:eastAsia="zh-CN" w:bidi="ar-SA"/>
        </w:rPr>
        <w:t>&lt;2&gt;当前时间</w:t>
      </w:r>
    </w:p>
    <w:p>
      <w:pPr>
        <w:spacing w:line="360" w:lineRule="auto"/>
        <w:ind w:firstLine="420"/>
        <w:rPr>
          <w:rFonts w:ascii="宋体" w:hAnsi="宋体" w:eastAsia="宋体"/>
          <w:sz w:val="24"/>
        </w:rPr>
      </w:pPr>
      <w:r>
        <w:rPr>
          <w:rFonts w:hint="eastAsia" w:ascii="宋体" w:hAnsi="宋体" w:eastAsia="宋体"/>
          <w:sz w:val="24"/>
        </w:rPr>
        <w:t>获取当前的系统时间，精确到</w:t>
      </w:r>
      <w:r>
        <w:rPr>
          <w:rFonts w:hint="eastAsia" w:ascii="宋体" w:hAnsi="宋体" w:eastAsia="宋体"/>
          <w:sz w:val="24"/>
          <w:lang w:eastAsia="zh-CN"/>
        </w:rPr>
        <w:t>年</w:t>
      </w:r>
      <w:r>
        <w:rPr>
          <w:rFonts w:ascii="宋体" w:hAnsi="宋体" w:eastAsia="宋体"/>
          <w:sz w:val="24"/>
        </w:rPr>
        <w:t>-月-</w:t>
      </w:r>
      <w:r>
        <w:rPr>
          <w:rFonts w:hint="eastAsia" w:ascii="宋体" w:hAnsi="宋体" w:eastAsia="宋体"/>
          <w:sz w:val="24"/>
          <w:lang w:eastAsia="zh-CN"/>
        </w:rPr>
        <w:t>日、</w:t>
      </w:r>
      <w:r>
        <w:rPr>
          <w:rFonts w:ascii="宋体" w:hAnsi="宋体" w:eastAsia="宋体"/>
          <w:sz w:val="24"/>
        </w:rPr>
        <w:t xml:space="preserve"> </w:t>
      </w:r>
      <w:r>
        <w:rPr>
          <w:rFonts w:hint="eastAsia" w:ascii="宋体" w:hAnsi="宋体" w:eastAsia="宋体"/>
          <w:sz w:val="24"/>
        </w:rPr>
        <w:t>时</w:t>
      </w:r>
      <w:r>
        <w:rPr>
          <w:rFonts w:ascii="宋体" w:hAnsi="宋体" w:eastAsia="宋体"/>
          <w:sz w:val="24"/>
        </w:rPr>
        <w:t xml:space="preserve">-分-秒 </w:t>
      </w:r>
      <w:r>
        <w:rPr>
          <w:rFonts w:hint="eastAsia" w:ascii="宋体" w:hAnsi="宋体" w:eastAsia="宋体"/>
          <w:sz w:val="24"/>
          <w:lang w:eastAsia="zh-CN"/>
        </w:rPr>
        <w:t>、</w:t>
      </w:r>
      <w:r>
        <w:rPr>
          <w:rFonts w:hint="eastAsia" w:ascii="宋体" w:hAnsi="宋体" w:eastAsia="宋体"/>
          <w:sz w:val="24"/>
        </w:rPr>
        <w:t>星期几，并且动态显示到页面中；</w:t>
      </w:r>
    </w:p>
    <w:p>
      <w:pPr>
        <w:pStyle w:val="45"/>
        <w:ind w:firstLine="0" w:firstLineChars="0"/>
        <w:rPr>
          <w:rFonts w:ascii="宋体" w:hAnsi="宋体"/>
        </w:rPr>
      </w:pPr>
      <w:r>
        <w:drawing>
          <wp:inline distT="0" distB="0" distL="114300" distR="114300">
            <wp:extent cx="1857375" cy="507365"/>
            <wp:effectExtent l="0" t="0" r="952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1857375" cy="507365"/>
                    </a:xfrm>
                    <a:prstGeom prst="rect">
                      <a:avLst/>
                    </a:prstGeom>
                    <a:noFill/>
                    <a:ln>
                      <a:noFill/>
                    </a:ln>
                  </pic:spPr>
                </pic:pic>
              </a:graphicData>
            </a:graphic>
          </wp:inline>
        </w:drawing>
      </w:r>
    </w:p>
    <w:p>
      <w:pPr>
        <w:pStyle w:val="4"/>
        <w:numPr>
          <w:ilvl w:val="1"/>
          <w:numId w:val="0"/>
        </w:numPr>
        <w:ind w:leftChars="0"/>
        <w:rPr>
          <w:rFonts w:hint="eastAsia" w:ascii="宋体" w:hAnsi="宋体" w:eastAsia="宋体" w:cstheme="minorBidi"/>
          <w:b/>
          <w:bCs/>
          <w:sz w:val="24"/>
          <w:szCs w:val="22"/>
          <w:lang w:val="en-US" w:eastAsia="zh-CN" w:bidi="ar-SA"/>
        </w:rPr>
      </w:pPr>
      <w:r>
        <w:rPr>
          <w:rFonts w:hint="eastAsia" w:ascii="宋体" w:hAnsi="宋体" w:eastAsia="宋体" w:cstheme="minorBidi"/>
          <w:b/>
          <w:bCs/>
          <w:sz w:val="24"/>
          <w:szCs w:val="22"/>
          <w:lang w:val="en-US" w:eastAsia="zh-CN" w:bidi="ar-SA"/>
        </w:rPr>
        <w:t>&lt;3&gt;天气信息</w:t>
      </w:r>
    </w:p>
    <w:p>
      <w:pPr>
        <w:spacing w:line="360" w:lineRule="auto"/>
        <w:ind w:firstLine="420"/>
        <w:rPr>
          <w:rFonts w:ascii="宋体" w:hAnsi="宋体" w:eastAsia="宋体"/>
          <w:sz w:val="24"/>
        </w:rPr>
      </w:pPr>
      <w:r>
        <w:rPr>
          <w:rFonts w:hint="eastAsia" w:ascii="宋体" w:hAnsi="宋体" w:eastAsia="宋体"/>
          <w:sz w:val="24"/>
        </w:rPr>
        <w:t>调用第三方天气信息数据接口，显示当前望城经开区天气信息；</w:t>
      </w:r>
    </w:p>
    <w:p>
      <w:pPr>
        <w:pStyle w:val="45"/>
        <w:ind w:firstLine="0" w:firstLineChars="0"/>
        <w:rPr>
          <w:rFonts w:ascii="宋体" w:hAnsi="宋体"/>
        </w:rPr>
      </w:pPr>
      <w:r>
        <w:drawing>
          <wp:inline distT="0" distB="0" distL="114300" distR="114300">
            <wp:extent cx="1314450" cy="64770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1314450" cy="647700"/>
                    </a:xfrm>
                    <a:prstGeom prst="rect">
                      <a:avLst/>
                    </a:prstGeom>
                    <a:noFill/>
                    <a:ln>
                      <a:noFill/>
                    </a:ln>
                  </pic:spPr>
                </pic:pic>
              </a:graphicData>
            </a:graphic>
          </wp:inline>
        </w:drawing>
      </w:r>
    </w:p>
    <w:p/>
    <w:p>
      <w:pPr>
        <w:pStyle w:val="3"/>
        <w:numPr>
          <w:ilvl w:val="3"/>
          <w:numId w:val="0"/>
        </w:numPr>
        <w:ind w:leftChars="0"/>
      </w:pPr>
      <w:r>
        <w:rPr>
          <w:rFonts w:hint="eastAsia" w:ascii="宋体" w:hAnsi="宋体" w:eastAsia="宋体"/>
          <w:lang w:val="en-US" w:eastAsia="zh-CN"/>
        </w:rPr>
        <w:t>2.2产业经济总览</w:t>
      </w:r>
    </w:p>
    <w:p>
      <w:r>
        <w:drawing>
          <wp:inline distT="0" distB="0" distL="114300" distR="114300">
            <wp:extent cx="5311775" cy="538480"/>
            <wp:effectExtent l="0" t="0" r="3175" b="139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311775" cy="538480"/>
                    </a:xfrm>
                    <a:prstGeom prst="rect">
                      <a:avLst/>
                    </a:prstGeom>
                    <a:noFill/>
                    <a:ln>
                      <a:noFill/>
                    </a:ln>
                  </pic:spPr>
                </pic:pic>
              </a:graphicData>
            </a:graphic>
          </wp:inline>
        </w:drawing>
      </w:r>
    </w:p>
    <w:p>
      <w:pPr>
        <w:pStyle w:val="45"/>
        <w:rPr>
          <w:rFonts w:ascii="宋体" w:hAnsi="宋体"/>
          <w:lang w:val="en-US"/>
        </w:rPr>
      </w:pPr>
      <w:r>
        <w:rPr>
          <w:rFonts w:hint="eastAsia" w:ascii="宋体" w:hAnsi="宋体"/>
          <w:color w:val="000000" w:themeColor="text1"/>
          <w:lang w:val="en-US"/>
        </w:rPr>
        <w:t>统计展示本年度望城经开区截止到当前月份的几个重要产业经济运行指标，从而可以快速了解到望城经开区今年的经济运行情况和对比去年的经济增长情况。</w:t>
      </w:r>
    </w:p>
    <w:p>
      <w:pPr>
        <w:pStyle w:val="45"/>
        <w:ind w:left="0" w:leftChars="0" w:firstLine="0" w:firstLineChars="0"/>
        <w:rPr>
          <w:rFonts w:ascii="宋体" w:hAnsi="宋体"/>
          <w:color w:val="000000" w:themeColor="text1"/>
          <w:lang w:val="en-US"/>
        </w:rPr>
      </w:pPr>
      <w:r>
        <w:rPr>
          <w:rFonts w:hint="eastAsia" w:ascii="宋体" w:hAnsi="宋体"/>
          <w:color w:val="000000" w:themeColor="text1"/>
          <w:lang w:val="en-US"/>
        </w:rPr>
        <w:t>显示截止到当年当月的经开区产业经济整体情况，包括</w:t>
      </w:r>
      <w:r>
        <w:rPr>
          <w:rFonts w:ascii="宋体" w:hAnsi="宋体"/>
          <w:color w:val="000000" w:themeColor="text1"/>
          <w:lang w:val="en-US"/>
        </w:rPr>
        <w:t>8</w:t>
      </w:r>
      <w:r>
        <w:rPr>
          <w:rFonts w:hint="eastAsia" w:ascii="宋体" w:hAnsi="宋体"/>
          <w:color w:val="000000" w:themeColor="text1"/>
          <w:lang w:val="en-US"/>
        </w:rPr>
        <w:t>个指标项：</w:t>
      </w:r>
    </w:p>
    <w:p>
      <w:pPr>
        <w:numPr>
          <w:ilvl w:val="0"/>
          <w:numId w:val="0"/>
        </w:numPr>
        <w:spacing w:line="360" w:lineRule="auto"/>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&lt;1&gt;</w:t>
      </w:r>
      <w:r>
        <w:rPr>
          <w:rFonts w:hint="eastAsia" w:ascii="宋体" w:hAnsi="宋体" w:eastAsia="宋体" w:cs="Times New Roman"/>
          <w:kern w:val="0"/>
          <w:sz w:val="24"/>
          <w:szCs w:val="20"/>
        </w:rPr>
        <w:t>本年度截止到当月规模工业总产值总量（亿元），相较去年同比增幅情况</w:t>
      </w:r>
    </w:p>
    <w:p>
      <w:pPr>
        <w:numPr>
          <w:ilvl w:val="0"/>
          <w:numId w:val="0"/>
        </w:numPr>
        <w:spacing w:line="360" w:lineRule="auto"/>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&lt;2&gt;</w:t>
      </w:r>
      <w:r>
        <w:rPr>
          <w:rFonts w:hint="eastAsia" w:ascii="宋体" w:hAnsi="宋体" w:eastAsia="宋体" w:cs="Times New Roman"/>
          <w:kern w:val="0"/>
          <w:sz w:val="24"/>
          <w:szCs w:val="20"/>
        </w:rPr>
        <w:t>本年度截止到当月财政收入总量（亿元），相较去年同比增幅情况</w:t>
      </w:r>
    </w:p>
    <w:p>
      <w:pPr>
        <w:numPr>
          <w:ilvl w:val="0"/>
          <w:numId w:val="0"/>
        </w:numPr>
        <w:spacing w:line="360" w:lineRule="auto"/>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&lt;3&gt;</w:t>
      </w:r>
      <w:r>
        <w:rPr>
          <w:rFonts w:hint="eastAsia" w:ascii="宋体" w:hAnsi="宋体" w:eastAsia="宋体" w:cs="Times New Roman"/>
          <w:kern w:val="0"/>
          <w:sz w:val="24"/>
          <w:szCs w:val="20"/>
        </w:rPr>
        <w:t>本年度截止到当月社会消费品零售总额（亿元），相较去年同比增幅情况</w:t>
      </w:r>
    </w:p>
    <w:p>
      <w:pPr>
        <w:numPr>
          <w:ilvl w:val="0"/>
          <w:numId w:val="0"/>
        </w:numPr>
        <w:spacing w:line="360" w:lineRule="auto"/>
        <w:rPr>
          <w:rFonts w:hint="eastAsia" w:ascii="宋体" w:hAnsi="宋体" w:eastAsia="宋体" w:cs="Times New Roman"/>
          <w:kern w:val="0"/>
          <w:sz w:val="24"/>
          <w:szCs w:val="20"/>
        </w:rPr>
      </w:pPr>
      <w:r>
        <w:rPr>
          <w:rFonts w:hint="eastAsia" w:ascii="宋体" w:hAnsi="宋体" w:eastAsia="宋体" w:cs="Times New Roman"/>
          <w:kern w:val="0"/>
          <w:sz w:val="24"/>
          <w:szCs w:val="20"/>
          <w:lang w:val="en-US" w:eastAsia="zh-CN"/>
        </w:rPr>
        <w:t>&lt;4&gt;</w:t>
      </w:r>
      <w:r>
        <w:rPr>
          <w:rFonts w:hint="eastAsia" w:ascii="宋体" w:hAnsi="宋体" w:eastAsia="宋体" w:cs="Times New Roman"/>
          <w:kern w:val="0"/>
          <w:sz w:val="24"/>
          <w:szCs w:val="20"/>
        </w:rPr>
        <w:t>本年度截止到当月固定资产投资总额（亿元），相较去年同比增幅情况</w:t>
      </w:r>
    </w:p>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2.3</w:t>
      </w:r>
      <w:r>
        <w:rPr>
          <w:rFonts w:hint="eastAsia" w:ascii="宋体" w:hAnsi="宋体" w:eastAsia="宋体"/>
          <w:color w:val="000000" w:themeColor="text1"/>
        </w:rPr>
        <w:t>规模工业产值态势情况</w:t>
      </w:r>
    </w:p>
    <w:p>
      <w:pPr>
        <w:rPr>
          <w:rFonts w:hint="eastAsia"/>
        </w:rPr>
      </w:pPr>
      <w:r>
        <w:drawing>
          <wp:inline distT="0" distB="0" distL="114300" distR="114300">
            <wp:extent cx="3785870" cy="1963420"/>
            <wp:effectExtent l="0" t="0" r="5080" b="177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3785870" cy="196342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统计展示望城经开区近五年的规模工业总产值和增长率的历史增长趋势，并对比本年度的预测数据，从而全面体现望城经开区近年来的工业企业发展态势和经济建设成果。</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w:t>
      </w:r>
      <w:r>
        <w:rPr>
          <w:rFonts w:ascii="宋体" w:hAnsi="宋体"/>
          <w:color w:val="000000" w:themeColor="text1"/>
          <w:lang w:val="en-US"/>
        </w:rPr>
        <w:t>1</w:t>
      </w:r>
      <w:r>
        <w:rPr>
          <w:rFonts w:hint="eastAsia" w:ascii="宋体" w:hAnsi="宋体"/>
          <w:color w:val="000000" w:themeColor="text1"/>
          <w:lang w:val="en-US"/>
        </w:rPr>
        <w:t>：年度规模工业产值总量（亿元）</w:t>
      </w:r>
    </w:p>
    <w:p>
      <w:pPr>
        <w:pStyle w:val="45"/>
        <w:rPr>
          <w:rFonts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统计指标</w:t>
      </w:r>
      <w:r>
        <w:rPr>
          <w:rFonts w:ascii="宋体" w:hAnsi="宋体"/>
          <w:color w:val="000000" w:themeColor="text1"/>
          <w:lang w:val="en-US"/>
        </w:rPr>
        <w:t>2</w:t>
      </w:r>
      <w:r>
        <w:rPr>
          <w:rFonts w:hint="eastAsia" w:ascii="宋体" w:hAnsi="宋体"/>
          <w:color w:val="000000" w:themeColor="text1"/>
          <w:lang w:val="en-US"/>
        </w:rPr>
        <w:t>：年度规模工业产值环比增速（百分比）</w:t>
      </w:r>
    </w:p>
    <w:p>
      <w:pPr>
        <w:pStyle w:val="45"/>
        <w:rPr>
          <w:rFonts w:ascii="宋体" w:hAnsi="宋体"/>
          <w:color w:val="000000" w:themeColor="text1"/>
          <w:lang w:val="en-US"/>
        </w:rPr>
      </w:pPr>
      <w:r>
        <w:rPr>
          <w:rFonts w:hint="eastAsia" w:ascii="宋体" w:hAnsi="宋体"/>
          <w:color w:val="000000" w:themeColor="text1"/>
          <w:lang w:val="en-US"/>
        </w:rPr>
        <w:t>点击报表，弹出窗口显示历史年度规模工业产值数据明细，包括年份，工业产值，增速，分类工业产值等。</w:t>
      </w:r>
    </w:p>
    <w:p>
      <w:pPr>
        <w:pStyle w:val="3"/>
        <w:numPr>
          <w:ilvl w:val="1"/>
          <w:numId w:val="0"/>
        </w:numPr>
        <w:ind w:leftChars="0"/>
        <w:rPr>
          <w:rFonts w:ascii="宋体" w:hAnsi="宋体" w:eastAsia="宋体"/>
          <w:color w:val="000000" w:themeColor="text1"/>
        </w:rPr>
      </w:pPr>
      <w:r>
        <w:rPr>
          <w:rFonts w:hint="eastAsia" w:ascii="宋体" w:hAnsi="宋体" w:eastAsia="宋体"/>
          <w:color w:val="000000" w:themeColor="text1"/>
          <w:lang w:val="en-US" w:eastAsia="zh-CN"/>
        </w:rPr>
        <w:t>2.4</w:t>
      </w:r>
      <w:r>
        <w:rPr>
          <w:rFonts w:hint="eastAsia" w:ascii="宋体" w:hAnsi="宋体" w:eastAsia="宋体"/>
          <w:color w:val="000000" w:themeColor="text1"/>
        </w:rPr>
        <w:t>财政税收收入态势情况</w:t>
      </w:r>
    </w:p>
    <w:p>
      <w:pPr>
        <w:pStyle w:val="45"/>
        <w:rPr>
          <w:rFonts w:hint="eastAsia" w:ascii="宋体" w:hAnsi="宋体"/>
          <w:color w:val="000000" w:themeColor="text1"/>
          <w:lang w:val="en-US"/>
        </w:rPr>
      </w:pPr>
      <w:r>
        <w:drawing>
          <wp:inline distT="0" distB="0" distL="114300" distR="114300">
            <wp:extent cx="3693795" cy="2108835"/>
            <wp:effectExtent l="0" t="0" r="1905" b="571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2"/>
                    <a:stretch>
                      <a:fillRect/>
                    </a:stretch>
                  </pic:blipFill>
                  <pic:spPr>
                    <a:xfrm>
                      <a:off x="0" y="0"/>
                      <a:ext cx="3693795" cy="210883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统计展示望城经开区近五年的财政税收收入情况，并对比本年度的预测收入情况，从而展现望城经开区近年来的经济增长情况和今年的计划目标情况。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统计指标：年度财政税收收入总量（亿元）</w:t>
      </w:r>
    </w:p>
    <w:p>
      <w:pPr>
        <w:pStyle w:val="45"/>
        <w:rPr>
          <w:rFonts w:ascii="宋体" w:hAnsi="宋体"/>
          <w:color w:val="000000" w:themeColor="text1"/>
          <w:lang w:val="en-US"/>
        </w:rPr>
      </w:pPr>
      <w:r>
        <w:rPr>
          <w:rFonts w:hint="eastAsia" w:ascii="宋体" w:hAnsi="宋体"/>
          <w:color w:val="000000" w:themeColor="text1"/>
          <w:lang w:val="en-US"/>
        </w:rPr>
        <w:t>点击报表，弹出窗口显示历史年度财政收入数据明细。</w:t>
      </w:r>
    </w:p>
    <w:p>
      <w:pPr>
        <w:pStyle w:val="3"/>
        <w:numPr>
          <w:ilvl w:val="1"/>
          <w:numId w:val="0"/>
        </w:numPr>
        <w:ind w:leftChars="0"/>
        <w:rPr>
          <w:rFonts w:hint="eastAsia" w:ascii="宋体" w:hAnsi="宋体" w:eastAsia="宋体"/>
        </w:rPr>
      </w:pPr>
      <w:r>
        <w:rPr>
          <w:rFonts w:hint="eastAsia" w:ascii="宋体" w:hAnsi="宋体" w:eastAsia="宋体"/>
          <w:color w:val="000000" w:themeColor="text1"/>
          <w:lang w:val="en-US" w:eastAsia="zh-CN"/>
        </w:rPr>
        <w:t>2.5</w:t>
      </w:r>
      <w:r>
        <w:rPr>
          <w:rFonts w:hint="eastAsia" w:ascii="宋体" w:hAnsi="宋体" w:eastAsia="宋体"/>
          <w:color w:val="000000" w:themeColor="text1"/>
        </w:rPr>
        <w:t>社会消费品零售总额态势</w:t>
      </w:r>
      <w:r>
        <w:rPr>
          <w:rFonts w:hint="eastAsia" w:ascii="宋体" w:hAnsi="宋体" w:eastAsia="宋体"/>
        </w:rPr>
        <w:t>情况</w:t>
      </w:r>
    </w:p>
    <w:p>
      <w:r>
        <w:drawing>
          <wp:inline distT="0" distB="0" distL="114300" distR="114300">
            <wp:extent cx="4488815" cy="2317750"/>
            <wp:effectExtent l="0" t="0" r="6985" b="635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tretch>
                      <a:fillRect/>
                    </a:stretch>
                  </pic:blipFill>
                  <pic:spPr>
                    <a:xfrm>
                      <a:off x="0" y="0"/>
                      <a:ext cx="4488815" cy="2317750"/>
                    </a:xfrm>
                    <a:prstGeom prst="rect">
                      <a:avLst/>
                    </a:prstGeom>
                    <a:noFill/>
                    <a:ln>
                      <a:noFill/>
                    </a:ln>
                  </pic:spPr>
                </pic:pic>
              </a:graphicData>
            </a:graphic>
          </wp:inline>
        </w:drawing>
      </w:r>
    </w:p>
    <w:p>
      <w:pPr>
        <w:pStyle w:val="45"/>
        <w:rPr>
          <w:rFonts w:ascii="宋体" w:hAnsi="宋体"/>
          <w:lang w:val="en-US"/>
        </w:rPr>
      </w:pPr>
      <w:r>
        <w:rPr>
          <w:rFonts w:hint="eastAsia" w:ascii="宋体" w:hAnsi="宋体"/>
          <w:color w:val="000000" w:themeColor="text1"/>
          <w:lang w:val="en-US"/>
        </w:rPr>
        <w:t>统计展示望城经开区近五年的社会消费品零售总额情况，并对比本年度的预测总额情况，从而展现望城经开区近年来的消费需求情况以及零售市场变动情况，并客观反映经开区经济景气程度。</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统计指标：年度社会消费品零售总量（亿元）</w:t>
      </w:r>
    </w:p>
    <w:p>
      <w:pPr>
        <w:pStyle w:val="45"/>
        <w:rPr>
          <w:rFonts w:hint="eastAsia"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点击报表，弹出窗口显示历史年度社会消费品零售总量数据明细。</w:t>
      </w:r>
    </w:p>
    <w:p>
      <w:pPr>
        <w:pStyle w:val="3"/>
        <w:numPr>
          <w:ilvl w:val="1"/>
          <w:numId w:val="0"/>
        </w:numPr>
        <w:ind w:leftChars="0"/>
        <w:rPr>
          <w:rFonts w:ascii="宋体" w:hAnsi="宋体" w:eastAsia="宋体"/>
          <w:color w:val="000000" w:themeColor="text1"/>
        </w:rPr>
      </w:pPr>
      <w:r>
        <w:rPr>
          <w:rFonts w:hint="eastAsia" w:ascii="宋体" w:hAnsi="宋体" w:eastAsia="宋体"/>
          <w:color w:val="000000" w:themeColor="text1"/>
          <w:lang w:val="en-US" w:eastAsia="zh-CN"/>
        </w:rPr>
        <w:t>2.6</w:t>
      </w:r>
      <w:r>
        <w:rPr>
          <w:rFonts w:ascii="宋体" w:hAnsi="宋体" w:eastAsia="宋体"/>
          <w:color w:val="000000" w:themeColor="text1"/>
        </w:rPr>
        <w:t>固定资产投资态势情况</w:t>
      </w:r>
    </w:p>
    <w:p>
      <w:r>
        <w:drawing>
          <wp:inline distT="0" distB="0" distL="114300" distR="114300">
            <wp:extent cx="4172585" cy="2177415"/>
            <wp:effectExtent l="0" t="0" r="18415" b="1333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14"/>
                    <a:stretch>
                      <a:fillRect/>
                    </a:stretch>
                  </pic:blipFill>
                  <pic:spPr>
                    <a:xfrm>
                      <a:off x="0" y="0"/>
                      <a:ext cx="4172585" cy="217741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统计展示望城经开区近五年的固定资产投资情况以及今年计划投资情况，从而反应经开区近年来的建设总量，以及对未来工业生产增长、经济和社会发展，经开区政府的投资建设支持情况。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统计指标：年度固定资产投资总额（亿元）</w:t>
      </w:r>
    </w:p>
    <w:p>
      <w:pPr>
        <w:pStyle w:val="45"/>
        <w:rPr>
          <w:rFonts w:ascii="宋体" w:hAnsi="宋体" w:cstheme="minorBidi"/>
          <w:kern w:val="2"/>
          <w:szCs w:val="24"/>
          <w:lang w:val="en-US"/>
        </w:rPr>
      </w:pPr>
      <w:r>
        <w:rPr>
          <w:rFonts w:hint="eastAsia" w:ascii="宋体" w:hAnsi="宋体"/>
          <w:color w:val="000000" w:themeColor="text1"/>
          <w:lang w:val="en-US" w:eastAsia="zh-CN"/>
        </w:rPr>
        <w:t>&lt;3&gt;</w:t>
      </w:r>
      <w:r>
        <w:rPr>
          <w:rFonts w:hint="eastAsia" w:ascii="宋体" w:hAnsi="宋体"/>
          <w:color w:val="000000" w:themeColor="text1"/>
          <w:lang w:val="en-US"/>
        </w:rPr>
        <w:t>点击报表，弹出窗口显示历史年度固定资产投资总额数据明细。</w:t>
      </w:r>
    </w:p>
    <w:p>
      <w:pPr>
        <w:pStyle w:val="3"/>
        <w:numPr>
          <w:ilvl w:val="1"/>
          <w:numId w:val="0"/>
        </w:numPr>
        <w:ind w:leftChars="0"/>
        <w:rPr>
          <w:rFonts w:hint="eastAsia" w:ascii="宋体" w:hAnsi="宋体" w:eastAsia="宋体"/>
          <w:lang w:val="en-US" w:eastAsia="zh-CN"/>
        </w:rPr>
      </w:pPr>
      <w:r>
        <w:rPr>
          <w:rFonts w:hint="eastAsia" w:ascii="宋体" w:hAnsi="宋体" w:eastAsia="宋体"/>
          <w:lang w:val="en-US" w:eastAsia="zh-CN"/>
        </w:rPr>
        <w:t>2.7</w:t>
      </w:r>
      <w:r>
        <w:rPr>
          <w:rFonts w:hint="eastAsia" w:ascii="宋体" w:hAnsi="宋体" w:eastAsia="宋体"/>
        </w:rPr>
        <w:t>进出口</w:t>
      </w:r>
      <w:r>
        <w:rPr>
          <w:rFonts w:hint="eastAsia" w:ascii="宋体" w:hAnsi="宋体" w:eastAsia="宋体"/>
          <w:lang w:eastAsia="zh-CN"/>
        </w:rPr>
        <w:t>态势</w:t>
      </w:r>
    </w:p>
    <w:p>
      <w:pPr>
        <w:spacing w:line="360" w:lineRule="auto"/>
        <w:ind w:firstLine="420"/>
        <w:rPr>
          <w:rFonts w:hint="eastAsia" w:ascii="宋体" w:hAnsi="宋体" w:eastAsia="宋体" w:cs="宋体"/>
          <w:sz w:val="24"/>
          <w:szCs w:val="24"/>
        </w:rPr>
      </w:pPr>
      <w:r>
        <w:drawing>
          <wp:inline distT="0" distB="0" distL="114300" distR="114300">
            <wp:extent cx="4232910" cy="2164080"/>
            <wp:effectExtent l="0" t="0" r="15240"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5"/>
                    <a:stretch>
                      <a:fillRect/>
                    </a:stretch>
                  </pic:blipFill>
                  <pic:spPr>
                    <a:xfrm>
                      <a:off x="0" y="0"/>
                      <a:ext cx="4232910" cy="216408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通过对比经开区进口总额和出口总额的历史情况和本年度的预计完成情况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w:t>
      </w:r>
      <w:r>
        <w:rPr>
          <w:rFonts w:ascii="宋体" w:hAnsi="宋体"/>
          <w:color w:val="000000" w:themeColor="text1"/>
          <w:lang w:val="en-US"/>
        </w:rPr>
        <w:t>1</w:t>
      </w:r>
      <w:r>
        <w:rPr>
          <w:rFonts w:hint="eastAsia" w:ascii="宋体" w:hAnsi="宋体"/>
          <w:color w:val="000000" w:themeColor="text1"/>
          <w:lang w:val="en-US"/>
        </w:rPr>
        <w:t>：年度进口总金额（亿元）</w:t>
      </w:r>
    </w:p>
    <w:p>
      <w:pPr>
        <w:pStyle w:val="45"/>
        <w:rPr>
          <w:rFonts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统计指标</w:t>
      </w:r>
      <w:r>
        <w:rPr>
          <w:rFonts w:ascii="宋体" w:hAnsi="宋体"/>
          <w:color w:val="000000" w:themeColor="text1"/>
          <w:lang w:val="en-US"/>
        </w:rPr>
        <w:t>2</w:t>
      </w:r>
      <w:r>
        <w:rPr>
          <w:rFonts w:hint="eastAsia" w:ascii="宋体" w:hAnsi="宋体"/>
          <w:color w:val="000000" w:themeColor="text1"/>
          <w:lang w:val="en-US"/>
        </w:rPr>
        <w:t>：年度出口总金额（亿元）</w:t>
      </w:r>
    </w:p>
    <w:p>
      <w:pPr>
        <w:pStyle w:val="45"/>
        <w:rPr>
          <w:rFonts w:ascii="宋体" w:hAnsi="宋体"/>
          <w:color w:val="000000" w:themeColor="text1"/>
          <w:lang w:val="en-US"/>
        </w:rPr>
      </w:pPr>
      <w:r>
        <w:rPr>
          <w:rFonts w:hint="eastAsia" w:ascii="宋体" w:hAnsi="宋体"/>
          <w:color w:val="000000" w:themeColor="text1"/>
          <w:lang w:val="en-US" w:eastAsia="zh-CN"/>
        </w:rPr>
        <w:t>&lt;4&gt;</w:t>
      </w:r>
      <w:r>
        <w:rPr>
          <w:rFonts w:hint="eastAsia" w:ascii="宋体" w:hAnsi="宋体"/>
          <w:color w:val="000000" w:themeColor="text1"/>
          <w:lang w:val="en-US"/>
        </w:rPr>
        <w:t>点击报表，弹出窗口显示历史年度进口总额和出口总额数据明细。</w:t>
      </w:r>
    </w:p>
    <w:p>
      <w:pPr>
        <w:pStyle w:val="3"/>
        <w:numPr>
          <w:ilvl w:val="1"/>
          <w:numId w:val="0"/>
        </w:numPr>
        <w:ind w:leftChars="0"/>
        <w:rPr>
          <w:rFonts w:ascii="宋体" w:hAnsi="宋体" w:eastAsia="宋体"/>
          <w:color w:val="000000" w:themeColor="text1"/>
        </w:rPr>
      </w:pPr>
      <w:r>
        <w:rPr>
          <w:rFonts w:hint="eastAsia" w:ascii="宋体" w:hAnsi="宋体" w:eastAsia="宋体"/>
          <w:color w:val="000000" w:themeColor="text1"/>
          <w:lang w:val="en-US" w:eastAsia="zh-CN"/>
        </w:rPr>
        <w:t>2.8</w:t>
      </w:r>
      <w:r>
        <w:rPr>
          <w:rFonts w:hint="eastAsia" w:ascii="宋体" w:hAnsi="宋体" w:eastAsia="宋体"/>
          <w:color w:val="000000" w:themeColor="text1"/>
        </w:rPr>
        <w:t>实际利用外资金额态势情况</w:t>
      </w:r>
    </w:p>
    <w:p>
      <w:pPr>
        <w:pStyle w:val="45"/>
        <w:rPr>
          <w:rFonts w:hint="eastAsia" w:ascii="宋体" w:hAnsi="宋体"/>
          <w:color w:val="000000" w:themeColor="text1"/>
          <w:lang w:val="en-US"/>
        </w:rPr>
      </w:pPr>
      <w:r>
        <w:drawing>
          <wp:inline distT="0" distB="0" distL="114300" distR="114300">
            <wp:extent cx="3834765" cy="2077085"/>
            <wp:effectExtent l="0" t="0" r="13335" b="1841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6"/>
                    <a:stretch>
                      <a:fillRect/>
                    </a:stretch>
                  </pic:blipFill>
                  <pic:spPr>
                    <a:xfrm>
                      <a:off x="0" y="0"/>
                      <a:ext cx="3834765" cy="207708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展示望城经开区近五年来的实际外资利用情况的增长趋势情况。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统计指标：年度利用外资总额（亿元）</w:t>
      </w:r>
    </w:p>
    <w:p>
      <w:pPr>
        <w:pStyle w:val="45"/>
        <w:rPr>
          <w:rFonts w:hint="eastAsia"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点击报表，弹出窗口显示历史年度实际利用外资金额数据明细。</w:t>
      </w:r>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2.9</w:t>
      </w:r>
      <w:r>
        <w:rPr>
          <w:rFonts w:hint="eastAsia" w:ascii="宋体" w:hAnsi="宋体" w:eastAsia="宋体"/>
          <w:color w:val="000000" w:themeColor="text1"/>
        </w:rPr>
        <w:t>工业</w:t>
      </w:r>
      <w:r>
        <w:rPr>
          <w:rFonts w:hint="eastAsia" w:ascii="宋体" w:hAnsi="宋体" w:eastAsia="宋体"/>
          <w:color w:val="000000" w:themeColor="text1"/>
          <w:lang w:eastAsia="zh-CN"/>
        </w:rPr>
        <w:t>企业</w:t>
      </w:r>
      <w:r>
        <w:rPr>
          <w:rFonts w:hint="eastAsia" w:ascii="宋体" w:hAnsi="宋体" w:eastAsia="宋体"/>
          <w:color w:val="000000" w:themeColor="text1"/>
        </w:rPr>
        <w:t>产值分类统计</w:t>
      </w:r>
    </w:p>
    <w:p>
      <w:r>
        <w:drawing>
          <wp:inline distT="0" distB="0" distL="114300" distR="114300">
            <wp:extent cx="3676650" cy="1704340"/>
            <wp:effectExtent l="0" t="0" r="0" b="1016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7"/>
                    <a:stretch>
                      <a:fillRect/>
                    </a:stretch>
                  </pic:blipFill>
                  <pic:spPr>
                    <a:xfrm>
                      <a:off x="0" y="0"/>
                      <a:ext cx="3676650" cy="170434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按</w:t>
      </w:r>
      <w:r>
        <w:rPr>
          <w:rFonts w:hint="eastAsia" w:ascii="宋体" w:hAnsi="宋体"/>
          <w:color w:val="000000" w:themeColor="text1"/>
          <w:lang w:val="en-US" w:eastAsia="zh-CN"/>
        </w:rPr>
        <w:t>五</w:t>
      </w:r>
      <w:r>
        <w:rPr>
          <w:rFonts w:hint="eastAsia" w:ascii="宋体" w:hAnsi="宋体"/>
          <w:color w:val="000000" w:themeColor="text1"/>
          <w:lang w:val="en-US"/>
        </w:rPr>
        <w:t>大产业分类（</w:t>
      </w:r>
      <w:r>
        <w:rPr>
          <w:rFonts w:hint="eastAsia" w:ascii="宋体" w:hAnsi="宋体"/>
          <w:color w:val="000000" w:themeColor="text1"/>
          <w:lang w:val="en-US" w:eastAsia="zh-CN"/>
        </w:rPr>
        <w:t>新材料及先进制造业</w:t>
      </w:r>
      <w:r>
        <w:rPr>
          <w:rFonts w:hint="eastAsia" w:ascii="宋体" w:hAnsi="宋体"/>
          <w:color w:val="000000" w:themeColor="text1"/>
          <w:lang w:val="en-US"/>
        </w:rPr>
        <w:t>、食品医药业、</w:t>
      </w:r>
      <w:r>
        <w:rPr>
          <w:rFonts w:hint="eastAsia" w:ascii="宋体" w:hAnsi="宋体"/>
          <w:color w:val="000000" w:themeColor="text1"/>
          <w:lang w:val="en-US" w:eastAsia="zh-CN"/>
        </w:rPr>
        <w:t>智能终端</w:t>
      </w:r>
      <w:r>
        <w:rPr>
          <w:rFonts w:hint="eastAsia" w:ascii="宋体" w:hAnsi="宋体"/>
          <w:color w:val="000000" w:themeColor="text1"/>
          <w:lang w:val="en-US"/>
        </w:rPr>
        <w:t>、</w:t>
      </w:r>
      <w:r>
        <w:rPr>
          <w:rFonts w:hint="eastAsia" w:ascii="宋体" w:hAnsi="宋体"/>
          <w:color w:val="000000" w:themeColor="text1"/>
          <w:lang w:val="en-US" w:eastAsia="zh-CN"/>
        </w:rPr>
        <w:t>社会零售批发、</w:t>
      </w:r>
      <w:r>
        <w:rPr>
          <w:rFonts w:hint="eastAsia" w:ascii="宋体" w:hAnsi="宋体"/>
          <w:color w:val="000000" w:themeColor="text1"/>
          <w:lang w:val="en-US"/>
        </w:rPr>
        <w:t>其他行业）统计展示本年度截至当前经开区工业企业产值总量以及同比去年的增幅情况，并显示四大分类产业的企业数量。</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统计周期：本年度截至当前</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w:t>
      </w:r>
      <w:r>
        <w:rPr>
          <w:rFonts w:ascii="宋体" w:hAnsi="宋体"/>
          <w:color w:val="000000" w:themeColor="text1"/>
          <w:lang w:val="en-US"/>
        </w:rPr>
        <w:t>1</w:t>
      </w:r>
      <w:r>
        <w:rPr>
          <w:rFonts w:hint="eastAsia" w:ascii="宋体" w:hAnsi="宋体"/>
          <w:color w:val="000000" w:themeColor="text1"/>
          <w:lang w:val="en-US"/>
        </w:rPr>
        <w:t>：分类产业的年度工业总产值（亿元）</w:t>
      </w:r>
    </w:p>
    <w:p>
      <w:pPr>
        <w:pStyle w:val="45"/>
        <w:rPr>
          <w:rFonts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统计指标</w:t>
      </w:r>
      <w:r>
        <w:rPr>
          <w:rFonts w:ascii="宋体" w:hAnsi="宋体"/>
          <w:color w:val="000000" w:themeColor="text1"/>
          <w:lang w:val="en-US"/>
        </w:rPr>
        <w:t>2</w:t>
      </w:r>
      <w:r>
        <w:rPr>
          <w:rFonts w:hint="eastAsia" w:ascii="宋体" w:hAnsi="宋体"/>
          <w:color w:val="000000" w:themeColor="text1"/>
          <w:lang w:val="en-US"/>
        </w:rPr>
        <w:t>：分类产业的年度工业总产值同比增降幅百分比</w:t>
      </w:r>
    </w:p>
    <w:p>
      <w:pPr>
        <w:pStyle w:val="45"/>
        <w:rPr>
          <w:rFonts w:ascii="宋体" w:hAnsi="宋体"/>
          <w:color w:val="000000" w:themeColor="text1"/>
          <w:lang w:val="en-US"/>
        </w:rPr>
      </w:pPr>
      <w:r>
        <w:rPr>
          <w:rFonts w:hint="eastAsia" w:ascii="宋体" w:hAnsi="宋体"/>
          <w:color w:val="000000" w:themeColor="text1"/>
          <w:lang w:val="en-US" w:eastAsia="zh-CN"/>
        </w:rPr>
        <w:t>&lt;4&gt;</w:t>
      </w:r>
      <w:r>
        <w:rPr>
          <w:rFonts w:hint="eastAsia" w:ascii="宋体" w:hAnsi="宋体"/>
          <w:color w:val="000000" w:themeColor="text1"/>
          <w:lang w:val="en-US"/>
        </w:rPr>
        <w:t>统计指标</w:t>
      </w:r>
      <w:r>
        <w:rPr>
          <w:rFonts w:ascii="宋体" w:hAnsi="宋体"/>
          <w:color w:val="000000" w:themeColor="text1"/>
          <w:lang w:val="en-US"/>
        </w:rPr>
        <w:t>3</w:t>
      </w:r>
      <w:r>
        <w:rPr>
          <w:rFonts w:hint="eastAsia" w:ascii="宋体" w:hAnsi="宋体"/>
          <w:color w:val="000000" w:themeColor="text1"/>
          <w:lang w:val="en-US"/>
        </w:rPr>
        <w:t>：分类产业的企业数量</w:t>
      </w:r>
    </w:p>
    <w:p>
      <w:pPr>
        <w:pStyle w:val="45"/>
        <w:rPr>
          <w:rFonts w:ascii="宋体" w:hAnsi="宋体"/>
          <w:color w:val="000000" w:themeColor="text1"/>
          <w:lang w:val="en-US"/>
        </w:rPr>
      </w:pPr>
      <w:r>
        <w:rPr>
          <w:rFonts w:hint="eastAsia" w:ascii="宋体" w:hAnsi="宋体"/>
          <w:color w:val="000000" w:themeColor="text1"/>
          <w:lang w:val="en-US" w:eastAsia="zh-CN"/>
        </w:rPr>
        <w:t>&lt;5&gt;</w:t>
      </w:r>
      <w:r>
        <w:rPr>
          <w:rFonts w:hint="eastAsia" w:ascii="宋体" w:hAnsi="宋体"/>
          <w:color w:val="000000" w:themeColor="text1"/>
          <w:lang w:val="en-US"/>
        </w:rPr>
        <w:t>点击报表，弹出窗口显示历史年度固定资产投资总额数据明细。</w:t>
      </w:r>
    </w:p>
    <w:p>
      <w:pPr>
        <w:pStyle w:val="3"/>
        <w:numPr>
          <w:ilvl w:val="1"/>
          <w:numId w:val="0"/>
        </w:numPr>
        <w:ind w:leftChars="0"/>
        <w:rPr>
          <w:rFonts w:ascii="宋体" w:hAnsi="宋体" w:eastAsia="宋体"/>
          <w:color w:val="000000" w:themeColor="text1"/>
        </w:rPr>
      </w:pPr>
      <w:r>
        <w:rPr>
          <w:rFonts w:hint="eastAsia" w:ascii="宋体" w:hAnsi="宋体" w:eastAsia="宋体"/>
          <w:color w:val="000000" w:themeColor="text1"/>
          <w:lang w:val="en-US" w:eastAsia="zh-CN"/>
        </w:rPr>
        <w:t>2.10</w:t>
      </w:r>
      <w:r>
        <w:rPr>
          <w:rFonts w:hint="eastAsia" w:ascii="宋体" w:hAnsi="宋体" w:eastAsia="宋体"/>
          <w:color w:val="000000" w:themeColor="text1"/>
        </w:rPr>
        <w:t>纳税企业</w:t>
      </w:r>
      <w:r>
        <w:rPr>
          <w:rFonts w:ascii="宋体" w:hAnsi="宋体" w:eastAsia="宋体"/>
          <w:color w:val="000000" w:themeColor="text1"/>
        </w:rPr>
        <w:t>TOP排行</w:t>
      </w:r>
    </w:p>
    <w:p>
      <w:r>
        <w:drawing>
          <wp:inline distT="0" distB="0" distL="114300" distR="114300">
            <wp:extent cx="3362960" cy="2105025"/>
            <wp:effectExtent l="0" t="0" r="889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3362960" cy="210502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按最近一年度纳税金额总量进行企业排名展示，并可以根据后台进行</w:t>
      </w:r>
      <w:r>
        <w:rPr>
          <w:rFonts w:ascii="宋体" w:hAnsi="宋体"/>
          <w:color w:val="000000" w:themeColor="text1"/>
          <w:lang w:val="en-US"/>
        </w:rPr>
        <w:t>TOP N</w:t>
      </w:r>
      <w:r>
        <w:rPr>
          <w:rFonts w:hint="eastAsia" w:ascii="宋体" w:hAnsi="宋体"/>
          <w:color w:val="000000" w:themeColor="text1"/>
          <w:lang w:val="en-US"/>
        </w:rPr>
        <w:t>的显示配置。</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统计周期：上一年度</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统计指标：企业年度纳税总额（倒序排列）</w:t>
      </w:r>
    </w:p>
    <w:p>
      <w:pPr>
        <w:pStyle w:val="45"/>
        <w:rPr>
          <w:rFonts w:hint="eastAsia" w:ascii="宋体" w:hAnsi="宋体"/>
          <w:color w:val="000000" w:themeColor="text1"/>
          <w:lang w:val="en-US"/>
        </w:rPr>
      </w:pPr>
      <w:r>
        <w:rPr>
          <w:rFonts w:hint="eastAsia" w:ascii="宋体" w:hAnsi="宋体"/>
          <w:color w:val="000000" w:themeColor="text1"/>
          <w:lang w:val="en-US"/>
        </w:rPr>
        <w:t>点击纳税企业</w:t>
      </w:r>
      <w:r>
        <w:rPr>
          <w:rFonts w:ascii="宋体" w:hAnsi="宋体"/>
          <w:color w:val="000000" w:themeColor="text1"/>
          <w:lang w:val="en-US"/>
        </w:rPr>
        <w:t>TOP</w:t>
      </w:r>
      <w:r>
        <w:rPr>
          <w:rFonts w:hint="eastAsia" w:ascii="宋体" w:hAnsi="宋体"/>
          <w:color w:val="000000" w:themeColor="text1"/>
          <w:lang w:val="en-US"/>
        </w:rPr>
        <w:t>排行报表，在三维地图上显示排行榜内纳税企业的点位信息，包括企业地理位置、企业名称，鼠标移动到该企业，显示该企业的概况信息；</w:t>
      </w:r>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2.11</w:t>
      </w:r>
      <w:r>
        <w:rPr>
          <w:rFonts w:hint="eastAsia" w:ascii="宋体" w:hAnsi="宋体" w:eastAsia="宋体"/>
          <w:color w:val="000000" w:themeColor="text1"/>
        </w:rPr>
        <w:t>单位土地地区生产总值产出强度</w:t>
      </w:r>
    </w:p>
    <w:p>
      <w:r>
        <w:drawing>
          <wp:inline distT="0" distB="0" distL="114300" distR="114300">
            <wp:extent cx="3505200" cy="1964055"/>
            <wp:effectExtent l="0" t="0" r="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505200" cy="196405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统计展示望城经开区最近五年单位土地地区生产总值产出强度（万元</w:t>
      </w:r>
      <w:r>
        <w:rPr>
          <w:rFonts w:ascii="宋体" w:hAnsi="宋体"/>
          <w:color w:val="000000" w:themeColor="text1"/>
          <w:lang w:val="en-US"/>
        </w:rPr>
        <w:t>/</w:t>
      </w:r>
      <w:r>
        <w:rPr>
          <w:rFonts w:hint="eastAsia" w:ascii="宋体" w:hAnsi="宋体"/>
          <w:color w:val="000000" w:themeColor="text1"/>
          <w:lang w:val="en-US"/>
        </w:rPr>
        <w:t>平方公里），帮助领导通过单位产出强度快速了解经开区综合发展水平，从而促进经开区科学划分产业用地与配套设施用地比例，创新土地动态监管和用地评估制度，建立健全低效用地再开发激励约束机制，盘活存量工业用地。</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统计指标：单位土地地区生产总值产出强度（万元</w:t>
      </w:r>
      <w:r>
        <w:rPr>
          <w:rFonts w:ascii="宋体" w:hAnsi="宋体"/>
          <w:color w:val="000000" w:themeColor="text1"/>
          <w:lang w:val="en-US"/>
        </w:rPr>
        <w:t>/</w:t>
      </w:r>
      <w:r>
        <w:rPr>
          <w:rFonts w:hint="eastAsia" w:ascii="宋体" w:hAnsi="宋体"/>
          <w:color w:val="000000" w:themeColor="text1"/>
          <w:lang w:val="en-US"/>
        </w:rPr>
        <w:t>平方公里）</w:t>
      </w:r>
    </w:p>
    <w:p>
      <w:pPr>
        <w:pStyle w:val="45"/>
        <w:ind w:left="0" w:leftChars="0" w:firstLine="0" w:firstLineChars="0"/>
        <w:rPr>
          <w:rFonts w:hint="default" w:ascii="宋体" w:hAnsi="宋体" w:eastAsia="宋体"/>
          <w:color w:val="000000" w:themeColor="text1"/>
          <w:lang w:val="en-US" w:eastAsia="zh-CN"/>
        </w:rPr>
      </w:pPr>
      <w:r>
        <w:rPr>
          <w:rFonts w:hint="eastAsia" w:ascii="宋体" w:hAnsi="宋体"/>
          <w:color w:val="000000" w:themeColor="text1"/>
          <w:lang w:val="en-US"/>
        </w:rPr>
        <w:t>点击报表，弹出窗口显示历史年度单位土地地区生产总值产出强度数据明细</w:t>
      </w:r>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2.12</w:t>
      </w:r>
      <w:r>
        <w:rPr>
          <w:rFonts w:hint="eastAsia" w:ascii="宋体" w:hAnsi="宋体" w:eastAsia="宋体"/>
          <w:color w:val="000000" w:themeColor="text1"/>
        </w:rPr>
        <w:t>公共服务支出占公共财政预算支出比重</w:t>
      </w:r>
    </w:p>
    <w:p>
      <w:r>
        <w:drawing>
          <wp:inline distT="0" distB="0" distL="114300" distR="114300">
            <wp:extent cx="4195445" cy="1957070"/>
            <wp:effectExtent l="0" t="0" r="1460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195445" cy="195707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统计展示经开区最近五年公共服务支出占公共财政预算支出比重，充分体现望城经开区履行社会保障职责的完成情况，提高经开区企业及人民生活保障水平的建设成果情况。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统计周期：最近五年</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统计指标：公共服务支出占公共财政预算支出百分比</w:t>
      </w:r>
    </w:p>
    <w:p>
      <w:pPr>
        <w:pStyle w:val="45"/>
        <w:rPr>
          <w:rFonts w:ascii="宋体" w:hAnsi="宋体"/>
          <w:color w:val="000000" w:themeColor="text1"/>
          <w:lang w:val="en-US"/>
        </w:rPr>
      </w:pPr>
      <w:r>
        <w:rPr>
          <w:rFonts w:hint="eastAsia" w:ascii="宋体" w:hAnsi="宋体"/>
          <w:color w:val="000000" w:themeColor="text1"/>
          <w:lang w:val="en-US"/>
        </w:rPr>
        <w:t>点击报表，弹出窗口显示历史每一个年度财政预算总额、公共服务支出总额以及公共服务支出占公共财政预算支出百分比。</w:t>
      </w:r>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2.13</w:t>
      </w:r>
      <w:r>
        <w:rPr>
          <w:rFonts w:hint="eastAsia" w:ascii="宋体" w:hAnsi="宋体" w:eastAsia="宋体"/>
          <w:color w:val="000000" w:themeColor="text1"/>
        </w:rPr>
        <w:t>企业情况</w:t>
      </w:r>
    </w:p>
    <w:p>
      <w:r>
        <w:drawing>
          <wp:inline distT="0" distB="0" distL="114300" distR="114300">
            <wp:extent cx="3757930" cy="1899920"/>
            <wp:effectExtent l="0" t="0" r="1397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3757930" cy="1899920"/>
                    </a:xfrm>
                    <a:prstGeom prst="rect">
                      <a:avLst/>
                    </a:prstGeom>
                    <a:noFill/>
                    <a:ln>
                      <a:noFill/>
                    </a:ln>
                  </pic:spPr>
                </pic:pic>
              </a:graphicData>
            </a:graphic>
          </wp:inline>
        </w:drawing>
      </w:r>
    </w:p>
    <w:p>
      <w:pPr>
        <w:pStyle w:val="45"/>
        <w:ind w:left="0" w:leftChars="0" w:firstLine="240" w:firstLineChars="100"/>
        <w:rPr>
          <w:rFonts w:ascii="宋体" w:hAnsi="宋体"/>
          <w:color w:val="000000" w:themeColor="text1"/>
          <w:lang w:val="en-US"/>
        </w:rPr>
      </w:pPr>
      <w:r>
        <w:rPr>
          <w:rFonts w:hint="eastAsia" w:ascii="宋体" w:hAnsi="宋体"/>
          <w:color w:val="000000" w:themeColor="text1"/>
          <w:lang w:val="en-US"/>
        </w:rPr>
        <w:t>统计展示最近五年经开区企业数量情况和增长情况，从而可以客观反映经开区近年来的招商引资情况和企业发展情况。</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统计周期：过去五年</w:t>
      </w:r>
      <w:r>
        <w:rPr>
          <w:rFonts w:ascii="宋体" w:hAnsi="宋体"/>
          <w:color w:val="000000" w:themeColor="text1"/>
          <w:lang w:val="en-US"/>
        </w:rPr>
        <w:t>+</w:t>
      </w:r>
      <w:r>
        <w:rPr>
          <w:rFonts w:hint="eastAsia" w:ascii="宋体" w:hAnsi="宋体"/>
          <w:color w:val="000000" w:themeColor="text1"/>
          <w:lang w:val="en-US"/>
        </w:rPr>
        <w:t>当年预测</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w:t>
      </w:r>
      <w:r>
        <w:rPr>
          <w:rFonts w:ascii="宋体" w:hAnsi="宋体"/>
          <w:color w:val="000000" w:themeColor="text1"/>
          <w:lang w:val="en-US"/>
        </w:rPr>
        <w:t>1</w:t>
      </w:r>
      <w:r>
        <w:rPr>
          <w:rFonts w:hint="eastAsia" w:ascii="宋体" w:hAnsi="宋体"/>
          <w:color w:val="000000" w:themeColor="text1"/>
          <w:lang w:val="en-US"/>
        </w:rPr>
        <w:t>：在册企业总数</w:t>
      </w:r>
    </w:p>
    <w:p>
      <w:pPr>
        <w:pStyle w:val="45"/>
        <w:rPr>
          <w:rFonts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统计指标</w:t>
      </w:r>
      <w:r>
        <w:rPr>
          <w:rFonts w:ascii="宋体" w:hAnsi="宋体"/>
          <w:color w:val="000000" w:themeColor="text1"/>
          <w:lang w:val="en-US"/>
        </w:rPr>
        <w:t>1</w:t>
      </w:r>
      <w:r>
        <w:rPr>
          <w:rFonts w:hint="eastAsia" w:ascii="宋体" w:hAnsi="宋体"/>
          <w:color w:val="000000" w:themeColor="text1"/>
          <w:lang w:val="en-US"/>
        </w:rPr>
        <w:t>：同比去年在册企业增长率</w:t>
      </w:r>
    </w:p>
    <w:p>
      <w:pPr>
        <w:pStyle w:val="45"/>
        <w:rPr>
          <w:rFonts w:ascii="宋体" w:hAnsi="宋体"/>
          <w:color w:val="000000" w:themeColor="text1"/>
          <w:lang w:val="en-US"/>
        </w:rPr>
      </w:pPr>
      <w:r>
        <w:rPr>
          <w:rFonts w:hint="eastAsia" w:ascii="宋体" w:hAnsi="宋体"/>
          <w:color w:val="000000" w:themeColor="text1"/>
          <w:lang w:val="en-US"/>
        </w:rPr>
        <w:t>点击报表，弹出窗口显示历史每年在册企业数量和增长率的数据明细。</w:t>
      </w:r>
    </w:p>
    <w:p>
      <w:pPr>
        <w:pStyle w:val="3"/>
        <w:numPr>
          <w:ilvl w:val="1"/>
          <w:numId w:val="0"/>
        </w:numPr>
        <w:ind w:leftChars="0"/>
        <w:rPr>
          <w:rFonts w:hint="eastAsia" w:ascii="宋体" w:hAnsi="宋体" w:eastAsia="宋体"/>
          <w:color w:val="000000" w:themeColor="text1"/>
        </w:rPr>
      </w:pPr>
      <w:r>
        <w:rPr>
          <w:rFonts w:hint="eastAsia" w:ascii="宋体" w:hAnsi="宋体" w:eastAsia="宋体"/>
          <w:color w:val="000000" w:themeColor="text1"/>
          <w:lang w:val="en-US" w:eastAsia="zh-CN"/>
        </w:rPr>
        <w:t>2.14</w:t>
      </w:r>
      <w:r>
        <w:rPr>
          <w:rFonts w:hint="eastAsia" w:ascii="宋体" w:hAnsi="宋体" w:eastAsia="宋体"/>
          <w:color w:val="000000" w:themeColor="text1"/>
        </w:rPr>
        <w:t>就业情况</w:t>
      </w:r>
    </w:p>
    <w:p>
      <w:r>
        <w:drawing>
          <wp:inline distT="0" distB="0" distL="114300" distR="114300">
            <wp:extent cx="3843655" cy="2119630"/>
            <wp:effectExtent l="0" t="0" r="444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3843655" cy="211963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统计展示望城经开区近五年来的人才就业情况，从而帮助领导快速了解经开区的人才就业整体和历史情况，辅助经开区进行人才政策的制定。</w:t>
      </w:r>
    </w:p>
    <w:p>
      <w:pPr>
        <w:pStyle w:val="45"/>
        <w:rPr>
          <w:rFonts w:ascii="宋体" w:hAnsi="宋体"/>
          <w:color w:val="000000" w:themeColor="text1"/>
          <w:lang w:val="en-US"/>
        </w:rPr>
      </w:pPr>
      <w:r>
        <w:rPr>
          <w:rFonts w:hint="eastAsia" w:ascii="宋体" w:hAnsi="宋体"/>
          <w:color w:val="000000" w:themeColor="text1"/>
          <w:lang w:val="en-US" w:eastAsia="zh-CN"/>
        </w:rPr>
        <w:t>&lt;1&gt;</w:t>
      </w:r>
      <w:r>
        <w:rPr>
          <w:rFonts w:hint="eastAsia" w:ascii="宋体" w:hAnsi="宋体"/>
          <w:color w:val="000000" w:themeColor="text1"/>
          <w:lang w:val="en-US"/>
        </w:rPr>
        <w:t>统计周期：最近五年</w:t>
      </w:r>
    </w:p>
    <w:p>
      <w:pPr>
        <w:pStyle w:val="45"/>
        <w:rPr>
          <w:rFonts w:ascii="宋体" w:hAnsi="宋体"/>
          <w:color w:val="000000" w:themeColor="text1"/>
          <w:lang w:val="en-US"/>
        </w:rPr>
      </w:pPr>
      <w:r>
        <w:rPr>
          <w:rFonts w:hint="eastAsia" w:ascii="宋体" w:hAnsi="宋体"/>
          <w:color w:val="000000" w:themeColor="text1"/>
          <w:lang w:val="en-US" w:eastAsia="zh-CN"/>
        </w:rPr>
        <w:t>&lt;2&gt;</w:t>
      </w:r>
      <w:r>
        <w:rPr>
          <w:rFonts w:hint="eastAsia" w:ascii="宋体" w:hAnsi="宋体"/>
          <w:color w:val="000000" w:themeColor="text1"/>
          <w:lang w:val="en-US"/>
        </w:rPr>
        <w:t>统计指标：年度人才就业总数</w:t>
      </w:r>
    </w:p>
    <w:p>
      <w:pPr>
        <w:pStyle w:val="45"/>
        <w:rPr>
          <w:rFonts w:ascii="宋体" w:hAnsi="宋体"/>
          <w:color w:val="000000" w:themeColor="text1"/>
          <w:lang w:val="en-US"/>
        </w:rPr>
      </w:pPr>
      <w:r>
        <w:rPr>
          <w:rFonts w:hint="eastAsia" w:ascii="宋体" w:hAnsi="宋体"/>
          <w:color w:val="000000" w:themeColor="text1"/>
          <w:lang w:val="en-US" w:eastAsia="zh-CN"/>
        </w:rPr>
        <w:t>&lt;3&gt;</w:t>
      </w:r>
      <w:r>
        <w:rPr>
          <w:rFonts w:hint="eastAsia" w:ascii="宋体" w:hAnsi="宋体"/>
          <w:color w:val="000000" w:themeColor="text1"/>
          <w:lang w:val="en-US"/>
        </w:rPr>
        <w:t>点击报表，弹出窗口显示历史年度就业人数统计数据明细。</w:t>
      </w:r>
    </w:p>
    <w:p>
      <w:pPr>
        <w:pStyle w:val="2"/>
        <w:numPr>
          <w:ilvl w:val="1"/>
          <w:numId w:val="0"/>
        </w:numPr>
        <w:ind w:leftChars="0"/>
        <w:rPr>
          <w:rFonts w:hint="eastAsia" w:ascii="宋体" w:hAnsi="宋体" w:eastAsia="宋体"/>
          <w:lang w:eastAsia="zh-CN"/>
        </w:rPr>
      </w:pPr>
      <w:r>
        <w:rPr>
          <w:rFonts w:hint="eastAsia" w:ascii="宋体" w:hAnsi="宋体" w:eastAsia="宋体"/>
          <w:lang w:eastAsia="zh-CN"/>
        </w:rPr>
        <w:t>第三章：政企服务</w:t>
      </w:r>
    </w:p>
    <w:p>
      <w:pPr>
        <w:rPr>
          <w:rFonts w:hint="eastAsia"/>
        </w:rPr>
      </w:pPr>
      <w:r>
        <w:drawing>
          <wp:inline distT="0" distB="0" distL="114300" distR="114300">
            <wp:extent cx="5408295" cy="1442085"/>
            <wp:effectExtent l="0" t="0" r="1905"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3"/>
                    <a:stretch>
                      <a:fillRect/>
                    </a:stretch>
                  </pic:blipFill>
                  <pic:spPr>
                    <a:xfrm>
                      <a:off x="0" y="0"/>
                      <a:ext cx="5408295" cy="1442085"/>
                    </a:xfrm>
                    <a:prstGeom prst="rect">
                      <a:avLst/>
                    </a:prstGeom>
                    <a:noFill/>
                    <a:ln>
                      <a:noFill/>
                    </a:ln>
                  </pic:spPr>
                </pic:pic>
              </a:graphicData>
            </a:graphic>
          </wp:inline>
        </w:drawing>
      </w:r>
    </w:p>
    <w:p>
      <w:pPr>
        <w:pStyle w:val="45"/>
        <w:rPr>
          <w:rFonts w:hint="eastAsia" w:ascii="宋体" w:hAnsi="宋体"/>
          <w:color w:val="000000" w:themeColor="text1"/>
          <w:lang w:val="en-US"/>
        </w:rPr>
      </w:pPr>
      <w:r>
        <w:rPr>
          <w:rFonts w:hint="eastAsia" w:ascii="宋体" w:hAnsi="宋体"/>
          <w:color w:val="000000" w:themeColor="text1"/>
          <w:lang w:val="en-US"/>
        </w:rPr>
        <w:t>政企服务模块</w:t>
      </w:r>
      <w:r>
        <w:rPr>
          <w:rFonts w:ascii="宋体" w:hAnsi="宋体"/>
          <w:color w:val="000000" w:themeColor="text1"/>
          <w:lang w:val="en-US"/>
        </w:rPr>
        <w:t>通过收集经开区各主题库推送的数据</w:t>
      </w:r>
      <w:r>
        <w:rPr>
          <w:rFonts w:hint="eastAsia" w:ascii="宋体" w:hAnsi="宋体"/>
          <w:color w:val="000000" w:themeColor="text1"/>
          <w:lang w:val="en-US"/>
        </w:rPr>
        <w:t>，</w:t>
      </w:r>
      <w:r>
        <w:rPr>
          <w:rFonts w:ascii="宋体" w:hAnsi="宋体"/>
          <w:color w:val="000000" w:themeColor="text1"/>
          <w:lang w:val="en-US"/>
        </w:rPr>
        <w:t>以及政务协同OA业务子系统采集的数据，</w:t>
      </w:r>
      <w:r>
        <w:rPr>
          <w:rFonts w:hint="eastAsia" w:ascii="宋体" w:hAnsi="宋体"/>
          <w:color w:val="000000" w:themeColor="text1"/>
          <w:lang w:val="en-US"/>
        </w:rPr>
        <w:t>并</w:t>
      </w:r>
      <w:r>
        <w:rPr>
          <w:rFonts w:ascii="宋体" w:hAnsi="宋体"/>
          <w:color w:val="000000" w:themeColor="text1"/>
          <w:lang w:val="en-US"/>
        </w:rPr>
        <w:t>对数据进行分析处理</w:t>
      </w:r>
      <w:r>
        <w:rPr>
          <w:rFonts w:hint="eastAsia" w:ascii="宋体" w:hAnsi="宋体"/>
          <w:color w:val="000000" w:themeColor="text1"/>
          <w:lang w:val="en-US"/>
        </w:rPr>
        <w:t>和统计，从而实现政务服务情况的总览、政务服务分析、人力资源情况分析以及政务协同情况分析等可视化展示，可以通过该板块快速了解政府各业务部门对企业服务的情况和企业对政府事项的回复情况。</w:t>
      </w:r>
    </w:p>
    <w:p>
      <w:pPr>
        <w:pStyle w:val="3"/>
        <w:numPr>
          <w:ilvl w:val="1"/>
          <w:numId w:val="0"/>
        </w:numPr>
        <w:ind w:leftChars="0"/>
        <w:rPr>
          <w:rFonts w:ascii="宋体" w:hAnsi="宋体" w:eastAsia="宋体"/>
        </w:rPr>
      </w:pPr>
      <w:r>
        <w:rPr>
          <w:rFonts w:hint="eastAsia" w:ascii="宋体" w:hAnsi="宋体" w:eastAsia="宋体"/>
          <w:lang w:val="en-US" w:eastAsia="zh-CN"/>
        </w:rPr>
        <w:t>3.1</w:t>
      </w:r>
      <w:r>
        <w:rPr>
          <w:rFonts w:hint="eastAsia" w:ascii="宋体" w:hAnsi="宋体" w:eastAsia="宋体"/>
          <w:lang w:eastAsia="zh-CN"/>
        </w:rPr>
        <w:t>政企服务</w:t>
      </w:r>
      <w:r>
        <w:rPr>
          <w:rFonts w:ascii="宋体" w:hAnsi="宋体" w:eastAsia="宋体"/>
        </w:rPr>
        <w:t>情况总览</w:t>
      </w:r>
    </w:p>
    <w:p>
      <w:pPr>
        <w:pStyle w:val="4"/>
        <w:numPr>
          <w:ilvl w:val="1"/>
          <w:numId w:val="0"/>
        </w:numPr>
        <w:ind w:leftChars="0"/>
        <w:rPr>
          <w:rFonts w:hint="eastAsia" w:ascii="宋体" w:hAnsi="宋体" w:eastAsia="宋体" w:cstheme="minorBidi"/>
          <w:b/>
          <w:bCs/>
          <w:sz w:val="24"/>
          <w:szCs w:val="22"/>
          <w:lang w:val="en-US" w:eastAsia="zh-CN" w:bidi="ar-SA"/>
        </w:rPr>
      </w:pPr>
      <w:r>
        <w:rPr>
          <w:rFonts w:hint="eastAsia" w:ascii="宋体" w:hAnsi="宋体" w:eastAsia="宋体" w:cstheme="minorBidi"/>
          <w:b/>
          <w:bCs/>
          <w:sz w:val="24"/>
          <w:szCs w:val="22"/>
          <w:lang w:val="en-US" w:eastAsia="zh-CN" w:bidi="ar-SA"/>
        </w:rPr>
        <w:t>3.1.1承接权限</w:t>
      </w:r>
    </w:p>
    <w:p>
      <w:r>
        <w:drawing>
          <wp:inline distT="0" distB="0" distL="114300" distR="114300">
            <wp:extent cx="1598295" cy="362585"/>
            <wp:effectExtent l="0" t="0" r="1905" b="184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4"/>
                    <a:stretch>
                      <a:fillRect/>
                    </a:stretch>
                  </pic:blipFill>
                  <pic:spPr>
                    <a:xfrm>
                      <a:off x="0" y="0"/>
                      <a:ext cx="1598295" cy="362585"/>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该模块统计展示了园区内承接的权限数量，权限数据越大，越能说明园区能办的事项就越多，园区的实力越强，对吸引企业入驻打下基础。</w:t>
      </w:r>
    </w:p>
    <w:p>
      <w:pPr>
        <w:pStyle w:val="4"/>
        <w:numPr>
          <w:ilvl w:val="1"/>
          <w:numId w:val="0"/>
        </w:numPr>
        <w:ind w:leftChars="0"/>
        <w:rPr>
          <w:rFonts w:hint="eastAsia" w:ascii="宋体" w:hAnsi="宋体" w:eastAsia="宋体"/>
        </w:rPr>
      </w:pPr>
      <w:r>
        <w:rPr>
          <w:rFonts w:hint="eastAsia" w:ascii="宋体" w:hAnsi="宋体" w:eastAsia="宋体"/>
          <w:lang w:val="en-US" w:eastAsia="zh-CN"/>
        </w:rPr>
        <w:t>3.1.2</w:t>
      </w:r>
      <w:r>
        <w:rPr>
          <w:rFonts w:hint="eastAsia" w:ascii="宋体" w:hAnsi="宋体" w:eastAsia="宋体"/>
        </w:rPr>
        <w:t>总办件量</w:t>
      </w:r>
    </w:p>
    <w:p>
      <w:r>
        <w:drawing>
          <wp:inline distT="0" distB="0" distL="114300" distR="114300">
            <wp:extent cx="1638300" cy="422275"/>
            <wp:effectExtent l="0" t="0" r="0" b="158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5"/>
                    <a:stretch>
                      <a:fillRect/>
                    </a:stretch>
                  </pic:blipFill>
                  <pic:spPr>
                    <a:xfrm>
                      <a:off x="0" y="0"/>
                      <a:ext cx="1638300" cy="422275"/>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该可视化界面统计展示了年度政企服务总数，充分体现了政府全年为企业提供的服务数量，数量越大，越能反应企业全年的活跃度，反之依然。</w:t>
      </w:r>
    </w:p>
    <w:p>
      <w:pPr>
        <w:pStyle w:val="4"/>
        <w:numPr>
          <w:ilvl w:val="1"/>
          <w:numId w:val="0"/>
        </w:numPr>
        <w:ind w:leftChars="0"/>
        <w:rPr>
          <w:rFonts w:hint="eastAsia" w:ascii="宋体" w:hAnsi="宋体" w:eastAsia="宋体"/>
        </w:rPr>
      </w:pPr>
      <w:r>
        <w:rPr>
          <w:rFonts w:hint="eastAsia" w:ascii="宋体" w:hAnsi="宋体" w:eastAsia="宋体"/>
          <w:lang w:val="en-US" w:eastAsia="zh-CN"/>
        </w:rPr>
        <w:t>3.1.3</w:t>
      </w:r>
      <w:r>
        <w:rPr>
          <w:rFonts w:hint="eastAsia" w:ascii="宋体" w:hAnsi="宋体" w:eastAsia="宋体"/>
        </w:rPr>
        <w:t>信息推送</w:t>
      </w:r>
    </w:p>
    <w:p>
      <w:r>
        <w:drawing>
          <wp:inline distT="0" distB="0" distL="114300" distR="114300">
            <wp:extent cx="1776095" cy="452120"/>
            <wp:effectExtent l="0" t="0" r="14605" b="508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6"/>
                    <a:stretch>
                      <a:fillRect/>
                    </a:stretch>
                  </pic:blipFill>
                  <pic:spPr>
                    <a:xfrm>
                      <a:off x="0" y="0"/>
                      <a:ext cx="1776095" cy="45212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该模块统计展示了年度政府为企业推送信息的总数，也测方面体现了经开区线上办事的数量，数量越大，不仅表示园区内企业的活跃度，而且还能体现园区内智能化水平的提升。</w:t>
      </w:r>
    </w:p>
    <w:p>
      <w:pPr>
        <w:pStyle w:val="4"/>
        <w:numPr>
          <w:ilvl w:val="1"/>
          <w:numId w:val="0"/>
        </w:numPr>
        <w:ind w:leftChars="0"/>
        <w:rPr>
          <w:rFonts w:hint="eastAsia" w:ascii="宋体" w:hAnsi="宋体" w:eastAsia="宋体"/>
        </w:rPr>
      </w:pPr>
      <w:r>
        <w:rPr>
          <w:rFonts w:hint="eastAsia" w:ascii="宋体" w:hAnsi="宋体" w:eastAsia="宋体"/>
          <w:lang w:val="en-US" w:eastAsia="zh-CN"/>
        </w:rPr>
        <w:t>3.1.4</w:t>
      </w:r>
      <w:r>
        <w:rPr>
          <w:rFonts w:hint="eastAsia" w:ascii="宋体" w:hAnsi="宋体" w:eastAsia="宋体"/>
        </w:rPr>
        <w:t>服务满意度</w:t>
      </w:r>
    </w:p>
    <w:p>
      <w:r>
        <w:drawing>
          <wp:inline distT="0" distB="0" distL="114300" distR="114300">
            <wp:extent cx="1753235" cy="487045"/>
            <wp:effectExtent l="0" t="0" r="18415" b="825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7"/>
                    <a:stretch>
                      <a:fillRect/>
                    </a:stretch>
                  </pic:blipFill>
                  <pic:spPr>
                    <a:xfrm>
                      <a:off x="0" y="0"/>
                      <a:ext cx="1753235" cy="487045"/>
                    </a:xfrm>
                    <a:prstGeom prst="rect">
                      <a:avLst/>
                    </a:prstGeom>
                    <a:noFill/>
                    <a:ln>
                      <a:noFill/>
                    </a:ln>
                  </pic:spPr>
                </pic:pic>
              </a:graphicData>
            </a:graphic>
          </wp:inline>
        </w:drawing>
      </w:r>
    </w:p>
    <w:p>
      <w:pPr>
        <w:spacing w:line="360" w:lineRule="auto"/>
        <w:ind w:firstLine="420"/>
        <w:rPr>
          <w:rFonts w:hint="eastAsia" w:ascii="宋体" w:hAnsi="宋体" w:eastAsia="宋体"/>
          <w:lang w:val="en-US" w:eastAsia="zh-CN"/>
        </w:rPr>
      </w:pPr>
      <w:r>
        <w:rPr>
          <w:rFonts w:hint="eastAsia" w:ascii="宋体" w:hAnsi="宋体" w:eastAsia="宋体"/>
          <w:sz w:val="24"/>
        </w:rPr>
        <w:t>该模块统计展示了园区内所有服务的满意度，满意度越高，说明对企业的服务越好，越能吸引更多企业入驻；满意度越低，说明对企业服务越差，管理者可以对服务人员的服务做相应的整改，为打造良好的政企关系奠定了基础。</w:t>
      </w:r>
    </w:p>
    <w:p>
      <w:pPr>
        <w:pStyle w:val="4"/>
        <w:numPr>
          <w:ilvl w:val="5"/>
          <w:numId w:val="0"/>
        </w:numPr>
        <w:ind w:leftChars="0"/>
        <w:rPr>
          <w:rFonts w:hint="eastAsia" w:ascii="宋体" w:hAnsi="宋体" w:eastAsia="宋体"/>
          <w:sz w:val="24"/>
        </w:rPr>
      </w:pPr>
      <w:r>
        <w:rPr>
          <w:rFonts w:hint="eastAsia" w:ascii="宋体" w:hAnsi="宋体" w:eastAsia="宋体"/>
          <w:lang w:val="en-US" w:eastAsia="zh-CN"/>
        </w:rPr>
        <w:t>3.1.5</w:t>
      </w:r>
      <w:r>
        <w:rPr>
          <w:rFonts w:hint="eastAsia" w:ascii="宋体" w:hAnsi="宋体" w:eastAsia="宋体"/>
          <w:lang w:eastAsia="zh-CN"/>
        </w:rPr>
        <w:t>注册企业用户</w:t>
      </w:r>
    </w:p>
    <w:p>
      <w:pPr>
        <w:spacing w:line="360" w:lineRule="auto"/>
      </w:pPr>
      <w:r>
        <w:drawing>
          <wp:inline distT="0" distB="0" distL="114300" distR="114300">
            <wp:extent cx="1762125" cy="549275"/>
            <wp:effectExtent l="0" t="0" r="9525" b="317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8"/>
                    <a:stretch>
                      <a:fillRect/>
                    </a:stretch>
                  </pic:blipFill>
                  <pic:spPr>
                    <a:xfrm>
                      <a:off x="0" y="0"/>
                      <a:ext cx="1762125" cy="549275"/>
                    </a:xfrm>
                    <a:prstGeom prst="rect">
                      <a:avLst/>
                    </a:prstGeom>
                    <a:noFill/>
                    <a:ln>
                      <a:noFill/>
                    </a:ln>
                  </pic:spPr>
                </pic:pic>
              </a:graphicData>
            </a:graphic>
          </wp:inline>
        </w:drawing>
      </w:r>
    </w:p>
    <w:p>
      <w:pPr>
        <w:pStyle w:val="4"/>
        <w:numPr>
          <w:ilvl w:val="5"/>
          <w:numId w:val="0"/>
        </w:numPr>
        <w:ind w:leftChars="0"/>
      </w:pPr>
      <w:r>
        <w:rPr>
          <w:rFonts w:hint="eastAsia" w:ascii="宋体" w:hAnsi="宋体" w:eastAsia="宋体"/>
          <w:lang w:val="en-US" w:eastAsia="zh-CN"/>
        </w:rPr>
        <w:t>3.1.6</w:t>
      </w:r>
      <w:r>
        <w:rPr>
          <w:rFonts w:hint="eastAsia" w:ascii="宋体" w:hAnsi="宋体" w:eastAsia="宋体"/>
          <w:lang w:eastAsia="zh-CN"/>
        </w:rPr>
        <w:t>上传岗位信息</w:t>
      </w:r>
    </w:p>
    <w:p>
      <w:pPr>
        <w:spacing w:line="360" w:lineRule="auto"/>
      </w:pPr>
      <w:r>
        <w:drawing>
          <wp:inline distT="0" distB="0" distL="114300" distR="114300">
            <wp:extent cx="1714500" cy="488950"/>
            <wp:effectExtent l="0" t="0" r="0" b="635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9"/>
                    <a:stretch>
                      <a:fillRect/>
                    </a:stretch>
                  </pic:blipFill>
                  <pic:spPr>
                    <a:xfrm>
                      <a:off x="0" y="0"/>
                      <a:ext cx="1714500" cy="488950"/>
                    </a:xfrm>
                    <a:prstGeom prst="rect">
                      <a:avLst/>
                    </a:prstGeom>
                    <a:noFill/>
                    <a:ln>
                      <a:noFill/>
                    </a:ln>
                  </pic:spPr>
                </pic:pic>
              </a:graphicData>
            </a:graphic>
          </wp:inline>
        </w:drawing>
      </w:r>
    </w:p>
    <w:p>
      <w:pPr>
        <w:pStyle w:val="4"/>
        <w:numPr>
          <w:ilvl w:val="5"/>
          <w:numId w:val="0"/>
        </w:numPr>
        <w:ind w:leftChars="0"/>
        <w:rPr>
          <w:rFonts w:hint="eastAsia" w:ascii="宋体" w:hAnsi="宋体" w:eastAsia="宋体"/>
          <w:lang w:eastAsia="zh-CN"/>
        </w:rPr>
      </w:pPr>
      <w:r>
        <w:rPr>
          <w:rFonts w:hint="eastAsia" w:ascii="宋体" w:hAnsi="宋体" w:eastAsia="宋体"/>
          <w:lang w:val="en-US" w:eastAsia="zh-CN"/>
        </w:rPr>
        <w:t>3.1.7网站访问人数</w:t>
      </w:r>
    </w:p>
    <w:p>
      <w:pPr>
        <w:rPr>
          <w:rFonts w:hint="eastAsia"/>
          <w:lang w:eastAsia="zh-CN"/>
        </w:rPr>
      </w:pPr>
      <w:r>
        <w:drawing>
          <wp:inline distT="0" distB="0" distL="114300" distR="114300">
            <wp:extent cx="1737360" cy="495300"/>
            <wp:effectExtent l="0" t="0" r="15240"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0"/>
                    <a:stretch>
                      <a:fillRect/>
                    </a:stretch>
                  </pic:blipFill>
                  <pic:spPr>
                    <a:xfrm>
                      <a:off x="0" y="0"/>
                      <a:ext cx="1737360" cy="495300"/>
                    </a:xfrm>
                    <a:prstGeom prst="rect">
                      <a:avLst/>
                    </a:prstGeom>
                    <a:noFill/>
                    <a:ln>
                      <a:noFill/>
                    </a:ln>
                  </pic:spPr>
                </pic:pic>
              </a:graphicData>
            </a:graphic>
          </wp:inline>
        </w:drawing>
      </w:r>
    </w:p>
    <w:p>
      <w:pPr>
        <w:pStyle w:val="4"/>
        <w:numPr>
          <w:ilvl w:val="5"/>
          <w:numId w:val="0"/>
        </w:numPr>
        <w:ind w:leftChars="0"/>
        <w:rPr>
          <w:rFonts w:hint="eastAsia" w:ascii="宋体" w:hAnsi="宋体" w:eastAsia="宋体"/>
          <w:lang w:eastAsia="zh-CN"/>
        </w:rPr>
      </w:pPr>
      <w:r>
        <w:rPr>
          <w:rFonts w:hint="eastAsia" w:ascii="宋体" w:hAnsi="宋体" w:eastAsia="宋体"/>
          <w:lang w:val="en-US" w:eastAsia="zh-CN"/>
        </w:rPr>
        <w:t>3.1.8</w:t>
      </w:r>
      <w:r>
        <w:rPr>
          <w:rFonts w:hint="eastAsia" w:ascii="宋体" w:hAnsi="宋体" w:eastAsia="宋体"/>
          <w:lang w:eastAsia="zh-CN"/>
        </w:rPr>
        <w:t>网站访问次数</w:t>
      </w:r>
    </w:p>
    <w:p>
      <w:r>
        <w:drawing>
          <wp:inline distT="0" distB="0" distL="114300" distR="114300">
            <wp:extent cx="1828800" cy="473710"/>
            <wp:effectExtent l="0" t="0" r="0" b="254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1"/>
                    <a:stretch>
                      <a:fillRect/>
                    </a:stretch>
                  </pic:blipFill>
                  <pic:spPr>
                    <a:xfrm>
                      <a:off x="0" y="0"/>
                      <a:ext cx="1828800" cy="473710"/>
                    </a:xfrm>
                    <a:prstGeom prst="rect">
                      <a:avLst/>
                    </a:prstGeom>
                    <a:noFill/>
                    <a:ln>
                      <a:noFill/>
                    </a:ln>
                  </pic:spPr>
                </pic:pic>
              </a:graphicData>
            </a:graphic>
          </wp:inline>
        </w:drawing>
      </w:r>
    </w:p>
    <w:p>
      <w:pPr>
        <w:pStyle w:val="3"/>
        <w:numPr>
          <w:ilvl w:val="0"/>
          <w:numId w:val="0"/>
        </w:numPr>
        <w:ind w:leftChars="0"/>
        <w:rPr>
          <w:rFonts w:ascii="宋体" w:hAnsi="宋体" w:eastAsia="宋体"/>
        </w:rPr>
      </w:pPr>
      <w:r>
        <w:rPr>
          <w:rFonts w:hint="eastAsia" w:ascii="宋体" w:hAnsi="宋体" w:eastAsia="宋体"/>
          <w:lang w:val="en-US" w:eastAsia="zh-CN"/>
        </w:rPr>
        <w:t>3.2</w:t>
      </w:r>
      <w:r>
        <w:rPr>
          <w:rFonts w:ascii="宋体" w:hAnsi="宋体" w:eastAsia="宋体"/>
        </w:rPr>
        <w:t>去年对比今年办件量情况</w:t>
      </w:r>
    </w:p>
    <w:p>
      <w:pPr>
        <w:rPr>
          <w:rFonts w:hint="eastAsia"/>
          <w:lang w:val="en-US" w:eastAsia="zh-CN"/>
        </w:rPr>
      </w:pPr>
      <w:r>
        <w:drawing>
          <wp:inline distT="0" distB="0" distL="114300" distR="114300">
            <wp:extent cx="3438525" cy="3295650"/>
            <wp:effectExtent l="0" t="0" r="952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2"/>
                    <a:stretch>
                      <a:fillRect/>
                    </a:stretch>
                  </pic:blipFill>
                  <pic:spPr>
                    <a:xfrm>
                      <a:off x="0" y="0"/>
                      <a:ext cx="3438525" cy="329565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该模块统计展示了园区内去年和今年的办件量对比情况，按每月数量进行对比，政府可以从该模块上了解近两年的办件情况，</w:t>
      </w:r>
      <w:r>
        <w:rPr>
          <w:rFonts w:ascii="宋体" w:hAnsi="宋体" w:eastAsia="宋体"/>
          <w:sz w:val="24"/>
        </w:rPr>
        <w:t>以此为支撑，判断在</w:t>
      </w:r>
      <w:r>
        <w:rPr>
          <w:rFonts w:hint="eastAsia" w:ascii="宋体" w:hAnsi="宋体" w:eastAsia="宋体"/>
          <w:sz w:val="24"/>
        </w:rPr>
        <w:t>哪些</w:t>
      </w:r>
      <w:r>
        <w:rPr>
          <w:rFonts w:ascii="宋体" w:hAnsi="宋体" w:eastAsia="宋体"/>
          <w:sz w:val="24"/>
        </w:rPr>
        <w:t>月份办件数量多，是否需要增加服务人员</w:t>
      </w:r>
      <w:r>
        <w:rPr>
          <w:rFonts w:hint="eastAsia" w:ascii="宋体" w:hAnsi="宋体" w:eastAsia="宋体"/>
          <w:sz w:val="24"/>
        </w:rPr>
        <w:t>；哪些</w:t>
      </w:r>
      <w:r>
        <w:rPr>
          <w:rFonts w:ascii="宋体" w:hAnsi="宋体" w:eastAsia="宋体"/>
          <w:sz w:val="24"/>
        </w:rPr>
        <w:t>月份办件量低，是否可以减少服务人员等；使</w:t>
      </w:r>
      <w:r>
        <w:rPr>
          <w:rFonts w:hint="eastAsia" w:ascii="宋体" w:hAnsi="宋体" w:eastAsia="宋体"/>
          <w:sz w:val="24"/>
        </w:rPr>
        <w:t>管理者合理</w:t>
      </w:r>
      <w:r>
        <w:rPr>
          <w:rFonts w:ascii="宋体" w:hAnsi="宋体" w:eastAsia="宋体"/>
          <w:sz w:val="24"/>
        </w:rPr>
        <w:t>利用人</w:t>
      </w:r>
      <w:r>
        <w:rPr>
          <w:rFonts w:hint="eastAsia" w:ascii="宋体" w:hAnsi="宋体" w:eastAsia="宋体"/>
          <w:sz w:val="24"/>
        </w:rPr>
        <w:t>力物力</w:t>
      </w:r>
      <w:r>
        <w:rPr>
          <w:rFonts w:ascii="宋体" w:hAnsi="宋体" w:eastAsia="宋体"/>
          <w:sz w:val="24"/>
        </w:rPr>
        <w:t>。</w:t>
      </w:r>
      <w:r>
        <w:rPr>
          <w:rFonts w:hint="eastAsia" w:ascii="宋体" w:hAnsi="宋体" w:eastAsia="宋体"/>
          <w:sz w:val="24"/>
        </w:rPr>
        <w:t>同时，当鼠标移动到图上某月度数据轴时，显示具体数值；</w:t>
      </w:r>
    </w:p>
    <w:p>
      <w:pPr>
        <w:spacing w:line="360" w:lineRule="auto"/>
        <w:ind w:firstLine="420"/>
        <w:rPr>
          <w:rFonts w:ascii="宋体" w:hAnsi="宋体" w:eastAsia="宋体"/>
          <w:sz w:val="24"/>
        </w:rPr>
      </w:pPr>
      <w:r>
        <w:rPr>
          <w:rFonts w:hint="eastAsia" w:ascii="宋体" w:hAnsi="宋体" w:eastAsia="宋体"/>
          <w:sz w:val="24"/>
        </w:rPr>
        <w:t>点击图表，弹出今年及去年同月办件量数据对比列表的界面。</w:t>
      </w:r>
    </w:p>
    <w:p>
      <w:pPr>
        <w:spacing w:line="360" w:lineRule="auto"/>
        <w:ind w:firstLine="420"/>
        <w:rPr>
          <w:rFonts w:hint="eastAsia" w:ascii="宋体" w:hAnsi="宋体" w:eastAsia="宋体"/>
          <w:sz w:val="24"/>
        </w:rPr>
      </w:pPr>
    </w:p>
    <w:p>
      <w:pPr>
        <w:pStyle w:val="3"/>
        <w:numPr>
          <w:ilvl w:val="0"/>
          <w:numId w:val="0"/>
        </w:numPr>
        <w:ind w:leftChars="0"/>
        <w:rPr>
          <w:rFonts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3.3办件情</w:t>
      </w:r>
      <w:r>
        <w:rPr>
          <w:rFonts w:ascii="宋体" w:hAnsi="宋体" w:eastAsia="宋体" w:cstheme="minorBidi"/>
          <w:b/>
          <w:bCs/>
          <w:kern w:val="44"/>
          <w:sz w:val="44"/>
          <w:szCs w:val="44"/>
          <w:lang w:val="en-US" w:eastAsia="zh-CN" w:bidi="ar-SA"/>
        </w:rPr>
        <w:t>况</w:t>
      </w:r>
    </w:p>
    <w:p>
      <w:r>
        <w:drawing>
          <wp:inline distT="0" distB="0" distL="114300" distR="114300">
            <wp:extent cx="3133725" cy="2838450"/>
            <wp:effectExtent l="0" t="0" r="9525"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3"/>
                    <a:stretch>
                      <a:fillRect/>
                    </a:stretch>
                  </pic:blipFill>
                  <pic:spPr>
                    <a:xfrm>
                      <a:off x="0" y="0"/>
                      <a:ext cx="3133725" cy="283845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该模块统计展示了半年内办件的办结数、办结率及满意率。从办结数及办结率可以了解到该月份总共为企业办了多少事，完结了多少，还剩多少；满意率越高，服务越好，企业越满意；反之，当满意度低的时候，管理者可以采取相应的措施来提高服务水平，为创建良好的政企关系打下基础。同时，当鼠标移动到图上某月数据点上时，显示具体办结数、办结率及满意率的数值；</w:t>
      </w:r>
    </w:p>
    <w:p>
      <w:pPr>
        <w:spacing w:line="360" w:lineRule="auto"/>
        <w:ind w:firstLine="420"/>
        <w:rPr>
          <w:rFonts w:ascii="宋体" w:hAnsi="宋体" w:eastAsia="宋体"/>
          <w:sz w:val="24"/>
        </w:rPr>
      </w:pPr>
      <w:r>
        <w:rPr>
          <w:rFonts w:hint="eastAsia" w:ascii="宋体" w:hAnsi="宋体" w:eastAsia="宋体"/>
          <w:sz w:val="24"/>
        </w:rPr>
        <w:t>点击图表，弹出半年内每月具体办件的办结数、办结率及满意率数据列表的界面。</w:t>
      </w:r>
    </w:p>
    <w:p>
      <w:pPr>
        <w:spacing w:line="360" w:lineRule="auto"/>
        <w:ind w:firstLine="420"/>
        <w:rPr>
          <w:rFonts w:hint="eastAsia" w:ascii="宋体" w:hAnsi="宋体" w:eastAsia="宋体"/>
          <w:sz w:val="24"/>
        </w:rPr>
      </w:pPr>
    </w:p>
    <w:p>
      <w:pPr>
        <w:pStyle w:val="3"/>
        <w:numPr>
          <w:ilvl w:val="0"/>
          <w:numId w:val="0"/>
        </w:numPr>
        <w:ind w:leftChars="0"/>
        <w:rPr>
          <w:rFonts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3.4</w:t>
      </w:r>
      <w:r>
        <w:rPr>
          <w:rFonts w:hint="eastAsia" w:ascii="宋体" w:hAnsi="宋体" w:eastAsia="宋体"/>
        </w:rPr>
        <w:t>咨询</w:t>
      </w:r>
      <w:r>
        <w:rPr>
          <w:rFonts w:hint="eastAsia" w:ascii="宋体" w:hAnsi="宋体" w:eastAsia="宋体" w:cstheme="minorBidi"/>
          <w:b/>
          <w:bCs/>
          <w:kern w:val="44"/>
          <w:sz w:val="44"/>
          <w:szCs w:val="44"/>
          <w:lang w:val="en-US" w:eastAsia="zh-CN" w:bidi="ar-SA"/>
        </w:rPr>
        <w:t>情</w:t>
      </w:r>
      <w:r>
        <w:rPr>
          <w:rFonts w:ascii="宋体" w:hAnsi="宋体" w:eastAsia="宋体" w:cstheme="minorBidi"/>
          <w:b/>
          <w:bCs/>
          <w:kern w:val="44"/>
          <w:sz w:val="44"/>
          <w:szCs w:val="44"/>
          <w:lang w:val="en-US" w:eastAsia="zh-CN" w:bidi="ar-SA"/>
        </w:rPr>
        <w:t>况</w:t>
      </w:r>
    </w:p>
    <w:p>
      <w:r>
        <w:drawing>
          <wp:inline distT="0" distB="0" distL="114300" distR="114300">
            <wp:extent cx="3333750" cy="27432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4"/>
                    <a:stretch>
                      <a:fillRect/>
                    </a:stretch>
                  </pic:blipFill>
                  <pic:spPr>
                    <a:xfrm>
                      <a:off x="0" y="0"/>
                      <a:ext cx="3333750" cy="2743200"/>
                    </a:xfrm>
                    <a:prstGeom prst="rect">
                      <a:avLst/>
                    </a:prstGeom>
                    <a:noFill/>
                    <a:ln>
                      <a:noFill/>
                    </a:ln>
                  </pic:spPr>
                </pic:pic>
              </a:graphicData>
            </a:graphic>
          </wp:inline>
        </w:drawing>
      </w:r>
    </w:p>
    <w:p/>
    <w:p>
      <w:pPr>
        <w:spacing w:line="360" w:lineRule="auto"/>
        <w:ind w:firstLine="420"/>
        <w:rPr>
          <w:rFonts w:hint="eastAsia" w:ascii="宋体" w:hAnsi="宋体" w:eastAsia="宋体"/>
          <w:sz w:val="24"/>
        </w:rPr>
      </w:pPr>
      <w:r>
        <w:rPr>
          <w:rFonts w:hint="eastAsia" w:ascii="宋体" w:hAnsi="宋体" w:eastAsia="宋体"/>
          <w:sz w:val="24"/>
        </w:rPr>
        <w:t>该模块统计展示了半年内园区内企业咨询情况，包含咨询数、回复率及满意率，当回复率和满意率越高，越能体现园区整体的服务效率及水平。同时，当鼠标移动到图上某一点时，显示具体咨询数、回复率及满意率数值；</w:t>
      </w:r>
    </w:p>
    <w:p>
      <w:pPr>
        <w:spacing w:line="360" w:lineRule="auto"/>
        <w:ind w:firstLine="420"/>
        <w:rPr>
          <w:rFonts w:ascii="宋体" w:hAnsi="宋体" w:eastAsia="宋体"/>
          <w:sz w:val="24"/>
        </w:rPr>
      </w:pPr>
      <w:r>
        <w:rPr>
          <w:rFonts w:hint="eastAsia" w:ascii="宋体" w:hAnsi="宋体" w:eastAsia="宋体"/>
          <w:sz w:val="24"/>
        </w:rPr>
        <w:t>点击图表，弹出半年内每月具体咨询数、回复率及满意率数据列表的界面。</w:t>
      </w:r>
    </w:p>
    <w:p>
      <w:pPr>
        <w:spacing w:line="360" w:lineRule="auto"/>
        <w:ind w:firstLine="420"/>
        <w:rPr>
          <w:rFonts w:hint="eastAsia" w:ascii="宋体" w:hAnsi="宋体" w:eastAsia="宋体"/>
          <w:sz w:val="24"/>
        </w:rPr>
      </w:pP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3.5本年度月度服务光荣榜</w:t>
      </w:r>
    </w:p>
    <w:p>
      <w:r>
        <w:drawing>
          <wp:inline distT="0" distB="0" distL="114300" distR="114300">
            <wp:extent cx="3009900" cy="2400300"/>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5"/>
                    <a:stretch>
                      <a:fillRect/>
                    </a:stretch>
                  </pic:blipFill>
                  <pic:spPr>
                    <a:xfrm>
                      <a:off x="0" y="0"/>
                      <a:ext cx="3009900" cy="2400300"/>
                    </a:xfrm>
                    <a:prstGeom prst="rect">
                      <a:avLst/>
                    </a:prstGeom>
                    <a:noFill/>
                    <a:ln>
                      <a:noFill/>
                    </a:ln>
                  </pic:spPr>
                </pic:pic>
              </a:graphicData>
            </a:graphic>
          </wp:inline>
        </w:drawing>
      </w:r>
    </w:p>
    <w:p>
      <w:pPr>
        <w:spacing w:line="360" w:lineRule="auto"/>
        <w:ind w:firstLine="420"/>
        <w:rPr>
          <w:rFonts w:ascii="宋体" w:hAnsi="宋体" w:eastAsia="宋体"/>
        </w:rPr>
      </w:pPr>
      <w:r>
        <w:rPr>
          <w:rFonts w:hint="eastAsia" w:ascii="宋体" w:hAnsi="宋体" w:eastAsia="宋体"/>
          <w:sz w:val="24"/>
        </w:rPr>
        <w:t>该模块统计展示了本年度月度服务光荣榜前三，不仅向企业展示了园区服务人员的风貌，还向其他服务人员树立了榜样。</w:t>
      </w:r>
    </w:p>
    <w:p>
      <w:pPr>
        <w:pStyle w:val="3"/>
        <w:numPr>
          <w:ilvl w:val="4"/>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3.6上年度政务服务总光荣榜</w:t>
      </w:r>
    </w:p>
    <w:p>
      <w:r>
        <w:drawing>
          <wp:inline distT="0" distB="0" distL="114300" distR="114300">
            <wp:extent cx="2705100" cy="1952625"/>
            <wp:effectExtent l="0" t="0" r="0" b="952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6"/>
                    <a:stretch>
                      <a:fillRect/>
                    </a:stretch>
                  </pic:blipFill>
                  <pic:spPr>
                    <a:xfrm>
                      <a:off x="0" y="0"/>
                      <a:ext cx="2705100" cy="1952625"/>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统计展示了上年度服务光荣总榜前三名，不仅向企业展示了园区服务人员的风貌，还向其他服务人员树立了榜样，同时，也能为管理者考评绩效提供数据支撑。</w:t>
      </w:r>
    </w:p>
    <w:p>
      <w:pPr>
        <w:pStyle w:val="3"/>
        <w:numPr>
          <w:ilvl w:val="4"/>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3.7</w:t>
      </w:r>
      <w:r>
        <w:rPr>
          <w:rFonts w:hint="eastAsia" w:ascii="宋体" w:hAnsi="宋体" w:eastAsia="宋体"/>
        </w:rPr>
        <w:t>年度服务能手</w:t>
      </w:r>
    </w:p>
    <w:p>
      <w:pPr>
        <w:spacing w:line="360" w:lineRule="auto"/>
        <w:ind w:firstLine="420"/>
      </w:pPr>
      <w:r>
        <w:drawing>
          <wp:inline distT="0" distB="0" distL="114300" distR="114300">
            <wp:extent cx="2943225" cy="2266950"/>
            <wp:effectExtent l="0" t="0" r="9525" b="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7"/>
                    <a:stretch>
                      <a:fillRect/>
                    </a:stretch>
                  </pic:blipFill>
                  <pic:spPr>
                    <a:xfrm>
                      <a:off x="0" y="0"/>
                      <a:ext cx="2943225" cy="226695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统计展示了年度服务能手前三名，不仅向企业展示了园区服务人员的风貌，还向其他服务人员树立了榜样，同时，也能为管理者考评绩效提供数据支撑。</w:t>
      </w: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3.8各窗口办件量统计</w:t>
      </w:r>
    </w:p>
    <w:p>
      <w:r>
        <w:drawing>
          <wp:inline distT="0" distB="0" distL="114300" distR="114300">
            <wp:extent cx="5268595" cy="1624330"/>
            <wp:effectExtent l="0" t="0" r="8255" b="1397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8"/>
                    <a:stretch>
                      <a:fillRect/>
                    </a:stretch>
                  </pic:blipFill>
                  <pic:spPr>
                    <a:xfrm>
                      <a:off x="0" y="0"/>
                      <a:ext cx="5268595" cy="1624330"/>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该模块从税务、市监、公安、印章服务、人社、发改、国土不动产、城管、工程建设（规划）、工程建设（质安）、银行、水电气讯综合等维度统计展示园区内总体办件量，从该模块中，管理者能一目了然的看到园区内各类事件的办件情况，也能根据各类事件的办件量对各个窗口进行整改，不仅能合理利用园区资源，也能提高对企业的服务质量及效率。为创建政企和谐园区打下基础。</w:t>
      </w: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3.9人力资源情况分析</w:t>
      </w:r>
    </w:p>
    <w:p>
      <w:pPr>
        <w:spacing w:line="360" w:lineRule="auto"/>
        <w:ind w:firstLine="420"/>
        <w:rPr>
          <w:rFonts w:ascii="宋体" w:hAnsi="宋体" w:eastAsia="宋体" w:cstheme="majorEastAsia"/>
          <w:sz w:val="24"/>
        </w:rPr>
      </w:pPr>
      <w:r>
        <w:rPr>
          <w:rFonts w:hint="eastAsia" w:ascii="宋体" w:hAnsi="宋体" w:eastAsia="宋体" w:cs="宋体"/>
          <w:sz w:val="24"/>
        </w:rPr>
        <w:t>人力资源模块主要是让园区主管部门能清晰快捷的了解，掌握园区人力资源分布与供需情况，为制定相关人才政策提供数据支撑；为企事业和求职人员提供便捷的人力资源服务。</w:t>
      </w:r>
    </w:p>
    <w:p>
      <w:pPr>
        <w:rPr>
          <w:rFonts w:hint="eastAsia"/>
          <w:lang w:val="en-US" w:eastAsia="zh-CN"/>
        </w:rPr>
      </w:pPr>
    </w:p>
    <w:p>
      <w:pPr>
        <w:pStyle w:val="4"/>
        <w:numPr>
          <w:ilvl w:val="1"/>
          <w:numId w:val="0"/>
        </w:numPr>
        <w:ind w:leftChars="0"/>
        <w:rPr>
          <w:rFonts w:hint="eastAsia" w:ascii="宋体" w:hAnsi="宋体" w:eastAsia="宋体"/>
        </w:rPr>
      </w:pPr>
      <w:r>
        <w:rPr>
          <w:rFonts w:hint="eastAsia" w:ascii="宋体" w:hAnsi="宋体" w:eastAsia="宋体"/>
          <w:lang w:val="en-US" w:eastAsia="zh-CN"/>
        </w:rPr>
        <w:t>3.9.1</w:t>
      </w:r>
      <w:r>
        <w:rPr>
          <w:rFonts w:hint="eastAsia" w:ascii="宋体" w:hAnsi="宋体" w:eastAsia="宋体"/>
        </w:rPr>
        <w:t>人力需求总数和供应总数统计</w:t>
      </w:r>
    </w:p>
    <w:p>
      <w:r>
        <w:drawing>
          <wp:inline distT="0" distB="0" distL="114300" distR="114300">
            <wp:extent cx="2200275" cy="1800225"/>
            <wp:effectExtent l="0" t="0" r="9525" b="952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2200275" cy="1800225"/>
                    </a:xfrm>
                    <a:prstGeom prst="rect">
                      <a:avLst/>
                    </a:prstGeom>
                    <a:noFill/>
                    <a:ln>
                      <a:noFill/>
                    </a:ln>
                  </pic:spPr>
                </pic:pic>
              </a:graphicData>
            </a:graphic>
          </wp:inline>
        </w:drawing>
      </w:r>
    </w:p>
    <w:p>
      <w:pPr>
        <w:ind w:firstLine="480" w:firstLineChars="200"/>
        <w:rPr>
          <w:rFonts w:hint="eastAsia" w:ascii="宋体" w:hAnsi="宋体" w:eastAsia="宋体"/>
          <w:sz w:val="24"/>
        </w:rPr>
      </w:pPr>
      <w:r>
        <w:rPr>
          <w:rFonts w:hint="eastAsia" w:ascii="宋体" w:hAnsi="宋体" w:eastAsia="宋体" w:cs="宋体"/>
          <w:sz w:val="24"/>
        </w:rPr>
        <w:t>该模块统计展示了园区人力需求总数及供应总数的情况，从该模块中，主管部门能根据人力的供需关系，制定相应的政策吸引人才，解决园区内企业人力不足的情况，这样，能提高企业的产能，也为园区整体的经济建设打下了基础。</w:t>
      </w:r>
      <w:r>
        <w:rPr>
          <w:rFonts w:hint="eastAsia" w:ascii="宋体" w:hAnsi="宋体" w:eastAsia="宋体"/>
          <w:sz w:val="24"/>
        </w:rPr>
        <w:t>同时，当鼠标移动到图上某月数据轴时，显示具体</w:t>
      </w:r>
      <w:r>
        <w:rPr>
          <w:rFonts w:hint="eastAsia" w:ascii="宋体" w:hAnsi="宋体" w:eastAsia="宋体" w:cs="宋体"/>
          <w:sz w:val="24"/>
        </w:rPr>
        <w:t>人力供需总数的</w:t>
      </w:r>
      <w:r>
        <w:rPr>
          <w:rFonts w:hint="eastAsia" w:ascii="宋体" w:hAnsi="宋体" w:eastAsia="宋体"/>
          <w:sz w:val="24"/>
        </w:rPr>
        <w:t>数值</w:t>
      </w:r>
    </w:p>
    <w:p>
      <w:pPr>
        <w:spacing w:line="360" w:lineRule="auto"/>
        <w:ind w:firstLine="420"/>
        <w:rPr>
          <w:rFonts w:ascii="宋体" w:hAnsi="宋体" w:eastAsia="宋体" w:cs="宋体"/>
          <w:sz w:val="24"/>
        </w:rPr>
      </w:pPr>
      <w:r>
        <w:rPr>
          <w:rFonts w:hint="eastAsia" w:ascii="宋体" w:hAnsi="宋体" w:eastAsia="宋体"/>
          <w:sz w:val="24"/>
        </w:rPr>
        <w:t>点击图表，弹出本年度每月具体</w:t>
      </w:r>
      <w:r>
        <w:rPr>
          <w:rFonts w:hint="eastAsia" w:ascii="宋体" w:hAnsi="宋体" w:eastAsia="宋体" w:cs="宋体"/>
          <w:sz w:val="24"/>
        </w:rPr>
        <w:t>人力需求总数及供应总数</w:t>
      </w:r>
      <w:r>
        <w:rPr>
          <w:rFonts w:hint="eastAsia" w:ascii="宋体" w:hAnsi="宋体" w:eastAsia="宋体"/>
          <w:sz w:val="24"/>
        </w:rPr>
        <w:t>数据列表的界面。</w:t>
      </w:r>
    </w:p>
    <w:p>
      <w:pPr>
        <w:ind w:firstLine="480" w:firstLineChars="200"/>
        <w:rPr>
          <w:rFonts w:hint="eastAsia" w:ascii="宋体" w:hAnsi="宋体" w:eastAsia="宋体"/>
          <w:sz w:val="24"/>
        </w:rPr>
      </w:pPr>
    </w:p>
    <w:p>
      <w:pPr>
        <w:pStyle w:val="4"/>
        <w:numPr>
          <w:ilvl w:val="1"/>
          <w:numId w:val="0"/>
        </w:numPr>
        <w:ind w:leftChars="0"/>
      </w:pPr>
      <w:r>
        <w:rPr>
          <w:rFonts w:hint="eastAsia" w:ascii="宋体" w:hAnsi="宋体" w:eastAsia="宋体"/>
          <w:lang w:val="en-US" w:eastAsia="zh-CN"/>
        </w:rPr>
        <w:t>3.9.2</w:t>
      </w:r>
      <w:r>
        <w:rPr>
          <w:rFonts w:hint="eastAsia" w:ascii="宋体" w:hAnsi="宋体" w:eastAsia="宋体"/>
        </w:rPr>
        <w:t>人力需求</w:t>
      </w:r>
      <w:r>
        <w:rPr>
          <w:rFonts w:ascii="宋体" w:hAnsi="宋体" w:eastAsia="宋体"/>
        </w:rPr>
        <w:t>/岗位分类/岗位和学历统计</w:t>
      </w:r>
      <w:r>
        <w:drawing>
          <wp:inline distT="0" distB="0" distL="114300" distR="114300">
            <wp:extent cx="2753360" cy="2240915"/>
            <wp:effectExtent l="0" t="0" r="8890" b="698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0"/>
                    <a:stretch>
                      <a:fillRect/>
                    </a:stretch>
                  </pic:blipFill>
                  <pic:spPr>
                    <a:xfrm>
                      <a:off x="0" y="0"/>
                      <a:ext cx="2753360" cy="2240915"/>
                    </a:xfrm>
                    <a:prstGeom prst="rect">
                      <a:avLst/>
                    </a:prstGeom>
                    <a:noFill/>
                    <a:ln>
                      <a:noFill/>
                    </a:ln>
                  </pic:spPr>
                </pic:pic>
              </a:graphicData>
            </a:graphic>
          </wp:inline>
        </w:drawing>
      </w:r>
    </w:p>
    <w:p>
      <w:pPr>
        <w:ind w:firstLine="480" w:firstLineChars="200"/>
        <w:rPr>
          <w:rFonts w:hint="eastAsia" w:ascii="宋体" w:hAnsi="宋体" w:eastAsia="宋体" w:cs="宋体"/>
          <w:sz w:val="24"/>
        </w:rPr>
      </w:pPr>
    </w:p>
    <w:p>
      <w:pPr>
        <w:ind w:firstLine="480" w:firstLineChars="200"/>
        <w:rPr>
          <w:rFonts w:hint="eastAsia" w:ascii="宋体" w:hAnsi="宋体" w:eastAsia="宋体"/>
          <w:sz w:val="24"/>
        </w:rPr>
      </w:pPr>
      <w:r>
        <w:rPr>
          <w:rFonts w:hint="eastAsia" w:ascii="宋体" w:hAnsi="宋体" w:eastAsia="宋体" w:cs="宋体"/>
          <w:sz w:val="24"/>
        </w:rPr>
        <w:t>该模块统计了园区人力需求情况、需求的岗位情况、岗位和学历的统计，详细的展示了园区企业的人力需求情况，园区主管部门可以根据各岗位的需求情况，做出相关政策吸引人才。</w:t>
      </w:r>
      <w:r>
        <w:rPr>
          <w:rFonts w:hint="eastAsia" w:ascii="宋体" w:hAnsi="宋体" w:eastAsia="宋体"/>
          <w:sz w:val="24"/>
        </w:rPr>
        <w:t>同时，当鼠标移动到柱状图上时，显示具体</w:t>
      </w:r>
      <w:r>
        <w:rPr>
          <w:rFonts w:hint="eastAsia" w:ascii="宋体" w:hAnsi="宋体" w:eastAsia="宋体" w:cs="宋体"/>
          <w:sz w:val="24"/>
        </w:rPr>
        <w:t>人力需求情况、需求的岗位情况、岗位和学历</w:t>
      </w:r>
      <w:r>
        <w:rPr>
          <w:rFonts w:hint="eastAsia" w:ascii="宋体" w:hAnsi="宋体" w:eastAsia="宋体"/>
          <w:sz w:val="24"/>
        </w:rPr>
        <w:t>数值</w:t>
      </w:r>
    </w:p>
    <w:p>
      <w:pPr>
        <w:spacing w:line="360" w:lineRule="auto"/>
        <w:ind w:firstLine="420"/>
        <w:rPr>
          <w:rFonts w:ascii="宋体" w:hAnsi="宋体" w:eastAsia="宋体" w:cs="宋体"/>
          <w:sz w:val="24"/>
        </w:rPr>
      </w:pPr>
      <w:r>
        <w:rPr>
          <w:rFonts w:hint="eastAsia" w:ascii="宋体" w:hAnsi="宋体" w:eastAsia="宋体"/>
          <w:sz w:val="24"/>
        </w:rPr>
        <w:t>点击图表，弹出具体</w:t>
      </w:r>
      <w:r>
        <w:rPr>
          <w:rFonts w:hint="eastAsia" w:ascii="宋体" w:hAnsi="宋体" w:eastAsia="宋体" w:cs="宋体"/>
          <w:sz w:val="24"/>
        </w:rPr>
        <w:t>岗位人力需求数量统计表</w:t>
      </w:r>
      <w:r>
        <w:rPr>
          <w:rFonts w:hint="eastAsia" w:ascii="宋体" w:hAnsi="宋体" w:eastAsia="宋体"/>
          <w:sz w:val="24"/>
        </w:rPr>
        <w:t>的窗口。</w:t>
      </w:r>
    </w:p>
    <w:p>
      <w:pPr>
        <w:ind w:firstLine="480" w:firstLineChars="200"/>
        <w:rPr>
          <w:rFonts w:hint="eastAsia" w:ascii="宋体" w:hAnsi="宋体" w:eastAsia="宋体"/>
          <w:sz w:val="24"/>
        </w:rPr>
      </w:pPr>
    </w:p>
    <w:p>
      <w:pPr>
        <w:pStyle w:val="4"/>
        <w:numPr>
          <w:ilvl w:val="1"/>
          <w:numId w:val="0"/>
        </w:numPr>
        <w:ind w:leftChars="0"/>
        <w:rPr>
          <w:rFonts w:hint="eastAsia" w:ascii="宋体" w:hAnsi="宋体" w:eastAsia="宋体"/>
          <w:lang w:val="en-US" w:eastAsia="zh-CN"/>
        </w:rPr>
      </w:pPr>
      <w:r>
        <w:rPr>
          <w:rFonts w:hint="eastAsia" w:ascii="宋体" w:hAnsi="宋体" w:eastAsia="宋体"/>
          <w:lang w:val="en-US" w:eastAsia="zh-CN"/>
        </w:rPr>
        <w:t>3.9.3人才结构比例</w:t>
      </w:r>
    </w:p>
    <w:p>
      <w:r>
        <w:drawing>
          <wp:inline distT="0" distB="0" distL="114300" distR="114300">
            <wp:extent cx="2800350" cy="2219325"/>
            <wp:effectExtent l="0" t="0" r="0" b="952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1"/>
                    <a:stretch>
                      <a:fillRect/>
                    </a:stretch>
                  </pic:blipFill>
                  <pic:spPr>
                    <a:xfrm>
                      <a:off x="0" y="0"/>
                      <a:ext cx="2800350" cy="2219325"/>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cs="宋体"/>
          <w:sz w:val="24"/>
        </w:rPr>
        <w:t>统计了园区内所有人才学历的构成比例，主管部门根据人才结构，可以调整政策加大对高学历人才的吸引力度。提高园区内整体文化水平。</w:t>
      </w:r>
      <w:r>
        <w:rPr>
          <w:rFonts w:hint="eastAsia" w:ascii="宋体" w:hAnsi="宋体" w:eastAsia="宋体"/>
          <w:sz w:val="24"/>
        </w:rPr>
        <w:t>同时，当鼠标移动到图表中某一区域时，显示具体区域内人才数量；</w:t>
      </w:r>
    </w:p>
    <w:p>
      <w:pPr>
        <w:spacing w:line="360" w:lineRule="auto"/>
        <w:ind w:firstLine="420"/>
        <w:rPr>
          <w:rFonts w:ascii="宋体" w:hAnsi="宋体" w:eastAsia="宋体" w:cs="宋体"/>
          <w:sz w:val="24"/>
        </w:rPr>
      </w:pPr>
      <w:r>
        <w:rPr>
          <w:rFonts w:hint="eastAsia" w:ascii="宋体" w:hAnsi="宋体" w:eastAsia="宋体"/>
          <w:sz w:val="24"/>
        </w:rPr>
        <w:t>点击图表，弹出具体</w:t>
      </w:r>
      <w:r>
        <w:rPr>
          <w:rFonts w:hint="eastAsia" w:ascii="宋体" w:hAnsi="宋体" w:eastAsia="宋体" w:cs="宋体"/>
          <w:sz w:val="24"/>
        </w:rPr>
        <w:t>人才结构</w:t>
      </w:r>
      <w:r>
        <w:rPr>
          <w:rFonts w:hint="eastAsia" w:ascii="宋体" w:hAnsi="宋体" w:eastAsia="宋体"/>
          <w:sz w:val="24"/>
        </w:rPr>
        <w:t>数据列表的窗口。</w:t>
      </w:r>
    </w:p>
    <w:p>
      <w:pPr>
        <w:spacing w:line="360" w:lineRule="auto"/>
        <w:ind w:firstLine="420"/>
        <w:rPr>
          <w:rFonts w:hint="eastAsia" w:ascii="宋体" w:hAnsi="宋体" w:eastAsia="宋体"/>
          <w:sz w:val="24"/>
        </w:rPr>
      </w:pPr>
    </w:p>
    <w:p>
      <w:pPr>
        <w:pStyle w:val="4"/>
        <w:numPr>
          <w:ilvl w:val="1"/>
          <w:numId w:val="0"/>
        </w:numPr>
        <w:ind w:leftChars="0"/>
        <w:rPr>
          <w:rFonts w:hint="eastAsia" w:ascii="宋体" w:hAnsi="宋体" w:eastAsia="宋体"/>
          <w:lang w:val="en-US" w:eastAsia="zh-CN"/>
        </w:rPr>
      </w:pPr>
      <w:r>
        <w:rPr>
          <w:rFonts w:hint="eastAsia" w:ascii="宋体" w:hAnsi="宋体" w:eastAsia="宋体"/>
          <w:lang w:val="en-US" w:eastAsia="zh-CN"/>
        </w:rPr>
        <w:t>3.9.4岗位薪资分布</w:t>
      </w:r>
    </w:p>
    <w:p>
      <w:r>
        <w:drawing>
          <wp:inline distT="0" distB="0" distL="114300" distR="114300">
            <wp:extent cx="3057525" cy="2400300"/>
            <wp:effectExtent l="0" t="0" r="9525" b="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2"/>
                    <a:stretch>
                      <a:fillRect/>
                    </a:stretch>
                  </pic:blipFill>
                  <pic:spPr>
                    <a:xfrm>
                      <a:off x="0" y="0"/>
                      <a:ext cx="3057525" cy="240030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sz w:val="24"/>
        </w:rPr>
      </w:pPr>
      <w:r>
        <w:rPr>
          <w:rFonts w:hint="eastAsia" w:ascii="宋体" w:hAnsi="宋体" w:eastAsia="宋体" w:cs="宋体"/>
          <w:sz w:val="24"/>
        </w:rPr>
        <w:t>该模块统计了园区内人员薪资分布情况，按</w:t>
      </w:r>
      <w:r>
        <w:rPr>
          <w:rFonts w:ascii="宋体" w:hAnsi="宋体" w:eastAsia="宋体" w:cs="宋体"/>
          <w:sz w:val="24"/>
        </w:rPr>
        <w:t>4000元以下、4000-6000、6000-8000、8000-10000、10000-12000及12000元以上进行分布统计，可以将分布情况与整个市及省平均工资</w:t>
      </w:r>
      <w:r>
        <w:rPr>
          <w:rFonts w:hint="eastAsia" w:ascii="宋体" w:hAnsi="宋体" w:eastAsia="宋体" w:cs="宋体"/>
          <w:sz w:val="24"/>
        </w:rPr>
        <w:t>做对比。</w:t>
      </w:r>
      <w:r>
        <w:rPr>
          <w:rFonts w:hint="eastAsia" w:ascii="宋体" w:hAnsi="宋体" w:eastAsia="宋体"/>
          <w:sz w:val="24"/>
        </w:rPr>
        <w:t>同时，当鼠标移动到图上某个薪酬区域时，显示该区域内人才的数量；</w:t>
      </w:r>
    </w:p>
    <w:p>
      <w:pPr>
        <w:spacing w:line="360" w:lineRule="auto"/>
        <w:ind w:firstLine="420"/>
        <w:rPr>
          <w:rFonts w:ascii="宋体" w:hAnsi="宋体" w:eastAsia="宋体" w:cs="宋体"/>
          <w:sz w:val="24"/>
        </w:rPr>
      </w:pPr>
      <w:r>
        <w:rPr>
          <w:rFonts w:hint="eastAsia" w:ascii="宋体" w:hAnsi="宋体" w:eastAsia="宋体"/>
          <w:sz w:val="24"/>
        </w:rPr>
        <w:t>点击图表，弹出每个区域内求职者具体</w:t>
      </w:r>
      <w:r>
        <w:rPr>
          <w:rFonts w:hint="eastAsia" w:ascii="宋体" w:hAnsi="宋体" w:eastAsia="宋体" w:cs="宋体"/>
          <w:sz w:val="24"/>
        </w:rPr>
        <w:t>薪资分布</w:t>
      </w:r>
      <w:r>
        <w:rPr>
          <w:rFonts w:hint="eastAsia" w:ascii="宋体" w:hAnsi="宋体" w:eastAsia="宋体"/>
          <w:sz w:val="24"/>
        </w:rPr>
        <w:t>列表的界面。</w:t>
      </w:r>
    </w:p>
    <w:p>
      <w:pPr>
        <w:spacing w:line="360" w:lineRule="auto"/>
        <w:ind w:firstLine="480" w:firstLineChars="200"/>
        <w:rPr>
          <w:rFonts w:hint="eastAsia" w:ascii="宋体" w:hAnsi="宋体" w:eastAsia="宋体"/>
          <w:sz w:val="24"/>
          <w:lang w:val="en-US" w:eastAsia="zh-CN"/>
        </w:rPr>
      </w:pPr>
    </w:p>
    <w:p>
      <w:pPr>
        <w:pStyle w:val="4"/>
        <w:numPr>
          <w:ilvl w:val="1"/>
          <w:numId w:val="0"/>
        </w:numPr>
        <w:ind w:leftChars="0"/>
        <w:rPr>
          <w:rFonts w:hint="eastAsia" w:ascii="宋体" w:hAnsi="宋体" w:eastAsia="宋体"/>
          <w:lang w:val="en-US" w:eastAsia="zh-CN"/>
        </w:rPr>
      </w:pPr>
      <w:r>
        <w:rPr>
          <w:rFonts w:hint="eastAsia" w:ascii="宋体" w:hAnsi="宋体" w:eastAsia="宋体"/>
          <w:lang w:val="en-US" w:eastAsia="zh-CN"/>
        </w:rPr>
        <w:t>3.9.5人力需求数量按企业排行TOP5</w:t>
      </w:r>
    </w:p>
    <w:p>
      <w:r>
        <w:drawing>
          <wp:inline distT="0" distB="0" distL="114300" distR="114300">
            <wp:extent cx="3505200" cy="2333625"/>
            <wp:effectExtent l="0" t="0" r="0" b="9525"/>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43"/>
                    <a:stretch>
                      <a:fillRect/>
                    </a:stretch>
                  </pic:blipFill>
                  <pic:spPr>
                    <a:xfrm>
                      <a:off x="0" y="0"/>
                      <a:ext cx="3505200" cy="2333625"/>
                    </a:xfrm>
                    <a:prstGeom prst="rect">
                      <a:avLst/>
                    </a:prstGeom>
                    <a:noFill/>
                    <a:ln>
                      <a:noFill/>
                    </a:ln>
                  </pic:spPr>
                </pic:pic>
              </a:graphicData>
            </a:graphic>
          </wp:inline>
        </w:drawing>
      </w:r>
    </w:p>
    <w:p>
      <w:pPr>
        <w:spacing w:line="360" w:lineRule="auto"/>
        <w:ind w:firstLine="420"/>
        <w:rPr>
          <w:rFonts w:hint="eastAsia" w:ascii="宋体" w:hAnsi="宋体" w:eastAsia="宋体" w:cs="宋体"/>
          <w:sz w:val="24"/>
        </w:rPr>
      </w:pPr>
      <w:r>
        <w:rPr>
          <w:rFonts w:hint="eastAsia" w:ascii="宋体" w:hAnsi="宋体" w:eastAsia="宋体" w:cs="宋体"/>
          <w:sz w:val="24"/>
        </w:rPr>
        <w:t>该模块统计了园区内人力需求数量的企业排行前五名，主管部门可以根据企业人才需求量，与企业协商，做出一些吸引人才的政策；</w:t>
      </w:r>
    </w:p>
    <w:p>
      <w:pPr>
        <w:spacing w:line="360" w:lineRule="auto"/>
        <w:ind w:firstLine="420"/>
        <w:rPr>
          <w:rFonts w:ascii="宋体" w:hAnsi="宋体" w:eastAsia="宋体" w:cs="宋体"/>
          <w:sz w:val="24"/>
        </w:rPr>
      </w:pPr>
      <w:r>
        <w:rPr>
          <w:rFonts w:hint="eastAsia" w:ascii="宋体" w:hAnsi="宋体" w:eastAsia="宋体" w:cs="宋体"/>
          <w:sz w:val="24"/>
        </w:rPr>
        <w:t>同时，点击某一企业，在园区地图上展示企业所处位置。</w:t>
      </w:r>
    </w:p>
    <w:p>
      <w:pPr>
        <w:spacing w:line="360" w:lineRule="auto"/>
        <w:ind w:firstLine="420"/>
        <w:rPr>
          <w:rFonts w:hint="eastAsia" w:ascii="宋体" w:hAnsi="宋体" w:eastAsia="宋体" w:cs="宋体"/>
          <w:sz w:val="24"/>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3.10政企协同情况分析</w:t>
      </w:r>
    </w:p>
    <w:p>
      <w:pPr>
        <w:pStyle w:val="4"/>
        <w:numPr>
          <w:ilvl w:val="1"/>
          <w:numId w:val="0"/>
        </w:numPr>
        <w:ind w:leftChars="0"/>
        <w:rPr>
          <w:rFonts w:hint="eastAsia"/>
          <w:lang w:val="en-US" w:eastAsia="zh-CN"/>
        </w:rPr>
      </w:pPr>
      <w:r>
        <w:rPr>
          <w:rFonts w:hint="eastAsia" w:ascii="宋体" w:hAnsi="宋体" w:eastAsia="宋体" w:cstheme="majorBidi"/>
          <w:b/>
          <w:bCs/>
          <w:sz w:val="32"/>
          <w:szCs w:val="32"/>
          <w:lang w:val="en-US" w:eastAsia="zh-CN" w:bidi="ar-SA"/>
        </w:rPr>
        <w:t>3.10.1信息发布（本年）</w:t>
      </w:r>
    </w:p>
    <w:p>
      <w:r>
        <w:drawing>
          <wp:inline distT="0" distB="0" distL="114300" distR="114300">
            <wp:extent cx="2809875" cy="2200275"/>
            <wp:effectExtent l="0" t="0" r="9525" b="952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4"/>
                    <a:stretch>
                      <a:fillRect/>
                    </a:stretch>
                  </pic:blipFill>
                  <pic:spPr>
                    <a:xfrm>
                      <a:off x="0" y="0"/>
                      <a:ext cx="2809875" cy="2200275"/>
                    </a:xfrm>
                    <a:prstGeom prst="rect">
                      <a:avLst/>
                    </a:prstGeom>
                    <a:noFill/>
                    <a:ln>
                      <a:noFill/>
                    </a:ln>
                  </pic:spPr>
                </pic:pic>
              </a:graphicData>
            </a:graphic>
          </wp:inline>
        </w:drawing>
      </w:r>
    </w:p>
    <w:p>
      <w:pPr>
        <w:spacing w:line="360" w:lineRule="auto"/>
        <w:ind w:firstLine="420"/>
        <w:rPr>
          <w:rFonts w:hint="eastAsia" w:ascii="宋体" w:hAnsi="宋体" w:eastAsia="宋体" w:cs="宋体"/>
          <w:sz w:val="24"/>
        </w:rPr>
      </w:pPr>
      <w:r>
        <w:rPr>
          <w:rFonts w:hint="eastAsia" w:ascii="宋体" w:hAnsi="宋体" w:eastAsia="宋体" w:cs="宋体"/>
          <w:sz w:val="24"/>
        </w:rPr>
        <w:t>该模块统计了园区全年发布信息情况，按门户网站、安全学校、公众号、人才系统、望易达等类别进行分类，根据该数据，主管部门对相应的平台加大宣传力度，同时也是体现了园区对企业提供的服务及活动情况。加深了政企关系。</w:t>
      </w:r>
    </w:p>
    <w:p>
      <w:pPr>
        <w:spacing w:line="360" w:lineRule="auto"/>
        <w:ind w:firstLine="420"/>
        <w:rPr>
          <w:rFonts w:ascii="宋体" w:hAnsi="宋体" w:eastAsia="宋体" w:cs="宋体"/>
          <w:sz w:val="24"/>
        </w:rPr>
      </w:pPr>
      <w:r>
        <w:rPr>
          <w:rFonts w:hint="eastAsia" w:ascii="宋体" w:hAnsi="宋体" w:eastAsia="宋体"/>
          <w:sz w:val="24"/>
        </w:rPr>
        <w:t>点击图表，弹出本年度具体每个信息类型的列表界面。</w:t>
      </w:r>
    </w:p>
    <w:p>
      <w:pPr>
        <w:spacing w:line="360" w:lineRule="auto"/>
        <w:ind w:firstLine="420"/>
        <w:rPr>
          <w:rFonts w:hint="eastAsia" w:ascii="宋体" w:hAnsi="宋体" w:eastAsia="宋体" w:cs="宋体"/>
          <w:sz w:val="24"/>
        </w:rPr>
      </w:pPr>
    </w:p>
    <w:p>
      <w:pPr>
        <w:pStyle w:val="4"/>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3.10.2企业响应率TOP5（本年）</w:t>
      </w:r>
    </w:p>
    <w:p>
      <w:r>
        <w:drawing>
          <wp:inline distT="0" distB="0" distL="114300" distR="114300">
            <wp:extent cx="3038475" cy="2314575"/>
            <wp:effectExtent l="0" t="0" r="9525" b="9525"/>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pic:cNvPicPr>
                  </pic:nvPicPr>
                  <pic:blipFill>
                    <a:blip r:embed="rId45"/>
                    <a:stretch>
                      <a:fillRect/>
                    </a:stretch>
                  </pic:blipFill>
                  <pic:spPr>
                    <a:xfrm>
                      <a:off x="0" y="0"/>
                      <a:ext cx="3038475" cy="2314575"/>
                    </a:xfrm>
                    <a:prstGeom prst="rect">
                      <a:avLst/>
                    </a:prstGeom>
                    <a:noFill/>
                    <a:ln>
                      <a:noFill/>
                    </a:ln>
                  </pic:spPr>
                </pic:pic>
              </a:graphicData>
            </a:graphic>
          </wp:inline>
        </w:drawing>
      </w:r>
    </w:p>
    <w:p>
      <w:pPr>
        <w:spacing w:line="360" w:lineRule="auto"/>
        <w:ind w:firstLine="420"/>
        <w:rPr>
          <w:rFonts w:hint="eastAsia" w:ascii="宋体" w:hAnsi="宋体" w:eastAsia="宋体" w:cs="宋体"/>
          <w:sz w:val="24"/>
        </w:rPr>
      </w:pPr>
      <w:r>
        <w:rPr>
          <w:rFonts w:hint="eastAsia" w:ascii="宋体" w:hAnsi="宋体" w:eastAsia="宋体" w:cs="宋体"/>
          <w:sz w:val="24"/>
        </w:rPr>
        <w:t>该模块统计了本年度企业响应率排名前五的企业，按调查问卷和信息报送两个维度展示了企业的响应率，体现了企业的活跃度及配合意向。可以对活跃度和配合意向高的企业进行深一步合作，对活跃度低的企业进行调查，好针对企业做相应的调整，为实现良好的政企关系打下基础。</w:t>
      </w:r>
    </w:p>
    <w:p>
      <w:pPr>
        <w:spacing w:line="360" w:lineRule="auto"/>
        <w:ind w:firstLine="420"/>
        <w:rPr>
          <w:rFonts w:ascii="宋体" w:hAnsi="宋体" w:eastAsia="宋体" w:cs="宋体"/>
          <w:sz w:val="24"/>
        </w:rPr>
      </w:pPr>
      <w:r>
        <w:rPr>
          <w:rFonts w:hint="eastAsia" w:ascii="宋体" w:hAnsi="宋体" w:eastAsia="宋体"/>
          <w:sz w:val="24"/>
        </w:rPr>
        <w:t>点击图表，弹出</w:t>
      </w:r>
      <w:r>
        <w:rPr>
          <w:rFonts w:hint="eastAsia" w:ascii="宋体" w:hAnsi="宋体" w:eastAsia="宋体" w:cs="宋体"/>
          <w:sz w:val="24"/>
        </w:rPr>
        <w:t>企业响应详情列表的</w:t>
      </w:r>
      <w:r>
        <w:rPr>
          <w:rFonts w:hint="eastAsia" w:ascii="宋体" w:hAnsi="宋体" w:eastAsia="宋体"/>
          <w:sz w:val="24"/>
        </w:rPr>
        <w:t>窗口。</w:t>
      </w:r>
    </w:p>
    <w:p>
      <w:pPr>
        <w:spacing w:line="360" w:lineRule="auto"/>
        <w:ind w:firstLine="420"/>
        <w:rPr>
          <w:rFonts w:hint="eastAsia" w:ascii="宋体" w:hAnsi="宋体" w:eastAsia="宋体" w:cs="宋体"/>
          <w:sz w:val="24"/>
        </w:rPr>
      </w:pPr>
    </w:p>
    <w:p>
      <w:pPr>
        <w:pStyle w:val="4"/>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3.10.3信息报送类型统计</w:t>
      </w:r>
    </w:p>
    <w:p>
      <w:r>
        <w:drawing>
          <wp:inline distT="0" distB="0" distL="114300" distR="114300">
            <wp:extent cx="2876550" cy="2333625"/>
            <wp:effectExtent l="0" t="0" r="0" b="952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46"/>
                    <a:stretch>
                      <a:fillRect/>
                    </a:stretch>
                  </pic:blipFill>
                  <pic:spPr>
                    <a:xfrm>
                      <a:off x="0" y="0"/>
                      <a:ext cx="2876550" cy="2333625"/>
                    </a:xfrm>
                    <a:prstGeom prst="rect">
                      <a:avLst/>
                    </a:prstGeom>
                    <a:noFill/>
                    <a:ln>
                      <a:noFill/>
                    </a:ln>
                  </pic:spPr>
                </pic:pic>
              </a:graphicData>
            </a:graphic>
          </wp:inline>
        </w:drawing>
      </w:r>
    </w:p>
    <w:p>
      <w:pPr>
        <w:spacing w:line="360" w:lineRule="auto"/>
        <w:ind w:firstLine="420"/>
        <w:rPr>
          <w:rFonts w:hint="eastAsia" w:ascii="宋体" w:hAnsi="宋体" w:eastAsia="宋体" w:cs="宋体"/>
          <w:sz w:val="24"/>
        </w:rPr>
      </w:pPr>
      <w:r>
        <w:rPr>
          <w:rFonts w:hint="eastAsia" w:ascii="宋体" w:hAnsi="宋体" w:eastAsia="宋体" w:cs="宋体"/>
          <w:sz w:val="24"/>
        </w:rPr>
        <w:t>该模块统计展示了本年度园区内信息报送的数量及类型分布情况，按信息报送、调查问卷、项目申报三大类别进行展示。</w:t>
      </w:r>
    </w:p>
    <w:p>
      <w:pPr>
        <w:spacing w:line="360" w:lineRule="auto"/>
        <w:ind w:firstLine="420"/>
        <w:rPr>
          <w:rFonts w:hint="eastAsia" w:ascii="宋体" w:hAnsi="宋体" w:eastAsia="宋体" w:cs="宋体"/>
          <w:sz w:val="24"/>
        </w:rPr>
      </w:pPr>
      <w:r>
        <w:rPr>
          <w:rFonts w:hint="eastAsia" w:ascii="宋体" w:hAnsi="宋体" w:eastAsia="宋体"/>
          <w:sz w:val="24"/>
        </w:rPr>
        <w:t>点击图表，弹出具体</w:t>
      </w:r>
      <w:r>
        <w:rPr>
          <w:rFonts w:hint="eastAsia" w:ascii="宋体" w:hAnsi="宋体" w:eastAsia="宋体" w:cs="宋体"/>
          <w:sz w:val="24"/>
        </w:rPr>
        <w:t>信息报送的数量及报送类型列表的</w:t>
      </w:r>
      <w:r>
        <w:rPr>
          <w:rFonts w:hint="eastAsia" w:ascii="宋体" w:hAnsi="宋体" w:eastAsia="宋体"/>
          <w:sz w:val="24"/>
        </w:rPr>
        <w:t>窗口。</w:t>
      </w:r>
    </w:p>
    <w:p>
      <w:pPr>
        <w:pStyle w:val="2"/>
        <w:numPr>
          <w:ilvl w:val="1"/>
          <w:numId w:val="0"/>
        </w:numPr>
        <w:ind w:leftChars="0"/>
        <w:rPr>
          <w:rFonts w:hint="eastAsia" w:ascii="宋体" w:hAnsi="宋体" w:eastAsia="宋体"/>
          <w:lang w:eastAsia="zh-CN"/>
        </w:rPr>
      </w:pPr>
      <w:r>
        <w:rPr>
          <w:rFonts w:hint="eastAsia" w:ascii="宋体" w:hAnsi="宋体" w:eastAsia="宋体"/>
          <w:lang w:eastAsia="zh-CN"/>
        </w:rPr>
        <w:t>第四章：国土资源</w:t>
      </w:r>
    </w:p>
    <w:p>
      <w:pPr>
        <w:spacing w:line="360" w:lineRule="auto"/>
        <w:ind w:firstLine="420"/>
        <w:rPr>
          <w:rFonts w:ascii="宋体" w:hAnsi="宋体" w:eastAsia="宋体"/>
          <w:sz w:val="24"/>
        </w:rPr>
      </w:pPr>
      <w:r>
        <w:rPr>
          <w:rFonts w:hint="eastAsia" w:ascii="宋体" w:hAnsi="宋体" w:eastAsia="宋体"/>
          <w:sz w:val="24"/>
          <w:lang w:val="zh-CN"/>
        </w:rPr>
        <w:t>以三维地图的形式展示经开区的土地资源信息展开整体运营分析，从宏观、中观和部分微观情况，为园区领导及国土资源局</w:t>
      </w:r>
      <w:r>
        <w:rPr>
          <w:rFonts w:hint="eastAsia" w:ascii="宋体" w:hAnsi="宋体" w:eastAsia="宋体"/>
          <w:sz w:val="24"/>
        </w:rPr>
        <w:t>展示望城经开区土地总体使用情况、</w:t>
      </w:r>
      <w:r>
        <w:rPr>
          <w:rFonts w:hint="eastAsia" w:ascii="宋体" w:hAnsi="宋体" w:eastAsia="宋体"/>
          <w:sz w:val="24"/>
          <w:lang w:val="zh-CN"/>
        </w:rPr>
        <w:t>土地</w:t>
      </w:r>
      <w:r>
        <w:rPr>
          <w:rFonts w:hint="eastAsia" w:ascii="宋体" w:hAnsi="宋体" w:eastAsia="宋体"/>
          <w:sz w:val="24"/>
        </w:rPr>
        <w:t>供应情况、建设用地情况、征地拆迁情况。有利于国区管理者了解土地资源开发利用的来龙去脉，实现业务、空间综合管理，实时掌握全区建设用地“批、供、用、补、查、权”的态势和整体情况。</w:t>
      </w:r>
    </w:p>
    <w:p>
      <w:pPr>
        <w:rPr>
          <w:rFonts w:hint="eastAsia"/>
          <w:lang w:eastAsia="zh-CN"/>
        </w:rPr>
      </w:pPr>
    </w:p>
    <w:p>
      <w:pPr>
        <w:pStyle w:val="3"/>
        <w:numPr>
          <w:ilvl w:val="0"/>
          <w:numId w:val="0"/>
        </w:numPr>
        <w:ind w:leftChars="0"/>
        <w:rPr>
          <w:rFonts w:hint="eastAsia" w:ascii="宋体" w:hAnsi="宋体" w:eastAsia="宋体"/>
          <w:lang w:val="en-US" w:eastAsia="zh-CN"/>
        </w:rPr>
      </w:pPr>
      <w:r>
        <w:rPr>
          <w:rFonts w:hint="eastAsia" w:ascii="宋体" w:hAnsi="宋体" w:eastAsia="宋体"/>
          <w:lang w:val="en-US" w:eastAsia="zh-CN"/>
        </w:rPr>
        <w:t>4.1国土资源情况总览</w:t>
      </w:r>
    </w:p>
    <w:p>
      <w:r>
        <w:drawing>
          <wp:inline distT="0" distB="0" distL="114300" distR="114300">
            <wp:extent cx="5269865" cy="542290"/>
            <wp:effectExtent l="0" t="0" r="6985" b="1016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47"/>
                    <a:stretch>
                      <a:fillRect/>
                    </a:stretch>
                  </pic:blipFill>
                  <pic:spPr>
                    <a:xfrm>
                      <a:off x="0" y="0"/>
                      <a:ext cx="5269865" cy="542290"/>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lang w:val="zh-CN"/>
        </w:rPr>
        <w:t>该模块以总览的方式展现经开区的土地资源整体情况。主要按年统计</w:t>
      </w:r>
      <w:r>
        <w:rPr>
          <w:rFonts w:ascii="宋体" w:hAnsi="宋体" w:eastAsia="宋体"/>
          <w:sz w:val="24"/>
        </w:rPr>
        <w:t>国土资源总量、批准总量、新增建设用地总量、土地供应总量、项目总数</w:t>
      </w:r>
      <w:r>
        <w:rPr>
          <w:rFonts w:hint="eastAsia" w:ascii="宋体" w:hAnsi="宋体" w:eastAsia="宋体"/>
          <w:sz w:val="24"/>
          <w:lang w:val="zh-CN"/>
        </w:rPr>
        <w:t>等，以文字</w:t>
      </w:r>
      <w:r>
        <w:rPr>
          <w:rFonts w:ascii="宋体" w:hAnsi="宋体" w:eastAsia="宋体"/>
          <w:sz w:val="24"/>
          <w:lang w:val="zh-CN"/>
        </w:rPr>
        <w:t>+数字方式呈现在三维地图上</w:t>
      </w:r>
      <w:r>
        <w:rPr>
          <w:rFonts w:ascii="宋体" w:hAnsi="宋体" w:eastAsia="宋体"/>
          <w:sz w:val="24"/>
        </w:rPr>
        <w:t>，方便园区领导直观等了解区内国土资源整体情况，为土地报批、土地供应、土地开发利用、征地拆迁等工作提供决策支撑。</w:t>
      </w:r>
    </w:p>
    <w:p>
      <w:pPr>
        <w:pStyle w:val="3"/>
        <w:numPr>
          <w:ilvl w:val="0"/>
          <w:numId w:val="0"/>
        </w:numPr>
        <w:ind w:leftChars="0"/>
        <w:rPr>
          <w:rFonts w:hint="eastAsia" w:ascii="宋体" w:hAnsi="宋体" w:eastAsia="宋体"/>
          <w:lang w:val="en-US" w:eastAsia="zh-CN"/>
        </w:rPr>
      </w:pPr>
      <w:r>
        <w:rPr>
          <w:rFonts w:hint="eastAsia" w:ascii="宋体" w:hAnsi="宋体" w:eastAsia="宋体"/>
          <w:lang w:val="en-US" w:eastAsia="zh-CN"/>
        </w:rPr>
        <w:t>4.2土地批准总量情况</w:t>
      </w:r>
    </w:p>
    <w:p>
      <w:pPr>
        <w:rPr>
          <w:rFonts w:hint="eastAsia"/>
          <w:lang w:val="en-US" w:eastAsia="zh-CN"/>
        </w:rPr>
      </w:pPr>
      <w:r>
        <w:drawing>
          <wp:inline distT="0" distB="0" distL="114300" distR="114300">
            <wp:extent cx="3890645" cy="3367405"/>
            <wp:effectExtent l="0" t="0" r="14605" b="4445"/>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48"/>
                    <a:stretch>
                      <a:fillRect/>
                    </a:stretch>
                  </pic:blipFill>
                  <pic:spPr>
                    <a:xfrm>
                      <a:off x="0" y="0"/>
                      <a:ext cx="3890645" cy="3367405"/>
                    </a:xfrm>
                    <a:prstGeom prst="rect">
                      <a:avLst/>
                    </a:prstGeom>
                    <a:noFill/>
                    <a:ln>
                      <a:noFill/>
                    </a:ln>
                  </pic:spPr>
                </pic:pic>
              </a:graphicData>
            </a:graphic>
          </wp:inline>
        </w:drawing>
      </w:r>
    </w:p>
    <w:p>
      <w:pPr>
        <w:ind w:firstLine="480" w:firstLineChars="200"/>
        <w:rPr>
          <w:rFonts w:ascii="宋体" w:hAnsi="宋体" w:eastAsia="宋体"/>
          <w:sz w:val="24"/>
        </w:rPr>
      </w:pPr>
    </w:p>
    <w:p>
      <w:pPr>
        <w:ind w:firstLine="480" w:firstLineChars="200"/>
        <w:rPr>
          <w:rFonts w:hint="eastAsia" w:ascii="宋体" w:hAnsi="宋体" w:eastAsia="宋体"/>
          <w:sz w:val="24"/>
        </w:rPr>
      </w:pPr>
      <w:r>
        <w:rPr>
          <w:rFonts w:ascii="宋体" w:hAnsi="宋体" w:eastAsia="宋体"/>
          <w:sz w:val="24"/>
        </w:rPr>
        <w:t>根据本年度土地报批总量，将各土地类型</w:t>
      </w:r>
      <w:r>
        <w:rPr>
          <w:rFonts w:hint="eastAsia" w:ascii="宋体" w:hAnsi="宋体" w:eastAsia="宋体"/>
          <w:sz w:val="24"/>
          <w:lang w:val="zh-CN"/>
        </w:rPr>
        <w:t>（</w:t>
      </w:r>
      <w:r>
        <w:rPr>
          <w:rFonts w:ascii="宋体" w:hAnsi="宋体" w:eastAsia="宋体"/>
          <w:sz w:val="24"/>
        </w:rPr>
        <w:t>农用地、建设用地、未利用地</w:t>
      </w:r>
      <w:r>
        <w:rPr>
          <w:rFonts w:hint="eastAsia" w:ascii="宋体" w:hAnsi="宋体" w:eastAsia="宋体"/>
          <w:sz w:val="24"/>
          <w:lang w:val="zh-CN"/>
        </w:rPr>
        <w:t>）</w:t>
      </w:r>
      <w:r>
        <w:rPr>
          <w:rFonts w:ascii="宋体" w:hAnsi="宋体" w:eastAsia="宋体"/>
          <w:sz w:val="24"/>
        </w:rPr>
        <w:t>总量进行分析，展示</w:t>
      </w:r>
      <w:r>
        <w:rPr>
          <w:rFonts w:hint="eastAsia" w:ascii="宋体" w:hAnsi="宋体" w:eastAsia="宋体"/>
          <w:sz w:val="24"/>
          <w:lang w:val="zh-CN"/>
        </w:rPr>
        <w:t>统计</w:t>
      </w:r>
      <w:r>
        <w:rPr>
          <w:rFonts w:ascii="宋体" w:hAnsi="宋体" w:eastAsia="宋体"/>
          <w:sz w:val="24"/>
        </w:rPr>
        <w:t>图表</w:t>
      </w:r>
      <w:r>
        <w:rPr>
          <w:rFonts w:hint="eastAsia" w:ascii="宋体" w:hAnsi="宋体" w:eastAsia="宋体"/>
          <w:sz w:val="24"/>
        </w:rPr>
        <w:t>。</w:t>
      </w:r>
    </w:p>
    <w:p>
      <w:pPr>
        <w:spacing w:line="360" w:lineRule="auto"/>
        <w:ind w:firstLine="480" w:firstLineChars="200"/>
        <w:rPr>
          <w:rFonts w:ascii="宋体" w:hAnsi="宋体" w:eastAsia="宋体"/>
          <w:sz w:val="24"/>
        </w:rPr>
      </w:pPr>
      <w:r>
        <w:rPr>
          <w:rFonts w:ascii="宋体" w:hAnsi="宋体" w:eastAsia="宋体"/>
          <w:sz w:val="24"/>
        </w:rPr>
        <w:t>点击报表，经开区三维地图会进行联动展示：将各类型土地用颜色进行区分标记，光标移入各区域时显示区域信息标签</w:t>
      </w:r>
      <w:r>
        <w:rPr>
          <w:rFonts w:hint="eastAsia" w:ascii="宋体" w:hAnsi="宋体" w:eastAsia="宋体"/>
          <w:sz w:val="24"/>
        </w:rPr>
        <w:t>。</w:t>
      </w:r>
    </w:p>
    <w:p>
      <w:pPr>
        <w:ind w:firstLine="480" w:firstLineChars="200"/>
        <w:rPr>
          <w:rFonts w:hint="eastAsia" w:ascii="宋体" w:hAnsi="宋体" w:eastAsia="宋体"/>
          <w:sz w:val="24"/>
        </w:rPr>
      </w:pP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4.3近三年批准总量数据</w:t>
      </w:r>
    </w:p>
    <w:p>
      <w:pPr>
        <w:rPr>
          <w:rFonts w:hint="eastAsia"/>
          <w:lang w:val="en-US" w:eastAsia="zh-CN"/>
        </w:rPr>
      </w:pPr>
    </w:p>
    <w:p>
      <w:r>
        <w:drawing>
          <wp:inline distT="0" distB="0" distL="114300" distR="114300">
            <wp:extent cx="5274310" cy="3072765"/>
            <wp:effectExtent l="0" t="0" r="2540" b="1333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49"/>
                    <a:stretch>
                      <a:fillRect/>
                    </a:stretch>
                  </pic:blipFill>
                  <pic:spPr>
                    <a:xfrm>
                      <a:off x="0" y="0"/>
                      <a:ext cx="5274310" cy="3072765"/>
                    </a:xfrm>
                    <a:prstGeom prst="rect">
                      <a:avLst/>
                    </a:prstGeom>
                    <a:noFill/>
                    <a:ln>
                      <a:noFill/>
                    </a:ln>
                  </pic:spPr>
                </pic:pic>
              </a:graphicData>
            </a:graphic>
          </wp:inline>
        </w:drawing>
      </w:r>
    </w:p>
    <w:p>
      <w:pPr>
        <w:ind w:firstLine="480" w:firstLineChars="200"/>
        <w:rPr>
          <w:rFonts w:ascii="宋体" w:hAnsi="宋体" w:eastAsia="宋体"/>
          <w:sz w:val="24"/>
        </w:rPr>
      </w:pPr>
      <w:r>
        <w:rPr>
          <w:rFonts w:ascii="宋体" w:hAnsi="宋体" w:eastAsia="宋体"/>
          <w:sz w:val="24"/>
        </w:rPr>
        <w:t>将经开区近三年土地报批总量进行汇总分析，展示统计图表；</w:t>
      </w:r>
    </w:p>
    <w:p>
      <w:pPr>
        <w:ind w:firstLine="480" w:firstLineChars="200"/>
        <w:rPr>
          <w:rFonts w:ascii="宋体" w:hAnsi="宋体" w:eastAsia="宋体"/>
          <w:sz w:val="24"/>
        </w:rPr>
      </w:pPr>
      <w:r>
        <w:rPr>
          <w:rFonts w:ascii="宋体" w:hAnsi="宋体" w:eastAsia="宋体"/>
          <w:sz w:val="24"/>
        </w:rPr>
        <w:t>点击报表，以表格弹窗的形式对报批土地明细数据进行展示，明细数据包含报批时间、报批量、用途等</w:t>
      </w:r>
      <w:r>
        <w:rPr>
          <w:rFonts w:hint="eastAsia" w:ascii="宋体" w:hAnsi="宋体" w:eastAsia="宋体"/>
          <w:sz w:val="24"/>
        </w:rPr>
        <w:t>。</w:t>
      </w:r>
    </w:p>
    <w:p>
      <w:pPr>
        <w:pStyle w:val="3"/>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4.4</w:t>
      </w:r>
      <w:r>
        <w:rPr>
          <w:rFonts w:hint="eastAsia" w:ascii="宋体" w:hAnsi="宋体" w:eastAsia="宋体"/>
        </w:rPr>
        <w:t>近三年土地报准总量按用途分析情况</w:t>
      </w:r>
    </w:p>
    <w:p>
      <w:r>
        <w:drawing>
          <wp:inline distT="0" distB="0" distL="114300" distR="114300">
            <wp:extent cx="5269865" cy="1520190"/>
            <wp:effectExtent l="0" t="0" r="6985" b="381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pic:cNvPicPr>
                  </pic:nvPicPr>
                  <pic:blipFill>
                    <a:blip r:embed="rId50"/>
                    <a:stretch>
                      <a:fillRect/>
                    </a:stretch>
                  </pic:blipFill>
                  <pic:spPr>
                    <a:xfrm>
                      <a:off x="0" y="0"/>
                      <a:ext cx="5269865" cy="152019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rPr>
      </w:pPr>
      <w:r>
        <w:rPr>
          <w:rFonts w:ascii="宋体" w:hAnsi="宋体" w:eastAsia="宋体"/>
          <w:sz w:val="24"/>
        </w:rPr>
        <w:t>根据近三年土地报批总量，</w:t>
      </w:r>
      <w:r>
        <w:rPr>
          <w:rFonts w:ascii="宋体" w:hAnsi="宋体" w:eastAsia="宋体"/>
          <w:sz w:val="24"/>
          <w:lang w:val="zh-CN"/>
        </w:rPr>
        <w:t>按土地</w:t>
      </w:r>
      <w:r>
        <w:rPr>
          <w:rFonts w:ascii="宋体" w:hAnsi="宋体" w:eastAsia="宋体"/>
          <w:sz w:val="24"/>
        </w:rPr>
        <w:t>各</w:t>
      </w:r>
      <w:r>
        <w:rPr>
          <w:rFonts w:ascii="宋体" w:hAnsi="宋体" w:eastAsia="宋体"/>
          <w:sz w:val="24"/>
          <w:lang w:val="zh-CN"/>
        </w:rPr>
        <w:t>用途（住宅、商业</w:t>
      </w:r>
      <w:r>
        <w:rPr>
          <w:rFonts w:ascii="宋体" w:hAnsi="宋体" w:eastAsia="宋体"/>
          <w:sz w:val="24"/>
        </w:rPr>
        <w:t>、交通、特殊用地等</w:t>
      </w:r>
      <w:r>
        <w:rPr>
          <w:rFonts w:ascii="宋体" w:hAnsi="宋体" w:eastAsia="宋体"/>
          <w:sz w:val="24"/>
          <w:lang w:val="zh-CN"/>
        </w:rPr>
        <w:t>）</w:t>
      </w:r>
      <w:r>
        <w:rPr>
          <w:rFonts w:ascii="宋体" w:hAnsi="宋体" w:eastAsia="宋体"/>
          <w:sz w:val="24"/>
        </w:rPr>
        <w:t>总量进行分析，展示</w:t>
      </w:r>
      <w:r>
        <w:rPr>
          <w:rFonts w:ascii="宋体" w:hAnsi="宋体" w:eastAsia="宋体"/>
          <w:sz w:val="24"/>
          <w:lang w:val="zh-CN"/>
        </w:rPr>
        <w:t>统计</w:t>
      </w:r>
      <w:r>
        <w:rPr>
          <w:rFonts w:ascii="宋体" w:hAnsi="宋体" w:eastAsia="宋体"/>
          <w:sz w:val="24"/>
        </w:rPr>
        <w:t>图表</w:t>
      </w:r>
      <w:r>
        <w:rPr>
          <w:rFonts w:hint="eastAsia" w:ascii="宋体" w:hAnsi="宋体" w:eastAsia="宋体"/>
          <w:sz w:val="24"/>
        </w:rPr>
        <w:t>。</w:t>
      </w:r>
    </w:p>
    <w:p>
      <w:pPr>
        <w:spacing w:line="360" w:lineRule="auto"/>
        <w:ind w:firstLine="480" w:firstLineChars="200"/>
        <w:rPr>
          <w:rFonts w:ascii="宋体" w:hAnsi="宋体" w:eastAsia="宋体"/>
          <w:sz w:val="24"/>
        </w:rPr>
      </w:pPr>
      <w:r>
        <w:rPr>
          <w:rFonts w:ascii="宋体" w:hAnsi="宋体" w:eastAsia="宋体"/>
          <w:sz w:val="24"/>
        </w:rPr>
        <w:t>点击报表，经开区三维地图会进行联动展示：将各用途的土地用颜色进行区分标记，光标移入各区域时显示区域信息标签</w:t>
      </w:r>
      <w:r>
        <w:rPr>
          <w:rFonts w:hint="eastAsia" w:ascii="宋体" w:hAnsi="宋体" w:eastAsia="宋体"/>
          <w:sz w:val="24"/>
        </w:rPr>
        <w:t>。</w:t>
      </w:r>
    </w:p>
    <w:p>
      <w:pPr>
        <w:spacing w:line="360" w:lineRule="auto"/>
        <w:ind w:firstLine="480" w:firstLineChars="200"/>
        <w:rPr>
          <w:rFonts w:hint="eastAsia" w:ascii="宋体" w:hAnsi="宋体" w:eastAsia="宋体"/>
          <w:sz w:val="24"/>
        </w:rPr>
      </w:pPr>
    </w:p>
    <w:p>
      <w:pPr>
        <w:pStyle w:val="3"/>
        <w:numPr>
          <w:ilvl w:val="0"/>
          <w:numId w:val="0"/>
        </w:numPr>
        <w:ind w:leftChars="0"/>
        <w:rPr>
          <w:rFonts w:hint="eastAsia" w:ascii="宋体" w:hAnsi="宋体" w:eastAsia="宋体"/>
        </w:rPr>
      </w:pPr>
      <w:r>
        <w:rPr>
          <w:rFonts w:hint="eastAsia" w:ascii="宋体" w:hAnsi="宋体" w:eastAsia="宋体"/>
          <w:lang w:val="en-US" w:eastAsia="zh-CN"/>
        </w:rPr>
        <w:t>4.5</w:t>
      </w:r>
      <w:r>
        <w:rPr>
          <w:rFonts w:ascii="宋体" w:hAnsi="宋体" w:eastAsia="宋体"/>
        </w:rPr>
        <w:t>土地</w:t>
      </w:r>
      <w:r>
        <w:rPr>
          <w:rFonts w:hint="eastAsia" w:ascii="宋体" w:hAnsi="宋体" w:eastAsia="宋体"/>
        </w:rPr>
        <w:t>供应方式分布情况</w:t>
      </w:r>
    </w:p>
    <w:p>
      <w:pPr>
        <w:rPr>
          <w:rFonts w:ascii="宋体" w:hAnsi="宋体" w:eastAsia="宋体"/>
        </w:rPr>
      </w:pPr>
      <w:r>
        <w:rPr>
          <w:rFonts w:ascii="宋体" w:hAnsi="宋体" w:eastAsia="宋体"/>
        </w:rPr>
        <w:drawing>
          <wp:inline distT="0" distB="0" distL="0" distR="0">
            <wp:extent cx="3819525" cy="3228975"/>
            <wp:effectExtent l="0" t="0" r="9525" b="9525"/>
            <wp:docPr id="3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
                    <pic:cNvPicPr>
                      <a:picLocks noChangeAspect="1" noChangeArrowheads="1"/>
                    </pic:cNvPicPr>
                  </pic:nvPicPr>
                  <pic:blipFill>
                    <a:blip r:embed="rId51" cstate="print"/>
                    <a:srcRect/>
                    <a:stretch>
                      <a:fillRect/>
                    </a:stretch>
                  </pic:blipFill>
                  <pic:spPr>
                    <a:xfrm>
                      <a:off x="0" y="0"/>
                      <a:ext cx="3819525" cy="3228975"/>
                    </a:xfrm>
                    <a:prstGeom prst="rect">
                      <a:avLst/>
                    </a:prstGeom>
                    <a:noFill/>
                    <a:ln w="9525">
                      <a:noFill/>
                      <a:miter lim="800000"/>
                      <a:headEnd/>
                      <a:tailEnd/>
                    </a:ln>
                  </pic:spPr>
                </pic:pic>
              </a:graphicData>
            </a:graphic>
          </wp:inline>
        </w:drawing>
      </w:r>
    </w:p>
    <w:p>
      <w:pPr>
        <w:ind w:firstLine="480" w:firstLineChars="200"/>
        <w:rPr>
          <w:rFonts w:hint="eastAsia" w:ascii="宋体" w:hAnsi="宋体" w:eastAsia="宋体"/>
          <w:sz w:val="24"/>
        </w:rPr>
      </w:pPr>
      <w:r>
        <w:rPr>
          <w:rFonts w:ascii="宋体" w:hAnsi="宋体" w:eastAsia="宋体"/>
          <w:sz w:val="24"/>
        </w:rPr>
        <w:t>根据本年度土地供应总量，</w:t>
      </w:r>
      <w:r>
        <w:rPr>
          <w:rFonts w:ascii="宋体" w:hAnsi="宋体" w:eastAsia="宋体"/>
          <w:sz w:val="24"/>
          <w:lang w:val="zh-CN"/>
        </w:rPr>
        <w:t>按</w:t>
      </w:r>
      <w:r>
        <w:rPr>
          <w:rFonts w:ascii="宋体" w:hAnsi="宋体" w:eastAsia="宋体"/>
          <w:sz w:val="24"/>
        </w:rPr>
        <w:t>土地</w:t>
      </w:r>
      <w:r>
        <w:rPr>
          <w:rFonts w:ascii="宋体" w:hAnsi="宋体" w:eastAsia="宋体"/>
          <w:sz w:val="24"/>
          <w:lang w:val="zh-CN"/>
        </w:rPr>
        <w:t>供应方式（划拨、招拍挂、协议出让）</w:t>
      </w:r>
      <w:r>
        <w:rPr>
          <w:rFonts w:ascii="宋体" w:hAnsi="宋体" w:eastAsia="宋体"/>
          <w:sz w:val="24"/>
        </w:rPr>
        <w:t>总量进行分析，展示</w:t>
      </w:r>
      <w:r>
        <w:rPr>
          <w:rFonts w:ascii="宋体" w:hAnsi="宋体" w:eastAsia="宋体"/>
          <w:sz w:val="24"/>
          <w:lang w:val="zh-CN"/>
        </w:rPr>
        <w:t>统计</w:t>
      </w:r>
      <w:r>
        <w:rPr>
          <w:rFonts w:ascii="宋体" w:hAnsi="宋体" w:eastAsia="宋体"/>
          <w:sz w:val="24"/>
        </w:rPr>
        <w:t>图表</w:t>
      </w:r>
      <w:r>
        <w:rPr>
          <w:rFonts w:hint="eastAsia" w:ascii="宋体" w:hAnsi="宋体" w:eastAsia="宋体"/>
          <w:sz w:val="24"/>
        </w:rPr>
        <w:t>。</w:t>
      </w:r>
    </w:p>
    <w:p>
      <w:pPr>
        <w:spacing w:line="360" w:lineRule="auto"/>
        <w:ind w:firstLine="480" w:firstLineChars="200"/>
        <w:rPr>
          <w:rFonts w:ascii="宋体" w:hAnsi="宋体" w:eastAsia="宋体"/>
          <w:sz w:val="24"/>
        </w:rPr>
      </w:pPr>
      <w:r>
        <w:rPr>
          <w:rFonts w:ascii="宋体" w:hAnsi="宋体" w:eastAsia="宋体"/>
          <w:sz w:val="24"/>
        </w:rPr>
        <w:t>点击报表，以表格弹窗的形式展示近三年各供应方式的土地面积明细数据</w:t>
      </w:r>
      <w:r>
        <w:rPr>
          <w:rFonts w:hint="eastAsia" w:ascii="宋体" w:hAnsi="宋体" w:eastAsia="宋体"/>
          <w:sz w:val="24"/>
        </w:rPr>
        <w:t>。</w:t>
      </w:r>
    </w:p>
    <w:p>
      <w:pPr>
        <w:ind w:firstLine="480" w:firstLineChars="200"/>
        <w:rPr>
          <w:rFonts w:hint="eastAsia" w:ascii="宋体" w:hAnsi="宋体" w:eastAsia="宋体"/>
          <w:sz w:val="24"/>
        </w:rPr>
      </w:pPr>
    </w:p>
    <w:p>
      <w:pPr>
        <w:pStyle w:val="3"/>
        <w:numPr>
          <w:ilvl w:val="0"/>
          <w:numId w:val="0"/>
        </w:numPr>
        <w:ind w:leftChars="0"/>
        <w:rPr>
          <w:rFonts w:ascii="宋体" w:hAnsi="宋体" w:eastAsia="宋体"/>
        </w:rPr>
      </w:pPr>
      <w:r>
        <w:rPr>
          <w:rFonts w:hint="eastAsia" w:ascii="宋体" w:hAnsi="宋体" w:eastAsia="宋体"/>
          <w:lang w:val="en-US" w:eastAsia="zh-CN"/>
        </w:rPr>
        <w:t>4.6</w:t>
      </w:r>
      <w:r>
        <w:rPr>
          <w:rFonts w:hint="eastAsia" w:ascii="宋体" w:hAnsi="宋体" w:eastAsia="宋体"/>
        </w:rPr>
        <w:t>近三年供应总量对比分析情况</w:t>
      </w:r>
    </w:p>
    <w:p>
      <w:pPr>
        <w:ind w:firstLine="440" w:firstLineChars="200"/>
      </w:pPr>
      <w:r>
        <w:drawing>
          <wp:inline distT="0" distB="0" distL="114300" distR="114300">
            <wp:extent cx="2905125" cy="2787650"/>
            <wp:effectExtent l="0" t="0" r="9525" b="1270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52"/>
                    <a:stretch>
                      <a:fillRect/>
                    </a:stretch>
                  </pic:blipFill>
                  <pic:spPr>
                    <a:xfrm>
                      <a:off x="0" y="0"/>
                      <a:ext cx="2905125" cy="2787650"/>
                    </a:xfrm>
                    <a:prstGeom prst="rect">
                      <a:avLst/>
                    </a:prstGeom>
                    <a:noFill/>
                    <a:ln>
                      <a:noFill/>
                    </a:ln>
                  </pic:spPr>
                </pic:pic>
              </a:graphicData>
            </a:graphic>
          </wp:inline>
        </w:drawing>
      </w:r>
    </w:p>
    <w:p>
      <w:pPr>
        <w:spacing w:line="360" w:lineRule="auto"/>
        <w:ind w:firstLine="840" w:firstLineChars="350"/>
        <w:rPr>
          <w:rFonts w:ascii="宋体" w:hAnsi="宋体" w:eastAsia="宋体"/>
          <w:sz w:val="24"/>
        </w:rPr>
      </w:pPr>
      <w:r>
        <w:rPr>
          <w:rFonts w:ascii="宋体" w:hAnsi="宋体" w:eastAsia="宋体"/>
          <w:sz w:val="24"/>
        </w:rPr>
        <w:t>将经开区近三年土地供应量进行汇总分析，展示统计图表；</w:t>
      </w:r>
    </w:p>
    <w:p>
      <w:pPr>
        <w:spacing w:line="360" w:lineRule="auto"/>
        <w:ind w:firstLine="840" w:firstLineChars="350"/>
        <w:rPr>
          <w:rFonts w:ascii="宋体" w:hAnsi="宋体" w:eastAsia="宋体"/>
          <w:sz w:val="24"/>
        </w:rPr>
      </w:pPr>
      <w:r>
        <w:rPr>
          <w:rFonts w:ascii="宋体" w:hAnsi="宋体" w:eastAsia="宋体"/>
          <w:sz w:val="24"/>
        </w:rPr>
        <w:t>点击报表，以表格弹窗的形式对供应量明细数据进行展示，明细数据包含供应时间、供应量、用途等</w:t>
      </w:r>
      <w:r>
        <w:rPr>
          <w:rFonts w:hint="eastAsia" w:ascii="宋体" w:hAnsi="宋体" w:eastAsia="宋体"/>
          <w:sz w:val="24"/>
        </w:rPr>
        <w:t>。</w:t>
      </w:r>
    </w:p>
    <w:p>
      <w:pPr>
        <w:spacing w:line="360" w:lineRule="auto"/>
        <w:ind w:firstLine="840" w:firstLineChars="350"/>
        <w:rPr>
          <w:rFonts w:ascii="宋体" w:hAnsi="宋体" w:eastAsia="宋体"/>
          <w:sz w:val="24"/>
        </w:rPr>
      </w:pPr>
    </w:p>
    <w:p>
      <w:pPr>
        <w:pStyle w:val="3"/>
        <w:numPr>
          <w:ilvl w:val="0"/>
          <w:numId w:val="0"/>
        </w:numPr>
        <w:ind w:leftChars="0"/>
        <w:rPr>
          <w:rFonts w:hint="eastAsia" w:ascii="宋体" w:hAnsi="宋体" w:eastAsia="宋体"/>
        </w:rPr>
      </w:pPr>
      <w:r>
        <w:rPr>
          <w:rFonts w:hint="eastAsia" w:ascii="宋体" w:hAnsi="宋体" w:eastAsia="宋体"/>
          <w:lang w:val="en-US" w:eastAsia="zh-CN"/>
        </w:rPr>
        <w:t>4.7</w:t>
      </w:r>
      <w:r>
        <w:rPr>
          <w:rFonts w:hint="eastAsia" w:ascii="宋体" w:hAnsi="宋体" w:eastAsia="宋体"/>
        </w:rPr>
        <w:t>本年度已批准未供应数情况</w:t>
      </w:r>
    </w:p>
    <w:p>
      <w:pPr>
        <w:rPr>
          <w:rFonts w:ascii="宋体" w:hAnsi="宋体" w:eastAsia="宋体"/>
        </w:rPr>
      </w:pPr>
      <w:r>
        <w:rPr>
          <w:rFonts w:ascii="宋体" w:hAnsi="宋体" w:eastAsia="宋体"/>
        </w:rPr>
        <w:drawing>
          <wp:inline distT="0" distB="0" distL="0" distR="0">
            <wp:extent cx="3438525" cy="2990850"/>
            <wp:effectExtent l="0" t="0" r="9525"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53" cstate="print"/>
                    <a:srcRect/>
                    <a:stretch>
                      <a:fillRect/>
                    </a:stretch>
                  </pic:blipFill>
                  <pic:spPr>
                    <a:xfrm>
                      <a:off x="0" y="0"/>
                      <a:ext cx="3438525" cy="2990850"/>
                    </a:xfrm>
                    <a:prstGeom prst="rect">
                      <a:avLst/>
                    </a:prstGeom>
                    <a:noFill/>
                    <a:ln w="9525">
                      <a:noFill/>
                      <a:miter lim="800000"/>
                      <a:headEnd/>
                      <a:tailEnd/>
                    </a:ln>
                  </pic:spPr>
                </pic:pic>
              </a:graphicData>
            </a:graphic>
          </wp:inline>
        </w:drawing>
      </w:r>
    </w:p>
    <w:p>
      <w:pPr>
        <w:ind w:firstLine="480" w:firstLineChars="200"/>
        <w:rPr>
          <w:rFonts w:hint="eastAsia" w:ascii="宋体" w:hAnsi="宋体" w:eastAsia="宋体"/>
          <w:sz w:val="24"/>
        </w:rPr>
      </w:pPr>
      <w:r>
        <w:rPr>
          <w:rFonts w:ascii="宋体" w:hAnsi="宋体" w:eastAsia="宋体"/>
          <w:sz w:val="24"/>
        </w:rPr>
        <w:t>通过分析计算本年度已批土地总量及已供土地总量，展示已批未供土地总量</w:t>
      </w:r>
      <w:r>
        <w:rPr>
          <w:rFonts w:hint="eastAsia" w:ascii="宋体" w:hAnsi="宋体" w:eastAsia="宋体"/>
          <w:sz w:val="24"/>
        </w:rPr>
        <w:t>。</w:t>
      </w:r>
    </w:p>
    <w:p>
      <w:pPr>
        <w:spacing w:line="360" w:lineRule="auto"/>
        <w:ind w:firstLine="360" w:firstLineChars="150"/>
        <w:rPr>
          <w:rFonts w:ascii="宋体" w:hAnsi="宋体" w:eastAsia="宋体"/>
          <w:sz w:val="24"/>
        </w:rPr>
      </w:pPr>
      <w:r>
        <w:rPr>
          <w:rFonts w:ascii="宋体" w:hAnsi="宋体" w:eastAsia="宋体"/>
          <w:sz w:val="24"/>
        </w:rPr>
        <w:t>选中已批未供统计图表，经开区三维地图会进行联动展示：展示已批区域、已供区域、未供区域并以颜色进行区分，光标移入时显示区域信息标签</w:t>
      </w:r>
      <w:r>
        <w:rPr>
          <w:rFonts w:hint="eastAsia" w:ascii="宋体" w:hAnsi="宋体" w:eastAsia="宋体"/>
          <w:sz w:val="24"/>
        </w:rPr>
        <w:t>。</w:t>
      </w:r>
    </w:p>
    <w:p>
      <w:pPr>
        <w:ind w:firstLine="480" w:firstLineChars="200"/>
        <w:rPr>
          <w:rFonts w:hint="eastAsia" w:ascii="宋体" w:hAnsi="宋体" w:eastAsia="宋体"/>
          <w:sz w:val="24"/>
        </w:rPr>
      </w:pPr>
    </w:p>
    <w:p>
      <w:pPr>
        <w:pStyle w:val="3"/>
        <w:numPr>
          <w:ilvl w:val="0"/>
          <w:numId w:val="0"/>
        </w:numPr>
        <w:ind w:leftChars="0"/>
        <w:rPr>
          <w:rFonts w:hint="eastAsia" w:ascii="宋体" w:hAnsi="宋体" w:eastAsia="宋体"/>
        </w:rPr>
      </w:pPr>
      <w:r>
        <w:rPr>
          <w:rFonts w:hint="eastAsia" w:ascii="宋体" w:hAnsi="宋体" w:eastAsia="宋体"/>
          <w:lang w:val="en-US" w:eastAsia="zh-CN"/>
        </w:rPr>
        <w:t>4.8</w:t>
      </w:r>
      <w:r>
        <w:rPr>
          <w:rFonts w:hint="eastAsia" w:ascii="宋体" w:hAnsi="宋体" w:eastAsia="宋体"/>
        </w:rPr>
        <w:t>近三年土地供应总量按用途分析情况</w:t>
      </w:r>
    </w:p>
    <w:p>
      <w:r>
        <w:drawing>
          <wp:inline distT="0" distB="0" distL="114300" distR="114300">
            <wp:extent cx="5271135" cy="1546225"/>
            <wp:effectExtent l="0" t="0" r="5715" b="15875"/>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54"/>
                    <a:stretch>
                      <a:fillRect/>
                    </a:stretch>
                  </pic:blipFill>
                  <pic:spPr>
                    <a:xfrm>
                      <a:off x="0" y="0"/>
                      <a:ext cx="5271135" cy="1546225"/>
                    </a:xfrm>
                    <a:prstGeom prst="rect">
                      <a:avLst/>
                    </a:prstGeom>
                    <a:noFill/>
                    <a:ln>
                      <a:noFill/>
                    </a:ln>
                  </pic:spPr>
                </pic:pic>
              </a:graphicData>
            </a:graphic>
          </wp:inline>
        </w:drawing>
      </w:r>
    </w:p>
    <w:p>
      <w:pPr>
        <w:ind w:firstLine="480" w:firstLineChars="200"/>
        <w:rPr>
          <w:rFonts w:hint="eastAsia" w:ascii="宋体" w:hAnsi="宋体" w:eastAsia="宋体"/>
          <w:sz w:val="24"/>
        </w:rPr>
      </w:pPr>
      <w:r>
        <w:rPr>
          <w:rFonts w:ascii="宋体" w:hAnsi="宋体" w:eastAsia="宋体"/>
          <w:sz w:val="24"/>
        </w:rPr>
        <w:t>根据近三年土地供应总量，按</w:t>
      </w:r>
      <w:r>
        <w:rPr>
          <w:rFonts w:hint="eastAsia" w:ascii="宋体" w:hAnsi="宋体" w:eastAsia="宋体"/>
          <w:sz w:val="24"/>
          <w:lang w:val="zh-CN"/>
        </w:rPr>
        <w:t>土地</w:t>
      </w:r>
      <w:r>
        <w:rPr>
          <w:rFonts w:ascii="宋体" w:hAnsi="宋体" w:eastAsia="宋体"/>
          <w:sz w:val="24"/>
        </w:rPr>
        <w:t>各用途</w:t>
      </w:r>
      <w:r>
        <w:rPr>
          <w:rFonts w:hint="eastAsia" w:ascii="宋体" w:hAnsi="宋体" w:eastAsia="宋体"/>
          <w:sz w:val="24"/>
          <w:lang w:val="zh-CN"/>
        </w:rPr>
        <w:t>（</w:t>
      </w:r>
      <w:r>
        <w:rPr>
          <w:rFonts w:ascii="宋体" w:hAnsi="宋体" w:eastAsia="宋体"/>
          <w:sz w:val="24"/>
        </w:rPr>
        <w:t>住宅、商业、交通、特殊用地</w:t>
      </w:r>
      <w:r>
        <w:rPr>
          <w:rFonts w:hint="eastAsia" w:ascii="宋体" w:hAnsi="宋体" w:eastAsia="宋体"/>
          <w:sz w:val="24"/>
          <w:lang w:val="zh-CN"/>
        </w:rPr>
        <w:t>等）</w:t>
      </w:r>
      <w:r>
        <w:rPr>
          <w:rFonts w:ascii="宋体" w:hAnsi="宋体" w:eastAsia="宋体"/>
          <w:sz w:val="24"/>
        </w:rPr>
        <w:t>总量进行分析，展示统计图表</w:t>
      </w:r>
      <w:r>
        <w:rPr>
          <w:rFonts w:hint="eastAsia" w:ascii="宋体" w:hAnsi="宋体" w:eastAsia="宋体"/>
          <w:sz w:val="24"/>
        </w:rPr>
        <w:t>。</w:t>
      </w:r>
    </w:p>
    <w:p>
      <w:pPr>
        <w:spacing w:line="360" w:lineRule="auto"/>
        <w:ind w:firstLine="360" w:firstLineChars="150"/>
        <w:rPr>
          <w:rFonts w:ascii="宋体" w:hAnsi="宋体" w:eastAsia="宋体"/>
          <w:sz w:val="24"/>
        </w:rPr>
      </w:pPr>
      <w:r>
        <w:rPr>
          <w:rFonts w:ascii="宋体" w:hAnsi="宋体" w:eastAsia="宋体"/>
          <w:sz w:val="24"/>
        </w:rPr>
        <w:t>点击报表，经开区三维地图会进行联动展示：对各用途的土地以颜色进行区分标记，光标移入各区域时显示区域信息标签</w:t>
      </w:r>
      <w:r>
        <w:rPr>
          <w:rFonts w:hint="eastAsia" w:ascii="宋体" w:hAnsi="宋体" w:eastAsia="宋体"/>
          <w:sz w:val="24"/>
        </w:rPr>
        <w:t>。</w:t>
      </w:r>
    </w:p>
    <w:p>
      <w:pPr>
        <w:ind w:firstLine="480" w:firstLineChars="200"/>
        <w:rPr>
          <w:rFonts w:hint="eastAsia" w:ascii="宋体" w:hAnsi="宋体" w:eastAsia="宋体"/>
          <w:sz w:val="24"/>
        </w:rPr>
      </w:pPr>
    </w:p>
    <w:p>
      <w:pPr>
        <w:pStyle w:val="3"/>
        <w:numPr>
          <w:ilvl w:val="0"/>
          <w:numId w:val="0"/>
        </w:numPr>
        <w:ind w:leftChars="0"/>
        <w:rPr>
          <w:rFonts w:ascii="宋体" w:hAnsi="宋体" w:eastAsia="宋体"/>
        </w:rPr>
      </w:pPr>
      <w:r>
        <w:rPr>
          <w:rFonts w:hint="eastAsia" w:ascii="宋体" w:hAnsi="宋体" w:eastAsia="宋体"/>
          <w:lang w:val="en-US" w:eastAsia="zh-CN"/>
        </w:rPr>
        <w:t>4.9</w:t>
      </w:r>
      <w:r>
        <w:rPr>
          <w:rFonts w:ascii="宋体" w:hAnsi="宋体" w:eastAsia="宋体"/>
        </w:rPr>
        <w:t>土地开发利用</w:t>
      </w:r>
      <w:r>
        <w:rPr>
          <w:rFonts w:hint="eastAsia" w:ascii="宋体" w:hAnsi="宋体" w:eastAsia="宋体"/>
        </w:rPr>
        <w:t>率</w:t>
      </w:r>
      <w:r>
        <w:rPr>
          <w:rFonts w:ascii="宋体" w:hAnsi="宋体" w:eastAsia="宋体"/>
        </w:rPr>
        <w:t>情况</w:t>
      </w:r>
    </w:p>
    <w:p>
      <w:r>
        <w:drawing>
          <wp:inline distT="0" distB="0" distL="114300" distR="114300">
            <wp:extent cx="2990850" cy="2324100"/>
            <wp:effectExtent l="0" t="0" r="0" b="0"/>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pic:cNvPicPr>
                  </pic:nvPicPr>
                  <pic:blipFill>
                    <a:blip r:embed="rId55"/>
                    <a:stretch>
                      <a:fillRect/>
                    </a:stretch>
                  </pic:blipFill>
                  <pic:spPr>
                    <a:xfrm>
                      <a:off x="0" y="0"/>
                      <a:ext cx="2990850" cy="232410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rPr>
      </w:pPr>
      <w:r>
        <w:rPr>
          <w:rFonts w:ascii="宋体" w:hAnsi="宋体" w:eastAsia="宋体"/>
          <w:sz w:val="24"/>
        </w:rPr>
        <w:t>根据本年土地供应情况及土地开发利用项目情况综合统计计算得出土地开发利用率</w:t>
      </w:r>
      <w:r>
        <w:rPr>
          <w:rFonts w:hint="eastAsia" w:ascii="宋体" w:hAnsi="宋体" w:eastAsia="宋体"/>
          <w:sz w:val="24"/>
        </w:rPr>
        <w:t>。</w:t>
      </w:r>
    </w:p>
    <w:p>
      <w:pPr>
        <w:spacing w:line="360" w:lineRule="auto"/>
        <w:ind w:firstLine="480" w:firstLineChars="200"/>
        <w:rPr>
          <w:rFonts w:hint="eastAsia" w:ascii="宋体" w:hAnsi="宋体" w:eastAsia="宋体"/>
          <w:sz w:val="24"/>
        </w:rPr>
      </w:pPr>
      <w:r>
        <w:rPr>
          <w:rFonts w:ascii="宋体" w:hAnsi="宋体" w:eastAsia="宋体"/>
          <w:sz w:val="24"/>
        </w:rPr>
        <w:t>点击报表，经开区三维地图会进行联动展示：展示本年土地供应范围，并将项目按照状态以色块的方式展示在三维地图中，以颜色对状态进行区分展示，光标移入各色块区域是显示区域的项目名称、完成状态等信息</w:t>
      </w:r>
      <w:r>
        <w:rPr>
          <w:rFonts w:hint="eastAsia" w:ascii="宋体" w:hAnsi="宋体" w:eastAsia="宋体"/>
          <w:sz w:val="24"/>
        </w:rPr>
        <w:t>。</w:t>
      </w:r>
    </w:p>
    <w:p>
      <w:pPr>
        <w:pStyle w:val="3"/>
        <w:numPr>
          <w:ilvl w:val="1"/>
          <w:numId w:val="0"/>
        </w:numPr>
        <w:ind w:leftChars="0"/>
        <w:rPr>
          <w:rFonts w:hint="eastAsia" w:ascii="宋体" w:hAnsi="宋体" w:eastAsia="宋体"/>
        </w:rPr>
      </w:pPr>
      <w:r>
        <w:rPr>
          <w:rFonts w:hint="eastAsia" w:ascii="宋体" w:hAnsi="宋体" w:eastAsia="宋体"/>
          <w:lang w:val="en-US" w:eastAsia="zh-CN"/>
        </w:rPr>
        <w:t>4.10</w:t>
      </w:r>
      <w:r>
        <w:rPr>
          <w:rFonts w:hint="eastAsia" w:ascii="宋体" w:hAnsi="宋体" w:eastAsia="宋体"/>
        </w:rPr>
        <w:t>本年度开工情况</w:t>
      </w:r>
    </w:p>
    <w:p>
      <w:r>
        <w:drawing>
          <wp:inline distT="0" distB="0" distL="114300" distR="114300">
            <wp:extent cx="4581525" cy="1285875"/>
            <wp:effectExtent l="0" t="0" r="952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6"/>
                    <a:stretch>
                      <a:fillRect/>
                    </a:stretch>
                  </pic:blipFill>
                  <pic:spPr>
                    <a:xfrm>
                      <a:off x="0" y="0"/>
                      <a:ext cx="4581525" cy="128587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按月度对最近一年的土地开发利用开工项目情况进行分析，统计各月度实际开工项目数量</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ascii="宋体" w:hAnsi="宋体" w:eastAsia="宋体"/>
          <w:sz w:val="24"/>
        </w:rPr>
        <w:t>点击报表，以表格弹窗的形式展示各月度开工项目的明细数据，包含项目名称、开工时间等</w:t>
      </w:r>
      <w:r>
        <w:rPr>
          <w:rFonts w:hint="eastAsia" w:ascii="宋体" w:hAnsi="宋体" w:eastAsia="宋体"/>
          <w:sz w:val="24"/>
        </w:rPr>
        <w:t>。</w:t>
      </w:r>
    </w:p>
    <w:p>
      <w:pPr>
        <w:pStyle w:val="3"/>
        <w:numPr>
          <w:ilvl w:val="0"/>
          <w:numId w:val="0"/>
        </w:numPr>
        <w:ind w:leftChars="0"/>
        <w:rPr>
          <w:rFonts w:hint="eastAsia" w:ascii="宋体" w:hAnsi="宋体" w:eastAsia="宋体"/>
        </w:rPr>
      </w:pPr>
      <w:r>
        <w:rPr>
          <w:rFonts w:hint="eastAsia" w:ascii="宋体" w:hAnsi="宋体" w:eastAsia="宋体"/>
          <w:lang w:val="en-US" w:eastAsia="zh-CN"/>
        </w:rPr>
        <w:t>4.11</w:t>
      </w:r>
      <w:r>
        <w:rPr>
          <w:rFonts w:hint="eastAsia" w:ascii="宋体" w:hAnsi="宋体" w:eastAsia="宋体"/>
        </w:rPr>
        <w:t>本年度</w:t>
      </w:r>
      <w:r>
        <w:rPr>
          <w:rFonts w:hint="eastAsia" w:ascii="宋体" w:hAnsi="宋体" w:eastAsia="宋体"/>
          <w:lang w:eastAsia="zh-CN"/>
        </w:rPr>
        <w:t>竣工</w:t>
      </w:r>
      <w:r>
        <w:rPr>
          <w:rFonts w:hint="eastAsia" w:ascii="宋体" w:hAnsi="宋体" w:eastAsia="宋体"/>
        </w:rPr>
        <w:t>情况</w:t>
      </w:r>
    </w:p>
    <w:p>
      <w:r>
        <w:drawing>
          <wp:inline distT="0" distB="0" distL="114300" distR="114300">
            <wp:extent cx="4840605" cy="1452245"/>
            <wp:effectExtent l="0" t="0" r="17145" b="1460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7"/>
                    <a:stretch>
                      <a:fillRect/>
                    </a:stretch>
                  </pic:blipFill>
                  <pic:spPr>
                    <a:xfrm>
                      <a:off x="0" y="0"/>
                      <a:ext cx="4840605" cy="145224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按月度对最近一年的土地开发利用竣工项目情况进行分析，统计各月度实际竣工项目数量</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ascii="宋体" w:hAnsi="宋体" w:eastAsia="宋体"/>
          <w:sz w:val="24"/>
        </w:rPr>
        <w:t>点击报表，以表格弹窗的形式展示各月度竣工项目的明细数据，包含项目名称、竣工时间等</w:t>
      </w:r>
      <w:r>
        <w:rPr>
          <w:rFonts w:hint="eastAsia" w:ascii="宋体" w:hAnsi="宋体" w:eastAsia="宋体"/>
          <w:sz w:val="24"/>
        </w:rPr>
        <w:t>。</w:t>
      </w:r>
    </w:p>
    <w:p>
      <w:pPr>
        <w:pStyle w:val="3"/>
        <w:numPr>
          <w:ilvl w:val="0"/>
          <w:numId w:val="0"/>
        </w:numPr>
        <w:ind w:leftChars="0"/>
        <w:rPr>
          <w:rFonts w:hint="eastAsia" w:ascii="宋体" w:hAnsi="宋体" w:eastAsia="宋体"/>
        </w:rPr>
      </w:pPr>
      <w:r>
        <w:rPr>
          <w:rFonts w:hint="eastAsia" w:ascii="宋体" w:hAnsi="宋体" w:eastAsia="宋体"/>
          <w:lang w:val="en-US" w:eastAsia="zh-CN"/>
        </w:rPr>
        <w:t>4.12征地拆迁完成</w:t>
      </w:r>
      <w:r>
        <w:rPr>
          <w:rFonts w:hint="eastAsia" w:ascii="宋体" w:hAnsi="宋体" w:eastAsia="宋体"/>
        </w:rPr>
        <w:t>情况</w:t>
      </w:r>
    </w:p>
    <w:p>
      <w:r>
        <w:drawing>
          <wp:inline distT="0" distB="0" distL="114300" distR="114300">
            <wp:extent cx="2352675" cy="2543175"/>
            <wp:effectExtent l="0" t="0" r="9525" b="952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58"/>
                    <a:stretch>
                      <a:fillRect/>
                    </a:stretch>
                  </pic:blipFill>
                  <pic:spPr>
                    <a:xfrm>
                      <a:off x="0" y="0"/>
                      <a:ext cx="2352675" cy="254317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根据本年度征地拆迁计划面积及实际征地拆迁项目完成情况，综合统计分析计算出征地拆迁完成率</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ascii="宋体" w:hAnsi="宋体" w:eastAsia="宋体"/>
          <w:sz w:val="24"/>
        </w:rPr>
        <w:t>点击报表，经开区三维地图会进行联动展示：将征地拆迁区域按照状态以色块的方式展示在三维地图中，以颜色对状态进行区分展示，光标移入各色块区域时显示区域的征拆面积、项目名称、完成状态等信息</w:t>
      </w:r>
      <w:r>
        <w:rPr>
          <w:rFonts w:hint="eastAsia" w:ascii="宋体" w:hAnsi="宋体" w:eastAsia="宋体"/>
          <w:sz w:val="24"/>
        </w:rPr>
        <w:t>。</w:t>
      </w:r>
    </w:p>
    <w:p>
      <w:pPr>
        <w:pStyle w:val="3"/>
        <w:numPr>
          <w:ilvl w:val="0"/>
          <w:numId w:val="0"/>
        </w:numPr>
        <w:ind w:leftChars="0"/>
        <w:rPr>
          <w:rFonts w:hint="eastAsia" w:ascii="宋体" w:hAnsi="宋体" w:eastAsia="宋体"/>
        </w:rPr>
      </w:pPr>
      <w:r>
        <w:rPr>
          <w:rFonts w:hint="eastAsia" w:ascii="宋体" w:hAnsi="宋体" w:eastAsia="宋体"/>
          <w:lang w:val="en-US" w:eastAsia="zh-CN"/>
        </w:rPr>
        <w:t>4.13征地拆迁分类统计</w:t>
      </w:r>
      <w:r>
        <w:rPr>
          <w:rFonts w:hint="eastAsia" w:ascii="宋体" w:hAnsi="宋体" w:eastAsia="宋体"/>
        </w:rPr>
        <w:t>情况</w:t>
      </w:r>
    </w:p>
    <w:p>
      <w:pPr>
        <w:spacing w:line="360" w:lineRule="auto"/>
        <w:ind w:firstLine="330" w:firstLineChars="150"/>
      </w:pPr>
      <w:r>
        <w:drawing>
          <wp:inline distT="0" distB="0" distL="114300" distR="114300">
            <wp:extent cx="2721610" cy="2699385"/>
            <wp:effectExtent l="0" t="0" r="2540" b="571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59"/>
                    <a:stretch>
                      <a:fillRect/>
                    </a:stretch>
                  </pic:blipFill>
                  <pic:spPr>
                    <a:xfrm>
                      <a:off x="0" y="0"/>
                      <a:ext cx="2721610" cy="2699385"/>
                    </a:xfrm>
                    <a:prstGeom prst="rect">
                      <a:avLst/>
                    </a:prstGeom>
                    <a:noFill/>
                    <a:ln>
                      <a:noFill/>
                    </a:ln>
                  </pic:spPr>
                </pic:pic>
              </a:graphicData>
            </a:graphic>
          </wp:inline>
        </w:drawing>
      </w:r>
    </w:p>
    <w:p>
      <w:pPr>
        <w:pStyle w:val="45"/>
        <w:rPr>
          <w:rFonts w:ascii="宋体" w:hAnsi="宋体"/>
          <w:color w:val="000000" w:themeColor="text1"/>
        </w:rPr>
      </w:pPr>
      <w:r>
        <w:rPr>
          <w:rFonts w:ascii="宋体" w:hAnsi="宋体"/>
          <w:color w:val="000000" w:themeColor="text1"/>
        </w:rPr>
        <w:t>对征地拆迁项目的土地归属进行统计，分析不同土地归属在本年度征地拆迁项目中所占比例</w:t>
      </w:r>
      <w:r>
        <w:rPr>
          <w:rFonts w:hint="eastAsia" w:ascii="宋体" w:hAnsi="宋体"/>
          <w:color w:val="000000" w:themeColor="text1"/>
        </w:rPr>
        <w:t>。</w:t>
      </w:r>
    </w:p>
    <w:p>
      <w:pPr>
        <w:pStyle w:val="45"/>
        <w:rPr>
          <w:rFonts w:ascii="宋体" w:hAnsi="宋体"/>
          <w:color w:val="000000" w:themeColor="text1"/>
        </w:rPr>
      </w:pPr>
      <w:r>
        <w:rPr>
          <w:rFonts w:ascii="宋体" w:hAnsi="宋体"/>
          <w:color w:val="000000" w:themeColor="text1"/>
        </w:rPr>
        <w:t>点击图表，以表格弹窗的形式展示明细的土地拆迁项目情况，包含项目名称、面积、土地归属等</w:t>
      </w:r>
      <w:r>
        <w:rPr>
          <w:rFonts w:hint="eastAsia" w:ascii="宋体" w:hAnsi="宋体"/>
          <w:color w:val="000000" w:themeColor="text1"/>
        </w:rPr>
        <w:t>。</w:t>
      </w:r>
    </w:p>
    <w:p>
      <w:pPr>
        <w:pStyle w:val="3"/>
        <w:numPr>
          <w:ilvl w:val="0"/>
          <w:numId w:val="0"/>
        </w:numPr>
        <w:ind w:leftChars="0"/>
        <w:rPr>
          <w:rFonts w:hint="eastAsia" w:ascii="宋体" w:hAnsi="宋体" w:eastAsia="宋体"/>
        </w:rPr>
      </w:pPr>
      <w:r>
        <w:rPr>
          <w:rFonts w:hint="eastAsia" w:ascii="宋体" w:hAnsi="宋体" w:eastAsia="宋体"/>
          <w:lang w:val="en-US" w:eastAsia="zh-CN"/>
        </w:rPr>
        <w:t>4.14征地拆迁计划</w:t>
      </w:r>
      <w:r>
        <w:rPr>
          <w:rFonts w:hint="eastAsia" w:ascii="宋体" w:hAnsi="宋体" w:eastAsia="宋体"/>
        </w:rPr>
        <w:t>情况</w:t>
      </w:r>
    </w:p>
    <w:p>
      <w:r>
        <w:drawing>
          <wp:inline distT="0" distB="0" distL="114300" distR="114300">
            <wp:extent cx="4206875" cy="2840990"/>
            <wp:effectExtent l="0" t="0" r="3175" b="1651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60"/>
                    <a:stretch>
                      <a:fillRect/>
                    </a:stretch>
                  </pic:blipFill>
                  <pic:spPr>
                    <a:xfrm>
                      <a:off x="0" y="0"/>
                      <a:ext cx="4206875" cy="2840990"/>
                    </a:xfrm>
                    <a:prstGeom prst="rect">
                      <a:avLst/>
                    </a:prstGeom>
                    <a:noFill/>
                    <a:ln>
                      <a:noFill/>
                    </a:ln>
                  </pic:spPr>
                </pic:pic>
              </a:graphicData>
            </a:graphic>
          </wp:inline>
        </w:drawing>
      </w:r>
    </w:p>
    <w:p>
      <w:pPr>
        <w:pStyle w:val="45"/>
        <w:rPr>
          <w:rFonts w:ascii="宋体" w:hAnsi="宋体"/>
          <w:color w:val="000000" w:themeColor="text1"/>
        </w:rPr>
      </w:pPr>
      <w:r>
        <w:rPr>
          <w:rFonts w:ascii="宋体" w:hAnsi="宋体"/>
          <w:color w:val="000000" w:themeColor="text1"/>
        </w:rPr>
        <w:t>统计本年度征地拆迁项目进度情况，将进度分为：初步概算、概算、结算三个阶段，以图表形式展示各个阶段的项目数量</w:t>
      </w:r>
      <w:r>
        <w:rPr>
          <w:rFonts w:hint="eastAsia" w:ascii="宋体" w:hAnsi="宋体"/>
          <w:color w:val="000000" w:themeColor="text1"/>
        </w:rPr>
        <w:t>。</w:t>
      </w:r>
    </w:p>
    <w:p>
      <w:pPr>
        <w:pStyle w:val="45"/>
        <w:rPr>
          <w:rFonts w:hint="eastAsia" w:ascii="宋体" w:hAnsi="宋体"/>
          <w:color w:val="000000" w:themeColor="text1"/>
        </w:rPr>
      </w:pPr>
      <w:r>
        <w:rPr>
          <w:rFonts w:ascii="宋体" w:hAnsi="宋体"/>
          <w:color w:val="000000" w:themeColor="text1"/>
        </w:rPr>
        <w:t>点击图表，以表格弹窗的形式展示各个阶段的明细数据，包含项目名称、当前阶段等</w:t>
      </w:r>
      <w:r>
        <w:rPr>
          <w:rFonts w:hint="eastAsia" w:ascii="宋体" w:hAnsi="宋体"/>
          <w:color w:val="000000" w:themeColor="text1"/>
        </w:rPr>
        <w:t>。</w:t>
      </w:r>
    </w:p>
    <w:p>
      <w:pPr>
        <w:pStyle w:val="2"/>
        <w:numPr>
          <w:ilvl w:val="0"/>
          <w:numId w:val="0"/>
        </w:numPr>
        <w:ind w:leftChars="0"/>
        <w:rPr>
          <w:rFonts w:hint="default" w:ascii="宋体" w:hAnsi="宋体" w:eastAsia="宋体"/>
          <w:lang w:val="en-US" w:eastAsia="zh-CN"/>
        </w:rPr>
      </w:pPr>
      <w:r>
        <w:rPr>
          <w:rFonts w:hint="eastAsia" w:ascii="宋体" w:hAnsi="宋体" w:eastAsia="宋体" w:cstheme="minorBidi"/>
          <w:b/>
          <w:bCs/>
          <w:kern w:val="44"/>
          <w:sz w:val="44"/>
          <w:szCs w:val="44"/>
          <w:lang w:val="en-US" w:eastAsia="zh-CN" w:bidi="ar-SA"/>
        </w:rPr>
        <w:t>第五章：</w:t>
      </w:r>
      <w:r>
        <w:rPr>
          <w:rFonts w:hint="eastAsia" w:ascii="宋体" w:hAnsi="宋体" w:eastAsia="宋体"/>
        </w:rPr>
        <w:t>项目建设</w:t>
      </w:r>
    </w:p>
    <w:p>
      <w:pPr>
        <w:pStyle w:val="3"/>
        <w:numPr>
          <w:ilvl w:val="1"/>
          <w:numId w:val="0"/>
        </w:numPr>
        <w:ind w:leftChars="0"/>
        <w:rPr>
          <w:rFonts w:hint="eastAsia" w:ascii="宋体" w:hAnsi="宋体" w:eastAsia="宋体"/>
          <w:lang w:eastAsia="zh-CN"/>
        </w:rPr>
      </w:pPr>
      <w:r>
        <w:rPr>
          <w:rFonts w:hint="eastAsia" w:ascii="宋体" w:hAnsi="宋体" w:eastAsia="宋体" w:cstheme="majorBidi"/>
          <w:b/>
          <w:bCs/>
          <w:sz w:val="32"/>
          <w:szCs w:val="32"/>
          <w:lang w:val="en-US" w:eastAsia="zh-CN" w:bidi="ar-SA"/>
        </w:rPr>
        <w:t>5.1</w:t>
      </w:r>
      <w:r>
        <w:rPr>
          <w:rFonts w:hint="eastAsia" w:ascii="宋体" w:hAnsi="宋体" w:eastAsia="宋体"/>
        </w:rPr>
        <w:t>项目情况总览</w:t>
      </w:r>
    </w:p>
    <w:p>
      <w:pPr>
        <w:rPr>
          <w:rFonts w:hint="eastAsia"/>
          <w:lang w:eastAsia="zh-CN"/>
        </w:rPr>
      </w:pPr>
      <w:r>
        <w:drawing>
          <wp:inline distT="0" distB="0" distL="114300" distR="114300">
            <wp:extent cx="5273040" cy="714375"/>
            <wp:effectExtent l="0" t="0" r="3810" b="952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61"/>
                    <a:stretch>
                      <a:fillRect/>
                    </a:stretch>
                  </pic:blipFill>
                  <pic:spPr>
                    <a:xfrm>
                      <a:off x="0" y="0"/>
                      <a:ext cx="5273040" cy="714375"/>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该模块在三维地图上以文字</w:t>
      </w:r>
      <w:r>
        <w:rPr>
          <w:rFonts w:ascii="宋体" w:hAnsi="宋体" w:eastAsia="宋体"/>
          <w:sz w:val="24"/>
        </w:rPr>
        <w:t>+数字的总</w:t>
      </w:r>
      <w:r>
        <w:rPr>
          <w:rFonts w:hint="eastAsia" w:ascii="宋体" w:hAnsi="宋体" w:eastAsia="宋体"/>
          <w:sz w:val="24"/>
        </w:rPr>
        <w:t>览方式，展示望城经开区政府投资项目的总体情况，包括申请付款的合同总数、合同总金额、累计已付款金额。</w:t>
      </w:r>
    </w:p>
    <w:p>
      <w:pPr>
        <w:pStyle w:val="3"/>
        <w:numPr>
          <w:ilvl w:val="1"/>
          <w:numId w:val="0"/>
        </w:numPr>
        <w:ind w:leftChars="0"/>
        <w:rPr>
          <w:rFonts w:hint="eastAsia" w:ascii="宋体" w:hAnsi="宋体" w:eastAsia="宋体"/>
          <w:lang w:eastAsia="zh-CN"/>
        </w:rPr>
      </w:pPr>
      <w:r>
        <w:rPr>
          <w:rFonts w:hint="eastAsia" w:ascii="宋体" w:hAnsi="宋体" w:eastAsia="宋体"/>
          <w:lang w:val="en-US" w:eastAsia="zh-CN"/>
        </w:rPr>
        <w:t>5.2</w:t>
      </w:r>
      <w:r>
        <w:rPr>
          <w:rFonts w:hint="eastAsia" w:ascii="宋体" w:hAnsi="宋体" w:eastAsia="宋体"/>
        </w:rPr>
        <w:t>项目立项趋势情况</w:t>
      </w:r>
    </w:p>
    <w:p>
      <w:pPr>
        <w:rPr>
          <w:rFonts w:ascii="宋体" w:hAnsi="宋体" w:eastAsia="宋体"/>
        </w:rPr>
      </w:pPr>
      <w:r>
        <w:drawing>
          <wp:inline distT="0" distB="0" distL="114300" distR="114300">
            <wp:extent cx="5273675" cy="1718945"/>
            <wp:effectExtent l="0" t="0" r="3175" b="1460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62"/>
                    <a:stretch>
                      <a:fillRect/>
                    </a:stretch>
                  </pic:blipFill>
                  <pic:spPr>
                    <a:xfrm>
                      <a:off x="0" y="0"/>
                      <a:ext cx="5273675" cy="1718945"/>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根据经开区政府投资项目的立项情况，展示最近</w:t>
      </w:r>
      <w:r>
        <w:rPr>
          <w:rFonts w:ascii="宋体" w:hAnsi="宋体" w:eastAsia="宋体"/>
          <w:sz w:val="24"/>
        </w:rPr>
        <w:t>6个月的立项趋势。</w:t>
      </w:r>
    </w:p>
    <w:p>
      <w:pPr>
        <w:spacing w:line="360" w:lineRule="auto"/>
        <w:ind w:firstLine="420"/>
        <w:rPr>
          <w:rFonts w:ascii="宋体" w:hAnsi="宋体" w:eastAsia="宋体"/>
          <w:sz w:val="24"/>
        </w:rPr>
      </w:pPr>
      <w:r>
        <w:rPr>
          <w:rFonts w:hint="eastAsia" w:ascii="宋体" w:hAnsi="宋体" w:eastAsia="宋体"/>
          <w:sz w:val="24"/>
        </w:rPr>
        <w:t>点击立项趋势图标，以表格弹窗的形式展示具体的立项情况，包括项目名称、项目规模、立项时间、立项分类等。</w:t>
      </w:r>
    </w:p>
    <w:p>
      <w:pPr>
        <w:rPr>
          <w:rFonts w:hint="eastAsia" w:ascii="宋体" w:hAnsi="宋体" w:eastAsia="宋体"/>
          <w:lang w:eastAsia="zh-CN"/>
        </w:rPr>
      </w:pPr>
    </w:p>
    <w:p>
      <w:pPr>
        <w:pStyle w:val="3"/>
        <w:numPr>
          <w:ilvl w:val="1"/>
          <w:numId w:val="0"/>
        </w:numPr>
        <w:ind w:leftChars="0"/>
        <w:rPr>
          <w:rFonts w:hint="eastAsia" w:ascii="宋体" w:hAnsi="宋体" w:eastAsia="宋体"/>
          <w:lang w:eastAsia="zh-CN"/>
        </w:rPr>
      </w:pPr>
      <w:r>
        <w:rPr>
          <w:rFonts w:hint="eastAsia" w:ascii="宋体" w:hAnsi="宋体" w:eastAsia="宋体"/>
          <w:lang w:val="en-US" w:eastAsia="zh-CN"/>
        </w:rPr>
        <w:t>5.3</w:t>
      </w:r>
      <w:r>
        <w:rPr>
          <w:rFonts w:hint="eastAsia" w:ascii="宋体" w:hAnsi="宋体" w:eastAsia="宋体"/>
        </w:rPr>
        <w:t>项目立项分类统计情况</w:t>
      </w:r>
    </w:p>
    <w:p>
      <w:pPr>
        <w:rPr>
          <w:rFonts w:hint="eastAsia"/>
          <w:lang w:eastAsia="zh-CN"/>
        </w:rPr>
      </w:pPr>
      <w:r>
        <w:drawing>
          <wp:inline distT="0" distB="0" distL="114300" distR="114300">
            <wp:extent cx="4242435" cy="2950210"/>
            <wp:effectExtent l="0" t="0" r="5715" b="254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63"/>
                    <a:stretch>
                      <a:fillRect/>
                    </a:stretch>
                  </pic:blipFill>
                  <pic:spPr>
                    <a:xfrm>
                      <a:off x="0" y="0"/>
                      <a:ext cx="4242435" cy="2950210"/>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根据经开区政府投资项目的立项情况，对立项分类进行统计分析，展示分析图表。</w:t>
      </w:r>
    </w:p>
    <w:p>
      <w:pPr>
        <w:pStyle w:val="3"/>
        <w:numPr>
          <w:ilvl w:val="1"/>
          <w:numId w:val="0"/>
        </w:numPr>
        <w:ind w:leftChars="0"/>
        <w:rPr>
          <w:rFonts w:hint="eastAsia" w:ascii="宋体" w:hAnsi="宋体" w:eastAsia="宋体"/>
        </w:rPr>
      </w:pPr>
      <w:r>
        <w:rPr>
          <w:rFonts w:hint="eastAsia" w:ascii="宋体" w:hAnsi="宋体" w:eastAsia="宋体"/>
          <w:lang w:val="en-US" w:eastAsia="zh-CN"/>
        </w:rPr>
        <w:t>5.4</w:t>
      </w:r>
      <w:r>
        <w:rPr>
          <w:rFonts w:hint="eastAsia" w:ascii="宋体" w:hAnsi="宋体" w:eastAsia="宋体"/>
        </w:rPr>
        <w:t>项目立项按投资主体统计情况</w:t>
      </w:r>
    </w:p>
    <w:p>
      <w:pPr>
        <w:rPr>
          <w:rFonts w:hint="eastAsia"/>
          <w:lang w:val="en-US" w:eastAsia="zh-CN"/>
        </w:rPr>
      </w:pPr>
      <w:r>
        <w:drawing>
          <wp:inline distT="0" distB="0" distL="114300" distR="114300">
            <wp:extent cx="4017010" cy="2879090"/>
            <wp:effectExtent l="0" t="0" r="2540" b="1651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64"/>
                    <a:stretch>
                      <a:fillRect/>
                    </a:stretch>
                  </pic:blipFill>
                  <pic:spPr>
                    <a:xfrm>
                      <a:off x="0" y="0"/>
                      <a:ext cx="4017010" cy="2879090"/>
                    </a:xfrm>
                    <a:prstGeom prst="rect">
                      <a:avLst/>
                    </a:prstGeom>
                    <a:noFill/>
                    <a:ln>
                      <a:noFill/>
                    </a:ln>
                  </pic:spPr>
                </pic:pic>
              </a:graphicData>
            </a:graphic>
          </wp:inline>
        </w:drawing>
      </w:r>
    </w:p>
    <w:p>
      <w:pPr>
        <w:rPr>
          <w:rFonts w:hint="eastAsia"/>
          <w:lang w:val="en-US" w:eastAsia="zh-CN"/>
        </w:rPr>
      </w:pPr>
    </w:p>
    <w:p>
      <w:pPr>
        <w:spacing w:line="360" w:lineRule="auto"/>
        <w:ind w:firstLine="420"/>
        <w:rPr>
          <w:rFonts w:hint="eastAsia" w:ascii="宋体" w:hAnsi="宋体" w:eastAsia="宋体"/>
          <w:sz w:val="24"/>
        </w:rPr>
      </w:pPr>
      <w:r>
        <w:rPr>
          <w:rFonts w:hint="eastAsia" w:ascii="宋体" w:hAnsi="宋体" w:eastAsia="宋体"/>
          <w:sz w:val="24"/>
        </w:rPr>
        <w:t>根据经开区的项目立项情况，按照投资主体进行统计，展示各投资主体累计投资的项目数量。</w:t>
      </w:r>
    </w:p>
    <w:p>
      <w:pPr>
        <w:spacing w:line="360" w:lineRule="auto"/>
        <w:ind w:firstLine="420"/>
        <w:rPr>
          <w:rFonts w:hint="eastAsia" w:ascii="宋体" w:hAnsi="宋体" w:eastAsia="宋体"/>
          <w:sz w:val="24"/>
        </w:rPr>
      </w:pPr>
      <w:r>
        <w:rPr>
          <w:rFonts w:hint="eastAsia" w:ascii="宋体" w:hAnsi="宋体" w:eastAsia="宋体"/>
          <w:sz w:val="24"/>
        </w:rPr>
        <w:t>点击图表，以表格弹窗的形式展示各个投资主体投资项目的明细数据，包括项目名称、项目分类、立项时间、项目金额等。</w:t>
      </w:r>
    </w:p>
    <w:p>
      <w:pPr>
        <w:spacing w:line="360" w:lineRule="auto"/>
        <w:ind w:firstLine="420"/>
        <w:rPr>
          <w:rFonts w:hint="eastAsia" w:ascii="宋体" w:hAnsi="宋体" w:eastAsia="宋体"/>
          <w:sz w:val="24"/>
        </w:rPr>
      </w:pPr>
    </w:p>
    <w:p>
      <w:pPr>
        <w:spacing w:line="360" w:lineRule="auto"/>
        <w:ind w:firstLine="420"/>
        <w:rPr>
          <w:rFonts w:hint="eastAsia" w:ascii="宋体" w:hAnsi="宋体" w:eastAsia="宋体"/>
          <w:sz w:val="24"/>
        </w:rPr>
      </w:pPr>
    </w:p>
    <w:p>
      <w:pPr>
        <w:spacing w:line="360" w:lineRule="auto"/>
        <w:ind w:firstLine="420"/>
        <w:rPr>
          <w:rFonts w:hint="eastAsia" w:ascii="宋体" w:hAnsi="宋体" w:eastAsia="宋体"/>
          <w:sz w:val="24"/>
        </w:rPr>
      </w:pP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5.5合同结算情况</w:t>
      </w:r>
    </w:p>
    <w:p>
      <w:pPr>
        <w:rPr>
          <w:rFonts w:hint="eastAsia"/>
          <w:lang w:val="en-US" w:eastAsia="zh-CN"/>
        </w:rPr>
      </w:pPr>
      <w:r>
        <w:drawing>
          <wp:inline distT="0" distB="0" distL="114300" distR="114300">
            <wp:extent cx="3467100" cy="2457450"/>
            <wp:effectExtent l="0" t="0" r="0" b="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65"/>
                    <a:stretch>
                      <a:fillRect/>
                    </a:stretch>
                  </pic:blipFill>
                  <pic:spPr>
                    <a:xfrm>
                      <a:off x="0" y="0"/>
                      <a:ext cx="3467100" cy="245745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根据经开区的投资项目情况，对项目合同结算进行统计分析，展示已结算及未结算项目所占比例。</w:t>
      </w:r>
    </w:p>
    <w:p>
      <w:pPr>
        <w:spacing w:line="360" w:lineRule="auto"/>
        <w:ind w:firstLine="420"/>
        <w:rPr>
          <w:rFonts w:ascii="宋体" w:hAnsi="宋体" w:eastAsia="宋体"/>
          <w:sz w:val="24"/>
        </w:rPr>
      </w:pPr>
      <w:r>
        <w:rPr>
          <w:rFonts w:hint="eastAsia" w:ascii="宋体" w:hAnsi="宋体" w:eastAsia="宋体"/>
          <w:sz w:val="24"/>
        </w:rPr>
        <w:t>点击图表，以表格弹窗的形式展示项目合同明细数据，包含项目名称、合同名称、结算状态等。</w:t>
      </w:r>
    </w:p>
    <w:p>
      <w:pPr>
        <w:spacing w:line="360" w:lineRule="auto"/>
        <w:ind w:firstLine="420"/>
        <w:rPr>
          <w:rFonts w:hint="eastAsia" w:ascii="宋体" w:hAnsi="宋体" w:eastAsia="宋体"/>
          <w:sz w:val="24"/>
        </w:rPr>
      </w:pP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lang w:val="en-US" w:eastAsia="zh-CN"/>
        </w:rPr>
        <w:t>5.6</w:t>
      </w:r>
      <w:r>
        <w:rPr>
          <w:rFonts w:hint="eastAsia" w:ascii="宋体" w:hAnsi="宋体" w:eastAsia="宋体"/>
        </w:rPr>
        <w:t>合同付款情况</w:t>
      </w:r>
    </w:p>
    <w:p>
      <w:pPr>
        <w:rPr>
          <w:rFonts w:hint="eastAsia"/>
          <w:lang w:val="en-US" w:eastAsia="zh-CN"/>
        </w:rPr>
      </w:pPr>
      <w:r>
        <w:drawing>
          <wp:inline distT="0" distB="0" distL="114300" distR="114300">
            <wp:extent cx="4083050" cy="2680970"/>
            <wp:effectExtent l="0" t="0" r="12700" b="5080"/>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66"/>
                    <a:stretch>
                      <a:fillRect/>
                    </a:stretch>
                  </pic:blipFill>
                  <pic:spPr>
                    <a:xfrm>
                      <a:off x="0" y="0"/>
                      <a:ext cx="4083050" cy="268097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根据经开区的投资项目情况，对项目合同付款情况进行统计分析，展示已付清及未付清合同所占比例。</w:t>
      </w:r>
    </w:p>
    <w:p>
      <w:pPr>
        <w:spacing w:line="360" w:lineRule="auto"/>
        <w:ind w:firstLine="420"/>
        <w:rPr>
          <w:rFonts w:ascii="宋体" w:hAnsi="宋体" w:eastAsia="宋体"/>
          <w:sz w:val="24"/>
        </w:rPr>
      </w:pPr>
      <w:r>
        <w:rPr>
          <w:rFonts w:hint="eastAsia" w:ascii="宋体" w:hAnsi="宋体" w:eastAsia="宋体"/>
          <w:sz w:val="24"/>
        </w:rPr>
        <w:t>点击图表，以表格弹窗的形式展示项目合同明细数据，包含项目名称、合同名称、付款状态等。</w:t>
      </w:r>
    </w:p>
    <w:p>
      <w:pPr>
        <w:spacing w:line="360" w:lineRule="auto"/>
        <w:ind w:firstLine="420"/>
        <w:rPr>
          <w:rFonts w:hint="eastAsia" w:ascii="宋体" w:hAnsi="宋体" w:eastAsia="宋体"/>
          <w:sz w:val="24"/>
        </w:rPr>
      </w:pP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lang w:val="en-US" w:eastAsia="zh-CN"/>
        </w:rPr>
        <w:t>5.7</w:t>
      </w:r>
      <w:r>
        <w:rPr>
          <w:rFonts w:hint="eastAsia" w:ascii="宋体" w:hAnsi="宋体" w:eastAsia="宋体"/>
        </w:rPr>
        <w:t>合同</w:t>
      </w:r>
      <w:r>
        <w:rPr>
          <w:rFonts w:hint="eastAsia" w:ascii="宋体" w:hAnsi="宋体" w:eastAsia="宋体"/>
          <w:lang w:eastAsia="zh-CN"/>
        </w:rPr>
        <w:t>按类型统计情况</w:t>
      </w:r>
    </w:p>
    <w:p>
      <w:pPr>
        <w:rPr>
          <w:rFonts w:hint="eastAsia"/>
          <w:lang w:val="en-US" w:eastAsia="zh-CN"/>
        </w:rPr>
      </w:pPr>
      <w:r>
        <w:drawing>
          <wp:inline distT="0" distB="0" distL="114300" distR="114300">
            <wp:extent cx="3952875" cy="2324100"/>
            <wp:effectExtent l="0" t="0" r="9525" b="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67"/>
                    <a:stretch>
                      <a:fillRect/>
                    </a:stretch>
                  </pic:blipFill>
                  <pic:spPr>
                    <a:xfrm>
                      <a:off x="0" y="0"/>
                      <a:ext cx="3952875" cy="2324100"/>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根据经开区的投资项目情况，对项目合同类型进行统计分析，展示各个合同类型所占比例，包括施工合同、施工服务合同、服务合同、采购合同、其他。</w:t>
      </w:r>
    </w:p>
    <w:p>
      <w:pPr>
        <w:spacing w:line="360" w:lineRule="auto"/>
        <w:ind w:firstLine="420"/>
        <w:rPr>
          <w:rFonts w:ascii="宋体" w:hAnsi="宋体" w:eastAsia="宋体"/>
          <w:sz w:val="24"/>
        </w:rPr>
      </w:pPr>
      <w:r>
        <w:rPr>
          <w:rFonts w:hint="eastAsia" w:ascii="宋体" w:hAnsi="宋体" w:eastAsia="宋体"/>
          <w:sz w:val="24"/>
        </w:rPr>
        <w:t>点击图表，以表格弹窗的形式展示项目合同明细数据，包含项目名称、合同名称、合同类型等。</w:t>
      </w:r>
    </w:p>
    <w:p>
      <w:pPr>
        <w:spacing w:line="360" w:lineRule="auto"/>
        <w:ind w:firstLine="420"/>
        <w:rPr>
          <w:rFonts w:hint="eastAsia" w:ascii="宋体" w:hAnsi="宋体" w:eastAsia="宋体"/>
          <w:sz w:val="24"/>
        </w:rPr>
      </w:pP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lang w:val="en-US" w:eastAsia="zh-CN"/>
        </w:rPr>
        <w:t>5.8</w:t>
      </w:r>
      <w:r>
        <w:rPr>
          <w:rFonts w:hint="eastAsia" w:ascii="宋体" w:hAnsi="宋体" w:eastAsia="宋体"/>
          <w:lang w:eastAsia="zh-CN"/>
        </w:rPr>
        <w:t>季度付款情况</w:t>
      </w:r>
    </w:p>
    <w:p>
      <w:pPr>
        <w:rPr>
          <w:rFonts w:ascii="宋体" w:hAnsi="宋体" w:eastAsia="宋体"/>
        </w:rPr>
      </w:pPr>
      <w:r>
        <w:drawing>
          <wp:inline distT="0" distB="0" distL="114300" distR="114300">
            <wp:extent cx="4181475" cy="2466975"/>
            <wp:effectExtent l="0" t="0" r="9525" b="952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68"/>
                    <a:stretch>
                      <a:fillRect/>
                    </a:stretch>
                  </pic:blipFill>
                  <pic:spPr>
                    <a:xfrm>
                      <a:off x="0" y="0"/>
                      <a:ext cx="4181475" cy="2466975"/>
                    </a:xfrm>
                    <a:prstGeom prst="rect">
                      <a:avLst/>
                    </a:prstGeom>
                    <a:noFill/>
                    <a:ln>
                      <a:noFill/>
                    </a:ln>
                  </pic:spPr>
                </pic:pic>
              </a:graphicData>
            </a:graphic>
          </wp:inline>
        </w:drawing>
      </w:r>
    </w:p>
    <w:p>
      <w:pPr>
        <w:spacing w:line="360" w:lineRule="auto"/>
        <w:ind w:firstLine="420"/>
        <w:rPr>
          <w:rFonts w:hint="eastAsia" w:ascii="宋体" w:hAnsi="宋体" w:eastAsia="宋体"/>
          <w:sz w:val="24"/>
        </w:rPr>
      </w:pPr>
      <w:r>
        <w:rPr>
          <w:rFonts w:hint="eastAsia" w:ascii="宋体" w:hAnsi="宋体" w:eastAsia="宋体"/>
          <w:sz w:val="24"/>
        </w:rPr>
        <w:t>对经开区投资项目的付款计划进行统计分析，按季度展示已付金额及待付金额。</w:t>
      </w:r>
    </w:p>
    <w:p>
      <w:pPr>
        <w:spacing w:line="360" w:lineRule="auto"/>
        <w:ind w:firstLine="420"/>
        <w:rPr>
          <w:rFonts w:ascii="宋体" w:hAnsi="宋体" w:eastAsia="宋体"/>
          <w:sz w:val="24"/>
        </w:rPr>
      </w:pPr>
      <w:r>
        <w:rPr>
          <w:rFonts w:hint="eastAsia" w:ascii="宋体" w:hAnsi="宋体" w:eastAsia="宋体"/>
          <w:sz w:val="24"/>
        </w:rPr>
        <w:t>点击图表，以表格弹窗的形式展示付款情况明细数据，包含合同名称、投资主体、已付金额、待付金额等。</w:t>
      </w:r>
    </w:p>
    <w:p>
      <w:pPr>
        <w:spacing w:line="360" w:lineRule="auto"/>
        <w:ind w:firstLine="420"/>
        <w:rPr>
          <w:rFonts w:hint="eastAsia" w:ascii="宋体" w:hAnsi="宋体" w:eastAsia="宋体"/>
          <w:sz w:val="24"/>
        </w:rPr>
      </w:pP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5.9项目合同金额TOP5情况</w:t>
      </w:r>
    </w:p>
    <w:p>
      <w:pPr>
        <w:rPr>
          <w:rFonts w:ascii="宋体" w:hAnsi="宋体" w:eastAsia="宋体"/>
        </w:rPr>
      </w:pPr>
      <w:r>
        <w:drawing>
          <wp:inline distT="0" distB="0" distL="114300" distR="114300">
            <wp:extent cx="5271135" cy="1375410"/>
            <wp:effectExtent l="0" t="0" r="5715" b="1524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69"/>
                    <a:stretch>
                      <a:fillRect/>
                    </a:stretch>
                  </pic:blipFill>
                  <pic:spPr>
                    <a:xfrm>
                      <a:off x="0" y="0"/>
                      <a:ext cx="5271135" cy="1375410"/>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根据经开区投资的项目情况，对项目合同金额按照由高到低的方式进行排序，展示合同金额最高的</w:t>
      </w:r>
      <w:r>
        <w:rPr>
          <w:rFonts w:ascii="宋体" w:hAnsi="宋体" w:eastAsia="宋体"/>
          <w:sz w:val="24"/>
        </w:rPr>
        <w:t>5个项目。</w:t>
      </w:r>
    </w:p>
    <w:p>
      <w:pPr>
        <w:spacing w:line="360" w:lineRule="auto"/>
        <w:ind w:firstLine="420"/>
        <w:rPr>
          <w:rFonts w:ascii="宋体" w:hAnsi="宋体" w:eastAsia="宋体"/>
          <w:sz w:val="24"/>
        </w:rPr>
      </w:pPr>
      <w:r>
        <w:rPr>
          <w:rFonts w:hint="eastAsia" w:ascii="宋体" w:hAnsi="宋体" w:eastAsia="宋体"/>
          <w:sz w:val="24"/>
        </w:rPr>
        <w:t>点击图表，以表格弹窗的形式展示明细数据，包含项目名称、合同金额、投资主体、合同类型等。</w:t>
      </w:r>
    </w:p>
    <w:p>
      <w:pPr>
        <w:spacing w:line="360" w:lineRule="auto"/>
        <w:ind w:firstLine="420"/>
        <w:rPr>
          <w:rFonts w:ascii="宋体" w:hAnsi="宋体" w:eastAsia="宋体"/>
          <w:sz w:val="24"/>
        </w:rPr>
      </w:pPr>
    </w:p>
    <w:p>
      <w:pPr>
        <w:pStyle w:val="2"/>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第六章：智慧物联</w:t>
      </w:r>
    </w:p>
    <w:p>
      <w:pPr>
        <w:spacing w:line="360" w:lineRule="auto"/>
        <w:ind w:firstLine="420"/>
        <w:rPr>
          <w:rFonts w:ascii="宋体" w:hAnsi="宋体" w:eastAsia="宋体"/>
          <w:sz w:val="24"/>
          <w:lang w:val="zh-CN"/>
        </w:rPr>
      </w:pPr>
      <w:r>
        <w:rPr>
          <w:rFonts w:ascii="宋体" w:hAnsi="宋体" w:eastAsia="宋体"/>
          <w:sz w:val="24"/>
          <w:lang w:val="zh-CN"/>
        </w:rPr>
        <w:t>终端感知设备是物联网的基础载体，顺应物联网的发展，终端设备逐步由哑终端向智能终端演进，通过增加各种传感器、通讯模块使得终端可控、可管、可互通。通过统一的物联网传输协议标准将终端状态和产生数据传送到应用层，实现万物的感知、互联、实时优化和预测。</w:t>
      </w:r>
    </w:p>
    <w:p>
      <w:pPr>
        <w:spacing w:line="360" w:lineRule="auto"/>
        <w:ind w:firstLine="420"/>
        <w:rPr>
          <w:rFonts w:hint="eastAsia" w:ascii="宋体" w:hAnsi="宋体" w:eastAsia="宋体"/>
          <w:sz w:val="24"/>
          <w:lang w:val="zh-CN"/>
        </w:rPr>
      </w:pPr>
      <w:r>
        <w:rPr>
          <w:rFonts w:hint="eastAsia" w:ascii="宋体" w:hAnsi="宋体" w:eastAsia="宋体"/>
          <w:sz w:val="24"/>
          <w:lang w:val="zh-CN"/>
        </w:rPr>
        <w:t>智能物联模块，将通过经开区三维一张图上，呈现所有物联网设备和地下管线的部署情况、设备状态、设备告警、设备实时数据情况。</w:t>
      </w:r>
    </w:p>
    <w:p>
      <w:pPr>
        <w:pStyle w:val="3"/>
        <w:numPr>
          <w:ilvl w:val="1"/>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6.1园区网络</w:t>
      </w:r>
    </w:p>
    <w:p>
      <w:pPr>
        <w:spacing w:line="360" w:lineRule="auto"/>
        <w:ind w:firstLine="420"/>
        <w:rPr>
          <w:rFonts w:ascii="宋体" w:hAnsi="宋体" w:eastAsia="宋体"/>
          <w:sz w:val="24"/>
          <w:lang w:val="zh-CN"/>
        </w:rPr>
      </w:pPr>
      <w:r>
        <w:rPr>
          <w:rFonts w:hint="eastAsia" w:ascii="宋体" w:hAnsi="宋体" w:eastAsia="宋体"/>
          <w:sz w:val="24"/>
          <w:lang w:val="zh-CN"/>
        </w:rPr>
        <w:t>通过该模块可以查看经开区的</w:t>
      </w:r>
      <w:r>
        <w:rPr>
          <w:rFonts w:ascii="宋体" w:hAnsi="宋体" w:eastAsia="宋体"/>
          <w:sz w:val="24"/>
          <w:lang w:val="zh-CN"/>
        </w:rPr>
        <w:t>WIFI网络覆盖情况、点位分布情况、设备状态等情况</w:t>
      </w:r>
      <w:r>
        <w:rPr>
          <w:rFonts w:ascii="宋体" w:hAnsi="宋体" w:eastAsia="宋体"/>
          <w:sz w:val="24"/>
        </w:rPr>
        <w:t>，方便园区领导直观的了解园区的网络覆盖情况，为未来的网络建设工作提供决策支撑。</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6.1.1</w:t>
      </w:r>
      <w:r>
        <w:rPr>
          <w:rFonts w:hint="eastAsia" w:ascii="宋体" w:hAnsi="宋体" w:eastAsia="宋体"/>
          <w:lang w:val="zh-CN"/>
        </w:rPr>
        <w:t>网络分布</w:t>
      </w:r>
    </w:p>
    <w:p>
      <w:pPr>
        <w:rPr>
          <w:rFonts w:hint="eastAsia"/>
          <w:lang w:val="zh-CN"/>
        </w:rPr>
      </w:pPr>
      <w:r>
        <w:rPr>
          <w:rFonts w:ascii="宋体" w:hAnsi="宋体" w:eastAsia="宋体"/>
        </w:rPr>
        <w:drawing>
          <wp:inline distT="0" distB="0" distL="114300" distR="114300">
            <wp:extent cx="4171950" cy="1485900"/>
            <wp:effectExtent l="0" t="0" r="0" b="0"/>
            <wp:docPr id="4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10"/>
                    <pic:cNvPicPr>
                      <a:picLocks noChangeAspect="1"/>
                    </pic:cNvPicPr>
                  </pic:nvPicPr>
                  <pic:blipFill>
                    <a:blip r:embed="rId70"/>
                    <a:stretch>
                      <a:fillRect/>
                    </a:stretch>
                  </pic:blipFill>
                  <pic:spPr>
                    <a:xfrm>
                      <a:off x="0" y="0"/>
                      <a:ext cx="4171950" cy="1485900"/>
                    </a:xfrm>
                    <a:prstGeom prst="rect">
                      <a:avLst/>
                    </a:prstGeom>
                    <a:noFill/>
                    <a:ln>
                      <a:noFill/>
                    </a:ln>
                  </pic:spPr>
                </pic:pic>
              </a:graphicData>
            </a:graphic>
          </wp:inline>
        </w:drawing>
      </w:r>
    </w:p>
    <w:p>
      <w:pPr>
        <w:spacing w:line="360" w:lineRule="auto"/>
        <w:ind w:firstLine="420"/>
        <w:rPr>
          <w:rFonts w:hint="eastAsia" w:ascii="宋体" w:hAnsi="宋体" w:eastAsia="宋体"/>
          <w:sz w:val="24"/>
          <w:lang w:val="zh-CN"/>
        </w:rPr>
      </w:pPr>
      <w:r>
        <w:rPr>
          <w:rFonts w:hint="eastAsia" w:ascii="宋体" w:hAnsi="宋体" w:eastAsia="宋体"/>
          <w:sz w:val="24"/>
          <w:lang w:val="zh-CN"/>
        </w:rPr>
        <w:t>在三维地图上通过</w:t>
      </w:r>
      <w:r>
        <w:rPr>
          <w:rFonts w:ascii="宋体" w:hAnsi="宋体" w:eastAsia="宋体"/>
          <w:sz w:val="24"/>
          <w:lang w:val="zh-CN"/>
        </w:rPr>
        <w:t>WIFI点位标识，显示园区</w:t>
      </w:r>
      <w:r>
        <w:rPr>
          <w:rFonts w:hint="eastAsia" w:ascii="宋体" w:hAnsi="宋体" w:eastAsia="宋体"/>
          <w:sz w:val="24"/>
          <w:lang w:val="zh-CN"/>
        </w:rPr>
        <w:t>网络覆和点位分布情况，点击图标后，显示</w:t>
      </w:r>
      <w:r>
        <w:rPr>
          <w:rFonts w:ascii="宋体" w:hAnsi="宋体" w:eastAsia="宋体"/>
          <w:sz w:val="24"/>
        </w:rPr>
        <w:t>WIFI点位的覆盖范围和详细信息，包括</w:t>
      </w:r>
      <w:r>
        <w:rPr>
          <w:rFonts w:hint="eastAsia" w:ascii="宋体" w:hAnsi="宋体" w:eastAsia="宋体"/>
          <w:sz w:val="24"/>
          <w:lang w:val="zh-CN"/>
        </w:rPr>
        <w:t>设备状态、信号强度、连接人数等。</w:t>
      </w:r>
    </w:p>
    <w:p>
      <w:pPr>
        <w:pStyle w:val="4"/>
        <w:numPr>
          <w:ilvl w:val="2"/>
          <w:numId w:val="0"/>
        </w:numPr>
        <w:ind w:leftChars="0"/>
        <w:rPr>
          <w:rFonts w:ascii="宋体" w:hAnsi="宋体" w:eastAsia="宋体"/>
        </w:rPr>
      </w:pPr>
      <w:r>
        <w:rPr>
          <w:rFonts w:hint="eastAsia" w:ascii="宋体" w:hAnsi="宋体" w:eastAsia="宋体"/>
          <w:lang w:val="en-US" w:eastAsia="zh-CN"/>
        </w:rPr>
        <w:t>6.1.2</w:t>
      </w:r>
      <w:r>
        <w:rPr>
          <w:rFonts w:ascii="宋体" w:hAnsi="宋体" w:eastAsia="宋体"/>
        </w:rPr>
        <w:t>WIFI设备情况</w:t>
      </w:r>
    </w:p>
    <w:p>
      <w:r>
        <w:drawing>
          <wp:inline distT="0" distB="0" distL="114300" distR="114300">
            <wp:extent cx="2324100" cy="1914525"/>
            <wp:effectExtent l="0" t="0" r="0" b="952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71"/>
                    <a:stretch>
                      <a:fillRect/>
                    </a:stretch>
                  </pic:blipFill>
                  <pic:spPr>
                    <a:xfrm>
                      <a:off x="0" y="0"/>
                      <a:ext cx="2324100" cy="191452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rPr>
      </w:pPr>
      <w:r>
        <w:rPr>
          <w:rFonts w:hint="eastAsia" w:ascii="宋体" w:hAnsi="宋体" w:eastAsia="宋体"/>
          <w:sz w:val="24"/>
          <w:lang w:val="zh-CN"/>
        </w:rPr>
        <w:t>展示望城经开区无线覆盖项目的</w:t>
      </w:r>
      <w:r>
        <w:rPr>
          <w:rFonts w:ascii="宋体" w:hAnsi="宋体" w:eastAsia="宋体"/>
          <w:sz w:val="24"/>
        </w:rPr>
        <w:t>WIFI设备总数和WIFI平台</w:t>
      </w:r>
      <w:r>
        <w:rPr>
          <w:rFonts w:hint="eastAsia" w:ascii="宋体" w:hAnsi="宋体" w:eastAsia="宋体"/>
          <w:sz w:val="24"/>
        </w:rPr>
        <w:t>连接总人数</w:t>
      </w:r>
    </w:p>
    <w:p>
      <w:pPr>
        <w:pStyle w:val="4"/>
        <w:numPr>
          <w:ilvl w:val="2"/>
          <w:numId w:val="0"/>
        </w:numPr>
        <w:ind w:leftChars="0"/>
        <w:rPr>
          <w:rFonts w:ascii="宋体" w:hAnsi="宋体" w:eastAsia="宋体"/>
        </w:rPr>
      </w:pPr>
      <w:r>
        <w:rPr>
          <w:rFonts w:hint="eastAsia" w:ascii="宋体" w:hAnsi="宋体" w:eastAsia="宋体"/>
          <w:lang w:val="en-US" w:eastAsia="zh-CN"/>
        </w:rPr>
        <w:t>6.1.3</w:t>
      </w:r>
      <w:r>
        <w:rPr>
          <w:rFonts w:ascii="宋体" w:hAnsi="宋体" w:eastAsia="宋体"/>
        </w:rPr>
        <w:t>WIFI设备</w:t>
      </w:r>
      <w:r>
        <w:rPr>
          <w:rFonts w:hint="eastAsia" w:ascii="宋体" w:hAnsi="宋体" w:eastAsia="宋体"/>
          <w:lang w:eastAsia="zh-CN"/>
        </w:rPr>
        <w:t>分布</w:t>
      </w:r>
      <w:r>
        <w:rPr>
          <w:rFonts w:ascii="宋体" w:hAnsi="宋体" w:eastAsia="宋体"/>
        </w:rPr>
        <w:t>情况</w:t>
      </w:r>
    </w:p>
    <w:p>
      <w:r>
        <w:drawing>
          <wp:inline distT="0" distB="0" distL="114300" distR="114300">
            <wp:extent cx="5269230" cy="1699260"/>
            <wp:effectExtent l="0" t="0" r="7620" b="1524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72"/>
                    <a:stretch>
                      <a:fillRect/>
                    </a:stretch>
                  </pic:blipFill>
                  <pic:spPr>
                    <a:xfrm>
                      <a:off x="0" y="0"/>
                      <a:ext cx="5269230" cy="1699260"/>
                    </a:xfrm>
                    <a:prstGeom prst="rect">
                      <a:avLst/>
                    </a:prstGeom>
                    <a:noFill/>
                    <a:ln>
                      <a:noFill/>
                    </a:ln>
                  </pic:spPr>
                </pic:pic>
              </a:graphicData>
            </a:graphic>
          </wp:inline>
        </w:drawing>
      </w:r>
    </w:p>
    <w:p>
      <w:pPr>
        <w:pStyle w:val="46"/>
        <w:spacing w:line="360" w:lineRule="auto"/>
        <w:ind w:firstLine="480"/>
        <w:rPr>
          <w:rFonts w:ascii="宋体" w:hAnsi="宋体" w:eastAsia="宋体"/>
          <w:sz w:val="24"/>
        </w:rPr>
      </w:pPr>
      <w:r>
        <w:rPr>
          <w:rFonts w:hint="eastAsia" w:ascii="宋体" w:hAnsi="宋体" w:eastAsia="宋体"/>
          <w:sz w:val="24"/>
          <w:lang w:val="zh-CN"/>
        </w:rPr>
        <w:t>展示望城经开区无线覆盖项目的</w:t>
      </w:r>
      <w:r>
        <w:rPr>
          <w:rFonts w:hint="eastAsia" w:ascii="宋体" w:hAnsi="宋体" w:eastAsia="宋体"/>
          <w:sz w:val="24"/>
        </w:rPr>
        <w:t>区域分布情况，每个区域的室内</w:t>
      </w:r>
      <w:r>
        <w:rPr>
          <w:rFonts w:ascii="宋体" w:hAnsi="宋体" w:eastAsia="宋体"/>
          <w:sz w:val="24"/>
        </w:rPr>
        <w:t>WIFI设备数量和室外设备数量和分别占比情况。</w:t>
      </w:r>
    </w:p>
    <w:p>
      <w:pPr>
        <w:pStyle w:val="46"/>
        <w:spacing w:line="360" w:lineRule="auto"/>
        <w:ind w:firstLine="480"/>
        <w:rPr>
          <w:rFonts w:ascii="宋体" w:hAnsi="宋体" w:eastAsia="宋体"/>
          <w:sz w:val="24"/>
        </w:rPr>
      </w:pPr>
      <w:r>
        <w:rPr>
          <w:rFonts w:hint="eastAsia" w:ascii="宋体" w:hAnsi="宋体" w:eastAsia="宋体"/>
          <w:sz w:val="24"/>
        </w:rPr>
        <w:t>点击某区域报表后，在三维地图上显示该区域的室外</w:t>
      </w:r>
      <w:r>
        <w:rPr>
          <w:rFonts w:ascii="宋体" w:hAnsi="宋体" w:eastAsia="宋体"/>
          <w:sz w:val="24"/>
        </w:rPr>
        <w:t>WIFI点位信息。</w:t>
      </w:r>
    </w:p>
    <w:p>
      <w:pPr>
        <w:pStyle w:val="3"/>
        <w:numPr>
          <w:ilvl w:val="1"/>
          <w:numId w:val="0"/>
        </w:numPr>
        <w:ind w:leftChars="0"/>
        <w:rPr>
          <w:rFonts w:hint="eastAsia" w:ascii="宋体" w:hAnsi="宋体" w:eastAsia="宋体"/>
          <w:lang w:val="zh-CN"/>
        </w:rPr>
      </w:pPr>
      <w:r>
        <w:rPr>
          <w:rFonts w:hint="eastAsia" w:ascii="宋体" w:hAnsi="宋体" w:eastAsia="宋体" w:cstheme="majorBidi"/>
          <w:b/>
          <w:bCs/>
          <w:sz w:val="32"/>
          <w:szCs w:val="32"/>
          <w:lang w:val="en-US" w:eastAsia="zh-CN" w:bidi="ar-SA"/>
        </w:rPr>
        <w:t>6.2</w:t>
      </w:r>
      <w:r>
        <w:rPr>
          <w:rFonts w:hint="eastAsia" w:ascii="宋体" w:hAnsi="宋体" w:eastAsia="宋体"/>
          <w:lang w:val="zh-CN"/>
        </w:rPr>
        <w:t>监控设备情况</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6.2.1</w:t>
      </w:r>
      <w:r>
        <w:rPr>
          <w:rFonts w:hint="eastAsia" w:ascii="宋体" w:hAnsi="宋体" w:eastAsia="宋体"/>
          <w:lang w:val="zh-CN"/>
        </w:rPr>
        <w:t>监控设备数量统计</w:t>
      </w:r>
    </w:p>
    <w:p>
      <w:r>
        <w:drawing>
          <wp:inline distT="0" distB="0" distL="114300" distR="114300">
            <wp:extent cx="3600450" cy="2419350"/>
            <wp:effectExtent l="0" t="0" r="0" b="0"/>
            <wp:docPr id="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
                    <pic:cNvPicPr>
                      <a:picLocks noChangeAspect="1"/>
                    </pic:cNvPicPr>
                  </pic:nvPicPr>
                  <pic:blipFill>
                    <a:blip r:embed="rId73"/>
                    <a:stretch>
                      <a:fillRect/>
                    </a:stretch>
                  </pic:blipFill>
                  <pic:spPr>
                    <a:xfrm>
                      <a:off x="0" y="0"/>
                      <a:ext cx="3600450" cy="2419350"/>
                    </a:xfrm>
                    <a:prstGeom prst="rect">
                      <a:avLst/>
                    </a:prstGeom>
                    <a:noFill/>
                    <a:ln>
                      <a:noFill/>
                    </a:ln>
                  </pic:spPr>
                </pic:pic>
              </a:graphicData>
            </a:graphic>
          </wp:inline>
        </w:drawing>
      </w:r>
    </w:p>
    <w:p>
      <w:pPr>
        <w:pStyle w:val="46"/>
        <w:spacing w:line="360" w:lineRule="auto"/>
        <w:ind w:firstLine="480"/>
        <w:rPr>
          <w:rFonts w:ascii="宋体" w:hAnsi="宋体" w:eastAsia="宋体"/>
          <w:sz w:val="24"/>
          <w:lang w:val="zh-CN"/>
        </w:rPr>
      </w:pPr>
      <w:r>
        <w:rPr>
          <w:rFonts w:hint="eastAsia" w:ascii="宋体" w:hAnsi="宋体" w:eastAsia="宋体"/>
          <w:sz w:val="24"/>
          <w:lang w:val="zh-CN"/>
        </w:rPr>
        <w:t>展示望城经开区的监控设备总数，以及设备在线的数量和离线的数量。</w:t>
      </w:r>
    </w:p>
    <w:p>
      <w:pPr>
        <w:pStyle w:val="46"/>
        <w:spacing w:line="360" w:lineRule="auto"/>
        <w:ind w:firstLine="480"/>
        <w:rPr>
          <w:rFonts w:hint="eastAsia" w:ascii="宋体" w:hAnsi="宋体" w:eastAsia="宋体"/>
          <w:sz w:val="24"/>
        </w:rPr>
      </w:pPr>
      <w:r>
        <w:rPr>
          <w:rFonts w:hint="eastAsia" w:ascii="宋体" w:hAnsi="宋体" w:eastAsia="宋体"/>
          <w:sz w:val="24"/>
        </w:rPr>
        <w:t>点击该报表，弹出窗口显示所有监控设备信息数据列表，显示设备名称、设备位置、设备状态等信息。</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6.2.2</w:t>
      </w:r>
      <w:r>
        <w:rPr>
          <w:rFonts w:hint="eastAsia" w:ascii="宋体" w:hAnsi="宋体" w:eastAsia="宋体"/>
          <w:lang w:val="zh-CN"/>
        </w:rPr>
        <w:t>监控设备分类统计</w:t>
      </w:r>
    </w:p>
    <w:p>
      <w:pPr>
        <w:rPr>
          <w:rFonts w:ascii="宋体" w:hAnsi="宋体" w:eastAsia="宋体"/>
        </w:rPr>
      </w:pPr>
      <w:r>
        <w:rPr>
          <w:rFonts w:ascii="宋体" w:hAnsi="宋体" w:eastAsia="宋体"/>
        </w:rPr>
        <w:drawing>
          <wp:inline distT="0" distB="0" distL="114300" distR="114300">
            <wp:extent cx="5268595" cy="2925445"/>
            <wp:effectExtent l="0" t="0" r="8255" b="8255"/>
            <wp:docPr id="4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14"/>
                    <pic:cNvPicPr>
                      <a:picLocks noChangeAspect="1"/>
                    </pic:cNvPicPr>
                  </pic:nvPicPr>
                  <pic:blipFill>
                    <a:blip r:embed="rId74"/>
                    <a:stretch>
                      <a:fillRect/>
                    </a:stretch>
                  </pic:blipFill>
                  <pic:spPr>
                    <a:xfrm>
                      <a:off x="0" y="0"/>
                      <a:ext cx="5268595" cy="2925445"/>
                    </a:xfrm>
                    <a:prstGeom prst="rect">
                      <a:avLst/>
                    </a:prstGeom>
                    <a:noFill/>
                    <a:ln>
                      <a:noFill/>
                    </a:ln>
                  </pic:spPr>
                </pic:pic>
              </a:graphicData>
            </a:graphic>
          </wp:inline>
        </w:drawing>
      </w:r>
    </w:p>
    <w:p>
      <w:pPr>
        <w:pStyle w:val="46"/>
        <w:spacing w:line="360" w:lineRule="auto"/>
        <w:ind w:firstLine="480"/>
        <w:rPr>
          <w:rFonts w:ascii="宋体" w:hAnsi="宋体" w:eastAsia="宋体"/>
          <w:sz w:val="24"/>
        </w:rPr>
      </w:pPr>
      <w:r>
        <w:rPr>
          <w:rFonts w:hint="eastAsia" w:ascii="宋体" w:hAnsi="宋体" w:eastAsia="宋体"/>
          <w:sz w:val="24"/>
        </w:rPr>
        <w:t>按照监控设备的业务分类（包括安全生产监控、环境保护监控、项目建设监控、综合监控以及其他设备）展示监控设备数量，以及每个类型的设备数量占比。</w:t>
      </w:r>
    </w:p>
    <w:p>
      <w:pPr>
        <w:pStyle w:val="46"/>
        <w:spacing w:line="360" w:lineRule="auto"/>
        <w:ind w:firstLine="480"/>
        <w:rPr>
          <w:rFonts w:ascii="宋体" w:hAnsi="宋体" w:eastAsia="宋体"/>
          <w:sz w:val="24"/>
        </w:rPr>
      </w:pPr>
      <w:r>
        <w:rPr>
          <w:rFonts w:hint="eastAsia" w:ascii="宋体" w:hAnsi="宋体" w:eastAsia="宋体"/>
          <w:sz w:val="24"/>
        </w:rPr>
        <w:t>点击某一类型设备，则在三维地图上显示该类型监控设备的点位情况。</w:t>
      </w:r>
    </w:p>
    <w:p>
      <w:pPr>
        <w:pStyle w:val="46"/>
        <w:spacing w:line="360" w:lineRule="auto"/>
        <w:ind w:firstLine="480"/>
        <w:rPr>
          <w:rFonts w:hint="eastAsia" w:ascii="宋体" w:hAnsi="宋体" w:eastAsia="宋体"/>
          <w:sz w:val="24"/>
        </w:rPr>
      </w:pPr>
      <w:r>
        <w:rPr>
          <w:rFonts w:hint="eastAsia" w:ascii="宋体" w:hAnsi="宋体" w:eastAsia="宋体"/>
          <w:sz w:val="24"/>
        </w:rPr>
        <w:t>点击某个监控设备点位，可以弹出窗口显示该点位监控设备的实施监控视频。</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6.2.3</w:t>
      </w:r>
      <w:r>
        <w:rPr>
          <w:rFonts w:hint="eastAsia" w:ascii="宋体" w:hAnsi="宋体" w:eastAsia="宋体"/>
          <w:lang w:val="zh-CN"/>
        </w:rPr>
        <w:t>重点区域监控</w:t>
      </w:r>
    </w:p>
    <w:p>
      <w:pPr>
        <w:rPr>
          <w:rFonts w:ascii="宋体" w:hAnsi="宋体" w:eastAsia="宋体"/>
        </w:rPr>
      </w:pPr>
      <w:r>
        <w:rPr>
          <w:rFonts w:ascii="宋体" w:hAnsi="宋体" w:eastAsia="宋体"/>
        </w:rPr>
        <w:drawing>
          <wp:inline distT="0" distB="0" distL="114300" distR="114300">
            <wp:extent cx="5263515" cy="3417570"/>
            <wp:effectExtent l="0" t="0" r="13335" b="11430"/>
            <wp:docPr id="4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17"/>
                    <pic:cNvPicPr>
                      <a:picLocks noChangeAspect="1"/>
                    </pic:cNvPicPr>
                  </pic:nvPicPr>
                  <pic:blipFill>
                    <a:blip r:embed="rId75"/>
                    <a:stretch>
                      <a:fillRect/>
                    </a:stretch>
                  </pic:blipFill>
                  <pic:spPr>
                    <a:xfrm>
                      <a:off x="0" y="0"/>
                      <a:ext cx="5263515" cy="3417570"/>
                    </a:xfrm>
                    <a:prstGeom prst="rect">
                      <a:avLst/>
                    </a:prstGeom>
                    <a:noFill/>
                    <a:ln>
                      <a:noFill/>
                    </a:ln>
                  </pic:spPr>
                </pic:pic>
              </a:graphicData>
            </a:graphic>
          </wp:inline>
        </w:drawing>
      </w:r>
    </w:p>
    <w:p>
      <w:pPr>
        <w:pStyle w:val="46"/>
        <w:spacing w:line="360" w:lineRule="auto"/>
        <w:ind w:firstLine="480"/>
        <w:rPr>
          <w:rFonts w:ascii="宋体" w:hAnsi="宋体" w:eastAsia="宋体"/>
          <w:sz w:val="24"/>
          <w:lang w:val="zh-CN"/>
        </w:rPr>
      </w:pPr>
      <w:r>
        <w:rPr>
          <w:rFonts w:hint="eastAsia" w:ascii="宋体" w:hAnsi="宋体" w:eastAsia="宋体"/>
          <w:sz w:val="24"/>
          <w:lang w:val="zh-CN"/>
        </w:rPr>
        <w:t>展示望城经开区重点区域的实时视频监控信息；</w:t>
      </w:r>
    </w:p>
    <w:p>
      <w:pPr>
        <w:pStyle w:val="46"/>
        <w:spacing w:line="360" w:lineRule="auto"/>
        <w:ind w:firstLine="480"/>
        <w:rPr>
          <w:rFonts w:ascii="宋体" w:hAnsi="宋体" w:eastAsia="宋体"/>
          <w:sz w:val="24"/>
        </w:rPr>
      </w:pPr>
      <w:r>
        <w:rPr>
          <w:rFonts w:hint="eastAsia" w:ascii="宋体" w:hAnsi="宋体" w:eastAsia="宋体"/>
          <w:sz w:val="24"/>
          <w:lang w:val="zh-CN"/>
        </w:rPr>
        <w:t>点击某个监控画面，则弹出窗口放大显示该点位的实时监控视频信息。</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6.2.4</w:t>
      </w:r>
      <w:r>
        <w:rPr>
          <w:rFonts w:hint="eastAsia" w:ascii="宋体" w:hAnsi="宋体" w:eastAsia="宋体"/>
          <w:lang w:val="zh-CN"/>
        </w:rPr>
        <w:t>监控告警联动</w:t>
      </w:r>
    </w:p>
    <w:p>
      <w:pPr>
        <w:rPr>
          <w:rFonts w:hint="eastAsia"/>
          <w:lang w:val="zh-CN"/>
        </w:rPr>
      </w:pPr>
      <w:r>
        <w:rPr>
          <w:rFonts w:ascii="宋体" w:hAnsi="宋体" w:eastAsia="宋体"/>
        </w:rPr>
        <w:drawing>
          <wp:inline distT="0" distB="0" distL="114300" distR="114300">
            <wp:extent cx="5114925" cy="3162300"/>
            <wp:effectExtent l="0" t="0" r="9525" b="0"/>
            <wp:docPr id="4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19"/>
                    <pic:cNvPicPr>
                      <a:picLocks noChangeAspect="1"/>
                    </pic:cNvPicPr>
                  </pic:nvPicPr>
                  <pic:blipFill>
                    <a:blip r:embed="rId76"/>
                    <a:stretch>
                      <a:fillRect/>
                    </a:stretch>
                  </pic:blipFill>
                  <pic:spPr>
                    <a:xfrm>
                      <a:off x="0" y="0"/>
                      <a:ext cx="5114925" cy="3162300"/>
                    </a:xfrm>
                    <a:prstGeom prst="rect">
                      <a:avLst/>
                    </a:prstGeom>
                    <a:noFill/>
                    <a:ln>
                      <a:noFill/>
                    </a:ln>
                  </pic:spPr>
                </pic:pic>
              </a:graphicData>
            </a:graphic>
          </wp:inline>
        </w:drawing>
      </w:r>
    </w:p>
    <w:p>
      <w:pPr>
        <w:pStyle w:val="46"/>
        <w:spacing w:line="360" w:lineRule="auto"/>
        <w:ind w:firstLine="480"/>
        <w:rPr>
          <w:rFonts w:ascii="宋体" w:hAnsi="宋体" w:eastAsia="宋体"/>
          <w:sz w:val="24"/>
        </w:rPr>
      </w:pPr>
      <w:r>
        <w:rPr>
          <w:rFonts w:hint="eastAsia" w:ascii="宋体" w:hAnsi="宋体" w:eastAsia="宋体"/>
          <w:sz w:val="24"/>
        </w:rPr>
        <w:t>当某个点位有异常告警信息时，在三维地图上联动显示该视频点位信息，并以红色光圈显示该点位图标，并打开窗口显示实时点位监控画面。</w:t>
      </w:r>
    </w:p>
    <w:p>
      <w:pPr>
        <w:pStyle w:val="3"/>
        <w:numPr>
          <w:ilvl w:val="1"/>
          <w:numId w:val="0"/>
        </w:numPr>
        <w:ind w:leftChars="0"/>
        <w:rPr>
          <w:rFonts w:hint="eastAsia" w:ascii="宋体" w:hAnsi="宋体" w:eastAsia="宋体"/>
          <w:lang w:val="zh-CN"/>
        </w:rPr>
      </w:pPr>
      <w:r>
        <w:rPr>
          <w:rFonts w:hint="eastAsia" w:ascii="宋体" w:hAnsi="宋体" w:eastAsia="宋体" w:cstheme="majorBidi"/>
          <w:b/>
          <w:bCs/>
          <w:sz w:val="32"/>
          <w:szCs w:val="32"/>
          <w:lang w:val="en-US" w:eastAsia="zh-CN" w:bidi="ar-SA"/>
        </w:rPr>
        <w:t>6.3地下管网</w:t>
      </w:r>
      <w:r>
        <w:rPr>
          <w:rFonts w:hint="eastAsia" w:ascii="宋体" w:hAnsi="宋体" w:eastAsia="宋体"/>
          <w:lang w:val="zh-CN"/>
        </w:rPr>
        <w:t>情况</w:t>
      </w:r>
    </w:p>
    <w:p>
      <w:pPr>
        <w:pStyle w:val="4"/>
        <w:numPr>
          <w:ilvl w:val="2"/>
          <w:numId w:val="0"/>
        </w:numPr>
        <w:ind w:leftChars="0"/>
        <w:rPr>
          <w:rFonts w:hint="eastAsia" w:ascii="宋体" w:hAnsi="宋体" w:eastAsia="宋体" w:cstheme="majorBidi"/>
          <w:b/>
          <w:bCs/>
          <w:sz w:val="32"/>
          <w:szCs w:val="32"/>
          <w:lang w:val="en-US" w:eastAsia="zh-CN" w:bidi="ar-SA"/>
        </w:rPr>
      </w:pPr>
      <w:r>
        <w:rPr>
          <w:rFonts w:hint="eastAsia" w:ascii="宋体" w:hAnsi="宋体" w:eastAsia="宋体" w:cstheme="majorBidi"/>
          <w:b/>
          <w:bCs/>
          <w:sz w:val="32"/>
          <w:szCs w:val="32"/>
          <w:lang w:val="en-US" w:eastAsia="zh-CN" w:bidi="ar-SA"/>
        </w:rPr>
        <w:t>6.3.1地下管网数量总览</w:t>
      </w:r>
    </w:p>
    <w:p>
      <w:pPr>
        <w:rPr>
          <w:rFonts w:hint="eastAsia"/>
          <w:lang w:val="en-US" w:eastAsia="zh-CN"/>
        </w:rPr>
      </w:pPr>
      <w:r>
        <w:drawing>
          <wp:inline distT="0" distB="0" distL="114300" distR="114300">
            <wp:extent cx="5273675" cy="989330"/>
            <wp:effectExtent l="0" t="0" r="3175" b="1270"/>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77"/>
                    <a:stretch>
                      <a:fillRect/>
                    </a:stretch>
                  </pic:blipFill>
                  <pic:spPr>
                    <a:xfrm>
                      <a:off x="0" y="0"/>
                      <a:ext cx="5273675" cy="989330"/>
                    </a:xfrm>
                    <a:prstGeom prst="rect">
                      <a:avLst/>
                    </a:prstGeom>
                    <a:noFill/>
                    <a:ln>
                      <a:noFill/>
                    </a:ln>
                  </pic:spPr>
                </pic:pic>
              </a:graphicData>
            </a:graphic>
          </wp:inline>
        </w:drawing>
      </w:r>
    </w:p>
    <w:p>
      <w:pPr>
        <w:pStyle w:val="46"/>
        <w:spacing w:line="360" w:lineRule="auto"/>
        <w:ind w:firstLine="480"/>
        <w:rPr>
          <w:rFonts w:hint="eastAsia" w:ascii="宋体" w:hAnsi="宋体" w:eastAsia="宋体"/>
          <w:sz w:val="24"/>
          <w:lang w:val="zh-CN"/>
        </w:rPr>
      </w:pPr>
      <w:r>
        <w:rPr>
          <w:rFonts w:hint="eastAsia" w:ascii="宋体" w:hAnsi="宋体" w:eastAsia="宋体"/>
          <w:sz w:val="24"/>
          <w:lang w:val="zh-CN"/>
        </w:rPr>
        <w:t>展示望城经开区的截至当前的地下管线井总数，以及地下管线总长度。</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6.3.2</w:t>
      </w:r>
      <w:r>
        <w:rPr>
          <w:rFonts w:hint="eastAsia" w:ascii="宋体" w:hAnsi="宋体" w:eastAsia="宋体"/>
          <w:lang w:val="zh-CN"/>
        </w:rPr>
        <w:t>地下管线井数量分类统计</w:t>
      </w:r>
    </w:p>
    <w:p>
      <w:pPr>
        <w:rPr>
          <w:rFonts w:hint="eastAsia"/>
          <w:lang w:val="zh-CN"/>
        </w:rPr>
      </w:pPr>
      <w:r>
        <w:drawing>
          <wp:inline distT="0" distB="0" distL="114300" distR="114300">
            <wp:extent cx="4200525" cy="2657475"/>
            <wp:effectExtent l="0" t="0" r="9525" b="952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78"/>
                    <a:stretch>
                      <a:fillRect/>
                    </a:stretch>
                  </pic:blipFill>
                  <pic:spPr>
                    <a:xfrm>
                      <a:off x="0" y="0"/>
                      <a:ext cx="4200525" cy="2657475"/>
                    </a:xfrm>
                    <a:prstGeom prst="rect">
                      <a:avLst/>
                    </a:prstGeom>
                    <a:noFill/>
                    <a:ln>
                      <a:noFill/>
                    </a:ln>
                  </pic:spPr>
                </pic:pic>
              </a:graphicData>
            </a:graphic>
          </wp:inline>
        </w:drawing>
      </w:r>
    </w:p>
    <w:p>
      <w:pPr>
        <w:pStyle w:val="46"/>
        <w:spacing w:line="360" w:lineRule="auto"/>
        <w:ind w:firstLine="480"/>
        <w:rPr>
          <w:rFonts w:hint="eastAsia" w:ascii="宋体" w:hAnsi="宋体" w:eastAsia="宋体"/>
          <w:sz w:val="24"/>
          <w:lang w:val="zh-CN"/>
        </w:rPr>
      </w:pPr>
      <w:r>
        <w:rPr>
          <w:rFonts w:hint="eastAsia" w:ascii="宋体" w:hAnsi="宋体" w:eastAsia="宋体"/>
          <w:sz w:val="24"/>
          <w:lang w:val="zh-CN"/>
        </w:rPr>
        <w:t>展示</w:t>
      </w:r>
      <w:r>
        <w:rPr>
          <w:rFonts w:hint="eastAsia" w:ascii="宋体" w:hAnsi="宋体" w:eastAsia="宋体"/>
          <w:sz w:val="24"/>
        </w:rPr>
        <w:t>截止当前</w:t>
      </w:r>
      <w:r>
        <w:rPr>
          <w:rFonts w:hint="eastAsia" w:ascii="宋体" w:hAnsi="宋体" w:eastAsia="宋体"/>
          <w:sz w:val="24"/>
          <w:lang w:val="zh-CN"/>
        </w:rPr>
        <w:t>望城经开区的分类地下管线井的数量统计，比如强电井、弱电井、路灯井、污水井、燃气井、石油井、热力井等的数量。</w:t>
      </w:r>
    </w:p>
    <w:p>
      <w:pPr>
        <w:pStyle w:val="4"/>
        <w:numPr>
          <w:ilvl w:val="2"/>
          <w:numId w:val="0"/>
        </w:numPr>
        <w:ind w:leftChars="0"/>
        <w:rPr>
          <w:rFonts w:hint="eastAsia" w:ascii="宋体" w:hAnsi="宋体" w:eastAsia="宋体"/>
          <w:lang w:val="zh-CN"/>
        </w:rPr>
      </w:pPr>
      <w:r>
        <w:rPr>
          <w:rFonts w:hint="eastAsia" w:ascii="宋体" w:hAnsi="宋体" w:eastAsia="宋体"/>
          <w:lang w:val="en-US" w:eastAsia="zh-CN"/>
        </w:rPr>
        <w:t>6.3.3</w:t>
      </w:r>
      <w:r>
        <w:rPr>
          <w:rFonts w:hint="eastAsia" w:ascii="宋体" w:hAnsi="宋体" w:eastAsia="宋体"/>
          <w:lang w:val="zh-CN"/>
        </w:rPr>
        <w:t>地下管线长度分类统计</w:t>
      </w:r>
    </w:p>
    <w:p>
      <w:r>
        <w:drawing>
          <wp:inline distT="0" distB="0" distL="114300" distR="114300">
            <wp:extent cx="4095750" cy="2571750"/>
            <wp:effectExtent l="0" t="0" r="0" b="0"/>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79"/>
                    <a:stretch>
                      <a:fillRect/>
                    </a:stretch>
                  </pic:blipFill>
                  <pic:spPr>
                    <a:xfrm>
                      <a:off x="0" y="0"/>
                      <a:ext cx="4095750" cy="2571750"/>
                    </a:xfrm>
                    <a:prstGeom prst="rect">
                      <a:avLst/>
                    </a:prstGeom>
                    <a:noFill/>
                    <a:ln>
                      <a:noFill/>
                    </a:ln>
                  </pic:spPr>
                </pic:pic>
              </a:graphicData>
            </a:graphic>
          </wp:inline>
        </w:drawing>
      </w:r>
    </w:p>
    <w:p>
      <w:pPr>
        <w:pStyle w:val="46"/>
        <w:spacing w:line="360" w:lineRule="auto"/>
        <w:ind w:firstLine="480"/>
        <w:rPr>
          <w:rFonts w:ascii="宋体" w:hAnsi="宋体" w:eastAsia="宋体"/>
          <w:sz w:val="24"/>
          <w:lang w:val="zh-CN"/>
        </w:rPr>
      </w:pPr>
      <w:r>
        <w:rPr>
          <w:rFonts w:hint="eastAsia" w:ascii="宋体" w:hAnsi="宋体" w:eastAsia="宋体"/>
          <w:sz w:val="24"/>
          <w:lang w:val="zh-CN"/>
        </w:rPr>
        <w:t>展示</w:t>
      </w:r>
      <w:r>
        <w:rPr>
          <w:rFonts w:hint="eastAsia" w:ascii="宋体" w:hAnsi="宋体" w:eastAsia="宋体"/>
          <w:sz w:val="24"/>
        </w:rPr>
        <w:t>截止当前</w:t>
      </w:r>
      <w:r>
        <w:rPr>
          <w:rFonts w:hint="eastAsia" w:ascii="宋体" w:hAnsi="宋体" w:eastAsia="宋体"/>
          <w:sz w:val="24"/>
          <w:lang w:val="zh-CN"/>
        </w:rPr>
        <w:t>望城经开区的分类地下管线长度统计，比如强电线、弱电线、路灯线、污水线、燃气线、石油线、热力线等的数量。</w:t>
      </w:r>
    </w:p>
    <w:p>
      <w:pPr>
        <w:pStyle w:val="2"/>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第七章：安监环保</w:t>
      </w:r>
    </w:p>
    <w:p>
      <w:pPr>
        <w:pStyle w:val="46"/>
        <w:spacing w:line="360" w:lineRule="auto"/>
        <w:ind w:firstLine="480"/>
        <w:rPr>
          <w:rFonts w:ascii="宋体" w:hAnsi="宋体" w:eastAsia="宋体"/>
          <w:sz w:val="24"/>
          <w:lang w:val="zh-CN"/>
        </w:rPr>
      </w:pPr>
      <w:r>
        <w:rPr>
          <w:rFonts w:hint="eastAsia" w:ascii="宋体" w:hAnsi="宋体" w:eastAsia="宋体"/>
          <w:sz w:val="24"/>
          <w:lang w:val="zh-CN"/>
        </w:rPr>
        <w:t>该模块通过对接智慧安监平台和智慧环保平台以及市环保局平台的业务数据，在望城经开区三维地图上呈现</w:t>
      </w:r>
      <w:r>
        <w:rPr>
          <w:rFonts w:ascii="宋体" w:hAnsi="宋体" w:eastAsia="宋体"/>
          <w:sz w:val="24"/>
          <w:lang w:val="zh-CN"/>
        </w:rPr>
        <w:t>AQI空气质量、VOC排放、粉尘、火焰、乙醇、氢气等监测点的实时数据和告警数据，并在大屏的副</w:t>
      </w:r>
      <w:r>
        <w:rPr>
          <w:rFonts w:hint="eastAsia" w:ascii="宋体" w:hAnsi="宋体" w:eastAsia="宋体"/>
          <w:sz w:val="24"/>
          <w:lang w:val="zh-CN"/>
        </w:rPr>
        <w:t>屏区域显示安全生产检测的预警和报警统计报表和环境监测数据的历史统计报表，从而全面了解安监环保工作的成果情况和监测情况，提升园区安监环保工作的全面性和实时性，帮助领导从宏观层面上对比历史数据情况进行决策和分析。</w:t>
      </w:r>
    </w:p>
    <w:p>
      <w:pPr>
        <w:rPr>
          <w:rFonts w:hint="eastAsia"/>
          <w:lang w:val="en-US" w:eastAsia="zh-CN"/>
        </w:rPr>
      </w:pPr>
      <w:r>
        <w:rPr>
          <w:rFonts w:ascii="宋体" w:hAnsi="宋体" w:eastAsia="宋体"/>
        </w:rPr>
        <w:drawing>
          <wp:inline distT="0" distB="0" distL="0" distR="0">
            <wp:extent cx="5213350" cy="1514475"/>
            <wp:effectExtent l="0" t="0" r="0" b="9525"/>
            <wp:docPr id="467" name="图示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pPr>
        <w:ind w:firstLine="424" w:firstLineChars="177"/>
        <w:rPr>
          <w:rFonts w:hint="eastAsia" w:ascii="宋体" w:hAnsi="宋体" w:eastAsia="宋体" w:cs="Times New Roman"/>
          <w:color w:val="000000" w:themeColor="text1"/>
          <w:kern w:val="0"/>
          <w:sz w:val="24"/>
          <w:szCs w:val="20"/>
          <w:lang w:val="zh-CN"/>
        </w:rPr>
      </w:pPr>
    </w:p>
    <w:p>
      <w:pPr>
        <w:pStyle w:val="3"/>
        <w:numPr>
          <w:ilvl w:val="1"/>
          <w:numId w:val="0"/>
        </w:numPr>
        <w:ind w:leftChars="0"/>
        <w:rPr>
          <w:rFonts w:hint="eastAsia" w:ascii="宋体" w:hAnsi="宋体" w:eastAsia="宋体"/>
        </w:rPr>
      </w:pPr>
      <w:r>
        <w:rPr>
          <w:rFonts w:hint="eastAsia" w:ascii="宋体" w:hAnsi="宋体" w:eastAsia="宋体" w:cstheme="majorBidi"/>
          <w:b/>
          <w:bCs/>
          <w:sz w:val="32"/>
          <w:szCs w:val="32"/>
          <w:lang w:val="en-US" w:eastAsia="zh-CN" w:bidi="ar-SA"/>
        </w:rPr>
        <w:t>7.1</w:t>
      </w:r>
      <w:r>
        <w:rPr>
          <w:rFonts w:hint="eastAsia" w:ascii="宋体" w:hAnsi="宋体" w:eastAsia="宋体"/>
        </w:rPr>
        <w:t>风险类型企业统计情况</w:t>
      </w:r>
    </w:p>
    <w:p>
      <w:pPr>
        <w:rPr>
          <w:rFonts w:hint="eastAsia"/>
        </w:rPr>
      </w:pPr>
      <w:r>
        <w:drawing>
          <wp:inline distT="0" distB="0" distL="114300" distR="114300">
            <wp:extent cx="4019550" cy="2524125"/>
            <wp:effectExtent l="0" t="0" r="0" b="9525"/>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1"/>
                    <pic:cNvPicPr>
                      <a:picLocks noChangeAspect="1"/>
                    </pic:cNvPicPr>
                  </pic:nvPicPr>
                  <pic:blipFill>
                    <a:blip r:embed="rId85"/>
                    <a:stretch>
                      <a:fillRect/>
                    </a:stretch>
                  </pic:blipFill>
                  <pic:spPr>
                    <a:xfrm>
                      <a:off x="0" y="0"/>
                      <a:ext cx="4019550" cy="252412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根据经开区的企业信息，按照企业类型（粉尘企业、危化企业、物流企业等）进行统计，展示统计图表</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hint="eastAsia" w:ascii="宋体" w:hAnsi="宋体" w:eastAsia="宋体"/>
          <w:sz w:val="24"/>
        </w:rPr>
        <w:t>点击报表，以表格弹窗的形式展示具体的企业信息，包括企业名称、企业类型等数据。</w:t>
      </w:r>
    </w:p>
    <w:p>
      <w:pPr>
        <w:pStyle w:val="3"/>
        <w:numPr>
          <w:ilvl w:val="1"/>
          <w:numId w:val="0"/>
        </w:numPr>
        <w:ind w:leftChars="0"/>
        <w:rPr>
          <w:rFonts w:ascii="宋体" w:hAnsi="宋体" w:eastAsia="宋体"/>
        </w:rPr>
      </w:pPr>
      <w:r>
        <w:rPr>
          <w:rFonts w:hint="eastAsia" w:ascii="宋体" w:hAnsi="宋体" w:eastAsia="宋体"/>
          <w:lang w:val="en-US" w:eastAsia="zh-CN"/>
        </w:rPr>
        <w:t>7.2</w:t>
      </w:r>
      <w:r>
        <w:rPr>
          <w:rFonts w:hint="eastAsia" w:ascii="宋体" w:hAnsi="宋体" w:eastAsia="宋体"/>
        </w:rPr>
        <w:t>风险源监测设备类型数量统计情况</w:t>
      </w:r>
    </w:p>
    <w:p>
      <w:pPr>
        <w:spacing w:line="360" w:lineRule="auto"/>
        <w:ind w:firstLine="330" w:firstLineChars="150"/>
        <w:rPr>
          <w:rFonts w:hint="eastAsia" w:ascii="宋体" w:hAnsi="宋体" w:eastAsia="宋体"/>
          <w:sz w:val="24"/>
        </w:rPr>
      </w:pPr>
      <w:r>
        <w:drawing>
          <wp:inline distT="0" distB="0" distL="114300" distR="114300">
            <wp:extent cx="4114800" cy="2847975"/>
            <wp:effectExtent l="0" t="0" r="0" b="9525"/>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86"/>
                    <a:stretch>
                      <a:fillRect/>
                    </a:stretch>
                  </pic:blipFill>
                  <pic:spPr>
                    <a:xfrm>
                      <a:off x="0" y="0"/>
                      <a:ext cx="4114800" cy="284797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根据经开区本期的安全生产建设情况，统计各风险源的监测设备情况，按照各类型设备数量展示统计图表</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hint="eastAsia" w:ascii="宋体" w:hAnsi="宋体" w:eastAsia="宋体"/>
          <w:sz w:val="24"/>
        </w:rPr>
        <w:t>点击图表，以表格弹窗的形式展示具体的监测设备情况，包括监测设备类型、所属企业、报警记录等数据。</w:t>
      </w:r>
    </w:p>
    <w:p>
      <w:pPr>
        <w:pStyle w:val="3"/>
        <w:numPr>
          <w:ilvl w:val="1"/>
          <w:numId w:val="0"/>
        </w:numPr>
        <w:ind w:leftChars="0"/>
        <w:rPr>
          <w:rFonts w:hint="eastAsia" w:ascii="宋体" w:hAnsi="宋体" w:eastAsia="宋体"/>
        </w:rPr>
      </w:pPr>
      <w:r>
        <w:rPr>
          <w:rFonts w:hint="eastAsia" w:ascii="宋体" w:hAnsi="宋体" w:eastAsia="宋体"/>
          <w:lang w:val="en-US" w:eastAsia="zh-CN"/>
        </w:rPr>
        <w:t>7.3</w:t>
      </w:r>
      <w:r>
        <w:rPr>
          <w:rFonts w:hint="eastAsia" w:ascii="宋体" w:hAnsi="宋体" w:eastAsia="宋体"/>
        </w:rPr>
        <w:t>安全生产培训学校开展情况</w:t>
      </w:r>
    </w:p>
    <w:p>
      <w:r>
        <w:drawing>
          <wp:inline distT="0" distB="0" distL="114300" distR="114300">
            <wp:extent cx="3238500" cy="2838450"/>
            <wp:effectExtent l="0" t="0" r="0" b="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87"/>
                    <a:stretch>
                      <a:fillRect/>
                    </a:stretch>
                  </pic:blipFill>
                  <pic:spPr>
                    <a:xfrm>
                      <a:off x="0" y="0"/>
                      <a:ext cx="3238500" cy="2838450"/>
                    </a:xfrm>
                    <a:prstGeom prst="rect">
                      <a:avLst/>
                    </a:prstGeom>
                    <a:noFill/>
                    <a:ln>
                      <a:noFill/>
                    </a:ln>
                  </pic:spPr>
                </pic:pic>
              </a:graphicData>
            </a:graphic>
          </wp:inline>
        </w:drawing>
      </w:r>
    </w:p>
    <w:p>
      <w:pPr>
        <w:spacing w:line="360" w:lineRule="auto"/>
        <w:ind w:firstLine="360" w:firstLineChars="150"/>
        <w:rPr>
          <w:rFonts w:ascii="宋体" w:hAnsi="宋体" w:eastAsia="宋体"/>
          <w:lang w:val="zh-CN"/>
        </w:rPr>
      </w:pPr>
      <w:r>
        <w:rPr>
          <w:rFonts w:ascii="宋体" w:hAnsi="宋体" w:eastAsia="宋体"/>
          <w:sz w:val="24"/>
        </w:rPr>
        <w:t>根据经开区安全生产培训学校的开展情况，统计注册人数，展示统计图表</w:t>
      </w:r>
      <w:r>
        <w:rPr>
          <w:rFonts w:hint="eastAsia" w:ascii="宋体" w:hAnsi="宋体" w:eastAsia="宋体"/>
          <w:sz w:val="24"/>
        </w:rPr>
        <w:t>。</w:t>
      </w:r>
    </w:p>
    <w:p>
      <w:pPr>
        <w:pStyle w:val="3"/>
        <w:numPr>
          <w:ilvl w:val="1"/>
          <w:numId w:val="0"/>
        </w:numPr>
        <w:ind w:leftChars="0"/>
        <w:rPr>
          <w:rFonts w:hint="eastAsia" w:ascii="宋体" w:hAnsi="宋体" w:eastAsia="宋体"/>
        </w:rPr>
      </w:pPr>
      <w:r>
        <w:rPr>
          <w:rFonts w:hint="eastAsia" w:ascii="宋体" w:hAnsi="宋体" w:eastAsia="宋体"/>
          <w:lang w:val="en-US" w:eastAsia="zh-CN"/>
        </w:rPr>
        <w:t>7.4</w:t>
      </w:r>
      <w:r>
        <w:rPr>
          <w:rFonts w:hint="eastAsia" w:ascii="宋体" w:hAnsi="宋体" w:eastAsia="宋体"/>
        </w:rPr>
        <w:t>隐患排查整改情况</w:t>
      </w:r>
    </w:p>
    <w:p>
      <w:r>
        <w:drawing>
          <wp:inline distT="0" distB="0" distL="114300" distR="114300">
            <wp:extent cx="4162425" cy="2638425"/>
            <wp:effectExtent l="0" t="0" r="9525" b="9525"/>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88"/>
                    <a:stretch>
                      <a:fillRect/>
                    </a:stretch>
                  </pic:blipFill>
                  <pic:spPr>
                    <a:xfrm>
                      <a:off x="0" y="0"/>
                      <a:ext cx="4162425" cy="263842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根据经开区对企业的安全隐患排查情况，统计隐患排查次数、隐患数量、整改率、处罚次数等，展示统计图表</w:t>
      </w:r>
      <w:r>
        <w:rPr>
          <w:rFonts w:hint="eastAsia" w:ascii="宋体" w:hAnsi="宋体" w:eastAsia="宋体"/>
          <w:sz w:val="24"/>
        </w:rPr>
        <w:t>。</w:t>
      </w:r>
    </w:p>
    <w:p>
      <w:pPr>
        <w:spacing w:line="360" w:lineRule="auto"/>
        <w:ind w:firstLine="360" w:firstLineChars="150"/>
        <w:rPr>
          <w:rFonts w:ascii="宋体" w:hAnsi="宋体" w:eastAsia="宋体"/>
          <w:sz w:val="24"/>
        </w:rPr>
      </w:pPr>
      <w:r>
        <w:rPr>
          <w:rFonts w:hint="eastAsia" w:ascii="宋体" w:hAnsi="宋体" w:eastAsia="宋体"/>
          <w:sz w:val="24"/>
        </w:rPr>
        <w:t>点击图表，以表格弹窗的形式展示具体的隐患排查数据，包括隐患内容、所属企业、排查时间、整改时间等。</w:t>
      </w:r>
    </w:p>
    <w:p>
      <w:pPr>
        <w:pStyle w:val="3"/>
        <w:numPr>
          <w:ilvl w:val="1"/>
          <w:numId w:val="0"/>
        </w:numPr>
        <w:ind w:leftChars="0"/>
        <w:rPr>
          <w:rFonts w:hint="eastAsia" w:ascii="宋体" w:hAnsi="宋体" w:eastAsia="宋体"/>
          <w:lang w:eastAsia="zh-CN"/>
        </w:rPr>
      </w:pPr>
      <w:r>
        <w:rPr>
          <w:rFonts w:hint="eastAsia" w:ascii="宋体" w:hAnsi="宋体" w:eastAsia="宋体"/>
          <w:lang w:val="en-US" w:eastAsia="zh-CN"/>
        </w:rPr>
        <w:t>7.5</w:t>
      </w:r>
      <w:r>
        <w:rPr>
          <w:rFonts w:hint="eastAsia" w:ascii="宋体" w:hAnsi="宋体" w:eastAsia="宋体"/>
        </w:rPr>
        <w:t>监测点位分布</w:t>
      </w:r>
    </w:p>
    <w:p>
      <w:pPr>
        <w:rPr>
          <w:rFonts w:ascii="宋体" w:hAnsi="宋体" w:eastAsia="宋体"/>
        </w:rPr>
      </w:pPr>
      <w:r>
        <w:rPr>
          <w:rFonts w:ascii="宋体" w:hAnsi="宋体" w:eastAsia="宋体"/>
        </w:rPr>
        <w:drawing>
          <wp:inline distT="0" distB="0" distL="0" distR="0">
            <wp:extent cx="5270500" cy="2185035"/>
            <wp:effectExtent l="0" t="0" r="6350" b="571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89"/>
                    <a:stretch>
                      <a:fillRect/>
                    </a:stretch>
                  </pic:blipFill>
                  <pic:spPr>
                    <a:xfrm>
                      <a:off x="0" y="0"/>
                      <a:ext cx="5270500" cy="2185035"/>
                    </a:xfrm>
                    <a:prstGeom prst="rect">
                      <a:avLst/>
                    </a:prstGeom>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w:t>
      </w:r>
      <w:r>
        <w:rPr>
          <w:rFonts w:hint="eastAsia" w:ascii="宋体" w:hAnsi="宋体" w:eastAsia="宋体"/>
          <w:sz w:val="24"/>
        </w:rPr>
        <w:t>安监环保系统的建设，将各类监测设备按照业务类型进行区分并显示在三位地图中，通过各个业务类型的标签进行切换，一旦监测数据出发报警，则实时在地图中进行联动展示提醒。</w:t>
      </w:r>
    </w:p>
    <w:p>
      <w:pPr>
        <w:spacing w:line="360" w:lineRule="auto"/>
        <w:ind w:firstLine="360" w:firstLineChars="150"/>
        <w:rPr>
          <w:rFonts w:hint="eastAsia" w:ascii="宋体" w:hAnsi="宋体" w:eastAsia="宋体"/>
          <w:sz w:val="24"/>
        </w:rPr>
      </w:pPr>
      <w:r>
        <w:rPr>
          <w:rFonts w:hint="eastAsia" w:ascii="宋体" w:hAnsi="宋体" w:eastAsia="宋体"/>
          <w:sz w:val="24"/>
        </w:rPr>
        <w:t>点击不同的业务类型标签，三位地图中的监测点位及图标根据所选类型进行切换。</w:t>
      </w:r>
    </w:p>
    <w:p>
      <w:pPr>
        <w:spacing w:line="360" w:lineRule="auto"/>
        <w:ind w:firstLine="360" w:firstLineChars="150"/>
        <w:rPr>
          <w:rFonts w:hint="eastAsia" w:ascii="宋体" w:hAnsi="宋体" w:eastAsia="宋体"/>
          <w:sz w:val="24"/>
        </w:rPr>
      </w:pPr>
    </w:p>
    <w:p>
      <w:pPr>
        <w:spacing w:line="360" w:lineRule="auto"/>
        <w:ind w:firstLine="360" w:firstLineChars="150"/>
        <w:rPr>
          <w:rFonts w:hint="eastAsia" w:ascii="宋体" w:hAnsi="宋体" w:eastAsia="宋体"/>
          <w:sz w:val="24"/>
        </w:rPr>
      </w:pPr>
    </w:p>
    <w:p>
      <w:pPr>
        <w:pStyle w:val="3"/>
        <w:numPr>
          <w:ilvl w:val="1"/>
          <w:numId w:val="0"/>
        </w:numPr>
        <w:ind w:leftChars="0"/>
        <w:rPr>
          <w:rFonts w:ascii="宋体" w:hAnsi="宋体" w:eastAsia="宋体"/>
        </w:rPr>
      </w:pPr>
      <w:r>
        <w:rPr>
          <w:rFonts w:hint="eastAsia" w:ascii="宋体" w:hAnsi="宋体" w:eastAsia="宋体"/>
          <w:lang w:val="en-US" w:eastAsia="zh-CN"/>
        </w:rPr>
        <w:t>7.6</w:t>
      </w:r>
      <w:r>
        <w:rPr>
          <w:rFonts w:hint="eastAsia" w:ascii="宋体" w:hAnsi="宋体" w:eastAsia="宋体"/>
        </w:rPr>
        <w:t>空气质量指数（</w:t>
      </w:r>
      <w:r>
        <w:rPr>
          <w:rFonts w:ascii="宋体" w:hAnsi="宋体" w:eastAsia="宋体"/>
        </w:rPr>
        <w:t>AQI）情况</w:t>
      </w:r>
    </w:p>
    <w:p>
      <w:r>
        <w:drawing>
          <wp:inline distT="0" distB="0" distL="114300" distR="114300">
            <wp:extent cx="4019550" cy="2457450"/>
            <wp:effectExtent l="0" t="0" r="0" b="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90"/>
                    <a:stretch>
                      <a:fillRect/>
                    </a:stretch>
                  </pic:blipFill>
                  <pic:spPr>
                    <a:xfrm>
                      <a:off x="0" y="0"/>
                      <a:ext cx="4019550" cy="2457450"/>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根据经开区的环境监测数据，分析计算经开区的整体环境质量情况，以小时为单位展示环境指数及各项监测指标的数值</w:t>
      </w:r>
      <w:r>
        <w:rPr>
          <w:rFonts w:hint="eastAsia" w:ascii="宋体" w:hAnsi="宋体" w:eastAsia="宋体"/>
          <w:sz w:val="24"/>
        </w:rPr>
        <w:t>。</w:t>
      </w:r>
    </w:p>
    <w:p>
      <w:pPr>
        <w:spacing w:line="360" w:lineRule="auto"/>
        <w:ind w:firstLine="360"/>
        <w:rPr>
          <w:rFonts w:hint="eastAsia" w:ascii="宋体" w:hAnsi="宋体" w:eastAsia="宋体"/>
          <w:sz w:val="24"/>
        </w:rPr>
      </w:pPr>
      <w:r>
        <w:rPr>
          <w:rFonts w:hint="eastAsia" w:ascii="宋体" w:hAnsi="宋体" w:eastAsia="宋体"/>
          <w:sz w:val="24"/>
        </w:rPr>
        <w:t>点击</w:t>
      </w:r>
      <w:r>
        <w:rPr>
          <w:rFonts w:ascii="宋体" w:hAnsi="宋体" w:eastAsia="宋体"/>
          <w:sz w:val="24"/>
        </w:rPr>
        <w:t>图表，经开区三维地图会进行联动展示：展示经开区大气环境、废水、扬尘等监测点位的分布情况，默认展示管委会大楼楼顶的监测设备实时数据</w:t>
      </w:r>
      <w:r>
        <w:rPr>
          <w:rFonts w:hint="eastAsia" w:ascii="宋体" w:hAnsi="宋体" w:eastAsia="宋体"/>
          <w:sz w:val="24"/>
        </w:rPr>
        <w:t>。</w:t>
      </w:r>
    </w:p>
    <w:p>
      <w:pPr>
        <w:pStyle w:val="3"/>
        <w:numPr>
          <w:ilvl w:val="1"/>
          <w:numId w:val="0"/>
        </w:numPr>
        <w:ind w:leftChars="0"/>
        <w:rPr>
          <w:rFonts w:ascii="宋体" w:hAnsi="宋体" w:eastAsia="宋体"/>
        </w:rPr>
      </w:pPr>
      <w:r>
        <w:rPr>
          <w:rFonts w:hint="eastAsia" w:ascii="宋体" w:hAnsi="宋体" w:eastAsia="宋体"/>
          <w:lang w:val="en-US" w:eastAsia="zh-CN"/>
        </w:rPr>
        <w:t>7.7</w:t>
      </w:r>
      <w:r>
        <w:rPr>
          <w:rFonts w:hint="eastAsia" w:ascii="宋体" w:hAnsi="宋体" w:eastAsia="宋体"/>
        </w:rPr>
        <w:t>近一年</w:t>
      </w:r>
      <w:r>
        <w:rPr>
          <w:rFonts w:ascii="宋体" w:hAnsi="宋体" w:eastAsia="宋体"/>
        </w:rPr>
        <w:t>AQI数据统计情况</w:t>
      </w:r>
    </w:p>
    <w:p>
      <w:r>
        <w:drawing>
          <wp:inline distT="0" distB="0" distL="114300" distR="114300">
            <wp:extent cx="3457575" cy="2619375"/>
            <wp:effectExtent l="0" t="0" r="9525" b="952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91"/>
                    <a:stretch>
                      <a:fillRect/>
                    </a:stretch>
                  </pic:blipFill>
                  <pic:spPr>
                    <a:xfrm>
                      <a:off x="0" y="0"/>
                      <a:ext cx="3457575" cy="2619375"/>
                    </a:xfrm>
                    <a:prstGeom prst="rect">
                      <a:avLst/>
                    </a:prstGeom>
                    <a:noFill/>
                    <a:ln>
                      <a:noFill/>
                    </a:ln>
                  </pic:spPr>
                </pic:pic>
              </a:graphicData>
            </a:graphic>
          </wp:inline>
        </w:drawing>
      </w:r>
    </w:p>
    <w:p>
      <w:pPr>
        <w:spacing w:line="360" w:lineRule="auto"/>
        <w:ind w:firstLine="360" w:firstLineChars="150"/>
        <w:rPr>
          <w:rFonts w:hint="eastAsia" w:ascii="宋体" w:hAnsi="宋体" w:eastAsia="宋体"/>
          <w:sz w:val="24"/>
        </w:rPr>
      </w:pPr>
      <w:r>
        <w:rPr>
          <w:rFonts w:ascii="宋体" w:hAnsi="宋体" w:eastAsia="宋体"/>
          <w:sz w:val="24"/>
        </w:rPr>
        <w:t>根据经开区的环境监测数据，以年为单位统计月内环境质量各级别的出现天数、达标率，展示统计图表</w:t>
      </w:r>
      <w:r>
        <w:rPr>
          <w:rFonts w:hint="eastAsia" w:ascii="宋体" w:hAnsi="宋体" w:eastAsia="宋体"/>
          <w:sz w:val="24"/>
        </w:rPr>
        <w:t>。</w:t>
      </w:r>
    </w:p>
    <w:p>
      <w:pPr>
        <w:pStyle w:val="3"/>
        <w:numPr>
          <w:ilvl w:val="1"/>
          <w:numId w:val="0"/>
        </w:numPr>
        <w:ind w:leftChars="0"/>
        <w:rPr>
          <w:rFonts w:ascii="宋体" w:hAnsi="宋体" w:eastAsia="宋体"/>
        </w:rPr>
      </w:pPr>
      <w:r>
        <w:rPr>
          <w:rFonts w:hint="eastAsia" w:ascii="宋体" w:hAnsi="宋体" w:eastAsia="宋体"/>
          <w:lang w:val="en-US" w:eastAsia="zh-CN"/>
        </w:rPr>
        <w:t>7.8</w:t>
      </w:r>
      <w:r>
        <w:rPr>
          <w:rFonts w:hint="eastAsia" w:ascii="宋体" w:hAnsi="宋体" w:eastAsia="宋体"/>
        </w:rPr>
        <w:t>近一月</w:t>
      </w:r>
      <w:r>
        <w:rPr>
          <w:rFonts w:ascii="宋体" w:hAnsi="宋体" w:eastAsia="宋体"/>
        </w:rPr>
        <w:t>AQI数据情况</w:t>
      </w:r>
    </w:p>
    <w:p>
      <w:pPr>
        <w:rPr>
          <w:rFonts w:ascii="宋体" w:hAnsi="宋体" w:eastAsia="宋体"/>
        </w:rPr>
      </w:pPr>
      <w:r>
        <w:rPr>
          <w:rFonts w:ascii="宋体" w:hAnsi="宋体" w:eastAsia="宋体"/>
        </w:rPr>
        <w:drawing>
          <wp:inline distT="0" distB="0" distL="0" distR="0">
            <wp:extent cx="5270500" cy="1814195"/>
            <wp:effectExtent l="0" t="0" r="6350" b="14605"/>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92" cstate="print"/>
                    <a:srcRect/>
                    <a:stretch>
                      <a:fillRect/>
                    </a:stretch>
                  </pic:blipFill>
                  <pic:spPr>
                    <a:xfrm>
                      <a:off x="0" y="0"/>
                      <a:ext cx="5270500" cy="1814300"/>
                    </a:xfrm>
                    <a:prstGeom prst="rect">
                      <a:avLst/>
                    </a:prstGeom>
                    <a:noFill/>
                    <a:ln w="9525">
                      <a:noFill/>
                      <a:miter lim="800000"/>
                      <a:headEnd/>
                      <a:tailEnd/>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根据经开区的环境监测数据，以月为单位统计月内环境质量各级别的出现天数，展示统计图表</w:t>
      </w:r>
      <w:r>
        <w:rPr>
          <w:rFonts w:hint="eastAsia" w:ascii="宋体" w:hAnsi="宋体" w:eastAsia="宋体"/>
          <w:sz w:val="24"/>
        </w:rPr>
        <w:t>。</w:t>
      </w:r>
    </w:p>
    <w:p>
      <w:pPr>
        <w:pStyle w:val="3"/>
        <w:numPr>
          <w:ilvl w:val="1"/>
          <w:numId w:val="0"/>
        </w:numPr>
        <w:ind w:leftChars="0"/>
        <w:rPr>
          <w:rFonts w:hint="eastAsia" w:ascii="宋体" w:hAnsi="宋体" w:eastAsia="宋体"/>
        </w:rPr>
      </w:pPr>
      <w:r>
        <w:rPr>
          <w:rFonts w:hint="eastAsia" w:ascii="宋体" w:hAnsi="宋体" w:eastAsia="宋体"/>
          <w:lang w:val="en-US" w:eastAsia="zh-CN"/>
        </w:rPr>
        <w:t>7.9</w:t>
      </w:r>
      <w:r>
        <w:rPr>
          <w:rFonts w:hint="eastAsia" w:ascii="宋体" w:hAnsi="宋体" w:eastAsia="宋体"/>
        </w:rPr>
        <w:t>环境监控设备情况</w:t>
      </w:r>
    </w:p>
    <w:p>
      <w:r>
        <w:drawing>
          <wp:inline distT="0" distB="0" distL="114300" distR="114300">
            <wp:extent cx="3733800" cy="2762250"/>
            <wp:effectExtent l="0" t="0" r="0" b="0"/>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pic:cNvPicPr>
                      <a:picLocks noChangeAspect="1"/>
                    </pic:cNvPicPr>
                  </pic:nvPicPr>
                  <pic:blipFill>
                    <a:blip r:embed="rId93"/>
                    <a:stretch>
                      <a:fillRect/>
                    </a:stretch>
                  </pic:blipFill>
                  <pic:spPr>
                    <a:xfrm>
                      <a:off x="0" y="0"/>
                      <a:ext cx="3733800" cy="2762250"/>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对经开区的环境监控设备进行统计分析，按照监控设备分类进行统计，展示统计图表</w:t>
      </w:r>
      <w:r>
        <w:rPr>
          <w:rFonts w:hint="eastAsia" w:ascii="宋体" w:hAnsi="宋体" w:eastAsia="宋体"/>
          <w:sz w:val="24"/>
        </w:rPr>
        <w:t>。</w:t>
      </w:r>
    </w:p>
    <w:p>
      <w:pPr>
        <w:spacing w:line="360" w:lineRule="auto"/>
        <w:ind w:firstLine="360" w:firstLineChars="150"/>
        <w:rPr>
          <w:rFonts w:hint="eastAsia" w:ascii="宋体" w:hAnsi="宋体" w:eastAsia="宋体"/>
          <w:sz w:val="24"/>
        </w:rPr>
      </w:pPr>
      <w:r>
        <w:rPr>
          <w:rFonts w:hint="eastAsia" w:ascii="宋体" w:hAnsi="宋体" w:eastAsia="宋体"/>
          <w:sz w:val="24"/>
        </w:rPr>
        <w:t>点击图表中的各个分类</w:t>
      </w:r>
      <w:r>
        <w:rPr>
          <w:rFonts w:ascii="宋体" w:hAnsi="宋体" w:eastAsia="宋体"/>
          <w:sz w:val="24"/>
        </w:rPr>
        <w:t>，经开区三维地图进行联动展示：展示所选监控类型</w:t>
      </w:r>
      <w:r>
        <w:rPr>
          <w:rFonts w:hint="eastAsia" w:ascii="宋体" w:hAnsi="宋体" w:eastAsia="宋体"/>
          <w:sz w:val="24"/>
        </w:rPr>
        <w:t>的</w:t>
      </w:r>
      <w:r>
        <w:rPr>
          <w:rFonts w:ascii="宋体" w:hAnsi="宋体" w:eastAsia="宋体"/>
          <w:sz w:val="24"/>
        </w:rPr>
        <w:t>分布点位</w:t>
      </w:r>
      <w:r>
        <w:rPr>
          <w:rFonts w:hint="eastAsia" w:ascii="宋体" w:hAnsi="宋体" w:eastAsia="宋体"/>
          <w:sz w:val="24"/>
        </w:rPr>
        <w:t>。</w:t>
      </w:r>
    </w:p>
    <w:p>
      <w:pPr>
        <w:pStyle w:val="3"/>
        <w:numPr>
          <w:ilvl w:val="1"/>
          <w:numId w:val="0"/>
        </w:numPr>
        <w:ind w:leftChars="0"/>
        <w:rPr>
          <w:rFonts w:ascii="宋体" w:hAnsi="宋体" w:eastAsia="宋体"/>
        </w:rPr>
      </w:pPr>
      <w:r>
        <w:rPr>
          <w:rFonts w:hint="eastAsia" w:ascii="宋体" w:hAnsi="宋体" w:eastAsia="宋体"/>
          <w:lang w:val="en-US" w:eastAsia="zh-CN"/>
        </w:rPr>
        <w:t>7.10</w:t>
      </w:r>
      <w:r>
        <w:rPr>
          <w:rFonts w:hint="eastAsia" w:ascii="宋体" w:hAnsi="宋体" w:eastAsia="宋体"/>
        </w:rPr>
        <w:t>企业环保设备状态情况</w:t>
      </w:r>
    </w:p>
    <w:p>
      <w:pPr>
        <w:spacing w:line="360" w:lineRule="auto"/>
        <w:ind w:firstLine="330" w:firstLineChars="150"/>
      </w:pPr>
      <w:r>
        <w:drawing>
          <wp:inline distT="0" distB="0" distL="114300" distR="114300">
            <wp:extent cx="3543300" cy="2828925"/>
            <wp:effectExtent l="0" t="0" r="0" b="9525"/>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94"/>
                    <a:stretch>
                      <a:fillRect/>
                    </a:stretch>
                  </pic:blipFill>
                  <pic:spPr>
                    <a:xfrm>
                      <a:off x="0" y="0"/>
                      <a:ext cx="3543300" cy="2828925"/>
                    </a:xfrm>
                    <a:prstGeom prst="rect">
                      <a:avLst/>
                    </a:prstGeom>
                    <a:noFill/>
                    <a:ln>
                      <a:noFill/>
                    </a:ln>
                  </pic:spPr>
                </pic:pic>
              </a:graphicData>
            </a:graphic>
          </wp:inline>
        </w:drawing>
      </w:r>
    </w:p>
    <w:p>
      <w:pPr>
        <w:spacing w:line="360" w:lineRule="auto"/>
        <w:ind w:firstLine="360" w:firstLineChars="150"/>
        <w:rPr>
          <w:rFonts w:ascii="宋体" w:hAnsi="宋体" w:eastAsia="宋体"/>
          <w:sz w:val="24"/>
        </w:rPr>
      </w:pPr>
      <w:r>
        <w:rPr>
          <w:rFonts w:ascii="宋体" w:hAnsi="宋体" w:eastAsia="宋体"/>
          <w:sz w:val="24"/>
        </w:rPr>
        <w:t>根据经开区环保设备的建设情况，对设备运行状态进行分析，展示统计图表</w:t>
      </w:r>
      <w:r>
        <w:rPr>
          <w:rFonts w:hint="eastAsia" w:ascii="宋体" w:hAnsi="宋体" w:eastAsia="宋体"/>
          <w:sz w:val="24"/>
        </w:rPr>
        <w:t>。</w:t>
      </w:r>
    </w:p>
    <w:p>
      <w:pPr>
        <w:pStyle w:val="2"/>
        <w:numPr>
          <w:ilvl w:val="0"/>
          <w:numId w:val="0"/>
        </w:numPr>
        <w:ind w:leftChars="0"/>
        <w:rPr>
          <w:rFonts w:hint="eastAsia" w:ascii="宋体" w:hAnsi="宋体" w:eastAsia="宋体" w:cs="Times New Roman"/>
          <w:color w:val="000000" w:themeColor="text1"/>
          <w:kern w:val="0"/>
          <w:sz w:val="24"/>
          <w:szCs w:val="20"/>
          <w:lang w:val="zh-CN"/>
        </w:rPr>
      </w:pPr>
      <w:r>
        <w:rPr>
          <w:rFonts w:hint="eastAsia" w:ascii="宋体" w:hAnsi="宋体" w:eastAsia="宋体" w:cstheme="minorBidi"/>
          <w:b/>
          <w:bCs/>
          <w:kern w:val="44"/>
          <w:sz w:val="44"/>
          <w:szCs w:val="44"/>
          <w:lang w:val="en-US" w:eastAsia="zh-CN" w:bidi="ar-SA"/>
        </w:rPr>
        <w:t>第八章：工业互联</w:t>
      </w:r>
    </w:p>
    <w:p>
      <w:pPr>
        <w:pStyle w:val="3"/>
        <w:numPr>
          <w:ilvl w:val="1"/>
          <w:numId w:val="0"/>
        </w:numPr>
        <w:ind w:leftChars="0"/>
        <w:rPr>
          <w:rFonts w:hint="eastAsia" w:ascii="宋体" w:hAnsi="宋体" w:eastAsia="宋体"/>
        </w:rPr>
      </w:pPr>
      <w:r>
        <w:rPr>
          <w:rFonts w:hint="eastAsia" w:ascii="宋体" w:hAnsi="宋体" w:eastAsia="宋体" w:cstheme="majorBidi"/>
          <w:b/>
          <w:bCs/>
          <w:sz w:val="32"/>
          <w:szCs w:val="32"/>
          <w:lang w:val="en-US" w:eastAsia="zh-CN" w:bidi="ar-SA"/>
        </w:rPr>
        <w:t>8.1</w:t>
      </w:r>
      <w:r>
        <w:rPr>
          <w:rFonts w:hint="eastAsia" w:ascii="宋体" w:hAnsi="宋体" w:eastAsia="宋体"/>
        </w:rPr>
        <w:t>工业互联平台情况总览</w:t>
      </w:r>
    </w:p>
    <w:p>
      <w:pPr>
        <w:rPr>
          <w:rFonts w:hint="eastAsia"/>
        </w:rPr>
      </w:pPr>
      <w:r>
        <w:drawing>
          <wp:inline distT="0" distB="0" distL="114300" distR="114300">
            <wp:extent cx="5268595" cy="441325"/>
            <wp:effectExtent l="0" t="0" r="8255" b="15875"/>
            <wp:docPr id="7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pic:cNvPicPr>
                      <a:picLocks noChangeAspect="1"/>
                    </pic:cNvPicPr>
                  </pic:nvPicPr>
                  <pic:blipFill>
                    <a:blip r:embed="rId95"/>
                    <a:stretch>
                      <a:fillRect/>
                    </a:stretch>
                  </pic:blipFill>
                  <pic:spPr>
                    <a:xfrm>
                      <a:off x="0" y="0"/>
                      <a:ext cx="5268595" cy="44132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展示工业互联网平台的整体运行情况，包括注册企业总数、合作伙伴总数、设备协议支持总数、应用总数、店铺数、连接用户模型数量、订单合同数量。</w:t>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8.1.1合作伙伴</w:t>
      </w:r>
    </w:p>
    <w:p>
      <w:r>
        <w:drawing>
          <wp:inline distT="0" distB="0" distL="114300" distR="114300">
            <wp:extent cx="3286125" cy="2105025"/>
            <wp:effectExtent l="0" t="0" r="9525" b="9525"/>
            <wp:docPr id="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1"/>
                    <pic:cNvPicPr>
                      <a:picLocks noChangeAspect="1"/>
                    </pic:cNvPicPr>
                  </pic:nvPicPr>
                  <pic:blipFill>
                    <a:blip r:embed="rId96"/>
                    <a:stretch>
                      <a:fillRect/>
                    </a:stretch>
                  </pic:blipFill>
                  <pic:spPr>
                    <a:xfrm>
                      <a:off x="0" y="0"/>
                      <a:ext cx="3286125" cy="2105025"/>
                    </a:xfrm>
                    <a:prstGeom prst="rect">
                      <a:avLst/>
                    </a:prstGeom>
                    <a:noFill/>
                    <a:ln>
                      <a:noFill/>
                    </a:ln>
                  </pic:spPr>
                </pic:pic>
              </a:graphicData>
            </a:graphic>
          </wp:inline>
        </w:drawing>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8.1.2设备协议支持</w:t>
      </w:r>
    </w:p>
    <w:p>
      <w:pPr>
        <w:rPr>
          <w:rFonts w:hint="eastAsia"/>
          <w:lang w:val="en-US" w:eastAsia="zh-CN"/>
        </w:rPr>
      </w:pPr>
    </w:p>
    <w:p>
      <w:r>
        <w:drawing>
          <wp:inline distT="0" distB="0" distL="114300" distR="114300">
            <wp:extent cx="3318510" cy="1557020"/>
            <wp:effectExtent l="0" t="0" r="15240" b="508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97"/>
                    <a:stretch>
                      <a:fillRect/>
                    </a:stretch>
                  </pic:blipFill>
                  <pic:spPr>
                    <a:xfrm>
                      <a:off x="0" y="0"/>
                      <a:ext cx="3318510" cy="1557020"/>
                    </a:xfrm>
                    <a:prstGeom prst="rect">
                      <a:avLst/>
                    </a:prstGeom>
                    <a:noFill/>
                    <a:ln>
                      <a:noFill/>
                    </a:ln>
                  </pic:spPr>
                </pic:pic>
              </a:graphicData>
            </a:graphic>
          </wp:inline>
        </w:drawing>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8.1.3应用总数</w:t>
      </w:r>
    </w:p>
    <w:p>
      <w:r>
        <w:drawing>
          <wp:inline distT="0" distB="0" distL="114300" distR="114300">
            <wp:extent cx="3481705" cy="1716405"/>
            <wp:effectExtent l="0" t="0" r="4445" b="17145"/>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98"/>
                    <a:stretch>
                      <a:fillRect/>
                    </a:stretch>
                  </pic:blipFill>
                  <pic:spPr>
                    <a:xfrm>
                      <a:off x="0" y="0"/>
                      <a:ext cx="3481705" cy="1716405"/>
                    </a:xfrm>
                    <a:prstGeom prst="rect">
                      <a:avLst/>
                    </a:prstGeom>
                    <a:noFill/>
                    <a:ln>
                      <a:noFill/>
                    </a:ln>
                  </pic:spPr>
                </pic:pic>
              </a:graphicData>
            </a:graphic>
          </wp:inline>
        </w:drawing>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8.1.4店铺数</w:t>
      </w:r>
    </w:p>
    <w:p>
      <w:r>
        <w:drawing>
          <wp:inline distT="0" distB="0" distL="114300" distR="114300">
            <wp:extent cx="3491230" cy="1847850"/>
            <wp:effectExtent l="0" t="0" r="13970" b="0"/>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99"/>
                    <a:stretch>
                      <a:fillRect/>
                    </a:stretch>
                  </pic:blipFill>
                  <pic:spPr>
                    <a:xfrm>
                      <a:off x="0" y="0"/>
                      <a:ext cx="3491230" cy="1847850"/>
                    </a:xfrm>
                    <a:prstGeom prst="rect">
                      <a:avLst/>
                    </a:prstGeom>
                    <a:noFill/>
                    <a:ln>
                      <a:noFill/>
                    </a:ln>
                  </pic:spPr>
                </pic:pic>
              </a:graphicData>
            </a:graphic>
          </wp:inline>
        </w:drawing>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8.1.5连接ERP模型</w:t>
      </w:r>
    </w:p>
    <w:p>
      <w:r>
        <w:drawing>
          <wp:inline distT="0" distB="0" distL="114300" distR="114300">
            <wp:extent cx="3514090" cy="1927225"/>
            <wp:effectExtent l="0" t="0" r="10160" b="1587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100"/>
                    <a:stretch>
                      <a:fillRect/>
                    </a:stretch>
                  </pic:blipFill>
                  <pic:spPr>
                    <a:xfrm>
                      <a:off x="0" y="0"/>
                      <a:ext cx="3514090" cy="1927225"/>
                    </a:xfrm>
                    <a:prstGeom prst="rect">
                      <a:avLst/>
                    </a:prstGeom>
                    <a:noFill/>
                    <a:ln>
                      <a:noFill/>
                    </a:ln>
                  </pic:spPr>
                </pic:pic>
              </a:graphicData>
            </a:graphic>
          </wp:inline>
        </w:drawing>
      </w:r>
    </w:p>
    <w:p>
      <w:pPr>
        <w:pStyle w:val="4"/>
        <w:numPr>
          <w:ilvl w:val="4"/>
          <w:numId w:val="0"/>
        </w:numPr>
        <w:ind w:leftChars="0"/>
        <w:rPr>
          <w:rFonts w:hint="eastAsia" w:ascii="宋体" w:hAnsi="宋体" w:eastAsia="宋体"/>
          <w:lang w:val="en-US" w:eastAsia="zh-CN"/>
        </w:rPr>
      </w:pPr>
      <w:r>
        <w:rPr>
          <w:rFonts w:hint="eastAsia" w:ascii="宋体" w:hAnsi="宋体" w:eastAsia="宋体"/>
          <w:lang w:val="en-US" w:eastAsia="zh-CN"/>
        </w:rPr>
        <w:t>8.1.6订单合同</w:t>
      </w:r>
    </w:p>
    <w:p>
      <w:pPr>
        <w:rPr>
          <w:rFonts w:hint="eastAsia"/>
          <w:lang w:val="en-US" w:eastAsia="zh-CN"/>
        </w:rPr>
      </w:pPr>
      <w:r>
        <w:drawing>
          <wp:inline distT="0" distB="0" distL="114300" distR="114300">
            <wp:extent cx="3605530" cy="2202180"/>
            <wp:effectExtent l="0" t="0" r="13970" b="7620"/>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101"/>
                    <a:stretch>
                      <a:fillRect/>
                    </a:stretch>
                  </pic:blipFill>
                  <pic:spPr>
                    <a:xfrm>
                      <a:off x="0" y="0"/>
                      <a:ext cx="3605530" cy="2202180"/>
                    </a:xfrm>
                    <a:prstGeom prst="rect">
                      <a:avLst/>
                    </a:prstGeom>
                    <a:noFill/>
                    <a:ln>
                      <a:noFill/>
                    </a:ln>
                  </pic:spPr>
                </pic:pic>
              </a:graphicData>
            </a:graphic>
          </wp:inline>
        </w:drawing>
      </w:r>
    </w:p>
    <w:p>
      <w:pPr>
        <w:pStyle w:val="3"/>
        <w:numPr>
          <w:ilvl w:val="1"/>
          <w:numId w:val="0"/>
        </w:numPr>
        <w:ind w:leftChars="0"/>
        <w:rPr>
          <w:rFonts w:hint="eastAsia" w:ascii="宋体" w:hAnsi="宋体" w:eastAsia="宋体"/>
        </w:rPr>
      </w:pPr>
      <w:r>
        <w:rPr>
          <w:rFonts w:hint="eastAsia" w:ascii="宋体" w:hAnsi="宋体" w:eastAsia="宋体"/>
          <w:lang w:val="en-US" w:eastAsia="zh-CN"/>
        </w:rPr>
        <w:t>8.2</w:t>
      </w:r>
      <w:r>
        <w:rPr>
          <w:rFonts w:hint="eastAsia" w:ascii="宋体" w:hAnsi="宋体" w:eastAsia="宋体"/>
        </w:rPr>
        <w:t>企业上云进度</w:t>
      </w:r>
    </w:p>
    <w:p>
      <w:r>
        <w:drawing>
          <wp:inline distT="0" distB="0" distL="114300" distR="114300">
            <wp:extent cx="5270500" cy="1803400"/>
            <wp:effectExtent l="0" t="0" r="6350" b="635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102"/>
                    <a:stretch>
                      <a:fillRect/>
                    </a:stretch>
                  </pic:blipFill>
                  <pic:spPr>
                    <a:xfrm>
                      <a:off x="0" y="0"/>
                      <a:ext cx="5270500" cy="180340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按月统计展示企业上云进度情况，统计最近</w:t>
      </w:r>
      <w:r>
        <w:rPr>
          <w:rFonts w:ascii="宋体" w:hAnsi="宋体"/>
          <w:color w:val="000000" w:themeColor="text1"/>
          <w:lang w:val="en-US"/>
        </w:rPr>
        <w:t>12个月的当月完成上</w:t>
      </w:r>
      <w:r>
        <w:rPr>
          <w:rFonts w:hint="eastAsia" w:ascii="宋体" w:hAnsi="宋体"/>
          <w:color w:val="000000" w:themeColor="text1"/>
          <w:lang w:val="en-US"/>
        </w:rPr>
        <w:t>云企业数量和当月目标上云企业数量。</w:t>
      </w:r>
    </w:p>
    <w:p>
      <w:pPr>
        <w:pStyle w:val="45"/>
        <w:rPr>
          <w:rFonts w:hint="eastAsia" w:ascii="宋体" w:hAnsi="宋体"/>
          <w:color w:val="000000" w:themeColor="text1"/>
          <w:lang w:val="en-US"/>
        </w:rPr>
      </w:pPr>
      <w:r>
        <w:rPr>
          <w:rFonts w:hint="eastAsia" w:ascii="宋体" w:hAnsi="宋体"/>
          <w:color w:val="000000" w:themeColor="text1"/>
          <w:lang w:val="en-US"/>
        </w:rPr>
        <w:t>点击报表的每个月份，弹出窗口显示具体的当月上云企业信息列表</w:t>
      </w:r>
    </w:p>
    <w:p>
      <w:pPr>
        <w:pStyle w:val="3"/>
        <w:numPr>
          <w:ilvl w:val="1"/>
          <w:numId w:val="0"/>
        </w:numPr>
        <w:ind w:leftChars="0"/>
        <w:rPr>
          <w:rFonts w:hint="eastAsia" w:ascii="宋体" w:hAnsi="宋体" w:eastAsia="宋体"/>
          <w:lang w:eastAsia="zh-CN"/>
        </w:rPr>
      </w:pPr>
      <w:r>
        <w:rPr>
          <w:rFonts w:hint="eastAsia" w:ascii="宋体" w:hAnsi="宋体" w:eastAsia="宋体"/>
          <w:lang w:val="en-US" w:eastAsia="zh-CN"/>
        </w:rPr>
        <w:t>8.3</w:t>
      </w:r>
      <w:r>
        <w:rPr>
          <w:rFonts w:hint="eastAsia" w:ascii="宋体" w:hAnsi="宋体" w:eastAsia="宋体"/>
        </w:rPr>
        <w:t>上云产品行业分布</w:t>
      </w:r>
    </w:p>
    <w:p>
      <w:pPr>
        <w:rPr>
          <w:rFonts w:hint="eastAsia"/>
        </w:rPr>
      </w:pPr>
      <w:r>
        <w:rPr>
          <w:rFonts w:ascii="宋体" w:hAnsi="宋体" w:eastAsia="宋体"/>
        </w:rPr>
        <w:drawing>
          <wp:inline distT="0" distB="0" distL="114300" distR="114300">
            <wp:extent cx="5268595" cy="2124075"/>
            <wp:effectExtent l="0" t="0" r="8255" b="9525"/>
            <wp:docPr id="2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1"/>
                    <pic:cNvPicPr>
                      <a:picLocks noChangeAspect="1"/>
                    </pic:cNvPicPr>
                  </pic:nvPicPr>
                  <pic:blipFill>
                    <a:blip r:embed="rId103"/>
                    <a:stretch>
                      <a:fillRect/>
                    </a:stretch>
                  </pic:blipFill>
                  <pic:spPr>
                    <a:xfrm>
                      <a:off x="0" y="0"/>
                      <a:ext cx="5268595" cy="212407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按行业类型（制造业、商贸物流、食品加工、电子信息、其他行业）展示上云产品行业的分布百分比情况。</w:t>
      </w:r>
    </w:p>
    <w:p>
      <w:pPr>
        <w:pStyle w:val="45"/>
        <w:rPr>
          <w:rFonts w:ascii="宋体" w:hAnsi="宋体"/>
          <w:color w:val="000000" w:themeColor="text1"/>
          <w:lang w:val="en-US"/>
        </w:rPr>
      </w:pPr>
      <w:r>
        <w:rPr>
          <w:rFonts w:hint="eastAsia" w:ascii="宋体" w:hAnsi="宋体"/>
          <w:color w:val="000000" w:themeColor="text1"/>
          <w:lang w:val="en-US"/>
        </w:rPr>
        <w:t>统计周期：截至目前</w:t>
      </w:r>
    </w:p>
    <w:p>
      <w:pPr>
        <w:pStyle w:val="45"/>
        <w:rPr>
          <w:rFonts w:ascii="宋体" w:hAnsi="宋体"/>
          <w:color w:val="000000" w:themeColor="text1"/>
          <w:lang w:val="en-US"/>
        </w:rPr>
      </w:pPr>
      <w:r>
        <w:rPr>
          <w:rFonts w:hint="eastAsia" w:ascii="宋体" w:hAnsi="宋体"/>
          <w:color w:val="000000" w:themeColor="text1"/>
          <w:lang w:val="en-US"/>
        </w:rPr>
        <w:t>统计指标</w:t>
      </w:r>
      <w:r>
        <w:rPr>
          <w:rFonts w:ascii="宋体" w:hAnsi="宋体"/>
          <w:color w:val="000000" w:themeColor="text1"/>
          <w:lang w:val="en-US"/>
        </w:rPr>
        <w:t>1：各行业上</w:t>
      </w:r>
      <w:r>
        <w:rPr>
          <w:rFonts w:hint="eastAsia" w:ascii="宋体" w:hAnsi="宋体"/>
          <w:color w:val="000000" w:themeColor="text1"/>
          <w:lang w:val="en-US"/>
        </w:rPr>
        <w:t>云产品占总产品数量的百分比</w:t>
      </w:r>
    </w:p>
    <w:p>
      <w:pPr>
        <w:pStyle w:val="45"/>
        <w:rPr>
          <w:rFonts w:hint="eastAsia" w:ascii="宋体" w:hAnsi="宋体"/>
          <w:color w:val="000000" w:themeColor="text1"/>
          <w:lang w:val="en-US"/>
        </w:rPr>
      </w:pPr>
      <w:r>
        <w:rPr>
          <w:rFonts w:hint="eastAsia" w:ascii="宋体" w:hAnsi="宋体"/>
          <w:color w:val="000000" w:themeColor="text1"/>
          <w:lang w:val="en-US"/>
        </w:rPr>
        <w:t>点击报表，弹出窗口显示各行业的上云产品数量、占总产品数量的百分比的数据详情列表。</w:t>
      </w:r>
    </w:p>
    <w:p>
      <w:pPr>
        <w:pStyle w:val="3"/>
        <w:numPr>
          <w:ilvl w:val="1"/>
          <w:numId w:val="0"/>
        </w:numPr>
        <w:ind w:leftChars="0"/>
        <w:rPr>
          <w:rFonts w:hint="eastAsia" w:ascii="宋体" w:hAnsi="宋体" w:eastAsia="宋体"/>
          <w:lang w:eastAsia="zh-CN"/>
        </w:rPr>
      </w:pPr>
      <w:r>
        <w:rPr>
          <w:rFonts w:hint="eastAsia" w:ascii="宋体" w:hAnsi="宋体" w:eastAsia="宋体"/>
          <w:lang w:val="en-US" w:eastAsia="zh-CN"/>
        </w:rPr>
        <w:t>8.4</w:t>
      </w:r>
      <w:r>
        <w:rPr>
          <w:rFonts w:hint="eastAsia" w:ascii="宋体" w:hAnsi="宋体" w:eastAsia="宋体"/>
        </w:rPr>
        <w:t>云服务签约排行</w:t>
      </w:r>
    </w:p>
    <w:p>
      <w:pPr>
        <w:rPr>
          <w:rFonts w:ascii="宋体" w:hAnsi="宋体" w:eastAsia="宋体"/>
        </w:rPr>
      </w:pPr>
      <w:r>
        <w:rPr>
          <w:rFonts w:ascii="宋体" w:hAnsi="宋体" w:eastAsia="宋体"/>
        </w:rPr>
        <w:drawing>
          <wp:inline distT="0" distB="0" distL="114300" distR="114300">
            <wp:extent cx="5269230" cy="2580640"/>
            <wp:effectExtent l="0" t="0" r="7620" b="10160"/>
            <wp:docPr id="2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2"/>
                    <pic:cNvPicPr>
                      <a:picLocks noChangeAspect="1"/>
                    </pic:cNvPicPr>
                  </pic:nvPicPr>
                  <pic:blipFill>
                    <a:blip r:embed="rId104"/>
                    <a:stretch>
                      <a:fillRect/>
                    </a:stretch>
                  </pic:blipFill>
                  <pic:spPr>
                    <a:xfrm>
                      <a:off x="0" y="0"/>
                      <a:ext cx="5269230" cy="258064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展示截止到现在工业互联网平台中企业签约云服务数量的排行，并可以根据后台进行</w:t>
      </w:r>
      <w:r>
        <w:rPr>
          <w:rFonts w:ascii="宋体" w:hAnsi="宋体"/>
          <w:color w:val="000000" w:themeColor="text1"/>
          <w:lang w:val="en-US"/>
        </w:rPr>
        <w:t>TOP N的显示配置。</w:t>
      </w:r>
    </w:p>
    <w:p>
      <w:pPr>
        <w:pStyle w:val="45"/>
        <w:rPr>
          <w:rFonts w:ascii="宋体" w:hAnsi="宋体"/>
          <w:color w:val="000000" w:themeColor="text1"/>
          <w:lang w:val="en-US"/>
        </w:rPr>
      </w:pPr>
      <w:r>
        <w:rPr>
          <w:rFonts w:hint="eastAsia" w:ascii="宋体" w:hAnsi="宋体"/>
          <w:color w:val="000000" w:themeColor="text1"/>
          <w:lang w:val="en-US"/>
        </w:rPr>
        <w:t>点击某个企业，显示该企业的所有签约云服务应用列表。</w:t>
      </w:r>
    </w:p>
    <w:p>
      <w:pPr>
        <w:pStyle w:val="3"/>
        <w:numPr>
          <w:ilvl w:val="1"/>
          <w:numId w:val="0"/>
        </w:numPr>
        <w:ind w:leftChars="0"/>
        <w:rPr>
          <w:rFonts w:hint="eastAsia" w:ascii="宋体" w:hAnsi="宋体" w:eastAsia="宋体"/>
        </w:rPr>
      </w:pPr>
      <w:r>
        <w:rPr>
          <w:rFonts w:hint="eastAsia" w:ascii="宋体" w:hAnsi="宋体" w:eastAsia="宋体"/>
          <w:lang w:val="en-US" w:eastAsia="zh-CN"/>
        </w:rPr>
        <w:t>8.5</w:t>
      </w:r>
      <w:r>
        <w:rPr>
          <w:rFonts w:hint="eastAsia" w:ascii="宋体" w:hAnsi="宋体" w:eastAsia="宋体"/>
        </w:rPr>
        <w:t>上云企业分布</w:t>
      </w:r>
    </w:p>
    <w:p>
      <w:pPr>
        <w:rPr>
          <w:rFonts w:ascii="宋体" w:hAnsi="宋体" w:eastAsia="宋体"/>
        </w:rPr>
      </w:pPr>
      <w:r>
        <w:rPr>
          <w:rFonts w:ascii="宋体" w:hAnsi="宋体" w:eastAsia="宋体"/>
        </w:rPr>
        <w:drawing>
          <wp:inline distT="0" distB="0" distL="114300" distR="114300">
            <wp:extent cx="5266690" cy="3403600"/>
            <wp:effectExtent l="0" t="0" r="10160" b="6350"/>
            <wp:docPr id="2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
                    <pic:cNvPicPr>
                      <a:picLocks noChangeAspect="1"/>
                    </pic:cNvPicPr>
                  </pic:nvPicPr>
                  <pic:blipFill>
                    <a:blip r:embed="rId105"/>
                    <a:stretch>
                      <a:fillRect/>
                    </a:stretch>
                  </pic:blipFill>
                  <pic:spPr>
                    <a:xfrm>
                      <a:off x="0" y="0"/>
                      <a:ext cx="5266690" cy="3403600"/>
                    </a:xfrm>
                    <a:prstGeom prst="rect">
                      <a:avLst/>
                    </a:prstGeom>
                    <a:noFill/>
                    <a:ln>
                      <a:noFill/>
                    </a:ln>
                  </pic:spPr>
                </pic:pic>
              </a:graphicData>
            </a:graphic>
          </wp:inline>
        </w:drawing>
      </w:r>
    </w:p>
    <w:p>
      <w:pPr>
        <w:pStyle w:val="45"/>
        <w:rPr>
          <w:rFonts w:hint="eastAsia" w:ascii="宋体" w:hAnsi="宋体"/>
          <w:color w:val="000000" w:themeColor="text1"/>
          <w:lang w:val="en-US"/>
        </w:rPr>
      </w:pPr>
      <w:r>
        <w:rPr>
          <w:rFonts w:hint="eastAsia" w:ascii="宋体" w:hAnsi="宋体"/>
          <w:color w:val="000000" w:themeColor="text1"/>
          <w:lang w:val="en-US"/>
        </w:rPr>
        <w:t>在望城经开区三维地图上显示所有上云企业的分布情况，并且可以在地图上点击某一个企业查看该企业的上云详细情况，展示企业名称、企业用户、企业应用数、企业连接供应商、企业商品发布数量等。</w:t>
      </w:r>
    </w:p>
    <w:p>
      <w:pPr>
        <w:pStyle w:val="3"/>
        <w:numPr>
          <w:ilvl w:val="1"/>
          <w:numId w:val="0"/>
        </w:numPr>
        <w:ind w:leftChars="0"/>
        <w:rPr>
          <w:rFonts w:hint="eastAsia" w:ascii="宋体" w:hAnsi="宋体" w:eastAsia="宋体"/>
        </w:rPr>
      </w:pPr>
      <w:r>
        <w:rPr>
          <w:rFonts w:hint="eastAsia" w:ascii="宋体" w:hAnsi="宋体" w:eastAsia="宋体"/>
          <w:lang w:val="en-US" w:eastAsia="zh-CN"/>
        </w:rPr>
        <w:t>8.6</w:t>
      </w:r>
      <w:r>
        <w:rPr>
          <w:rFonts w:hint="eastAsia" w:ascii="宋体" w:hAnsi="宋体" w:eastAsia="宋体"/>
        </w:rPr>
        <w:t>热门应用</w:t>
      </w:r>
    </w:p>
    <w:p>
      <w:r>
        <w:drawing>
          <wp:inline distT="0" distB="0" distL="114300" distR="114300">
            <wp:extent cx="5273040" cy="1660525"/>
            <wp:effectExtent l="0" t="0" r="3810" b="15875"/>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106"/>
                    <a:stretch>
                      <a:fillRect/>
                    </a:stretch>
                  </pic:blipFill>
                  <pic:spPr>
                    <a:xfrm>
                      <a:off x="0" y="0"/>
                      <a:ext cx="5273040" cy="166052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展示工业互联网平台企业使用的热门应用情况，统计展示截止到当前时间，每个热门应用的打开次数。</w:t>
      </w:r>
    </w:p>
    <w:p>
      <w:pPr>
        <w:pStyle w:val="45"/>
        <w:rPr>
          <w:rFonts w:ascii="宋体" w:hAnsi="宋体"/>
          <w:color w:val="000000" w:themeColor="text1"/>
          <w:lang w:val="en-US"/>
        </w:rPr>
      </w:pPr>
      <w:r>
        <w:rPr>
          <w:rFonts w:hint="eastAsia" w:ascii="宋体" w:hAnsi="宋体"/>
          <w:color w:val="000000" w:themeColor="text1"/>
          <w:lang w:val="en-US"/>
        </w:rPr>
        <w:t>统计周期：截至当前</w:t>
      </w:r>
    </w:p>
    <w:p>
      <w:pPr>
        <w:pStyle w:val="45"/>
        <w:rPr>
          <w:rFonts w:ascii="宋体" w:hAnsi="宋体"/>
          <w:color w:val="000000" w:themeColor="text1"/>
          <w:lang w:val="en-US"/>
        </w:rPr>
      </w:pPr>
      <w:r>
        <w:rPr>
          <w:rFonts w:hint="eastAsia" w:ascii="宋体" w:hAnsi="宋体"/>
          <w:color w:val="000000" w:themeColor="text1"/>
          <w:lang w:val="en-US"/>
        </w:rPr>
        <w:t>统计指标：应用的打开次数</w:t>
      </w:r>
    </w:p>
    <w:p>
      <w:pPr>
        <w:pStyle w:val="45"/>
        <w:rPr>
          <w:rFonts w:ascii="宋体" w:hAnsi="宋体"/>
          <w:color w:val="000000" w:themeColor="text1"/>
          <w:lang w:val="en-US"/>
        </w:rPr>
      </w:pPr>
      <w:r>
        <w:rPr>
          <w:rFonts w:hint="eastAsia" w:ascii="宋体" w:hAnsi="宋体"/>
          <w:color w:val="000000" w:themeColor="text1"/>
          <w:lang w:val="en-US"/>
        </w:rPr>
        <w:t>点击某个应用，弹出窗口显示打开该应用的企业列表和每个企业打开的次数。</w:t>
      </w:r>
    </w:p>
    <w:p>
      <w:pPr>
        <w:pStyle w:val="3"/>
        <w:numPr>
          <w:ilvl w:val="1"/>
          <w:numId w:val="0"/>
        </w:numPr>
        <w:ind w:leftChars="0"/>
        <w:rPr>
          <w:rFonts w:hint="eastAsia" w:ascii="宋体" w:hAnsi="宋体" w:eastAsia="宋体"/>
        </w:rPr>
      </w:pPr>
      <w:r>
        <w:rPr>
          <w:rFonts w:hint="eastAsia" w:ascii="宋体" w:hAnsi="宋体" w:eastAsia="宋体"/>
          <w:lang w:val="en-US" w:eastAsia="zh-CN"/>
        </w:rPr>
        <w:t>8.7</w:t>
      </w:r>
      <w:r>
        <w:rPr>
          <w:rFonts w:hint="eastAsia" w:ascii="宋体" w:hAnsi="宋体" w:eastAsia="宋体"/>
        </w:rPr>
        <w:t>平台重点应用日活跃</w:t>
      </w:r>
    </w:p>
    <w:p>
      <w:r>
        <w:drawing>
          <wp:inline distT="0" distB="0" distL="114300" distR="114300">
            <wp:extent cx="5273040" cy="2402205"/>
            <wp:effectExtent l="0" t="0" r="3810" b="17145"/>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107"/>
                    <a:stretch>
                      <a:fillRect/>
                    </a:stretch>
                  </pic:blipFill>
                  <pic:spPr>
                    <a:xfrm>
                      <a:off x="0" y="0"/>
                      <a:ext cx="5273040" cy="240220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统计展示最近</w:t>
      </w:r>
      <w:r>
        <w:rPr>
          <w:rFonts w:hint="eastAsia" w:ascii="宋体" w:hAnsi="宋体"/>
          <w:color w:val="000000" w:themeColor="text1"/>
          <w:lang w:val="en-US" w:eastAsia="zh-CN"/>
        </w:rPr>
        <w:t>一个月</w:t>
      </w:r>
      <w:r>
        <w:rPr>
          <w:rFonts w:hint="eastAsia" w:ascii="宋体" w:hAnsi="宋体"/>
          <w:color w:val="000000" w:themeColor="text1"/>
          <w:lang w:val="en-US"/>
        </w:rPr>
        <w:t>，工业互联网平台上重点被使用的应用的打开次数趋势。</w:t>
      </w:r>
    </w:p>
    <w:p>
      <w:pPr>
        <w:pStyle w:val="45"/>
        <w:rPr>
          <w:rFonts w:hint="eastAsia" w:ascii="宋体" w:hAnsi="宋体" w:eastAsia="宋体"/>
          <w:color w:val="000000" w:themeColor="text1"/>
          <w:lang w:val="en-US" w:eastAsia="zh-CN"/>
        </w:rPr>
      </w:pPr>
      <w:r>
        <w:rPr>
          <w:rFonts w:hint="eastAsia" w:ascii="宋体" w:hAnsi="宋体"/>
          <w:color w:val="000000" w:themeColor="text1"/>
          <w:lang w:val="en-US"/>
        </w:rPr>
        <w:t>统计周期：最近</w:t>
      </w:r>
      <w:r>
        <w:rPr>
          <w:rFonts w:hint="eastAsia" w:ascii="宋体" w:hAnsi="宋体"/>
          <w:color w:val="000000" w:themeColor="text1"/>
          <w:lang w:val="en-US" w:eastAsia="zh-CN"/>
        </w:rPr>
        <w:t>一个月</w:t>
      </w:r>
    </w:p>
    <w:p>
      <w:pPr>
        <w:pStyle w:val="45"/>
        <w:rPr>
          <w:rFonts w:ascii="宋体" w:hAnsi="宋体"/>
          <w:color w:val="000000" w:themeColor="text1"/>
          <w:lang w:val="en-US"/>
        </w:rPr>
      </w:pPr>
      <w:r>
        <w:rPr>
          <w:rFonts w:hint="eastAsia" w:ascii="宋体" w:hAnsi="宋体"/>
          <w:color w:val="000000" w:themeColor="text1"/>
          <w:lang w:val="en-US"/>
        </w:rPr>
        <w:t>统计指标：打开总次数前</w:t>
      </w:r>
      <w:r>
        <w:rPr>
          <w:rFonts w:ascii="宋体" w:hAnsi="宋体"/>
          <w:color w:val="000000" w:themeColor="text1"/>
          <w:lang w:val="en-US"/>
        </w:rPr>
        <w:t>4</w:t>
      </w:r>
      <w:r>
        <w:rPr>
          <w:rFonts w:hint="eastAsia" w:ascii="宋体" w:hAnsi="宋体"/>
          <w:color w:val="000000" w:themeColor="text1"/>
          <w:lang w:val="en-US"/>
        </w:rPr>
        <w:t>的应用的每天打开次数</w:t>
      </w:r>
    </w:p>
    <w:p>
      <w:pPr>
        <w:pStyle w:val="45"/>
        <w:rPr>
          <w:rFonts w:hint="eastAsia" w:ascii="宋体" w:hAnsi="宋体"/>
          <w:color w:val="000000" w:themeColor="text1"/>
          <w:lang w:val="en-US"/>
        </w:rPr>
      </w:pPr>
      <w:r>
        <w:rPr>
          <w:rFonts w:hint="eastAsia" w:ascii="宋体" w:hAnsi="宋体"/>
          <w:color w:val="000000" w:themeColor="text1"/>
          <w:lang w:val="en-US"/>
        </w:rPr>
        <w:t>点击报表，弹出窗口显示所有应用的打开次数详细数据，按日期顺序排列。</w:t>
      </w:r>
    </w:p>
    <w:p>
      <w:pPr>
        <w:pStyle w:val="45"/>
        <w:rPr>
          <w:rFonts w:hint="eastAsia" w:ascii="宋体" w:hAnsi="宋体"/>
          <w:color w:val="000000" w:themeColor="text1"/>
          <w:lang w:val="en-US"/>
        </w:rPr>
      </w:pPr>
    </w:p>
    <w:p>
      <w:pPr>
        <w:pStyle w:val="45"/>
        <w:rPr>
          <w:rFonts w:hint="eastAsia" w:ascii="宋体" w:hAnsi="宋体"/>
          <w:color w:val="000000" w:themeColor="text1"/>
          <w:lang w:val="en-US"/>
        </w:rPr>
      </w:pPr>
    </w:p>
    <w:p>
      <w:pPr>
        <w:pStyle w:val="3"/>
        <w:numPr>
          <w:ilvl w:val="1"/>
          <w:numId w:val="0"/>
        </w:numPr>
        <w:ind w:leftChars="0"/>
        <w:rPr>
          <w:rFonts w:hint="eastAsia" w:ascii="宋体" w:hAnsi="宋体" w:eastAsia="宋体"/>
        </w:rPr>
      </w:pPr>
      <w:r>
        <w:rPr>
          <w:rFonts w:hint="eastAsia" w:ascii="宋体" w:hAnsi="宋体" w:eastAsia="宋体"/>
          <w:lang w:val="en-US" w:eastAsia="zh-CN"/>
        </w:rPr>
        <w:t>8.8昨</w:t>
      </w:r>
      <w:r>
        <w:rPr>
          <w:rFonts w:hint="eastAsia" w:ascii="宋体" w:hAnsi="宋体" w:eastAsia="宋体"/>
        </w:rPr>
        <w:t>日企业能耗情况</w:t>
      </w:r>
    </w:p>
    <w:p>
      <w:r>
        <w:drawing>
          <wp:inline distT="0" distB="0" distL="114300" distR="114300">
            <wp:extent cx="5274310" cy="806450"/>
            <wp:effectExtent l="0" t="0" r="2540" b="12700"/>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pic:cNvPicPr>
                      <a:picLocks noChangeAspect="1"/>
                    </pic:cNvPicPr>
                  </pic:nvPicPr>
                  <pic:blipFill>
                    <a:blip r:embed="rId108"/>
                    <a:stretch>
                      <a:fillRect/>
                    </a:stretch>
                  </pic:blipFill>
                  <pic:spPr>
                    <a:xfrm>
                      <a:off x="0" y="0"/>
                      <a:ext cx="5274310" cy="806450"/>
                    </a:xfrm>
                    <a:prstGeom prst="rect">
                      <a:avLst/>
                    </a:prstGeom>
                    <a:noFill/>
                    <a:ln>
                      <a:noFill/>
                    </a:ln>
                  </pic:spPr>
                </pic:pic>
              </a:graphicData>
            </a:graphic>
          </wp:inline>
        </w:drawing>
      </w:r>
    </w:p>
    <w:p>
      <w:pPr>
        <w:pStyle w:val="45"/>
        <w:rPr>
          <w:rFonts w:hint="eastAsia" w:ascii="宋体" w:hAnsi="宋体"/>
          <w:color w:val="000000" w:themeColor="text1"/>
          <w:lang w:val="en-US"/>
        </w:rPr>
      </w:pPr>
      <w:r>
        <w:rPr>
          <w:rFonts w:hint="eastAsia" w:ascii="宋体" w:hAnsi="宋体"/>
          <w:color w:val="000000" w:themeColor="text1"/>
          <w:lang w:val="en-US"/>
        </w:rPr>
        <w:t>展示当天望城经开区已签约数据采集协议的所有企业的能耗情况，包括用电量（</w:t>
      </w:r>
      <w:r>
        <w:rPr>
          <w:rFonts w:ascii="宋体" w:hAnsi="宋体"/>
          <w:color w:val="000000" w:themeColor="text1"/>
          <w:lang w:val="en-US"/>
        </w:rPr>
        <w:t>kwh</w:t>
      </w:r>
      <w:r>
        <w:rPr>
          <w:rFonts w:hint="eastAsia" w:ascii="宋体" w:hAnsi="宋体"/>
          <w:color w:val="000000" w:themeColor="text1"/>
          <w:lang w:val="en-US"/>
        </w:rPr>
        <w:t>）、用水量（</w:t>
      </w:r>
      <w:r>
        <w:rPr>
          <w:rFonts w:ascii="宋体" w:hAnsi="宋体"/>
          <w:color w:val="000000" w:themeColor="text1"/>
          <w:lang w:val="en-US"/>
        </w:rPr>
        <w:t>t</w:t>
      </w:r>
      <w:r>
        <w:rPr>
          <w:rFonts w:hint="eastAsia" w:ascii="宋体" w:hAnsi="宋体"/>
          <w:color w:val="000000" w:themeColor="text1"/>
          <w:lang w:val="en-US"/>
        </w:rPr>
        <w:t>）</w:t>
      </w:r>
      <w:r>
        <w:rPr>
          <w:rFonts w:hint="eastAsia" w:ascii="宋体" w:hAnsi="宋体"/>
          <w:color w:val="000000" w:themeColor="text1"/>
          <w:lang w:val="en-US" w:eastAsia="zh-CN"/>
        </w:rPr>
        <w:t>、</w:t>
      </w:r>
      <w:r>
        <w:rPr>
          <w:rFonts w:hint="eastAsia" w:ascii="宋体" w:hAnsi="宋体"/>
          <w:color w:val="000000" w:themeColor="text1"/>
          <w:lang w:val="en-US"/>
        </w:rPr>
        <w:t>燃气用量</w:t>
      </w:r>
      <w:r>
        <w:rPr>
          <w:rFonts w:ascii="宋体" w:hAnsi="宋体"/>
          <w:color w:val="000000" w:themeColor="text1"/>
          <w:lang w:val="en-US"/>
        </w:rPr>
        <w:t>(</w:t>
      </w:r>
      <w:r>
        <w:rPr>
          <w:rFonts w:hint="eastAsia" w:ascii="宋体" w:hAnsi="宋体"/>
          <w:color w:val="000000" w:themeColor="text1"/>
          <w:lang w:val="en-US"/>
        </w:rPr>
        <w:t>万</w:t>
      </w:r>
      <w:r>
        <w:rPr>
          <w:rFonts w:ascii="宋体" w:hAnsi="宋体"/>
          <w:color w:val="000000" w:themeColor="text1"/>
          <w:lang w:val="en-US"/>
        </w:rPr>
        <w:t>nm</w:t>
      </w:r>
      <w:r>
        <w:rPr>
          <w:rFonts w:hint="eastAsia" w:ascii="宋体" w:hAnsi="宋体"/>
          <w:color w:val="000000" w:themeColor="text1"/>
          <w:lang w:val="en-US"/>
        </w:rPr>
        <w:t>³</w:t>
      </w:r>
      <w:r>
        <w:rPr>
          <w:rFonts w:ascii="宋体" w:hAnsi="宋体"/>
          <w:color w:val="000000" w:themeColor="text1"/>
          <w:lang w:val="en-US"/>
        </w:rPr>
        <w:t>)</w:t>
      </w:r>
      <w:r>
        <w:rPr>
          <w:rFonts w:hint="eastAsia" w:ascii="宋体" w:hAnsi="宋体"/>
          <w:color w:val="000000" w:themeColor="text1"/>
          <w:lang w:val="en-US"/>
        </w:rPr>
        <w:t>。</w:t>
      </w:r>
    </w:p>
    <w:p>
      <w:pPr>
        <w:pStyle w:val="45"/>
        <w:rPr>
          <w:rFonts w:hint="eastAsia" w:ascii="宋体" w:hAnsi="宋体"/>
          <w:color w:val="000000" w:themeColor="text1"/>
          <w:lang w:val="en-US"/>
        </w:rPr>
      </w:pPr>
      <w:r>
        <w:rPr>
          <w:rFonts w:hint="eastAsia" w:ascii="宋体" w:hAnsi="宋体"/>
          <w:color w:val="000000" w:themeColor="text1"/>
          <w:lang w:val="en-US"/>
        </w:rPr>
        <w:t>点击用电量，弹出窗口显示各个企业当日的具体用电量明细；</w:t>
      </w:r>
    </w:p>
    <w:p>
      <w:pPr>
        <w:pStyle w:val="45"/>
        <w:rPr>
          <w:rFonts w:hint="eastAsia" w:ascii="宋体" w:hAnsi="宋体"/>
          <w:color w:val="000000" w:themeColor="text1"/>
          <w:lang w:val="en-US"/>
        </w:rPr>
      </w:pPr>
      <w:r>
        <w:rPr>
          <w:rFonts w:hint="eastAsia" w:ascii="宋体" w:hAnsi="宋体"/>
          <w:color w:val="000000" w:themeColor="text1"/>
          <w:lang w:val="en-US"/>
        </w:rPr>
        <w:t>点击用水量，弹出窗口显示各个企业当日的具体用水量明细。</w:t>
      </w:r>
    </w:p>
    <w:p>
      <w:pPr>
        <w:pStyle w:val="45"/>
        <w:rPr>
          <w:rFonts w:hint="eastAsia" w:ascii="宋体" w:hAnsi="宋体"/>
          <w:color w:val="000000" w:themeColor="text1"/>
          <w:lang w:val="en-US"/>
        </w:rPr>
      </w:pPr>
      <w:r>
        <w:rPr>
          <w:rFonts w:hint="eastAsia" w:ascii="宋体" w:hAnsi="宋体"/>
          <w:color w:val="000000" w:themeColor="text1"/>
          <w:lang w:val="en-US"/>
        </w:rPr>
        <w:t>点击燃气用量，弹出窗口显示各个企业当日的具体燃气用量明细；</w:t>
      </w:r>
    </w:p>
    <w:p>
      <w:pPr>
        <w:pStyle w:val="3"/>
        <w:numPr>
          <w:ilvl w:val="1"/>
          <w:numId w:val="0"/>
        </w:numPr>
        <w:ind w:leftChars="0"/>
        <w:rPr>
          <w:rFonts w:hint="eastAsia" w:ascii="宋体" w:hAnsi="宋体" w:eastAsia="宋体"/>
        </w:rPr>
      </w:pPr>
      <w:r>
        <w:rPr>
          <w:rFonts w:hint="eastAsia" w:ascii="宋体" w:hAnsi="宋体" w:eastAsia="宋体"/>
          <w:lang w:val="en-US" w:eastAsia="zh-CN"/>
        </w:rPr>
        <w:t>8.9</w:t>
      </w:r>
      <w:r>
        <w:rPr>
          <w:rFonts w:hint="eastAsia" w:ascii="宋体" w:hAnsi="宋体" w:eastAsia="宋体"/>
        </w:rPr>
        <w:t>能耗总量趋势</w:t>
      </w:r>
    </w:p>
    <w:p>
      <w:r>
        <w:drawing>
          <wp:inline distT="0" distB="0" distL="114300" distR="114300">
            <wp:extent cx="5271770" cy="1416050"/>
            <wp:effectExtent l="0" t="0" r="5080" b="12700"/>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109"/>
                    <a:stretch>
                      <a:fillRect/>
                    </a:stretch>
                  </pic:blipFill>
                  <pic:spPr>
                    <a:xfrm>
                      <a:off x="0" y="0"/>
                      <a:ext cx="5271770" cy="1416050"/>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统计展示最近</w:t>
      </w:r>
      <w:r>
        <w:rPr>
          <w:rFonts w:ascii="宋体" w:hAnsi="宋体"/>
          <w:color w:val="000000" w:themeColor="text1"/>
          <w:lang w:val="en-US"/>
        </w:rPr>
        <w:t>12</w:t>
      </w:r>
      <w:r>
        <w:rPr>
          <w:rFonts w:hint="eastAsia" w:ascii="宋体" w:hAnsi="宋体"/>
          <w:color w:val="000000" w:themeColor="text1"/>
          <w:lang w:val="en-US"/>
        </w:rPr>
        <w:t>月的所有企业合计用能趋势。</w:t>
      </w:r>
    </w:p>
    <w:p>
      <w:pPr>
        <w:pStyle w:val="45"/>
        <w:rPr>
          <w:rFonts w:hint="eastAsia" w:ascii="宋体" w:hAnsi="宋体"/>
          <w:color w:val="000000" w:themeColor="text1"/>
          <w:lang w:val="en-US"/>
        </w:rPr>
      </w:pPr>
      <w:r>
        <w:rPr>
          <w:rFonts w:hint="eastAsia" w:ascii="宋体" w:hAnsi="宋体"/>
          <w:color w:val="000000" w:themeColor="text1"/>
          <w:lang w:val="en-US"/>
        </w:rPr>
        <w:t>统计周期：最近</w:t>
      </w:r>
      <w:r>
        <w:rPr>
          <w:rFonts w:ascii="宋体" w:hAnsi="宋体"/>
          <w:color w:val="000000" w:themeColor="text1"/>
          <w:lang w:val="en-US"/>
        </w:rPr>
        <w:t>12</w:t>
      </w:r>
      <w:r>
        <w:rPr>
          <w:rFonts w:hint="eastAsia" w:ascii="宋体" w:hAnsi="宋体"/>
          <w:color w:val="000000" w:themeColor="text1"/>
          <w:lang w:val="en-US"/>
        </w:rPr>
        <w:t>个月</w:t>
      </w:r>
    </w:p>
    <w:p>
      <w:pPr>
        <w:pStyle w:val="45"/>
        <w:rPr>
          <w:rFonts w:hint="eastAsia" w:ascii="宋体" w:hAnsi="宋体"/>
          <w:color w:val="000000" w:themeColor="text1"/>
          <w:lang w:val="en-US"/>
        </w:rPr>
      </w:pPr>
      <w:r>
        <w:rPr>
          <w:rFonts w:hint="eastAsia" w:ascii="宋体" w:hAnsi="宋体"/>
          <w:color w:val="000000" w:themeColor="text1"/>
          <w:lang w:val="en-US"/>
        </w:rPr>
        <w:t>统计指标</w:t>
      </w:r>
      <w:r>
        <w:rPr>
          <w:rFonts w:hint="eastAsia" w:ascii="宋体" w:hAnsi="宋体"/>
          <w:color w:val="000000" w:themeColor="text1"/>
          <w:lang w:val="en-US" w:eastAsia="zh-CN"/>
        </w:rPr>
        <w:t>1</w:t>
      </w:r>
      <w:r>
        <w:rPr>
          <w:rFonts w:hint="eastAsia" w:ascii="宋体" w:hAnsi="宋体"/>
          <w:color w:val="000000" w:themeColor="text1"/>
          <w:lang w:val="en-US"/>
        </w:rPr>
        <w:t>：月度用电总量（</w:t>
      </w:r>
      <w:r>
        <w:rPr>
          <w:rFonts w:ascii="宋体" w:hAnsi="宋体"/>
          <w:color w:val="000000" w:themeColor="text1"/>
          <w:lang w:val="en-US"/>
        </w:rPr>
        <w:t>kwh</w:t>
      </w:r>
      <w:r>
        <w:rPr>
          <w:rFonts w:hint="eastAsia" w:ascii="宋体" w:hAnsi="宋体"/>
          <w:color w:val="000000" w:themeColor="text1"/>
          <w:lang w:val="en-US"/>
        </w:rPr>
        <w:t>）</w:t>
      </w:r>
    </w:p>
    <w:p>
      <w:pPr>
        <w:pStyle w:val="45"/>
        <w:rPr>
          <w:rFonts w:ascii="宋体" w:hAnsi="宋体"/>
          <w:color w:val="000000" w:themeColor="text1"/>
          <w:lang w:val="en-US"/>
        </w:rPr>
      </w:pPr>
      <w:r>
        <w:rPr>
          <w:rFonts w:hint="eastAsia" w:ascii="宋体" w:hAnsi="宋体"/>
          <w:color w:val="000000" w:themeColor="text1"/>
          <w:lang w:val="en-US"/>
        </w:rPr>
        <w:t>统计指标</w:t>
      </w:r>
      <w:r>
        <w:rPr>
          <w:rFonts w:hint="eastAsia" w:ascii="宋体" w:hAnsi="宋体"/>
          <w:color w:val="000000" w:themeColor="text1"/>
          <w:lang w:val="en-US" w:eastAsia="zh-CN"/>
        </w:rPr>
        <w:t>2</w:t>
      </w:r>
      <w:r>
        <w:rPr>
          <w:rFonts w:hint="eastAsia" w:ascii="宋体" w:hAnsi="宋体"/>
          <w:color w:val="000000" w:themeColor="text1"/>
          <w:lang w:val="en-US"/>
        </w:rPr>
        <w:t>：月度燃气总量（万</w:t>
      </w:r>
      <w:r>
        <w:rPr>
          <w:rFonts w:ascii="宋体" w:hAnsi="宋体"/>
          <w:color w:val="000000" w:themeColor="text1"/>
          <w:lang w:val="en-US"/>
        </w:rPr>
        <w:t>nm</w:t>
      </w:r>
      <w:r>
        <w:rPr>
          <w:rFonts w:hint="eastAsia" w:ascii="宋体" w:hAnsi="宋体"/>
          <w:color w:val="000000" w:themeColor="text1"/>
          <w:lang w:val="en-US"/>
        </w:rPr>
        <w:t>³）</w:t>
      </w:r>
    </w:p>
    <w:p>
      <w:pPr>
        <w:pStyle w:val="45"/>
        <w:rPr>
          <w:rFonts w:ascii="宋体" w:hAnsi="宋体"/>
          <w:color w:val="000000" w:themeColor="text1"/>
          <w:lang w:val="en-US"/>
        </w:rPr>
      </w:pPr>
      <w:r>
        <w:rPr>
          <w:rFonts w:hint="eastAsia" w:ascii="宋体" w:hAnsi="宋体"/>
          <w:color w:val="000000" w:themeColor="text1"/>
          <w:lang w:val="en-US"/>
        </w:rPr>
        <w:t>统计指标</w:t>
      </w:r>
      <w:r>
        <w:rPr>
          <w:rFonts w:hint="eastAsia" w:ascii="宋体" w:hAnsi="宋体"/>
          <w:color w:val="000000" w:themeColor="text1"/>
          <w:lang w:val="en-US" w:eastAsia="zh-CN"/>
        </w:rPr>
        <w:t>3</w:t>
      </w:r>
      <w:r>
        <w:rPr>
          <w:rFonts w:hint="eastAsia" w:ascii="宋体" w:hAnsi="宋体"/>
          <w:color w:val="000000" w:themeColor="text1"/>
          <w:lang w:val="en-US"/>
        </w:rPr>
        <w:t>：月度用水总量（</w:t>
      </w:r>
      <w:r>
        <w:rPr>
          <w:rFonts w:ascii="宋体" w:hAnsi="宋体"/>
          <w:color w:val="000000" w:themeColor="text1"/>
          <w:lang w:val="en-US"/>
        </w:rPr>
        <w:t>t</w:t>
      </w:r>
      <w:r>
        <w:rPr>
          <w:rFonts w:hint="eastAsia" w:ascii="宋体" w:hAnsi="宋体"/>
          <w:color w:val="000000" w:themeColor="text1"/>
          <w:lang w:val="en-US"/>
        </w:rPr>
        <w:t>）</w:t>
      </w:r>
    </w:p>
    <w:p>
      <w:pPr>
        <w:pStyle w:val="45"/>
        <w:rPr>
          <w:rFonts w:hint="eastAsia" w:ascii="宋体" w:hAnsi="宋体"/>
          <w:color w:val="000000" w:themeColor="text1"/>
          <w:lang w:val="en-US"/>
        </w:rPr>
      </w:pPr>
      <w:r>
        <w:rPr>
          <w:rFonts w:hint="eastAsia" w:ascii="宋体" w:hAnsi="宋体"/>
          <w:color w:val="000000" w:themeColor="text1"/>
          <w:lang w:val="en-US"/>
        </w:rPr>
        <w:t>点击报表，弹出窗口显示历史总能耗的月度明细数据，包含电、燃气</w:t>
      </w:r>
      <w:r>
        <w:rPr>
          <w:rFonts w:hint="eastAsia" w:ascii="宋体" w:hAnsi="宋体"/>
          <w:color w:val="000000" w:themeColor="text1"/>
          <w:lang w:val="en-US" w:eastAsia="zh-CN"/>
        </w:rPr>
        <w:t>、水</w:t>
      </w:r>
      <w:r>
        <w:rPr>
          <w:rFonts w:hint="eastAsia" w:ascii="宋体" w:hAnsi="宋体"/>
          <w:color w:val="000000" w:themeColor="text1"/>
          <w:lang w:val="en-US"/>
        </w:rPr>
        <w:t>的分类统计数据。</w:t>
      </w:r>
    </w:p>
    <w:p>
      <w:pPr>
        <w:pStyle w:val="3"/>
        <w:numPr>
          <w:ilvl w:val="1"/>
          <w:numId w:val="0"/>
        </w:numPr>
        <w:ind w:leftChars="0"/>
        <w:rPr>
          <w:rFonts w:hint="eastAsia" w:ascii="宋体" w:hAnsi="宋体" w:eastAsia="宋体"/>
        </w:rPr>
      </w:pPr>
      <w:r>
        <w:rPr>
          <w:rFonts w:hint="eastAsia" w:ascii="宋体" w:hAnsi="宋体" w:eastAsia="宋体"/>
          <w:lang w:val="en-US" w:eastAsia="zh-CN"/>
        </w:rPr>
        <w:t>8.10</w:t>
      </w:r>
      <w:r>
        <w:rPr>
          <w:rFonts w:hint="eastAsia" w:ascii="宋体" w:hAnsi="宋体" w:eastAsia="宋体"/>
        </w:rPr>
        <w:t>企业用能</w:t>
      </w:r>
      <w:r>
        <w:rPr>
          <w:rFonts w:ascii="宋体" w:hAnsi="宋体" w:eastAsia="宋体"/>
        </w:rPr>
        <w:t>TOP</w:t>
      </w:r>
      <w:r>
        <w:rPr>
          <w:rFonts w:hint="eastAsia" w:ascii="宋体" w:hAnsi="宋体" w:eastAsia="宋体"/>
        </w:rPr>
        <w:t>排行</w:t>
      </w:r>
    </w:p>
    <w:p>
      <w:r>
        <w:drawing>
          <wp:inline distT="0" distB="0" distL="114300" distR="114300">
            <wp:extent cx="4533900" cy="3076575"/>
            <wp:effectExtent l="0" t="0" r="0" b="9525"/>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110"/>
                    <a:stretch>
                      <a:fillRect/>
                    </a:stretch>
                  </pic:blipFill>
                  <pic:spPr>
                    <a:xfrm>
                      <a:off x="0" y="0"/>
                      <a:ext cx="4533900" cy="307657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统计展示本年度截至到现在各类能耗（电、蒸汽、水）的企业排行情况，并可以根据后台进行</w:t>
      </w:r>
      <w:r>
        <w:rPr>
          <w:rFonts w:ascii="宋体" w:hAnsi="宋体"/>
          <w:color w:val="000000" w:themeColor="text1"/>
          <w:lang w:val="en-US"/>
        </w:rPr>
        <w:t>TOP N</w:t>
      </w:r>
      <w:r>
        <w:rPr>
          <w:rFonts w:hint="eastAsia" w:ascii="宋体" w:hAnsi="宋体"/>
          <w:color w:val="000000" w:themeColor="text1"/>
          <w:lang w:val="en-US"/>
        </w:rPr>
        <w:t>的显示配置。</w:t>
      </w:r>
    </w:p>
    <w:p>
      <w:pPr>
        <w:pStyle w:val="45"/>
        <w:rPr>
          <w:rFonts w:hint="eastAsia" w:ascii="宋体" w:hAnsi="宋体"/>
          <w:color w:val="000000" w:themeColor="text1"/>
          <w:lang w:val="en-US"/>
        </w:rPr>
      </w:pPr>
      <w:r>
        <w:rPr>
          <w:rFonts w:hint="eastAsia" w:ascii="宋体" w:hAnsi="宋体"/>
          <w:color w:val="000000" w:themeColor="text1"/>
          <w:lang w:val="en-US"/>
        </w:rPr>
        <w:t>点击企业名称，可在三维地图上联动显示该企业</w:t>
      </w:r>
      <w:r>
        <w:rPr>
          <w:rFonts w:ascii="宋体" w:hAnsi="宋体"/>
          <w:color w:val="000000" w:themeColor="text1"/>
          <w:lang w:val="en-US"/>
        </w:rPr>
        <w:t>POI</w:t>
      </w:r>
      <w:r>
        <w:rPr>
          <w:rFonts w:hint="eastAsia" w:ascii="宋体" w:hAnsi="宋体"/>
          <w:color w:val="000000" w:themeColor="text1"/>
          <w:lang w:val="en-US"/>
        </w:rPr>
        <w:t>点位，并可以查看该企业的详细用能情况。</w:t>
      </w:r>
    </w:p>
    <w:p>
      <w:pPr>
        <w:pStyle w:val="3"/>
        <w:numPr>
          <w:ilvl w:val="1"/>
          <w:numId w:val="0"/>
        </w:numPr>
        <w:ind w:leftChars="0"/>
        <w:rPr>
          <w:rFonts w:hint="eastAsia" w:ascii="宋体" w:hAnsi="宋体" w:eastAsia="宋体"/>
        </w:rPr>
      </w:pPr>
      <w:r>
        <w:rPr>
          <w:rFonts w:hint="eastAsia" w:ascii="宋体" w:hAnsi="宋体" w:eastAsia="宋体"/>
          <w:lang w:val="en-US" w:eastAsia="zh-CN"/>
        </w:rPr>
        <w:t>8.11</w:t>
      </w:r>
      <w:r>
        <w:rPr>
          <w:rFonts w:hint="eastAsia" w:ascii="宋体" w:hAnsi="宋体" w:eastAsia="宋体"/>
        </w:rPr>
        <w:t>行业用能</w:t>
      </w:r>
      <w:r>
        <w:rPr>
          <w:rFonts w:ascii="宋体" w:hAnsi="宋体" w:eastAsia="宋体"/>
        </w:rPr>
        <w:t>TOP</w:t>
      </w:r>
      <w:r>
        <w:rPr>
          <w:rFonts w:hint="eastAsia" w:ascii="宋体" w:hAnsi="宋体" w:eastAsia="宋体"/>
        </w:rPr>
        <w:t>排行</w:t>
      </w:r>
    </w:p>
    <w:p>
      <w:r>
        <w:drawing>
          <wp:inline distT="0" distB="0" distL="114300" distR="114300">
            <wp:extent cx="4876800" cy="2847975"/>
            <wp:effectExtent l="0" t="0" r="0" b="9525"/>
            <wp:docPr id="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pic:cNvPicPr>
                      <a:picLocks noChangeAspect="1"/>
                    </pic:cNvPicPr>
                  </pic:nvPicPr>
                  <pic:blipFill>
                    <a:blip r:embed="rId111"/>
                    <a:stretch>
                      <a:fillRect/>
                    </a:stretch>
                  </pic:blipFill>
                  <pic:spPr>
                    <a:xfrm>
                      <a:off x="0" y="0"/>
                      <a:ext cx="4876800" cy="2847975"/>
                    </a:xfrm>
                    <a:prstGeom prst="rect">
                      <a:avLst/>
                    </a:prstGeom>
                    <a:noFill/>
                    <a:ln>
                      <a:noFill/>
                    </a:ln>
                  </pic:spPr>
                </pic:pic>
              </a:graphicData>
            </a:graphic>
          </wp:inline>
        </w:drawing>
      </w:r>
    </w:p>
    <w:p>
      <w:pPr>
        <w:pStyle w:val="45"/>
        <w:rPr>
          <w:rFonts w:ascii="宋体" w:hAnsi="宋体"/>
          <w:color w:val="000000" w:themeColor="text1"/>
          <w:lang w:val="en-US"/>
        </w:rPr>
      </w:pPr>
      <w:r>
        <w:rPr>
          <w:rFonts w:hint="eastAsia" w:ascii="宋体" w:hAnsi="宋体"/>
          <w:color w:val="000000" w:themeColor="text1"/>
          <w:lang w:val="en-US"/>
        </w:rPr>
        <w:t>统计展示本年度截至到现在各类能耗（电、蒸汽、</w:t>
      </w:r>
      <w:r>
        <w:rPr>
          <w:rFonts w:hint="eastAsia" w:ascii="宋体" w:hAnsi="宋体"/>
          <w:color w:val="000000" w:themeColor="text1"/>
          <w:lang w:val="en-US" w:eastAsia="zh-CN"/>
        </w:rPr>
        <w:t>水</w:t>
      </w:r>
      <w:r>
        <w:rPr>
          <w:rFonts w:hint="eastAsia" w:ascii="宋体" w:hAnsi="宋体"/>
          <w:color w:val="000000" w:themeColor="text1"/>
          <w:lang w:val="en-US"/>
        </w:rPr>
        <w:t>）的行业排行情况，并可以根据后台进行</w:t>
      </w:r>
      <w:r>
        <w:rPr>
          <w:rFonts w:ascii="宋体" w:hAnsi="宋体"/>
          <w:color w:val="000000" w:themeColor="text1"/>
          <w:lang w:val="en-US"/>
        </w:rPr>
        <w:t>TOP N</w:t>
      </w:r>
      <w:r>
        <w:rPr>
          <w:rFonts w:hint="eastAsia" w:ascii="宋体" w:hAnsi="宋体"/>
          <w:color w:val="000000" w:themeColor="text1"/>
          <w:lang w:val="en-US"/>
        </w:rPr>
        <w:t>的显示配置。</w:t>
      </w:r>
    </w:p>
    <w:p>
      <w:pPr>
        <w:pStyle w:val="45"/>
        <w:rPr>
          <w:rFonts w:hint="eastAsia" w:ascii="宋体" w:hAnsi="宋体"/>
          <w:color w:val="000000" w:themeColor="text1"/>
          <w:lang w:val="en-US"/>
        </w:rPr>
      </w:pPr>
      <w:r>
        <w:rPr>
          <w:rFonts w:hint="eastAsia" w:ascii="宋体" w:hAnsi="宋体"/>
          <w:color w:val="000000" w:themeColor="text1"/>
          <w:lang w:val="en-US"/>
        </w:rPr>
        <w:t>点击行业名称或柱状图，弹出窗口显示该行业内的所有企业能耗明细情况。</w:t>
      </w:r>
    </w:p>
    <w:p>
      <w:pPr>
        <w:pStyle w:val="2"/>
        <w:numPr>
          <w:ilvl w:val="0"/>
          <w:numId w:val="0"/>
        </w:numPr>
        <w:ind w:leftChars="0"/>
        <w:rPr>
          <w:rFonts w:hint="eastAsia" w:ascii="宋体" w:hAnsi="宋体" w:eastAsia="宋体" w:cstheme="minorBidi"/>
          <w:b/>
          <w:bCs/>
          <w:kern w:val="44"/>
          <w:sz w:val="44"/>
          <w:szCs w:val="44"/>
          <w:lang w:val="en-US" w:eastAsia="zh-CN" w:bidi="ar-SA"/>
        </w:rPr>
      </w:pPr>
      <w:r>
        <w:rPr>
          <w:rFonts w:hint="eastAsia" w:ascii="宋体" w:hAnsi="宋体" w:eastAsia="宋体" w:cstheme="minorBidi"/>
          <w:b/>
          <w:bCs/>
          <w:kern w:val="44"/>
          <w:sz w:val="44"/>
          <w:szCs w:val="44"/>
          <w:lang w:val="en-US" w:eastAsia="zh-CN" w:bidi="ar-SA"/>
        </w:rPr>
        <w:t>第九章：经济运行</w:t>
      </w:r>
    </w:p>
    <w:p>
      <w:pPr>
        <w:pStyle w:val="45"/>
        <w:rPr>
          <w:rFonts w:ascii="宋体" w:hAnsi="宋体"/>
          <w:color w:val="000000" w:themeColor="text1"/>
        </w:rPr>
      </w:pPr>
      <w:r>
        <w:rPr>
          <w:rFonts w:hint="eastAsia" w:ascii="宋体" w:hAnsi="宋体"/>
          <w:color w:val="000000" w:themeColor="text1"/>
        </w:rPr>
        <w:t>通过跟踪、分析园区经济运行的态势和趋势，及时把握经济发展过程中出现的新情况，发现生产经营过程中存在的问题，找出制约经济运行良心循环的症结，在调查研究的基础上，运用科学、规范的分析方法，提出有价值、有时效的措施和建议。更好的发挥经济运行分析的“运行监测、评价监督、决策支持”作用，让园区管理方随时掌握园区产业动态，助力产业结构优化，促进产业发展。</w:t>
      </w:r>
    </w:p>
    <w:p>
      <w:pPr>
        <w:rPr>
          <w:rFonts w:hint="eastAsia"/>
          <w:lang w:val="en-US" w:eastAsia="zh-CN"/>
        </w:rPr>
      </w:pPr>
      <w:r>
        <w:rPr>
          <w:rFonts w:ascii="宋体" w:hAnsi="宋体" w:eastAsia="宋体"/>
        </w:rPr>
        <w:drawing>
          <wp:inline distT="0" distB="0" distL="0" distR="0">
            <wp:extent cx="5213350" cy="1514475"/>
            <wp:effectExtent l="0" t="38100" r="0" b="9525"/>
            <wp:docPr id="156" name="图示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pPr>
        <w:pStyle w:val="3"/>
        <w:numPr>
          <w:ilvl w:val="1"/>
          <w:numId w:val="0"/>
        </w:numPr>
        <w:ind w:leftChars="0"/>
        <w:rPr>
          <w:rFonts w:hint="eastAsia" w:ascii="宋体" w:hAnsi="宋体" w:eastAsia="宋体"/>
        </w:rPr>
      </w:pPr>
      <w:r>
        <w:rPr>
          <w:rFonts w:hint="eastAsia" w:ascii="宋体" w:hAnsi="宋体" w:eastAsia="宋体"/>
          <w:lang w:val="en-US" w:eastAsia="zh-CN"/>
        </w:rPr>
        <w:t>9.1</w:t>
      </w:r>
      <w:r>
        <w:rPr>
          <w:rFonts w:hint="eastAsia" w:ascii="宋体" w:hAnsi="宋体" w:eastAsia="宋体"/>
        </w:rPr>
        <w:t>园区经济总量</w:t>
      </w:r>
    </w:p>
    <w:p>
      <w:pPr>
        <w:pStyle w:val="4"/>
        <w:numPr>
          <w:ilvl w:val="2"/>
          <w:numId w:val="0"/>
        </w:numPr>
        <w:ind w:leftChars="0"/>
        <w:rPr>
          <w:rFonts w:hint="eastAsia" w:ascii="宋体" w:hAnsi="宋体" w:eastAsia="宋体"/>
        </w:rPr>
      </w:pPr>
      <w:r>
        <w:rPr>
          <w:rFonts w:hint="eastAsia" w:ascii="宋体" w:hAnsi="宋体" w:eastAsia="宋体"/>
          <w:lang w:val="en-US" w:eastAsia="zh-CN"/>
        </w:rPr>
        <w:t>9.1.1</w:t>
      </w:r>
      <w:r>
        <w:rPr>
          <w:rFonts w:hint="eastAsia" w:ascii="宋体" w:hAnsi="宋体" w:eastAsia="宋体"/>
        </w:rPr>
        <w:t>社会消费品零售总额</w:t>
      </w:r>
    </w:p>
    <w:p>
      <w:r>
        <w:drawing>
          <wp:inline distT="0" distB="0" distL="114300" distR="114300">
            <wp:extent cx="3962400" cy="2200275"/>
            <wp:effectExtent l="0" t="0" r="0" b="9525"/>
            <wp:docPr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pic:cNvPicPr>
                      <a:picLocks noChangeAspect="1"/>
                    </pic:cNvPicPr>
                  </pic:nvPicPr>
                  <pic:blipFill>
                    <a:blip r:embed="rId117"/>
                    <a:stretch>
                      <a:fillRect/>
                    </a:stretch>
                  </pic:blipFill>
                  <pic:spPr>
                    <a:xfrm>
                      <a:off x="0" y="0"/>
                      <a:ext cx="3962400" cy="2200275"/>
                    </a:xfrm>
                    <a:prstGeom prst="rect">
                      <a:avLst/>
                    </a:prstGeom>
                    <a:noFill/>
                    <a:ln>
                      <a:noFill/>
                    </a:ln>
                  </pic:spPr>
                </pic:pic>
              </a:graphicData>
            </a:graphic>
          </wp:inline>
        </w:drawing>
      </w:r>
    </w:p>
    <w:p>
      <w:pPr>
        <w:spacing w:line="360" w:lineRule="auto"/>
        <w:ind w:firstLine="420"/>
        <w:rPr>
          <w:rFonts w:hint="eastAsia" w:ascii="宋体" w:hAnsi="宋体" w:eastAsia="宋体"/>
          <w:sz w:val="24"/>
        </w:rPr>
      </w:pPr>
    </w:p>
    <w:p>
      <w:pPr>
        <w:spacing w:line="360" w:lineRule="auto"/>
        <w:ind w:firstLine="420"/>
        <w:rPr>
          <w:rFonts w:ascii="宋体" w:hAnsi="宋体" w:eastAsia="宋体"/>
          <w:sz w:val="24"/>
        </w:rPr>
      </w:pPr>
      <w:r>
        <w:rPr>
          <w:rFonts w:hint="eastAsia" w:ascii="宋体" w:hAnsi="宋体" w:eastAsia="宋体"/>
          <w:sz w:val="24"/>
        </w:rPr>
        <w:t>按每月统计展示了本年度园区内消费品的零售总额，主管部门可以根据每月零售总额做规划，对明年整体采购做调整。同时，当鼠标移动到图中某一柱状图上时，显示具体社会消费品零售总额；</w:t>
      </w:r>
    </w:p>
    <w:p>
      <w:pPr>
        <w:spacing w:line="360" w:lineRule="auto"/>
        <w:ind w:firstLine="420"/>
        <w:rPr>
          <w:rFonts w:ascii="宋体" w:hAnsi="宋体" w:eastAsia="宋体"/>
        </w:rPr>
      </w:pPr>
      <w:r>
        <w:rPr>
          <w:rFonts w:hint="eastAsia" w:ascii="宋体" w:hAnsi="宋体" w:eastAsia="宋体"/>
          <w:sz w:val="24"/>
        </w:rPr>
        <w:t>点击柱状图，弹出本年度每月具体社会消费品零售总额数据列表的界面。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9.1.2</w:t>
      </w:r>
      <w:r>
        <w:rPr>
          <w:rFonts w:hint="eastAsia" w:ascii="宋体" w:hAnsi="宋体" w:eastAsia="宋体"/>
        </w:rPr>
        <w:t>规模工业总产值</w:t>
      </w:r>
    </w:p>
    <w:p>
      <w:r>
        <w:drawing>
          <wp:inline distT="0" distB="0" distL="114300" distR="114300">
            <wp:extent cx="3886200" cy="1876425"/>
            <wp:effectExtent l="0" t="0" r="0" b="9525"/>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pic:cNvPicPr>
                      <a:picLocks noChangeAspect="1"/>
                    </pic:cNvPicPr>
                  </pic:nvPicPr>
                  <pic:blipFill>
                    <a:blip r:embed="rId118"/>
                    <a:stretch>
                      <a:fillRect/>
                    </a:stretch>
                  </pic:blipFill>
                  <pic:spPr>
                    <a:xfrm>
                      <a:off x="0" y="0"/>
                      <a:ext cx="3886200" cy="1876425"/>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统计展示了本年度园区内规模工业的总产值、高新技术企业的总产值及规模工业总产值增速，主管部门能对每月的产值数据判断在每年什么时候总产值高、什么时候低、什么时候增速最大等。同时，当鼠标移动到图上某一点时，显示具体规模工业总产值、规模以上高新技术总产值及规模工业总产值增速的数据；</w:t>
      </w:r>
    </w:p>
    <w:p>
      <w:pPr>
        <w:spacing w:line="360" w:lineRule="auto"/>
        <w:ind w:firstLine="420"/>
        <w:rPr>
          <w:rFonts w:hint="eastAsia" w:ascii="宋体" w:hAnsi="宋体" w:eastAsia="宋体"/>
          <w:sz w:val="24"/>
        </w:rPr>
      </w:pPr>
      <w:r>
        <w:rPr>
          <w:rFonts w:hint="eastAsia" w:ascii="宋体" w:hAnsi="宋体" w:eastAsia="宋体"/>
          <w:sz w:val="24"/>
        </w:rPr>
        <w:t>点击报表，弹出本年度每月具体规模工业总产值、规模以上高新技术总产值及规模工业总产值增速数据列表的界面。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9.1.3</w:t>
      </w:r>
      <w:r>
        <w:rPr>
          <w:rFonts w:hint="eastAsia" w:ascii="宋体" w:hAnsi="宋体" w:eastAsia="宋体"/>
        </w:rPr>
        <w:t>规模工业增加值增速</w:t>
      </w:r>
    </w:p>
    <w:p>
      <w:r>
        <w:drawing>
          <wp:inline distT="0" distB="0" distL="114300" distR="114300">
            <wp:extent cx="3924300" cy="1914525"/>
            <wp:effectExtent l="0" t="0" r="0" b="9525"/>
            <wp:docPr id="9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pic:cNvPicPr>
                      <a:picLocks noChangeAspect="1"/>
                    </pic:cNvPicPr>
                  </pic:nvPicPr>
                  <pic:blipFill>
                    <a:blip r:embed="rId119"/>
                    <a:stretch>
                      <a:fillRect/>
                    </a:stretch>
                  </pic:blipFill>
                  <pic:spPr>
                    <a:xfrm>
                      <a:off x="0" y="0"/>
                      <a:ext cx="3924300" cy="1914525"/>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sz w:val="24"/>
        </w:rPr>
        <w:t>统计展示了本年度园区规模工业增加值增速情况及长沙市规模工业增加值增速情况，根据图表中的增速情况，对园区及长沙市增速情况做对比，可以了解到每月相对增速情况。同时，当鼠标移动到图上某一点时，显示具体规模工业增加值增速的数值；</w:t>
      </w:r>
    </w:p>
    <w:p>
      <w:pPr>
        <w:spacing w:line="360" w:lineRule="auto"/>
        <w:ind w:firstLine="420"/>
        <w:rPr>
          <w:rFonts w:hint="eastAsia" w:ascii="宋体" w:hAnsi="宋体" w:eastAsia="宋体"/>
          <w:sz w:val="24"/>
        </w:rPr>
      </w:pPr>
      <w:r>
        <w:rPr>
          <w:rFonts w:hint="eastAsia" w:ascii="宋体" w:hAnsi="宋体" w:eastAsia="宋体"/>
          <w:sz w:val="24"/>
        </w:rPr>
        <w:t>点击图表，弹出本年度每月经开区及长沙市具体规模工业增加增速数据列表的界面。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9.1.4</w:t>
      </w:r>
      <w:r>
        <w:rPr>
          <w:rFonts w:hint="eastAsia" w:ascii="宋体" w:hAnsi="宋体" w:eastAsia="宋体"/>
        </w:rPr>
        <w:t>单位土地工业产值产出强度</w:t>
      </w:r>
    </w:p>
    <w:p>
      <w:r>
        <w:drawing>
          <wp:inline distT="0" distB="0" distL="114300" distR="114300">
            <wp:extent cx="3246755" cy="2476500"/>
            <wp:effectExtent l="0" t="0" r="10795" b="0"/>
            <wp:docPr id="9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pic:cNvPicPr>
                      <a:picLocks noChangeAspect="1"/>
                    </pic:cNvPicPr>
                  </pic:nvPicPr>
                  <pic:blipFill>
                    <a:blip r:embed="rId120"/>
                    <a:stretch>
                      <a:fillRect/>
                    </a:stretch>
                  </pic:blipFill>
                  <pic:spPr>
                    <a:xfrm>
                      <a:off x="0" y="0"/>
                      <a:ext cx="3246755" cy="247650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按每月统计展示了园区单位土地工业产值产出强度情况，主管部门能直观的了解到园区平均每平方公里工业产值的产出强度。</w:t>
      </w:r>
    </w:p>
    <w:p>
      <w:pPr>
        <w:spacing w:line="360" w:lineRule="auto"/>
        <w:ind w:firstLine="420"/>
        <w:rPr>
          <w:rFonts w:ascii="宋体" w:hAnsi="宋体" w:eastAsia="宋体"/>
          <w:sz w:val="24"/>
        </w:rPr>
      </w:pPr>
      <w:r>
        <w:rPr>
          <w:rFonts w:hint="eastAsia" w:ascii="宋体" w:hAnsi="宋体" w:eastAsia="宋体" w:cs="宋体"/>
          <w:sz w:val="24"/>
          <w:szCs w:val="24"/>
        </w:rPr>
        <w:t>可以点击查看本年度每月详情，弹出本年度每月具体单位土地工业产值产出强度数据列表的界面（需要提供相应的数据）。</w:t>
      </w:r>
    </w:p>
    <w:p>
      <w:pPr>
        <w:pStyle w:val="4"/>
        <w:numPr>
          <w:ilvl w:val="2"/>
          <w:numId w:val="0"/>
        </w:numPr>
        <w:ind w:leftChars="0"/>
        <w:rPr>
          <w:rFonts w:hint="eastAsia" w:ascii="宋体" w:hAnsi="宋体" w:eastAsia="宋体"/>
        </w:rPr>
      </w:pPr>
      <w:r>
        <w:rPr>
          <w:rFonts w:hint="eastAsia" w:ascii="宋体" w:hAnsi="宋体" w:eastAsia="宋体"/>
          <w:lang w:val="en-US" w:eastAsia="zh-CN"/>
        </w:rPr>
        <w:t>9.1.5</w:t>
      </w:r>
      <w:r>
        <w:rPr>
          <w:rFonts w:hint="eastAsia" w:ascii="宋体" w:hAnsi="宋体" w:eastAsia="宋体"/>
        </w:rPr>
        <w:t>税收收入</w:t>
      </w:r>
    </w:p>
    <w:p>
      <w:r>
        <w:drawing>
          <wp:inline distT="0" distB="0" distL="114300" distR="114300">
            <wp:extent cx="4057650" cy="2266950"/>
            <wp:effectExtent l="0" t="0" r="0" b="0"/>
            <wp:docPr id="9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9"/>
                    <pic:cNvPicPr>
                      <a:picLocks noChangeAspect="1"/>
                    </pic:cNvPicPr>
                  </pic:nvPicPr>
                  <pic:blipFill>
                    <a:blip r:embed="rId121"/>
                    <a:stretch>
                      <a:fillRect/>
                    </a:stretch>
                  </pic:blipFill>
                  <pic:spPr>
                    <a:xfrm>
                      <a:off x="0" y="0"/>
                      <a:ext cx="4057650" cy="22669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统计展示了统计展示望城经开区本年的税收收入情况及增速情况，并对比本年度的税收收入情况做分析，从而判断在什么月份企业税收的增速最高，什么月份最低，园区是否需要做一些调整。同时，当鼠标移动到图上某一点时，显示具体税收收入及增速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点击该图表，弹出本年度每月具体税收收入及增速数据列表的界面。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9.1.6</w:t>
      </w:r>
      <w:r>
        <w:rPr>
          <w:rFonts w:hint="eastAsia" w:ascii="宋体" w:hAnsi="宋体" w:eastAsia="宋体"/>
        </w:rPr>
        <w:t>社会消费品零售总额增速</w:t>
      </w:r>
    </w:p>
    <w:p>
      <w:r>
        <w:drawing>
          <wp:inline distT="0" distB="0" distL="114300" distR="114300">
            <wp:extent cx="3943350" cy="2181225"/>
            <wp:effectExtent l="0" t="0" r="0" b="9525"/>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122"/>
                    <a:stretch>
                      <a:fillRect/>
                    </a:stretch>
                  </pic:blipFill>
                  <pic:spPr>
                    <a:xfrm>
                      <a:off x="0" y="0"/>
                      <a:ext cx="3943350" cy="2181225"/>
                    </a:xfrm>
                    <a:prstGeom prst="rect">
                      <a:avLst/>
                    </a:prstGeom>
                    <a:noFill/>
                    <a:ln>
                      <a:noFill/>
                    </a:ln>
                  </pic:spPr>
                </pic:pic>
              </a:graphicData>
            </a:graphic>
          </wp:inline>
        </w:drawing>
      </w:r>
    </w:p>
    <w:p>
      <w:pPr>
        <w:spacing w:line="360" w:lineRule="auto"/>
        <w:ind w:firstLine="420"/>
        <w:rPr>
          <w:rFonts w:ascii="宋体" w:hAnsi="宋体" w:eastAsia="宋体"/>
          <w:sz w:val="24"/>
        </w:rPr>
      </w:pPr>
      <w:r>
        <w:rPr>
          <w:rFonts w:hint="eastAsia" w:ascii="宋体" w:hAnsi="宋体" w:eastAsia="宋体" w:cs="宋体"/>
          <w:sz w:val="24"/>
          <w:szCs w:val="24"/>
        </w:rPr>
        <w:t>统计展示了望城经开区本年消费品零售总额的增速情况，</w:t>
      </w:r>
      <w:r>
        <w:rPr>
          <w:rFonts w:hint="eastAsia" w:ascii="宋体" w:hAnsi="宋体" w:eastAsia="宋体"/>
          <w:sz w:val="24"/>
          <w:szCs w:val="24"/>
        </w:rPr>
        <w:t>主管部门可以根据每月零售增速做规划，当对应增速大时，可以增加消费品的采购。同时，当鼠标移动到图上某一点时，显示具体</w:t>
      </w:r>
      <w:r>
        <w:rPr>
          <w:rFonts w:hint="eastAsia" w:ascii="宋体" w:hAnsi="宋体" w:eastAsia="宋体" w:cs="宋体"/>
          <w:sz w:val="24"/>
          <w:szCs w:val="24"/>
        </w:rPr>
        <w:t>消费品零售总额增速的</w:t>
      </w:r>
      <w:r>
        <w:rPr>
          <w:rFonts w:hint="eastAsia" w:ascii="宋体" w:hAnsi="宋体" w:eastAsia="宋体"/>
          <w:sz w:val="24"/>
          <w:szCs w:val="24"/>
        </w:rPr>
        <w:t>数值；</w:t>
      </w:r>
    </w:p>
    <w:p>
      <w:pPr>
        <w:spacing w:line="360" w:lineRule="auto"/>
        <w:ind w:firstLine="420"/>
        <w:rPr>
          <w:rFonts w:hint="eastAsia" w:ascii="宋体" w:hAnsi="宋体" w:eastAsia="宋体"/>
          <w:sz w:val="24"/>
          <w:szCs w:val="24"/>
        </w:rPr>
      </w:pPr>
      <w:r>
        <w:rPr>
          <w:rFonts w:hint="eastAsia" w:ascii="宋体" w:hAnsi="宋体" w:eastAsia="宋体"/>
          <w:sz w:val="24"/>
          <w:szCs w:val="24"/>
        </w:rPr>
        <w:t>点击图表，弹出本年度每月具体社会消费品零售总额增速数据列表的界面。</w:t>
      </w:r>
    </w:p>
    <w:p>
      <w:pPr>
        <w:pStyle w:val="4"/>
        <w:numPr>
          <w:ilvl w:val="2"/>
          <w:numId w:val="0"/>
        </w:numPr>
        <w:ind w:leftChars="0"/>
        <w:rPr>
          <w:rFonts w:hint="eastAsia" w:ascii="宋体" w:hAnsi="宋体" w:eastAsia="宋体"/>
          <w:lang w:val="en-US" w:eastAsia="zh-CN"/>
        </w:rPr>
      </w:pPr>
      <w:r>
        <w:rPr>
          <w:rFonts w:hint="eastAsia" w:ascii="宋体" w:hAnsi="宋体" w:eastAsia="宋体"/>
          <w:lang w:val="en-US" w:eastAsia="zh-CN"/>
        </w:rPr>
        <w:t>9.1.7固定资产投资</w:t>
      </w:r>
    </w:p>
    <w:p>
      <w:r>
        <w:drawing>
          <wp:inline distT="0" distB="0" distL="114300" distR="114300">
            <wp:extent cx="4048125" cy="2000250"/>
            <wp:effectExtent l="0" t="0" r="9525" b="0"/>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123"/>
                    <a:stretch>
                      <a:fillRect/>
                    </a:stretch>
                  </pic:blipFill>
                  <pic:spPr>
                    <a:xfrm>
                      <a:off x="0" y="0"/>
                      <a:ext cx="4048125" cy="20002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每年经开区内固定资产的投资总额及增速情况，还将最近一个月的工业投资、技改投资、市重大投资累计完成量及同比增长情况进行展示。同时，当鼠标移动到图上某一点时，显示具体固定资产投资总额及增速的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点击图表，弹出本年度每月具体固定资产投资及增速数据列表的界面。</w:t>
      </w:r>
    </w:p>
    <w:p>
      <w:pPr>
        <w:spacing w:line="360" w:lineRule="auto"/>
        <w:ind w:firstLine="420"/>
        <w:rPr>
          <w:rFonts w:hint="eastAsia" w:ascii="宋体" w:hAnsi="宋体" w:eastAsia="宋体" w:cs="宋体"/>
          <w:sz w:val="24"/>
          <w:szCs w:val="24"/>
        </w:rPr>
      </w:pPr>
    </w:p>
    <w:p>
      <w:pPr>
        <w:pStyle w:val="4"/>
        <w:numPr>
          <w:ilvl w:val="2"/>
          <w:numId w:val="0"/>
        </w:numPr>
        <w:ind w:leftChars="0"/>
        <w:rPr>
          <w:rFonts w:hint="eastAsia" w:ascii="宋体" w:hAnsi="宋体" w:eastAsia="宋体"/>
        </w:rPr>
      </w:pPr>
      <w:r>
        <w:rPr>
          <w:rFonts w:hint="eastAsia" w:ascii="宋体" w:hAnsi="宋体" w:eastAsia="宋体"/>
          <w:lang w:val="en-US" w:eastAsia="zh-CN"/>
        </w:rPr>
        <w:t>9.1.8</w:t>
      </w:r>
      <w:r>
        <w:rPr>
          <w:rFonts w:hint="eastAsia" w:ascii="宋体" w:hAnsi="宋体" w:eastAsia="宋体"/>
        </w:rPr>
        <w:t>主要投资类型</w:t>
      </w:r>
    </w:p>
    <w:p>
      <w:r>
        <w:drawing>
          <wp:inline distT="0" distB="0" distL="114300" distR="114300">
            <wp:extent cx="3971925" cy="1828800"/>
            <wp:effectExtent l="0" t="0" r="9525" b="0"/>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124"/>
                    <a:stretch>
                      <a:fillRect/>
                    </a:stretch>
                  </pic:blipFill>
                  <pic:spPr>
                    <a:xfrm>
                      <a:off x="0" y="0"/>
                      <a:ext cx="3971925" cy="182880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按社会投资项目、政府项目、房地产项目对园区内主要投资类型进行统计展示，还将最近一个月完成额全年占比进行统计分析，主管部门根据每月投资占比情况进行预测。同时，当鼠标移动到图中某一柱状图上时，显示具体投资类型的投资数值；</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点击图表，弹出本年度每月具体社会投资项目、政府项目、房地产项目投资数据列表的界面。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9.1.9</w:t>
      </w:r>
      <w:r>
        <w:rPr>
          <w:rFonts w:hint="eastAsia" w:ascii="宋体" w:hAnsi="宋体" w:eastAsia="宋体"/>
        </w:rPr>
        <w:t>单位土地固定资产投资强度</w:t>
      </w:r>
    </w:p>
    <w:p>
      <w:r>
        <w:drawing>
          <wp:inline distT="0" distB="0" distL="114300" distR="114300">
            <wp:extent cx="2933700" cy="2200275"/>
            <wp:effectExtent l="0" t="0" r="0" b="9525"/>
            <wp:docPr id="10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3"/>
                    <pic:cNvPicPr>
                      <a:picLocks noChangeAspect="1"/>
                    </pic:cNvPicPr>
                  </pic:nvPicPr>
                  <pic:blipFill>
                    <a:blip r:embed="rId125"/>
                    <a:stretch>
                      <a:fillRect/>
                    </a:stretch>
                  </pic:blipFill>
                  <pic:spPr>
                    <a:xfrm>
                      <a:off x="0" y="0"/>
                      <a:ext cx="2933700" cy="220027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该模块按月统计展示了园区内单位土地固定资产投资强度情况，主管部门能直观的了解到园区平均每平方公里固定资产的投资总额。</w:t>
      </w:r>
    </w:p>
    <w:p>
      <w:pPr>
        <w:spacing w:line="360" w:lineRule="auto"/>
        <w:ind w:firstLine="420"/>
        <w:rPr>
          <w:rFonts w:ascii="宋体" w:hAnsi="宋体" w:eastAsia="宋体" w:cs="宋体"/>
          <w:sz w:val="24"/>
        </w:rPr>
      </w:pPr>
      <w:r>
        <w:rPr>
          <w:rFonts w:hint="eastAsia" w:ascii="宋体" w:hAnsi="宋体" w:eastAsia="宋体" w:cs="宋体"/>
          <w:sz w:val="24"/>
          <w:szCs w:val="24"/>
        </w:rPr>
        <w:t>可以点击查看本年度投资强度详情，弹出本年度每月具体单位土地固定资产投资数据列表的界面（需要提供相应的数据）。</w:t>
      </w:r>
    </w:p>
    <w:p>
      <w:pPr>
        <w:pStyle w:val="4"/>
        <w:numPr>
          <w:ilvl w:val="2"/>
          <w:numId w:val="0"/>
        </w:numPr>
        <w:ind w:leftChars="0"/>
        <w:rPr>
          <w:rFonts w:hint="eastAsia" w:ascii="宋体" w:hAnsi="宋体" w:eastAsia="宋体"/>
        </w:rPr>
      </w:pPr>
      <w:r>
        <w:rPr>
          <w:rFonts w:hint="eastAsia" w:ascii="宋体" w:hAnsi="宋体" w:eastAsia="宋体"/>
          <w:lang w:val="en-US" w:eastAsia="zh-CN"/>
        </w:rPr>
        <w:t>9.1.10</w:t>
      </w:r>
      <w:r>
        <w:rPr>
          <w:rFonts w:hint="eastAsia" w:ascii="宋体" w:hAnsi="宋体" w:eastAsia="宋体"/>
        </w:rPr>
        <w:t>单位土地税收产出强度</w:t>
      </w:r>
    </w:p>
    <w:p>
      <w:r>
        <w:drawing>
          <wp:inline distT="0" distB="0" distL="114300" distR="114300">
            <wp:extent cx="3933825" cy="2228850"/>
            <wp:effectExtent l="0" t="0" r="9525" b="0"/>
            <wp:docPr id="1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4"/>
                    <pic:cNvPicPr>
                      <a:picLocks noChangeAspect="1"/>
                    </pic:cNvPicPr>
                  </pic:nvPicPr>
                  <pic:blipFill>
                    <a:blip r:embed="rId126"/>
                    <a:stretch>
                      <a:fillRect/>
                    </a:stretch>
                  </pic:blipFill>
                  <pic:spPr>
                    <a:xfrm>
                      <a:off x="0" y="0"/>
                      <a:ext cx="3933825" cy="22288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该模块统计展示了本年度单位土地税收产出强度，主管部门可以直观的看出什么月份税收产出最多，什么月份税收产出最少。同时，当鼠标移动到图上某一点时，显示具体单位土地税收产出强度的数值；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点击图表，弹出本年度每月具体单位土地税收产出强度数据列表的界面。</w:t>
      </w:r>
    </w:p>
    <w:p>
      <w:pPr>
        <w:pStyle w:val="3"/>
        <w:numPr>
          <w:ilvl w:val="1"/>
          <w:numId w:val="0"/>
        </w:numPr>
        <w:ind w:leftChars="0"/>
        <w:rPr>
          <w:rFonts w:hint="eastAsia" w:ascii="宋体" w:hAnsi="宋体" w:eastAsia="宋体"/>
          <w:lang w:val="en-US" w:eastAsia="zh-CN"/>
        </w:rPr>
      </w:pPr>
      <w:r>
        <w:rPr>
          <w:rFonts w:hint="eastAsia" w:ascii="宋体" w:hAnsi="宋体" w:eastAsia="宋体"/>
          <w:lang w:val="en-US" w:eastAsia="zh-CN"/>
        </w:rPr>
        <w:t>9.2开放创新能力</w:t>
      </w:r>
    </w:p>
    <w:p>
      <w:pPr>
        <w:pStyle w:val="4"/>
        <w:numPr>
          <w:ilvl w:val="2"/>
          <w:numId w:val="0"/>
        </w:numPr>
        <w:ind w:leftChars="0"/>
        <w:rPr>
          <w:rFonts w:hint="eastAsia" w:ascii="宋体" w:hAnsi="宋体" w:eastAsia="宋体"/>
          <w:lang w:val="en-US" w:eastAsia="zh-CN"/>
        </w:rPr>
      </w:pPr>
      <w:r>
        <w:rPr>
          <w:rFonts w:hint="eastAsia" w:ascii="宋体" w:hAnsi="宋体" w:eastAsia="宋体"/>
          <w:lang w:val="en-US" w:eastAsia="zh-CN"/>
        </w:rPr>
        <w:t>9.2.1招商引资</w:t>
      </w:r>
    </w:p>
    <w:p>
      <w:r>
        <w:drawing>
          <wp:inline distT="0" distB="0" distL="114300" distR="114300">
            <wp:extent cx="4067175" cy="2124075"/>
            <wp:effectExtent l="0" t="0" r="9525" b="9525"/>
            <wp:docPr id="10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5"/>
                    <pic:cNvPicPr>
                      <a:picLocks noChangeAspect="1"/>
                    </pic:cNvPicPr>
                  </pic:nvPicPr>
                  <pic:blipFill>
                    <a:blip r:embed="rId127"/>
                    <a:stretch>
                      <a:fillRect/>
                    </a:stretch>
                  </pic:blipFill>
                  <pic:spPr>
                    <a:xfrm>
                      <a:off x="0" y="0"/>
                      <a:ext cx="4067175" cy="212407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该模块统计展示了本年度园区整体招商引资情况，按省外境内投资、实际利用外资及实际利用外资占比三个维度进行呈现。同时，当鼠标移动到图上某一点时，显示招商引资的数值；</w:t>
      </w:r>
    </w:p>
    <w:p>
      <w:pPr>
        <w:spacing w:line="360" w:lineRule="auto"/>
        <w:ind w:firstLine="420"/>
        <w:rPr>
          <w:rFonts w:ascii="宋体" w:hAnsi="宋体" w:eastAsia="宋体"/>
          <w:sz w:val="24"/>
        </w:rPr>
      </w:pPr>
      <w:r>
        <w:rPr>
          <w:rFonts w:hint="eastAsia" w:ascii="宋体" w:hAnsi="宋体" w:eastAsia="宋体" w:cs="宋体"/>
          <w:sz w:val="24"/>
          <w:szCs w:val="24"/>
        </w:rPr>
        <w:t>点击图表，弹出本年度每月具体外境内投资、实际利用外资及实际利用外资占比数据列表的界面。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9.2.2</w:t>
      </w:r>
      <w:r>
        <w:rPr>
          <w:rFonts w:hint="eastAsia" w:ascii="宋体" w:hAnsi="宋体" w:eastAsia="宋体"/>
        </w:rPr>
        <w:t>企业数量</w:t>
      </w:r>
    </w:p>
    <w:p>
      <w:r>
        <w:drawing>
          <wp:inline distT="0" distB="0" distL="114300" distR="114300">
            <wp:extent cx="4010025" cy="2190750"/>
            <wp:effectExtent l="0" t="0" r="9525" b="0"/>
            <wp:docPr id="1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6"/>
                    <pic:cNvPicPr>
                      <a:picLocks noChangeAspect="1"/>
                    </pic:cNvPicPr>
                  </pic:nvPicPr>
                  <pic:blipFill>
                    <a:blip r:embed="rId128"/>
                    <a:stretch>
                      <a:fillRect/>
                    </a:stretch>
                  </pic:blipFill>
                  <pic:spPr>
                    <a:xfrm>
                      <a:off x="0" y="0"/>
                      <a:ext cx="4010025" cy="21907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该模块统计展示了近</w:t>
      </w:r>
      <w:r>
        <w:rPr>
          <w:rFonts w:ascii="宋体" w:hAnsi="宋体" w:eastAsia="宋体" w:cs="宋体"/>
          <w:sz w:val="24"/>
          <w:szCs w:val="24"/>
        </w:rPr>
        <w:t>5年内园区内企业数量情况，主管部门可以根据历年的企业增长趋势，预判明年的企业规模情况，并进行相应的政策调整。同时，当鼠标移动到图中某一柱状图上时，显示具体企业数量；</w:t>
      </w:r>
    </w:p>
    <w:p>
      <w:pPr>
        <w:spacing w:line="360" w:lineRule="auto"/>
        <w:ind w:firstLine="420"/>
        <w:rPr>
          <w:rFonts w:ascii="宋体" w:hAnsi="宋体" w:eastAsia="宋体" w:cs="宋体"/>
          <w:sz w:val="24"/>
        </w:rPr>
      </w:pPr>
      <w:r>
        <w:rPr>
          <w:rFonts w:hint="eastAsia" w:ascii="宋体" w:hAnsi="宋体" w:eastAsia="宋体" w:cs="宋体"/>
          <w:sz w:val="24"/>
          <w:szCs w:val="24"/>
        </w:rPr>
        <w:t>点击柱状图，弹出近</w:t>
      </w:r>
      <w:r>
        <w:rPr>
          <w:rFonts w:ascii="宋体" w:hAnsi="宋体" w:eastAsia="宋体" w:cs="宋体"/>
          <w:sz w:val="24"/>
          <w:szCs w:val="24"/>
        </w:rPr>
        <w:t>5年具体企业列表的界面。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9.2.3</w:t>
      </w:r>
      <w:r>
        <w:rPr>
          <w:rFonts w:hint="eastAsia" w:ascii="宋体" w:hAnsi="宋体" w:eastAsia="宋体"/>
        </w:rPr>
        <w:t>重点企业类型</w:t>
      </w:r>
    </w:p>
    <w:p>
      <w:r>
        <w:drawing>
          <wp:inline distT="0" distB="0" distL="114300" distR="114300">
            <wp:extent cx="3933825" cy="2257425"/>
            <wp:effectExtent l="0" t="0" r="9525" b="9525"/>
            <wp:docPr id="10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7"/>
                    <pic:cNvPicPr>
                      <a:picLocks noChangeAspect="1"/>
                    </pic:cNvPicPr>
                  </pic:nvPicPr>
                  <pic:blipFill>
                    <a:blip r:embed="rId129"/>
                    <a:stretch>
                      <a:fillRect/>
                    </a:stretch>
                  </pic:blipFill>
                  <pic:spPr>
                    <a:xfrm>
                      <a:off x="0" y="0"/>
                      <a:ext cx="3933825" cy="225742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该模块统计展示了本年度园区内重点企业的类型及数量，按规上工业企业、高新技术企业、四上企业、</w:t>
      </w:r>
      <w:r>
        <w:rPr>
          <w:rFonts w:ascii="宋体" w:hAnsi="宋体" w:eastAsia="宋体" w:cs="宋体"/>
          <w:sz w:val="24"/>
          <w:szCs w:val="24"/>
        </w:rPr>
        <w:t>500强及上市企业四个维度进行统计展示，主管部门根据每年的重点企业数量判断是否需要引进相关企业。</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点击图表，弹出该类企业的企业列表界面。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9.2.4</w:t>
      </w:r>
      <w:r>
        <w:rPr>
          <w:rFonts w:hint="eastAsia" w:ascii="宋体" w:hAnsi="宋体" w:eastAsia="宋体"/>
        </w:rPr>
        <w:t>企业注册资本</w:t>
      </w:r>
    </w:p>
    <w:p>
      <w:r>
        <w:drawing>
          <wp:inline distT="0" distB="0" distL="114300" distR="114300">
            <wp:extent cx="4552950" cy="3086100"/>
            <wp:effectExtent l="0" t="0" r="0" b="0"/>
            <wp:docPr id="10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8"/>
                    <pic:cNvPicPr>
                      <a:picLocks noChangeAspect="1"/>
                    </pic:cNvPicPr>
                  </pic:nvPicPr>
                  <pic:blipFill>
                    <a:blip r:embed="rId130"/>
                    <a:stretch>
                      <a:fillRect/>
                    </a:stretch>
                  </pic:blipFill>
                  <pic:spPr>
                    <a:xfrm>
                      <a:off x="0" y="0"/>
                      <a:ext cx="4552950" cy="308610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该模块统计展示了园区内各企业的注册资本情况，按</w:t>
      </w:r>
      <w:r>
        <w:rPr>
          <w:rFonts w:ascii="宋体" w:hAnsi="宋体" w:eastAsia="宋体" w:cs="宋体"/>
          <w:sz w:val="24"/>
          <w:szCs w:val="24"/>
        </w:rPr>
        <w:t>300万以下、300-500万、500-800万、800-1000万、1000-2000万、2000万以上进行统计展示，管理者能从每个层次的占比情况判断出园区内大型企业有多少，在未来招商引资的时候是否出台相关政策吸引大型企业入驻。同时，当鼠标移动到图上某一区域时，显示具体企业数量；</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点击图表，弹出该区域具体企业列表的界面。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9.2.5</w:t>
      </w:r>
      <w:r>
        <w:rPr>
          <w:rFonts w:hint="eastAsia" w:ascii="宋体" w:hAnsi="宋体" w:eastAsia="宋体"/>
        </w:rPr>
        <w:t>专利数量</w:t>
      </w:r>
    </w:p>
    <w:p>
      <w:r>
        <w:drawing>
          <wp:inline distT="0" distB="0" distL="114300" distR="114300">
            <wp:extent cx="5272405" cy="2876550"/>
            <wp:effectExtent l="0" t="0" r="4445" b="0"/>
            <wp:docPr id="10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9"/>
                    <pic:cNvPicPr>
                      <a:picLocks noChangeAspect="1"/>
                    </pic:cNvPicPr>
                  </pic:nvPicPr>
                  <pic:blipFill>
                    <a:blip r:embed="rId131"/>
                    <a:stretch>
                      <a:fillRect/>
                    </a:stretch>
                  </pic:blipFill>
                  <pic:spPr>
                    <a:xfrm>
                      <a:off x="0" y="0"/>
                      <a:ext cx="5272405" cy="28765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该模块统计了近</w:t>
      </w:r>
      <w:r>
        <w:rPr>
          <w:rFonts w:ascii="宋体" w:hAnsi="宋体" w:eastAsia="宋体" w:cs="宋体"/>
          <w:sz w:val="24"/>
          <w:szCs w:val="24"/>
        </w:rPr>
        <w:t>5年内园区的专利数量，按申请数及授权数进行统计展示。同时，当鼠标移动到图中某一柱状图上时，显示具体专利的申请数及授权数的数值；</w:t>
      </w:r>
    </w:p>
    <w:p>
      <w:pPr>
        <w:spacing w:line="360" w:lineRule="auto"/>
        <w:ind w:firstLine="420"/>
        <w:rPr>
          <w:rFonts w:ascii="宋体" w:hAnsi="宋体" w:eastAsia="宋体" w:cs="宋体"/>
          <w:sz w:val="24"/>
        </w:rPr>
      </w:pPr>
      <w:r>
        <w:rPr>
          <w:rFonts w:hint="eastAsia" w:ascii="宋体" w:hAnsi="宋体" w:eastAsia="宋体" w:cs="宋体"/>
          <w:sz w:val="24"/>
          <w:szCs w:val="24"/>
        </w:rPr>
        <w:t>点击柱状图，弹出具体专利申请及授权列表的界面。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9.2.6</w:t>
      </w:r>
      <w:r>
        <w:rPr>
          <w:rFonts w:hint="eastAsia" w:ascii="宋体" w:hAnsi="宋体" w:eastAsia="宋体"/>
        </w:rPr>
        <w:t>进出口</w:t>
      </w:r>
    </w:p>
    <w:p>
      <w:r>
        <w:drawing>
          <wp:inline distT="0" distB="0" distL="114300" distR="114300">
            <wp:extent cx="5273675" cy="2825750"/>
            <wp:effectExtent l="0" t="0" r="3175" b="12700"/>
            <wp:docPr id="10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0"/>
                    <pic:cNvPicPr>
                      <a:picLocks noChangeAspect="1"/>
                    </pic:cNvPicPr>
                  </pic:nvPicPr>
                  <pic:blipFill>
                    <a:blip r:embed="rId132"/>
                    <a:stretch>
                      <a:fillRect/>
                    </a:stretch>
                  </pic:blipFill>
                  <pic:spPr>
                    <a:xfrm>
                      <a:off x="0" y="0"/>
                      <a:ext cx="5273675" cy="282575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的进出口情况，按进口总额、出口总额、进出口增速三个维度进行呈现，管理者可以根据每月的进出口情况判断该月消费情况，并在明年相应月份提前采购时有数据支撑。同时，当鼠标移动到图上某一点时，显示具体进口总额、出口总额、进出口增速数值；</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点击图表，弹出本年度每月具体进口总额、出口总额、进出口增速数据列表的界面。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9.2.7</w:t>
      </w:r>
      <w:r>
        <w:rPr>
          <w:rFonts w:hint="eastAsia" w:ascii="宋体" w:hAnsi="宋体" w:eastAsia="宋体"/>
        </w:rPr>
        <w:t>产业分布</w:t>
      </w:r>
    </w:p>
    <w:p>
      <w:r>
        <w:drawing>
          <wp:inline distT="0" distB="0" distL="114300" distR="114300">
            <wp:extent cx="5269865" cy="3196590"/>
            <wp:effectExtent l="0" t="0" r="6985" b="3810"/>
            <wp:docPr id="10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1"/>
                    <pic:cNvPicPr>
                      <a:picLocks noChangeAspect="1"/>
                    </pic:cNvPicPr>
                  </pic:nvPicPr>
                  <pic:blipFill>
                    <a:blip r:embed="rId133"/>
                    <a:stretch>
                      <a:fillRect/>
                    </a:stretch>
                  </pic:blipFill>
                  <pic:spPr>
                    <a:xfrm>
                      <a:off x="0" y="0"/>
                      <a:ext cx="5269865" cy="319659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该模块统计展示了本年度园区内产业分布情况，管理者可以根据这些产业分布情况判断园区整体的产业情况，是否需要引进其他类型的企业等。</w:t>
      </w:r>
    </w:p>
    <w:p>
      <w:pPr>
        <w:spacing w:line="360" w:lineRule="auto"/>
        <w:ind w:firstLine="420"/>
        <w:rPr>
          <w:rFonts w:ascii="宋体" w:hAnsi="宋体" w:eastAsia="宋体" w:cs="宋体"/>
          <w:sz w:val="24"/>
        </w:rPr>
      </w:pPr>
      <w:r>
        <w:rPr>
          <w:rFonts w:hint="eastAsia" w:ascii="宋体" w:hAnsi="宋体" w:eastAsia="宋体" w:cs="宋体"/>
          <w:sz w:val="24"/>
          <w:szCs w:val="24"/>
        </w:rPr>
        <w:t>点击某类企业时，弹出该类企业的企业列表界面。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9.2.8</w:t>
      </w:r>
      <w:r>
        <w:rPr>
          <w:rFonts w:hint="eastAsia" w:ascii="宋体" w:hAnsi="宋体" w:eastAsia="宋体"/>
        </w:rPr>
        <w:t>技术研发核心</w:t>
      </w:r>
    </w:p>
    <w:p>
      <w:r>
        <w:drawing>
          <wp:inline distT="0" distB="0" distL="114300" distR="114300">
            <wp:extent cx="5274310" cy="2051685"/>
            <wp:effectExtent l="0" t="0" r="2540" b="5715"/>
            <wp:docPr id="11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2"/>
                    <pic:cNvPicPr>
                      <a:picLocks noChangeAspect="1"/>
                    </pic:cNvPicPr>
                  </pic:nvPicPr>
                  <pic:blipFill>
                    <a:blip r:embed="rId134"/>
                    <a:stretch>
                      <a:fillRect/>
                    </a:stretch>
                  </pic:blipFill>
                  <pic:spPr>
                    <a:xfrm>
                      <a:off x="0" y="0"/>
                      <a:ext cx="5274310" cy="205168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该模块统计展示了本年度园区内技术研发核心情况，按企业技术中心、工程技术中心、省级及以上研发机构、省级及以上众创空间孵化器四个维度呈现。</w:t>
      </w:r>
    </w:p>
    <w:p>
      <w:pPr>
        <w:spacing w:line="360" w:lineRule="auto"/>
        <w:ind w:firstLine="420"/>
        <w:rPr>
          <w:rFonts w:ascii="宋体" w:hAnsi="宋体" w:eastAsia="宋体" w:cs="宋体"/>
          <w:sz w:val="24"/>
        </w:rPr>
      </w:pPr>
      <w:r>
        <w:rPr>
          <w:rFonts w:hint="eastAsia" w:ascii="宋体" w:hAnsi="宋体" w:eastAsia="宋体" w:cs="宋体"/>
          <w:sz w:val="24"/>
          <w:szCs w:val="24"/>
        </w:rPr>
        <w:t>点击柱状图，弹出相应研发核心的企业列表界面。</w:t>
      </w:r>
    </w:p>
    <w:p>
      <w:pPr>
        <w:pStyle w:val="4"/>
        <w:numPr>
          <w:ilvl w:val="4"/>
          <w:numId w:val="0"/>
        </w:numPr>
        <w:ind w:leftChars="0"/>
        <w:rPr>
          <w:rFonts w:hint="eastAsia" w:ascii="宋体" w:hAnsi="宋体" w:eastAsia="宋体"/>
        </w:rPr>
      </w:pPr>
      <w:r>
        <w:rPr>
          <w:rFonts w:hint="eastAsia" w:ascii="宋体" w:hAnsi="宋体" w:eastAsia="宋体"/>
          <w:lang w:val="en-US" w:eastAsia="zh-CN"/>
        </w:rPr>
        <w:t>9.2.9</w:t>
      </w:r>
      <w:r>
        <w:rPr>
          <w:rFonts w:hint="eastAsia" w:ascii="宋体" w:hAnsi="宋体" w:eastAsia="宋体"/>
        </w:rPr>
        <w:t>企业发展</w:t>
      </w:r>
    </w:p>
    <w:p>
      <w:r>
        <w:drawing>
          <wp:inline distT="0" distB="0" distL="114300" distR="114300">
            <wp:extent cx="5268595" cy="970280"/>
            <wp:effectExtent l="0" t="0" r="8255" b="1270"/>
            <wp:docPr id="1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4"/>
                    <pic:cNvPicPr>
                      <a:picLocks noChangeAspect="1"/>
                    </pic:cNvPicPr>
                  </pic:nvPicPr>
                  <pic:blipFill>
                    <a:blip r:embed="rId135"/>
                    <a:stretch>
                      <a:fillRect/>
                    </a:stretch>
                  </pic:blipFill>
                  <pic:spPr>
                    <a:xfrm>
                      <a:off x="0" y="0"/>
                      <a:ext cx="5268595" cy="97028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该模块统计展示了上个月园区内企业发展情况，按新建投产入规户数及新增入规户数两个维度进行呈现。</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点击图表，弹出具体新建投产入规户数及新增入规户数的企业列表界面。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9.2.10</w:t>
      </w:r>
      <w:r>
        <w:rPr>
          <w:rFonts w:hint="eastAsia" w:ascii="宋体" w:hAnsi="宋体" w:eastAsia="宋体"/>
        </w:rPr>
        <w:t>企业经营年限</w:t>
      </w:r>
    </w:p>
    <w:p>
      <w:r>
        <w:drawing>
          <wp:inline distT="0" distB="0" distL="114300" distR="114300">
            <wp:extent cx="3305175" cy="2886075"/>
            <wp:effectExtent l="0" t="0" r="9525" b="9525"/>
            <wp:docPr id="11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5"/>
                    <pic:cNvPicPr>
                      <a:picLocks noChangeAspect="1"/>
                    </pic:cNvPicPr>
                  </pic:nvPicPr>
                  <pic:blipFill>
                    <a:blip r:embed="rId136"/>
                    <a:stretch>
                      <a:fillRect/>
                    </a:stretch>
                  </pic:blipFill>
                  <pic:spPr>
                    <a:xfrm>
                      <a:off x="0" y="0"/>
                      <a:ext cx="3305175" cy="288607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该模块统计展示了入驻园区的企业经营的年限，按</w:t>
      </w:r>
      <w:r>
        <w:rPr>
          <w:rFonts w:ascii="宋体" w:hAnsi="宋体" w:eastAsia="宋体" w:cs="宋体"/>
          <w:sz w:val="24"/>
          <w:szCs w:val="24"/>
        </w:rPr>
        <w:t>1年以下、1-3年、3-5年、5-10年、10年以上几个维度进行呈现。同时，当鼠标移动到图上某一区域时，显示相应企业经营年限的企业数量；</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点击图表，弹出具体企业经营年限的企业列表界面。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9.2.11</w:t>
      </w:r>
      <w:r>
        <w:rPr>
          <w:rFonts w:hint="eastAsia" w:ascii="宋体" w:hAnsi="宋体" w:eastAsia="宋体"/>
        </w:rPr>
        <w:t>发明专利</w:t>
      </w:r>
    </w:p>
    <w:p>
      <w:r>
        <w:drawing>
          <wp:inline distT="0" distB="0" distL="114300" distR="114300">
            <wp:extent cx="5269865" cy="2802890"/>
            <wp:effectExtent l="0" t="0" r="6985" b="16510"/>
            <wp:docPr id="11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6"/>
                    <pic:cNvPicPr>
                      <a:picLocks noChangeAspect="1"/>
                    </pic:cNvPicPr>
                  </pic:nvPicPr>
                  <pic:blipFill>
                    <a:blip r:embed="rId137"/>
                    <a:stretch>
                      <a:fillRect/>
                    </a:stretch>
                  </pic:blipFill>
                  <pic:spPr>
                    <a:xfrm>
                      <a:off x="0" y="0"/>
                      <a:ext cx="5269865" cy="280289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该模块统计展示了近</w:t>
      </w:r>
      <w:r>
        <w:rPr>
          <w:rFonts w:ascii="宋体" w:hAnsi="宋体" w:eastAsia="宋体" w:cs="宋体"/>
          <w:sz w:val="24"/>
          <w:szCs w:val="24"/>
        </w:rPr>
        <w:t>5年来园区内的发明专利情况，按申请数和授权数两个维度进行呈现。同时，当鼠标移动到图中某一柱状图上时，显示具体专利申请数和授权数的数值；</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点击柱状图，弹出近</w:t>
      </w:r>
      <w:r>
        <w:rPr>
          <w:rFonts w:ascii="宋体" w:hAnsi="宋体" w:eastAsia="宋体" w:cs="宋体"/>
          <w:sz w:val="24"/>
          <w:szCs w:val="24"/>
        </w:rPr>
        <w:t>5年内具体专利申请数和授权数列表的界面。</w:t>
      </w:r>
    </w:p>
    <w:p>
      <w:pPr>
        <w:pStyle w:val="3"/>
        <w:numPr>
          <w:ilvl w:val="1"/>
          <w:numId w:val="0"/>
        </w:numPr>
        <w:ind w:leftChars="0"/>
        <w:rPr>
          <w:rFonts w:hint="eastAsia" w:ascii="宋体" w:hAnsi="宋体" w:eastAsia="宋体"/>
          <w:lang w:val="en-US" w:eastAsia="zh-CN"/>
        </w:rPr>
      </w:pPr>
      <w:r>
        <w:rPr>
          <w:rFonts w:hint="eastAsia" w:ascii="宋体" w:hAnsi="宋体" w:eastAsia="宋体"/>
          <w:lang w:val="en-US" w:eastAsia="zh-CN"/>
        </w:rPr>
        <w:t>9.3长沙发展态势</w:t>
      </w:r>
    </w:p>
    <w:p>
      <w:pPr>
        <w:pStyle w:val="4"/>
        <w:numPr>
          <w:ilvl w:val="2"/>
          <w:numId w:val="0"/>
        </w:numPr>
        <w:ind w:leftChars="0"/>
        <w:rPr>
          <w:rFonts w:ascii="宋体" w:hAnsi="宋体" w:eastAsia="宋体" w:cs="宋体"/>
        </w:rPr>
      </w:pPr>
      <w:r>
        <w:rPr>
          <w:rFonts w:hint="eastAsia" w:ascii="宋体" w:hAnsi="宋体" w:eastAsia="宋体" w:cs="宋体"/>
          <w:lang w:val="en-US" w:eastAsia="zh-CN"/>
        </w:rPr>
        <w:t>9.3.1</w:t>
      </w:r>
      <w:r>
        <w:rPr>
          <w:rFonts w:hint="eastAsia" w:ascii="宋体" w:hAnsi="宋体" w:eastAsia="宋体" w:cs="宋体"/>
        </w:rPr>
        <w:t>长沙市</w:t>
      </w:r>
      <w:r>
        <w:rPr>
          <w:rFonts w:ascii="宋体" w:hAnsi="宋体" w:eastAsia="宋体" w:cs="宋体"/>
        </w:rPr>
        <w:t>GDP累计同比</w:t>
      </w:r>
    </w:p>
    <w:p>
      <w:r>
        <w:drawing>
          <wp:inline distT="0" distB="0" distL="114300" distR="114300">
            <wp:extent cx="5272405" cy="3232785"/>
            <wp:effectExtent l="0" t="0" r="4445" b="5715"/>
            <wp:docPr id="11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7"/>
                    <pic:cNvPicPr>
                      <a:picLocks noChangeAspect="1"/>
                    </pic:cNvPicPr>
                  </pic:nvPicPr>
                  <pic:blipFill>
                    <a:blip r:embed="rId138"/>
                    <a:stretch>
                      <a:fillRect/>
                    </a:stretch>
                  </pic:blipFill>
                  <pic:spPr>
                    <a:xfrm>
                      <a:off x="0" y="0"/>
                      <a:ext cx="5272405" cy="323278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该模块统计展示了长沙市</w:t>
      </w:r>
      <w:r>
        <w:rPr>
          <w:rFonts w:ascii="宋体" w:hAnsi="宋体" w:eastAsia="宋体" w:cs="宋体"/>
          <w:sz w:val="24"/>
          <w:szCs w:val="24"/>
        </w:rPr>
        <w:t>GDP每季度累计同比情况，管理者可以根据长沙市的数据与自身园区的数据</w:t>
      </w:r>
      <w:r>
        <w:rPr>
          <w:rFonts w:hint="eastAsia" w:ascii="宋体" w:hAnsi="宋体" w:eastAsia="宋体" w:cs="宋体"/>
          <w:sz w:val="24"/>
          <w:szCs w:val="24"/>
        </w:rPr>
        <w:t>做对比，判断出自身是高于长沙市的水平还是低于长沙市的水平。同时，当鼠标移动到图上某一点时，显示具体长沙市</w:t>
      </w:r>
      <w:r>
        <w:rPr>
          <w:rFonts w:ascii="宋体" w:hAnsi="宋体" w:eastAsia="宋体" w:cs="宋体"/>
          <w:sz w:val="24"/>
          <w:szCs w:val="24"/>
        </w:rPr>
        <w:t>GDP累计同比的数值；</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点击图表，弹出近两年每季度具体长沙市</w:t>
      </w:r>
      <w:r>
        <w:rPr>
          <w:rFonts w:ascii="宋体" w:hAnsi="宋体" w:eastAsia="宋体" w:cs="宋体"/>
          <w:sz w:val="24"/>
          <w:szCs w:val="24"/>
        </w:rPr>
        <w:t>GDP累计同比数据列表的界面。</w:t>
      </w:r>
    </w:p>
    <w:p>
      <w:pPr>
        <w:pStyle w:val="4"/>
        <w:numPr>
          <w:ilvl w:val="2"/>
          <w:numId w:val="0"/>
        </w:numPr>
        <w:ind w:leftChars="0"/>
        <w:rPr>
          <w:rFonts w:ascii="宋体" w:hAnsi="宋体" w:eastAsia="宋体"/>
        </w:rPr>
      </w:pPr>
      <w:r>
        <w:rPr>
          <w:rFonts w:hint="eastAsia" w:ascii="宋体" w:hAnsi="宋体" w:eastAsia="宋体"/>
          <w:lang w:val="en-US" w:eastAsia="zh-CN"/>
        </w:rPr>
        <w:t>9.3.2</w:t>
      </w:r>
      <w:r>
        <w:rPr>
          <w:rFonts w:hint="eastAsia" w:ascii="宋体" w:hAnsi="宋体" w:eastAsia="宋体"/>
        </w:rPr>
        <w:t>固定资产投资增速</w:t>
      </w:r>
    </w:p>
    <w:p>
      <w:r>
        <w:drawing>
          <wp:inline distT="0" distB="0" distL="114300" distR="114300">
            <wp:extent cx="5271135" cy="2874010"/>
            <wp:effectExtent l="0" t="0" r="5715" b="2540"/>
            <wp:docPr id="1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8"/>
                    <pic:cNvPicPr>
                      <a:picLocks noChangeAspect="1"/>
                    </pic:cNvPicPr>
                  </pic:nvPicPr>
                  <pic:blipFill>
                    <a:blip r:embed="rId139"/>
                    <a:stretch>
                      <a:fillRect/>
                    </a:stretch>
                  </pic:blipFill>
                  <pic:spPr>
                    <a:xfrm>
                      <a:off x="0" y="0"/>
                      <a:ext cx="5271135" cy="287401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近半年长沙市固定资产投资增速情况，管理者可以将此数据与经开区数据做对比，判断经开区整体增速是否优于长沙市的增速。同时，当鼠标移动到图上某一点时，显示固定资产投资增速的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点击图表，弹出近半年内每月具体固定资产投资增速数据列表的界面。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9.3.3</w:t>
      </w:r>
      <w:r>
        <w:rPr>
          <w:rFonts w:hint="eastAsia" w:ascii="宋体" w:hAnsi="宋体" w:eastAsia="宋体"/>
        </w:rPr>
        <w:t>社会消费品零售总额</w:t>
      </w:r>
    </w:p>
    <w:p>
      <w:r>
        <w:drawing>
          <wp:inline distT="0" distB="0" distL="114300" distR="114300">
            <wp:extent cx="4076700" cy="2314575"/>
            <wp:effectExtent l="0" t="0" r="0" b="9525"/>
            <wp:docPr id="11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69"/>
                    <pic:cNvPicPr>
                      <a:picLocks noChangeAspect="1"/>
                    </pic:cNvPicPr>
                  </pic:nvPicPr>
                  <pic:blipFill>
                    <a:blip r:embed="rId140"/>
                    <a:stretch>
                      <a:fillRect/>
                    </a:stretch>
                  </pic:blipFill>
                  <pic:spPr>
                    <a:xfrm>
                      <a:off x="0" y="0"/>
                      <a:ext cx="4076700" cy="231457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该模块统计展示了半年内长沙市社会消费品零售总额情况，按社会消费品零售总额及累计同比两个维度进行呈现。同时，当鼠标移动到图上某一点时，显示社会消费品零售总额及累计同比的数值；</w:t>
      </w:r>
    </w:p>
    <w:p>
      <w:pPr>
        <w:spacing w:line="360" w:lineRule="auto"/>
        <w:ind w:firstLine="420"/>
        <w:rPr>
          <w:rFonts w:ascii="宋体" w:hAnsi="宋体" w:eastAsia="宋体" w:cs="宋体"/>
          <w:sz w:val="24"/>
        </w:rPr>
      </w:pPr>
      <w:r>
        <w:rPr>
          <w:rFonts w:hint="eastAsia" w:ascii="宋体" w:hAnsi="宋体" w:eastAsia="宋体" w:cs="宋体"/>
          <w:sz w:val="24"/>
          <w:szCs w:val="24"/>
        </w:rPr>
        <w:t>点击图表，弹出具体的社会消费品零售总额及累计同比数据列表的界面。</w:t>
      </w:r>
    </w:p>
    <w:p>
      <w:pPr>
        <w:pStyle w:val="4"/>
        <w:numPr>
          <w:ilvl w:val="2"/>
          <w:numId w:val="0"/>
        </w:numPr>
        <w:ind w:leftChars="0"/>
        <w:rPr>
          <w:rFonts w:hint="eastAsia" w:ascii="宋体" w:hAnsi="宋体" w:eastAsia="宋体"/>
          <w:lang w:val="en-US" w:eastAsia="zh-CN"/>
        </w:rPr>
      </w:pPr>
      <w:r>
        <w:rPr>
          <w:rFonts w:hint="eastAsia" w:ascii="宋体" w:hAnsi="宋体" w:eastAsia="宋体"/>
          <w:lang w:val="en-US" w:eastAsia="zh-CN"/>
        </w:rPr>
        <w:t>9.3.4实际利用外资增速</w:t>
      </w:r>
    </w:p>
    <w:p>
      <w:pPr>
        <w:rPr>
          <w:rFonts w:hint="eastAsia"/>
        </w:rPr>
      </w:pPr>
      <w:r>
        <w:drawing>
          <wp:inline distT="0" distB="0" distL="114300" distR="114300">
            <wp:extent cx="3848100" cy="2333625"/>
            <wp:effectExtent l="0" t="0" r="0" b="9525"/>
            <wp:docPr id="11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0"/>
                    <pic:cNvPicPr>
                      <a:picLocks noChangeAspect="1"/>
                    </pic:cNvPicPr>
                  </pic:nvPicPr>
                  <pic:blipFill>
                    <a:blip r:embed="rId141"/>
                    <a:stretch>
                      <a:fillRect/>
                    </a:stretch>
                  </pic:blipFill>
                  <pic:spPr>
                    <a:xfrm>
                      <a:off x="0" y="0"/>
                      <a:ext cx="3848100" cy="2333625"/>
                    </a:xfrm>
                    <a:prstGeom prst="rect">
                      <a:avLst/>
                    </a:prstGeom>
                    <a:noFill/>
                    <a:ln>
                      <a:noFill/>
                    </a:ln>
                  </pic:spPr>
                </pic:pic>
              </a:graphicData>
            </a:graphic>
          </wp:inline>
        </w:drawing>
      </w:r>
    </w:p>
    <w:p>
      <w:pPr>
        <w:spacing w:line="360" w:lineRule="auto"/>
        <w:ind w:firstLine="420"/>
        <w:rPr>
          <w:rFonts w:ascii="宋体" w:hAnsi="宋体" w:eastAsia="宋体" w:cs="宋体"/>
          <w:sz w:val="24"/>
          <w:szCs w:val="32"/>
        </w:rPr>
      </w:pPr>
      <w:r>
        <w:rPr>
          <w:rFonts w:hint="eastAsia" w:ascii="宋体" w:hAnsi="宋体" w:eastAsia="宋体" w:cs="宋体"/>
          <w:sz w:val="24"/>
          <w:szCs w:val="32"/>
        </w:rPr>
        <w:t>该模块统计展示了长沙市实际利用外资</w:t>
      </w:r>
      <w:r>
        <w:rPr>
          <w:rFonts w:hint="eastAsia" w:ascii="宋体" w:hAnsi="宋体" w:eastAsia="宋体" w:cs="宋体"/>
          <w:sz w:val="24"/>
          <w:szCs w:val="32"/>
          <w:lang w:eastAsia="zh-CN"/>
        </w:rPr>
        <w:t>增速</w:t>
      </w:r>
      <w:r>
        <w:rPr>
          <w:rFonts w:hint="eastAsia" w:ascii="宋体" w:hAnsi="宋体" w:eastAsia="宋体" w:cs="宋体"/>
          <w:sz w:val="24"/>
          <w:szCs w:val="32"/>
        </w:rPr>
        <w:t>情况，还能将该数据与经开区数据做对比，判断经开区的外资占比是否优于长沙市是外资占比，并判断是否需要出台相应的政策引进外资。当鼠标移动到图上某月数据点上时，显示具体实际利用外资占比数值；</w:t>
      </w:r>
    </w:p>
    <w:p>
      <w:pPr>
        <w:spacing w:line="360" w:lineRule="auto"/>
        <w:ind w:firstLine="420"/>
        <w:rPr>
          <w:rFonts w:hint="eastAsia" w:ascii="宋体" w:hAnsi="宋体" w:eastAsia="宋体" w:cs="宋体"/>
          <w:sz w:val="24"/>
          <w:szCs w:val="32"/>
        </w:rPr>
      </w:pPr>
      <w:r>
        <w:rPr>
          <w:rFonts w:hint="eastAsia" w:ascii="宋体" w:hAnsi="宋体" w:eastAsia="宋体" w:cs="宋体"/>
          <w:sz w:val="24"/>
          <w:szCs w:val="32"/>
        </w:rPr>
        <w:t>点击图表，弹出每月具体长沙市实际利用外资</w:t>
      </w:r>
      <w:r>
        <w:rPr>
          <w:rFonts w:hint="eastAsia" w:ascii="宋体" w:hAnsi="宋体" w:eastAsia="宋体" w:cs="宋体"/>
          <w:sz w:val="24"/>
          <w:szCs w:val="32"/>
          <w:lang w:eastAsia="zh-CN"/>
        </w:rPr>
        <w:t>增速</w:t>
      </w:r>
      <w:r>
        <w:rPr>
          <w:rFonts w:hint="eastAsia" w:ascii="宋体" w:hAnsi="宋体" w:eastAsia="宋体" w:cs="宋体"/>
          <w:sz w:val="24"/>
          <w:szCs w:val="32"/>
        </w:rPr>
        <w:t>数据列表的界面。</w:t>
      </w:r>
    </w:p>
    <w:p>
      <w:pPr>
        <w:pStyle w:val="4"/>
        <w:numPr>
          <w:ilvl w:val="2"/>
          <w:numId w:val="0"/>
        </w:numPr>
        <w:ind w:leftChars="0"/>
        <w:rPr>
          <w:rFonts w:hint="eastAsia" w:ascii="宋体" w:hAnsi="宋体" w:eastAsia="宋体"/>
          <w:lang w:val="en-US" w:eastAsia="zh-CN"/>
        </w:rPr>
      </w:pPr>
      <w:r>
        <w:rPr>
          <w:rFonts w:hint="eastAsia" w:ascii="宋体" w:hAnsi="宋体" w:eastAsia="宋体"/>
          <w:lang w:val="en-US" w:eastAsia="zh-CN"/>
        </w:rPr>
        <w:t>9.3.5规模工业增长值增速</w:t>
      </w:r>
    </w:p>
    <w:p>
      <w:pPr>
        <w:rPr>
          <w:rFonts w:hint="eastAsia"/>
          <w:lang w:val="en-US" w:eastAsia="zh-CN"/>
        </w:rPr>
      </w:pPr>
      <w:r>
        <w:drawing>
          <wp:inline distT="0" distB="0" distL="114300" distR="114300">
            <wp:extent cx="3933825" cy="2209800"/>
            <wp:effectExtent l="0" t="0" r="9525" b="0"/>
            <wp:docPr id="12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1"/>
                    <pic:cNvPicPr>
                      <a:picLocks noChangeAspect="1"/>
                    </pic:cNvPicPr>
                  </pic:nvPicPr>
                  <pic:blipFill>
                    <a:blip r:embed="rId142"/>
                    <a:stretch>
                      <a:fillRect/>
                    </a:stretch>
                  </pic:blipFill>
                  <pic:spPr>
                    <a:xfrm>
                      <a:off x="0" y="0"/>
                      <a:ext cx="3933825" cy="220980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该模块统计展示了长沙市</w:t>
      </w:r>
      <w:r>
        <w:rPr>
          <w:rFonts w:hint="eastAsia" w:ascii="宋体" w:hAnsi="宋体" w:eastAsia="宋体" w:cs="宋体"/>
          <w:sz w:val="24"/>
          <w:szCs w:val="24"/>
          <w:lang w:eastAsia="zh-CN"/>
        </w:rPr>
        <w:t>和经开区</w:t>
      </w:r>
      <w:r>
        <w:rPr>
          <w:rFonts w:hint="eastAsia" w:ascii="宋体" w:hAnsi="宋体" w:eastAsia="宋体" w:cs="宋体"/>
          <w:sz w:val="24"/>
          <w:szCs w:val="24"/>
        </w:rPr>
        <w:t>规模工业增加值增速情况。当鼠标移动到图上某一点时，显示长沙</w:t>
      </w:r>
      <w:r>
        <w:rPr>
          <w:rFonts w:hint="eastAsia" w:ascii="宋体" w:hAnsi="宋体" w:eastAsia="宋体" w:cs="宋体"/>
          <w:sz w:val="24"/>
          <w:szCs w:val="24"/>
          <w:lang w:eastAsia="zh-CN"/>
        </w:rPr>
        <w:t>及经开区</w:t>
      </w:r>
      <w:r>
        <w:rPr>
          <w:rFonts w:hint="eastAsia" w:ascii="宋体" w:hAnsi="宋体" w:eastAsia="宋体" w:cs="宋体"/>
          <w:sz w:val="24"/>
          <w:szCs w:val="24"/>
        </w:rPr>
        <w:t>市规模工业增加值增速的数值；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点击图表，弹出本年度每月具体规模工业增加值增速数据列表的界面。</w:t>
      </w:r>
    </w:p>
    <w:p>
      <w:pPr>
        <w:pStyle w:val="4"/>
        <w:numPr>
          <w:ilvl w:val="2"/>
          <w:numId w:val="0"/>
        </w:numPr>
        <w:ind w:leftChars="0"/>
        <w:rPr>
          <w:rFonts w:hint="eastAsia" w:ascii="宋体" w:hAnsi="宋体" w:eastAsia="宋体"/>
        </w:rPr>
      </w:pPr>
      <w:r>
        <w:rPr>
          <w:rFonts w:hint="eastAsia" w:ascii="宋体" w:hAnsi="宋体" w:eastAsia="宋体"/>
          <w:lang w:val="en-US" w:eastAsia="zh-CN"/>
        </w:rPr>
        <w:t>9.3.6</w:t>
      </w:r>
      <w:r>
        <w:rPr>
          <w:rFonts w:hint="eastAsia" w:ascii="宋体" w:hAnsi="宋体" w:eastAsia="宋体"/>
        </w:rPr>
        <w:t>长沙市高新产业增加值同比</w:t>
      </w:r>
    </w:p>
    <w:p>
      <w:r>
        <w:drawing>
          <wp:inline distT="0" distB="0" distL="114300" distR="114300">
            <wp:extent cx="3800475" cy="2047875"/>
            <wp:effectExtent l="0" t="0" r="9525" b="9525"/>
            <wp:docPr id="12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2"/>
                    <pic:cNvPicPr>
                      <a:picLocks noChangeAspect="1"/>
                    </pic:cNvPicPr>
                  </pic:nvPicPr>
                  <pic:blipFill>
                    <a:blip r:embed="rId143"/>
                    <a:stretch>
                      <a:fillRect/>
                    </a:stretch>
                  </pic:blipFill>
                  <pic:spPr>
                    <a:xfrm>
                      <a:off x="0" y="0"/>
                      <a:ext cx="3800475" cy="2047875"/>
                    </a:xfrm>
                    <a:prstGeom prst="rect">
                      <a:avLst/>
                    </a:prstGeom>
                    <a:noFill/>
                    <a:ln>
                      <a:noFill/>
                    </a:ln>
                  </pic:spPr>
                </pic:pic>
              </a:graphicData>
            </a:graphic>
          </wp:inline>
        </w:drawing>
      </w:r>
    </w:p>
    <w:p>
      <w:pPr>
        <w:spacing w:line="360" w:lineRule="auto"/>
        <w:ind w:firstLine="420"/>
        <w:rPr>
          <w:rFonts w:ascii="宋体" w:hAnsi="宋体" w:eastAsia="宋体" w:cs="宋体"/>
          <w:sz w:val="24"/>
          <w:szCs w:val="32"/>
        </w:rPr>
      </w:pPr>
      <w:r>
        <w:rPr>
          <w:rFonts w:hint="eastAsia" w:ascii="宋体" w:hAnsi="宋体" w:eastAsia="宋体" w:cs="宋体"/>
          <w:sz w:val="24"/>
          <w:szCs w:val="32"/>
        </w:rPr>
        <w:t>该模块统计展示了近</w:t>
      </w:r>
      <w:r>
        <w:rPr>
          <w:rFonts w:ascii="宋体" w:hAnsi="宋体" w:eastAsia="宋体" w:cs="宋体"/>
          <w:sz w:val="24"/>
          <w:szCs w:val="32"/>
        </w:rPr>
        <w:t>5年长沙市高新产业增加值同比情况，可以将长沙市的数据与经开区数据对比，判断经开区高新产业增加值是否优于长沙市的增加值。同时，当鼠标移动到图上某年数据点时，显示具体产业增加值同比数值;</w:t>
      </w:r>
    </w:p>
    <w:p>
      <w:pPr>
        <w:spacing w:line="360" w:lineRule="auto"/>
        <w:ind w:firstLine="420"/>
        <w:rPr>
          <w:rFonts w:ascii="宋体" w:hAnsi="宋体" w:eastAsia="宋体"/>
          <w:sz w:val="24"/>
          <w:szCs w:val="32"/>
        </w:rPr>
      </w:pPr>
      <w:r>
        <w:rPr>
          <w:rFonts w:hint="eastAsia" w:ascii="宋体" w:hAnsi="宋体" w:eastAsia="宋体" w:cs="宋体"/>
          <w:sz w:val="24"/>
          <w:szCs w:val="32"/>
        </w:rPr>
        <w:t>点击图表，弹出近</w:t>
      </w:r>
      <w:r>
        <w:rPr>
          <w:rFonts w:ascii="宋体" w:hAnsi="宋体" w:eastAsia="宋体" w:cs="宋体"/>
          <w:sz w:val="24"/>
          <w:szCs w:val="32"/>
        </w:rPr>
        <w:t>5年内每年具体长沙市高新产业增加值同比数据列表的界面。</w:t>
      </w:r>
    </w:p>
    <w:p>
      <w:pPr>
        <w:pStyle w:val="4"/>
        <w:numPr>
          <w:ilvl w:val="2"/>
          <w:numId w:val="0"/>
        </w:numPr>
        <w:ind w:leftChars="0"/>
        <w:rPr>
          <w:rFonts w:hint="eastAsia" w:ascii="宋体" w:hAnsi="宋体" w:eastAsia="宋体"/>
          <w:lang w:eastAsia="zh-CN"/>
        </w:rPr>
      </w:pPr>
      <w:r>
        <w:rPr>
          <w:rFonts w:hint="eastAsia" w:ascii="宋体" w:hAnsi="宋体" w:eastAsia="宋体"/>
          <w:lang w:val="en-US" w:eastAsia="zh-CN"/>
        </w:rPr>
        <w:t>9.3.7</w:t>
      </w:r>
      <w:r>
        <w:rPr>
          <w:rFonts w:hint="eastAsia" w:ascii="宋体" w:hAnsi="宋体" w:eastAsia="宋体"/>
          <w:lang w:eastAsia="zh-CN"/>
        </w:rPr>
        <w:t>经开区出口额占比</w:t>
      </w:r>
    </w:p>
    <w:p>
      <w:r>
        <w:drawing>
          <wp:inline distT="0" distB="0" distL="114300" distR="114300">
            <wp:extent cx="3714750" cy="2057400"/>
            <wp:effectExtent l="0" t="0" r="0" b="0"/>
            <wp:docPr id="12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3"/>
                    <pic:cNvPicPr>
                      <a:picLocks noChangeAspect="1"/>
                    </pic:cNvPicPr>
                  </pic:nvPicPr>
                  <pic:blipFill>
                    <a:blip r:embed="rId144"/>
                    <a:stretch>
                      <a:fillRect/>
                    </a:stretch>
                  </pic:blipFill>
                  <pic:spPr>
                    <a:xfrm>
                      <a:off x="0" y="0"/>
                      <a:ext cx="3714750" cy="2057400"/>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模块统计展示了长沙市出口</w:t>
      </w:r>
      <w:r>
        <w:rPr>
          <w:rFonts w:hint="eastAsia" w:ascii="宋体" w:hAnsi="宋体" w:eastAsia="宋体" w:cs="宋体"/>
          <w:sz w:val="24"/>
          <w:szCs w:val="24"/>
          <w:lang w:eastAsia="zh-CN"/>
        </w:rPr>
        <w:t>总额和经开区出口额占比</w:t>
      </w:r>
      <w:r>
        <w:rPr>
          <w:rFonts w:hint="eastAsia" w:ascii="宋体" w:hAnsi="宋体" w:eastAsia="宋体" w:cs="宋体"/>
          <w:sz w:val="24"/>
          <w:szCs w:val="24"/>
        </w:rPr>
        <w:t>进行呈现。同时，当鼠标移动到图中某一柱状图上时，显示具体数值；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点击柱状图，弹出每月具体出口数据列表的界面。</w:t>
      </w:r>
    </w:p>
    <w:p>
      <w:pPr>
        <w:pStyle w:val="4"/>
        <w:numPr>
          <w:ilvl w:val="2"/>
          <w:numId w:val="0"/>
        </w:numPr>
        <w:ind w:leftChars="0"/>
        <w:rPr>
          <w:rFonts w:hint="eastAsia" w:ascii="宋体" w:hAnsi="宋体" w:eastAsia="宋体"/>
          <w:lang w:eastAsia="zh-CN"/>
        </w:rPr>
      </w:pPr>
      <w:r>
        <w:rPr>
          <w:rFonts w:hint="eastAsia" w:ascii="宋体" w:hAnsi="宋体" w:eastAsia="宋体"/>
          <w:lang w:val="en-US" w:eastAsia="zh-CN"/>
        </w:rPr>
        <w:t>9.3.8</w:t>
      </w:r>
      <w:r>
        <w:rPr>
          <w:rFonts w:hint="eastAsia" w:ascii="宋体" w:hAnsi="宋体" w:eastAsia="宋体"/>
          <w:lang w:eastAsia="zh-CN"/>
        </w:rPr>
        <w:t>经开区进口额占比</w:t>
      </w:r>
    </w:p>
    <w:p>
      <w:pPr>
        <w:rPr>
          <w:rFonts w:hint="eastAsia"/>
          <w:lang w:eastAsia="zh-CN"/>
        </w:rPr>
      </w:pPr>
      <w:r>
        <w:drawing>
          <wp:inline distT="0" distB="0" distL="114300" distR="114300">
            <wp:extent cx="3848100" cy="2162175"/>
            <wp:effectExtent l="0" t="0" r="0" b="9525"/>
            <wp:docPr id="12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6"/>
                    <pic:cNvPicPr>
                      <a:picLocks noChangeAspect="1"/>
                    </pic:cNvPicPr>
                  </pic:nvPicPr>
                  <pic:blipFill>
                    <a:blip r:embed="rId145"/>
                    <a:stretch>
                      <a:fillRect/>
                    </a:stretch>
                  </pic:blipFill>
                  <pic:spPr>
                    <a:xfrm>
                      <a:off x="0" y="0"/>
                      <a:ext cx="3848100" cy="2162175"/>
                    </a:xfrm>
                    <a:prstGeom prst="rect">
                      <a:avLst/>
                    </a:prstGeom>
                    <a:noFill/>
                    <a:ln>
                      <a:noFill/>
                    </a:ln>
                  </pic:spPr>
                </pic:pic>
              </a:graphicData>
            </a:graphic>
          </wp:inline>
        </w:drawing>
      </w:r>
    </w:p>
    <w:p>
      <w:pPr>
        <w:spacing w:line="360" w:lineRule="auto"/>
        <w:ind w:firstLine="420"/>
        <w:rPr>
          <w:rFonts w:ascii="宋体" w:hAnsi="宋体" w:eastAsia="宋体" w:cs="宋体"/>
          <w:sz w:val="24"/>
        </w:rPr>
      </w:pPr>
      <w:r>
        <w:rPr>
          <w:rFonts w:hint="eastAsia" w:ascii="宋体" w:hAnsi="宋体" w:eastAsia="宋体" w:cs="宋体"/>
          <w:sz w:val="24"/>
          <w:szCs w:val="24"/>
        </w:rPr>
        <w:t>模块统计展示了长沙市出口</w:t>
      </w:r>
      <w:r>
        <w:rPr>
          <w:rFonts w:hint="eastAsia" w:ascii="宋体" w:hAnsi="宋体" w:eastAsia="宋体" w:cs="宋体"/>
          <w:sz w:val="24"/>
          <w:szCs w:val="24"/>
          <w:lang w:eastAsia="zh-CN"/>
        </w:rPr>
        <w:t>总额和经开区进口额占比</w:t>
      </w:r>
      <w:r>
        <w:rPr>
          <w:rFonts w:hint="eastAsia" w:ascii="宋体" w:hAnsi="宋体" w:eastAsia="宋体" w:cs="宋体"/>
          <w:sz w:val="24"/>
          <w:szCs w:val="24"/>
        </w:rPr>
        <w:t>进行呈现。同时，当鼠标移动到图中某一柱状图上时，显示具体数值；</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点击柱状图，弹出每月具体进口数据列表的界面。</w:t>
      </w:r>
    </w:p>
    <w:p>
      <w:pPr>
        <w:spacing w:line="360" w:lineRule="auto"/>
        <w:ind w:firstLine="420"/>
        <w:rPr>
          <w:rFonts w:hint="eastAsia" w:ascii="宋体" w:hAnsi="宋体" w:eastAsia="宋体" w:cs="宋体"/>
          <w:sz w:val="24"/>
          <w:szCs w:val="24"/>
        </w:rPr>
      </w:pPr>
    </w:p>
    <w:p>
      <w:pPr>
        <w:pStyle w:val="4"/>
        <w:numPr>
          <w:ilvl w:val="2"/>
          <w:numId w:val="0"/>
        </w:numPr>
        <w:ind w:leftChars="0"/>
        <w:rPr>
          <w:rFonts w:hint="eastAsia" w:ascii="宋体" w:hAnsi="宋体" w:eastAsia="宋体"/>
          <w:lang w:eastAsia="zh-CN"/>
        </w:rPr>
      </w:pPr>
      <w:r>
        <w:rPr>
          <w:rFonts w:hint="eastAsia" w:ascii="宋体" w:hAnsi="宋体" w:eastAsia="宋体"/>
          <w:lang w:val="en-US" w:eastAsia="zh-CN"/>
        </w:rPr>
        <w:t>9.3.9</w:t>
      </w:r>
      <w:r>
        <w:rPr>
          <w:rFonts w:hint="eastAsia" w:ascii="宋体" w:hAnsi="宋体" w:eastAsia="宋体"/>
        </w:rPr>
        <w:t>社零总额分项</w:t>
      </w:r>
      <w:r>
        <w:rPr>
          <w:rFonts w:hint="eastAsia" w:ascii="宋体" w:hAnsi="宋体" w:eastAsia="宋体"/>
          <w:lang w:eastAsia="zh-CN"/>
        </w:rPr>
        <w:t>增速</w:t>
      </w:r>
    </w:p>
    <w:p>
      <w:r>
        <w:drawing>
          <wp:inline distT="0" distB="0" distL="114300" distR="114300">
            <wp:extent cx="4086225" cy="2209800"/>
            <wp:effectExtent l="0" t="0" r="9525" b="0"/>
            <wp:docPr id="12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74"/>
                    <pic:cNvPicPr>
                      <a:picLocks noChangeAspect="1"/>
                    </pic:cNvPicPr>
                  </pic:nvPicPr>
                  <pic:blipFill>
                    <a:blip r:embed="rId146"/>
                    <a:stretch>
                      <a:fillRect/>
                    </a:stretch>
                  </pic:blipFill>
                  <pic:spPr>
                    <a:xfrm>
                      <a:off x="0" y="0"/>
                      <a:ext cx="4086225" cy="2209800"/>
                    </a:xfrm>
                    <a:prstGeom prst="rect">
                      <a:avLst/>
                    </a:prstGeom>
                    <a:noFill/>
                    <a:ln>
                      <a:noFill/>
                    </a:ln>
                  </pic:spPr>
                </pic:pic>
              </a:graphicData>
            </a:graphic>
          </wp:inline>
        </w:drawing>
      </w:r>
    </w:p>
    <w:p>
      <w:pPr>
        <w:spacing w:line="360" w:lineRule="auto"/>
        <w:ind w:firstLine="420"/>
        <w:rPr>
          <w:rFonts w:hint="eastAsia" w:ascii="宋体" w:hAnsi="宋体" w:eastAsia="宋体" w:cs="宋体"/>
          <w:sz w:val="24"/>
          <w:szCs w:val="32"/>
        </w:rPr>
      </w:pPr>
      <w:r>
        <w:rPr>
          <w:rFonts w:hint="eastAsia" w:ascii="宋体" w:hAnsi="宋体" w:eastAsia="宋体" w:cs="宋体"/>
          <w:sz w:val="24"/>
          <w:szCs w:val="32"/>
        </w:rPr>
        <w:t>该模块统计展示了长沙市社零总额分项</w:t>
      </w:r>
      <w:r>
        <w:rPr>
          <w:rFonts w:hint="eastAsia" w:ascii="宋体" w:hAnsi="宋体" w:eastAsia="宋体" w:cs="宋体"/>
          <w:sz w:val="24"/>
          <w:szCs w:val="32"/>
          <w:lang w:eastAsia="zh-CN"/>
        </w:rPr>
        <w:t>增速</w:t>
      </w:r>
      <w:r>
        <w:rPr>
          <w:rFonts w:hint="eastAsia" w:ascii="宋体" w:hAnsi="宋体" w:eastAsia="宋体" w:cs="宋体"/>
          <w:sz w:val="24"/>
          <w:szCs w:val="32"/>
        </w:rPr>
        <w:t>情况，按照批发业、零售业、住宿业、餐饮业四大维度进行呈现，并统计展示了与去年同比情况。</w:t>
      </w:r>
    </w:p>
    <w:p>
      <w:pPr>
        <w:pStyle w:val="4"/>
        <w:numPr>
          <w:ilvl w:val="2"/>
          <w:numId w:val="0"/>
        </w:numPr>
        <w:ind w:leftChars="0"/>
        <w:rPr>
          <w:rFonts w:hint="eastAsia" w:ascii="宋体" w:hAnsi="宋体" w:eastAsia="宋体"/>
          <w:lang w:val="en-US" w:eastAsia="zh-CN"/>
        </w:rPr>
      </w:pPr>
      <w:r>
        <w:rPr>
          <w:rFonts w:hint="eastAsia" w:ascii="宋体" w:hAnsi="宋体" w:eastAsia="宋体"/>
          <w:lang w:val="en-US" w:eastAsia="zh-CN"/>
        </w:rPr>
        <w:t>9.3.10实际利用外资占比</w:t>
      </w:r>
    </w:p>
    <w:p>
      <w:r>
        <w:drawing>
          <wp:inline distT="0" distB="0" distL="114300" distR="114300">
            <wp:extent cx="3914775" cy="2190750"/>
            <wp:effectExtent l="0" t="0" r="9525" b="0"/>
            <wp:docPr id="12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5"/>
                    <pic:cNvPicPr>
                      <a:picLocks noChangeAspect="1"/>
                    </pic:cNvPicPr>
                  </pic:nvPicPr>
                  <pic:blipFill>
                    <a:blip r:embed="rId147"/>
                    <a:stretch>
                      <a:fillRect/>
                    </a:stretch>
                  </pic:blipFill>
                  <pic:spPr>
                    <a:xfrm>
                      <a:off x="0" y="0"/>
                      <a:ext cx="3914775" cy="2190750"/>
                    </a:xfrm>
                    <a:prstGeom prst="rect">
                      <a:avLst/>
                    </a:prstGeom>
                    <a:noFill/>
                    <a:ln>
                      <a:noFill/>
                    </a:ln>
                  </pic:spPr>
                </pic:pic>
              </a:graphicData>
            </a:graphic>
          </wp:inline>
        </w:drawing>
      </w:r>
    </w:p>
    <w:p>
      <w:pPr>
        <w:spacing w:line="360" w:lineRule="auto"/>
        <w:ind w:firstLine="420"/>
        <w:rPr>
          <w:rFonts w:ascii="宋体" w:hAnsi="宋体" w:eastAsia="宋体" w:cs="宋体"/>
          <w:sz w:val="24"/>
          <w:szCs w:val="32"/>
        </w:rPr>
      </w:pPr>
      <w:r>
        <w:rPr>
          <w:rFonts w:hint="eastAsia" w:ascii="宋体" w:hAnsi="宋体" w:eastAsia="宋体" w:cs="宋体"/>
          <w:sz w:val="24"/>
          <w:szCs w:val="32"/>
        </w:rPr>
        <w:t>该模块统计展示了长沙市实际利用外资占比情况，还能将该数据与经开区数据做对比，判断经开区的外资占比是否优于长沙市是外资占比，并判断是否需要出台相应的政策引进外资。当鼠标移动到图上某月数据点上时，显示具体实际利用外资占比数值；</w:t>
      </w:r>
    </w:p>
    <w:p>
      <w:pPr>
        <w:spacing w:line="360" w:lineRule="auto"/>
        <w:ind w:firstLine="420"/>
        <w:rPr>
          <w:rFonts w:asciiTheme="minorEastAsia" w:hAnsiTheme="minorEastAsia" w:eastAsiaTheme="minorEastAsia" w:cstheme="minorEastAsia"/>
        </w:rPr>
      </w:pPr>
      <w:r>
        <w:rPr>
          <w:rFonts w:hint="eastAsia" w:ascii="宋体" w:hAnsi="宋体" w:eastAsia="宋体" w:cs="宋体"/>
          <w:sz w:val="24"/>
          <w:szCs w:val="32"/>
        </w:rPr>
        <w:t>点击图表，弹出每月具体长沙市实际利用外资占比数据列表的界面。</w:t>
      </w:r>
      <w:bookmarkEnd w:id="0"/>
      <w:bookmarkStart w:id="2" w:name="_GoBack"/>
      <w:bookmarkEnd w:id="2"/>
      <w:bookmarkStart w:id="1" w:name="_Toc16945471"/>
      <w:bookmarkEnd w:id="1"/>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CE6C4C"/>
    <w:multiLevelType w:val="multilevel"/>
    <w:tmpl w:val="64CE6C4C"/>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asciiTheme="minorEastAsia" w:hAnsiTheme="minorEastAsia" w:eastAsiaTheme="minorEastAsia"/>
        <w:b w:val="0"/>
        <w:sz w:val="24"/>
        <w:szCs w:val="24"/>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rsids>
    <w:rsidRoot w:val="00D31D50"/>
    <w:rsid w:val="0006264B"/>
    <w:rsid w:val="00067813"/>
    <w:rsid w:val="00084734"/>
    <w:rsid w:val="00091099"/>
    <w:rsid w:val="00091E59"/>
    <w:rsid w:val="00097607"/>
    <w:rsid w:val="000B14C3"/>
    <w:rsid w:val="000E0538"/>
    <w:rsid w:val="000E0832"/>
    <w:rsid w:val="000E23FE"/>
    <w:rsid w:val="000E3308"/>
    <w:rsid w:val="00134908"/>
    <w:rsid w:val="00136CF0"/>
    <w:rsid w:val="00154BB5"/>
    <w:rsid w:val="0017548D"/>
    <w:rsid w:val="00184910"/>
    <w:rsid w:val="00186B51"/>
    <w:rsid w:val="001875F9"/>
    <w:rsid w:val="00194FF8"/>
    <w:rsid w:val="00195C30"/>
    <w:rsid w:val="00195DF5"/>
    <w:rsid w:val="001A4AF0"/>
    <w:rsid w:val="001B5418"/>
    <w:rsid w:val="001C7BA5"/>
    <w:rsid w:val="001D1700"/>
    <w:rsid w:val="001D6C07"/>
    <w:rsid w:val="001F14DC"/>
    <w:rsid w:val="001F1CCD"/>
    <w:rsid w:val="001F2A98"/>
    <w:rsid w:val="00220392"/>
    <w:rsid w:val="0023044B"/>
    <w:rsid w:val="00251EDF"/>
    <w:rsid w:val="002662BE"/>
    <w:rsid w:val="00266B31"/>
    <w:rsid w:val="002707BE"/>
    <w:rsid w:val="002736DE"/>
    <w:rsid w:val="00275E83"/>
    <w:rsid w:val="00282243"/>
    <w:rsid w:val="0029682E"/>
    <w:rsid w:val="002A1BDF"/>
    <w:rsid w:val="002C2357"/>
    <w:rsid w:val="002E27AE"/>
    <w:rsid w:val="00304DBF"/>
    <w:rsid w:val="00317DEB"/>
    <w:rsid w:val="00320872"/>
    <w:rsid w:val="00323B43"/>
    <w:rsid w:val="0033382F"/>
    <w:rsid w:val="00335B73"/>
    <w:rsid w:val="00336B0A"/>
    <w:rsid w:val="003400BB"/>
    <w:rsid w:val="0036166C"/>
    <w:rsid w:val="003716B7"/>
    <w:rsid w:val="0037570F"/>
    <w:rsid w:val="0038146B"/>
    <w:rsid w:val="00391826"/>
    <w:rsid w:val="0039236E"/>
    <w:rsid w:val="003933D8"/>
    <w:rsid w:val="003A4E1A"/>
    <w:rsid w:val="003A76AF"/>
    <w:rsid w:val="003C460D"/>
    <w:rsid w:val="003D37D8"/>
    <w:rsid w:val="003E2901"/>
    <w:rsid w:val="003E3DB0"/>
    <w:rsid w:val="003F480F"/>
    <w:rsid w:val="004173CE"/>
    <w:rsid w:val="00421233"/>
    <w:rsid w:val="00426133"/>
    <w:rsid w:val="004311E1"/>
    <w:rsid w:val="004358AB"/>
    <w:rsid w:val="004505DF"/>
    <w:rsid w:val="00485AA3"/>
    <w:rsid w:val="00496E0E"/>
    <w:rsid w:val="00496FA8"/>
    <w:rsid w:val="004B6820"/>
    <w:rsid w:val="004C0BA5"/>
    <w:rsid w:val="004D2CE6"/>
    <w:rsid w:val="004D3D4A"/>
    <w:rsid w:val="004D661C"/>
    <w:rsid w:val="004E30F8"/>
    <w:rsid w:val="004E436B"/>
    <w:rsid w:val="004F3FC3"/>
    <w:rsid w:val="004F7A3C"/>
    <w:rsid w:val="0050644F"/>
    <w:rsid w:val="005075CB"/>
    <w:rsid w:val="00522EA1"/>
    <w:rsid w:val="0053422B"/>
    <w:rsid w:val="0053623A"/>
    <w:rsid w:val="00536DA8"/>
    <w:rsid w:val="00540613"/>
    <w:rsid w:val="0056287C"/>
    <w:rsid w:val="005668F9"/>
    <w:rsid w:val="00572AD8"/>
    <w:rsid w:val="0058215E"/>
    <w:rsid w:val="005A28D5"/>
    <w:rsid w:val="005C17BE"/>
    <w:rsid w:val="005C27F0"/>
    <w:rsid w:val="005D0DF7"/>
    <w:rsid w:val="005D55F9"/>
    <w:rsid w:val="005E6387"/>
    <w:rsid w:val="005E65A7"/>
    <w:rsid w:val="0062331B"/>
    <w:rsid w:val="00624025"/>
    <w:rsid w:val="006333CA"/>
    <w:rsid w:val="00634A6D"/>
    <w:rsid w:val="006406DD"/>
    <w:rsid w:val="00643300"/>
    <w:rsid w:val="00653278"/>
    <w:rsid w:val="00660229"/>
    <w:rsid w:val="00673139"/>
    <w:rsid w:val="00697A5B"/>
    <w:rsid w:val="006B3FBA"/>
    <w:rsid w:val="006B7E81"/>
    <w:rsid w:val="006D56FE"/>
    <w:rsid w:val="00717C27"/>
    <w:rsid w:val="00722AA2"/>
    <w:rsid w:val="007332CA"/>
    <w:rsid w:val="0074022F"/>
    <w:rsid w:val="00741F06"/>
    <w:rsid w:val="007500D9"/>
    <w:rsid w:val="00754059"/>
    <w:rsid w:val="007732F2"/>
    <w:rsid w:val="00775A0A"/>
    <w:rsid w:val="007957B2"/>
    <w:rsid w:val="007C169D"/>
    <w:rsid w:val="007D7A68"/>
    <w:rsid w:val="007E42DA"/>
    <w:rsid w:val="007F68F0"/>
    <w:rsid w:val="008075DC"/>
    <w:rsid w:val="00824BF1"/>
    <w:rsid w:val="008338AE"/>
    <w:rsid w:val="00864FDF"/>
    <w:rsid w:val="008854D6"/>
    <w:rsid w:val="00886D48"/>
    <w:rsid w:val="00897DA9"/>
    <w:rsid w:val="008B7726"/>
    <w:rsid w:val="008D62D0"/>
    <w:rsid w:val="008E4A1C"/>
    <w:rsid w:val="008F2030"/>
    <w:rsid w:val="008F3D43"/>
    <w:rsid w:val="008F5A74"/>
    <w:rsid w:val="009065CC"/>
    <w:rsid w:val="00907D61"/>
    <w:rsid w:val="00910926"/>
    <w:rsid w:val="00936582"/>
    <w:rsid w:val="0095213A"/>
    <w:rsid w:val="00961D9F"/>
    <w:rsid w:val="0098339D"/>
    <w:rsid w:val="009A023A"/>
    <w:rsid w:val="009C6230"/>
    <w:rsid w:val="00A848EB"/>
    <w:rsid w:val="00A91085"/>
    <w:rsid w:val="00A92916"/>
    <w:rsid w:val="00AA7542"/>
    <w:rsid w:val="00AB04D6"/>
    <w:rsid w:val="00AB3281"/>
    <w:rsid w:val="00AC780D"/>
    <w:rsid w:val="00AD78D5"/>
    <w:rsid w:val="00AE0899"/>
    <w:rsid w:val="00AE725E"/>
    <w:rsid w:val="00AF5679"/>
    <w:rsid w:val="00AF6C9C"/>
    <w:rsid w:val="00AF6DC4"/>
    <w:rsid w:val="00AF741D"/>
    <w:rsid w:val="00B05AB7"/>
    <w:rsid w:val="00B41138"/>
    <w:rsid w:val="00B4614C"/>
    <w:rsid w:val="00B55618"/>
    <w:rsid w:val="00B66E20"/>
    <w:rsid w:val="00B92CF4"/>
    <w:rsid w:val="00BB4DDD"/>
    <w:rsid w:val="00BC0856"/>
    <w:rsid w:val="00BC1DEC"/>
    <w:rsid w:val="00BC5990"/>
    <w:rsid w:val="00BD1256"/>
    <w:rsid w:val="00C05B00"/>
    <w:rsid w:val="00C250A9"/>
    <w:rsid w:val="00C26121"/>
    <w:rsid w:val="00C35312"/>
    <w:rsid w:val="00C71BDB"/>
    <w:rsid w:val="00CC3146"/>
    <w:rsid w:val="00CD19C6"/>
    <w:rsid w:val="00CD2B14"/>
    <w:rsid w:val="00CF0972"/>
    <w:rsid w:val="00CF3B80"/>
    <w:rsid w:val="00CF75A2"/>
    <w:rsid w:val="00D00765"/>
    <w:rsid w:val="00D07F6B"/>
    <w:rsid w:val="00D21F15"/>
    <w:rsid w:val="00D2664C"/>
    <w:rsid w:val="00D31D50"/>
    <w:rsid w:val="00D46A43"/>
    <w:rsid w:val="00D61B3D"/>
    <w:rsid w:val="00D7430E"/>
    <w:rsid w:val="00D85A34"/>
    <w:rsid w:val="00DB195F"/>
    <w:rsid w:val="00DB6506"/>
    <w:rsid w:val="00DC1616"/>
    <w:rsid w:val="00DC50DA"/>
    <w:rsid w:val="00DD4714"/>
    <w:rsid w:val="00DD6059"/>
    <w:rsid w:val="00DE7255"/>
    <w:rsid w:val="00DF33EA"/>
    <w:rsid w:val="00DF73FD"/>
    <w:rsid w:val="00E01908"/>
    <w:rsid w:val="00E02B42"/>
    <w:rsid w:val="00E0433E"/>
    <w:rsid w:val="00E144B0"/>
    <w:rsid w:val="00E21970"/>
    <w:rsid w:val="00E34955"/>
    <w:rsid w:val="00E47AA0"/>
    <w:rsid w:val="00E541C6"/>
    <w:rsid w:val="00E82A2E"/>
    <w:rsid w:val="00E949F6"/>
    <w:rsid w:val="00EC2D3B"/>
    <w:rsid w:val="00EC47BE"/>
    <w:rsid w:val="00EC6FB1"/>
    <w:rsid w:val="00EE0266"/>
    <w:rsid w:val="00EE282C"/>
    <w:rsid w:val="00EF3B76"/>
    <w:rsid w:val="00F25007"/>
    <w:rsid w:val="00F4125E"/>
    <w:rsid w:val="00F43568"/>
    <w:rsid w:val="00F46088"/>
    <w:rsid w:val="00F626E9"/>
    <w:rsid w:val="00F85DE5"/>
    <w:rsid w:val="00FA0BC5"/>
    <w:rsid w:val="00FC6B20"/>
    <w:rsid w:val="00FD1BD6"/>
    <w:rsid w:val="00FD7A76"/>
    <w:rsid w:val="00FE2EEA"/>
    <w:rsid w:val="00FF4BAF"/>
    <w:rsid w:val="00FF623C"/>
    <w:rsid w:val="010228BC"/>
    <w:rsid w:val="02196E2C"/>
    <w:rsid w:val="02553104"/>
    <w:rsid w:val="031B09F6"/>
    <w:rsid w:val="037E1E78"/>
    <w:rsid w:val="03D30871"/>
    <w:rsid w:val="07257EC8"/>
    <w:rsid w:val="07511604"/>
    <w:rsid w:val="080A5F66"/>
    <w:rsid w:val="08E84449"/>
    <w:rsid w:val="09C93435"/>
    <w:rsid w:val="09D2063A"/>
    <w:rsid w:val="0AA3559E"/>
    <w:rsid w:val="0B041B5C"/>
    <w:rsid w:val="0B83073B"/>
    <w:rsid w:val="0C026269"/>
    <w:rsid w:val="0C414C21"/>
    <w:rsid w:val="0C4366EE"/>
    <w:rsid w:val="0F364408"/>
    <w:rsid w:val="0F5852EE"/>
    <w:rsid w:val="103178A4"/>
    <w:rsid w:val="107A7ABC"/>
    <w:rsid w:val="11433C3B"/>
    <w:rsid w:val="118927FC"/>
    <w:rsid w:val="11DC727B"/>
    <w:rsid w:val="12187B41"/>
    <w:rsid w:val="12AB5378"/>
    <w:rsid w:val="13A324E7"/>
    <w:rsid w:val="13CA2A13"/>
    <w:rsid w:val="13D05B02"/>
    <w:rsid w:val="14160ECE"/>
    <w:rsid w:val="14806DB2"/>
    <w:rsid w:val="15324AB6"/>
    <w:rsid w:val="15E83AC5"/>
    <w:rsid w:val="16934B74"/>
    <w:rsid w:val="16B75662"/>
    <w:rsid w:val="16F615F7"/>
    <w:rsid w:val="17541A0C"/>
    <w:rsid w:val="17B3661F"/>
    <w:rsid w:val="18071694"/>
    <w:rsid w:val="1860595F"/>
    <w:rsid w:val="18760335"/>
    <w:rsid w:val="18FC7374"/>
    <w:rsid w:val="19687153"/>
    <w:rsid w:val="1AD12074"/>
    <w:rsid w:val="1B3414C1"/>
    <w:rsid w:val="1B83154D"/>
    <w:rsid w:val="1BE75474"/>
    <w:rsid w:val="1C537E5F"/>
    <w:rsid w:val="1D505120"/>
    <w:rsid w:val="1DA226E0"/>
    <w:rsid w:val="1E394769"/>
    <w:rsid w:val="1E6F501A"/>
    <w:rsid w:val="1F2E173E"/>
    <w:rsid w:val="202E02CE"/>
    <w:rsid w:val="21FB1A35"/>
    <w:rsid w:val="2301204D"/>
    <w:rsid w:val="23620B15"/>
    <w:rsid w:val="2455659C"/>
    <w:rsid w:val="24A0327D"/>
    <w:rsid w:val="24AF0EF5"/>
    <w:rsid w:val="24DE0E19"/>
    <w:rsid w:val="2631198A"/>
    <w:rsid w:val="265E6111"/>
    <w:rsid w:val="274D7284"/>
    <w:rsid w:val="28132969"/>
    <w:rsid w:val="281A71FB"/>
    <w:rsid w:val="282C78F9"/>
    <w:rsid w:val="282E116E"/>
    <w:rsid w:val="283E6310"/>
    <w:rsid w:val="2890793C"/>
    <w:rsid w:val="28C550DC"/>
    <w:rsid w:val="299E6994"/>
    <w:rsid w:val="2B6E2053"/>
    <w:rsid w:val="2BE50CFC"/>
    <w:rsid w:val="2CD96F4D"/>
    <w:rsid w:val="2E695562"/>
    <w:rsid w:val="2F9C64B3"/>
    <w:rsid w:val="2FCB04C2"/>
    <w:rsid w:val="2FF109FA"/>
    <w:rsid w:val="30456F85"/>
    <w:rsid w:val="30537383"/>
    <w:rsid w:val="30637D21"/>
    <w:rsid w:val="30B803EB"/>
    <w:rsid w:val="30FD1DBA"/>
    <w:rsid w:val="31C81C95"/>
    <w:rsid w:val="32817E0D"/>
    <w:rsid w:val="33C85275"/>
    <w:rsid w:val="33D15EA9"/>
    <w:rsid w:val="33D311A0"/>
    <w:rsid w:val="33EF7E6F"/>
    <w:rsid w:val="35C5320B"/>
    <w:rsid w:val="361D718F"/>
    <w:rsid w:val="365008FD"/>
    <w:rsid w:val="36BB1E05"/>
    <w:rsid w:val="36EA3F8C"/>
    <w:rsid w:val="373F08D2"/>
    <w:rsid w:val="37841493"/>
    <w:rsid w:val="37B33B3B"/>
    <w:rsid w:val="38DA79C0"/>
    <w:rsid w:val="39905BD3"/>
    <w:rsid w:val="3A282C03"/>
    <w:rsid w:val="3A6218D7"/>
    <w:rsid w:val="3AD01AB7"/>
    <w:rsid w:val="3AF16073"/>
    <w:rsid w:val="3B804FDA"/>
    <w:rsid w:val="3C1F0804"/>
    <w:rsid w:val="3C356AA4"/>
    <w:rsid w:val="3C386D4E"/>
    <w:rsid w:val="3D2D569E"/>
    <w:rsid w:val="3E1F31C6"/>
    <w:rsid w:val="3E2240C3"/>
    <w:rsid w:val="3E8028B9"/>
    <w:rsid w:val="3F043E5E"/>
    <w:rsid w:val="3F671E62"/>
    <w:rsid w:val="40F51577"/>
    <w:rsid w:val="40FA2B49"/>
    <w:rsid w:val="416A0CBD"/>
    <w:rsid w:val="41940BA9"/>
    <w:rsid w:val="42191910"/>
    <w:rsid w:val="426A74B6"/>
    <w:rsid w:val="42817744"/>
    <w:rsid w:val="42A0152D"/>
    <w:rsid w:val="42E272D0"/>
    <w:rsid w:val="447B072C"/>
    <w:rsid w:val="44F423A4"/>
    <w:rsid w:val="45FD2C78"/>
    <w:rsid w:val="46D401F9"/>
    <w:rsid w:val="472C7355"/>
    <w:rsid w:val="48054E55"/>
    <w:rsid w:val="49131319"/>
    <w:rsid w:val="49225650"/>
    <w:rsid w:val="49245BBC"/>
    <w:rsid w:val="4ACF4D8B"/>
    <w:rsid w:val="4B2C6BEE"/>
    <w:rsid w:val="4B6545DC"/>
    <w:rsid w:val="4BAD1BA0"/>
    <w:rsid w:val="4BD22497"/>
    <w:rsid w:val="4C467D0B"/>
    <w:rsid w:val="4CFA38BA"/>
    <w:rsid w:val="4D8836AC"/>
    <w:rsid w:val="4DB32B1E"/>
    <w:rsid w:val="4F0A43F0"/>
    <w:rsid w:val="4F331020"/>
    <w:rsid w:val="50993ADC"/>
    <w:rsid w:val="50C233D7"/>
    <w:rsid w:val="50D32E75"/>
    <w:rsid w:val="516D5102"/>
    <w:rsid w:val="527727CD"/>
    <w:rsid w:val="53015E7D"/>
    <w:rsid w:val="548C4E59"/>
    <w:rsid w:val="54BF79DB"/>
    <w:rsid w:val="54C30D90"/>
    <w:rsid w:val="55994A32"/>
    <w:rsid w:val="55F0712F"/>
    <w:rsid w:val="565C1BC2"/>
    <w:rsid w:val="56912D82"/>
    <w:rsid w:val="56964C8B"/>
    <w:rsid w:val="572E6E77"/>
    <w:rsid w:val="57575913"/>
    <w:rsid w:val="577719EF"/>
    <w:rsid w:val="58143E09"/>
    <w:rsid w:val="5861215F"/>
    <w:rsid w:val="58A10EC2"/>
    <w:rsid w:val="5977578C"/>
    <w:rsid w:val="5A0B562D"/>
    <w:rsid w:val="5A9C27EF"/>
    <w:rsid w:val="5ACA77FB"/>
    <w:rsid w:val="5B290C70"/>
    <w:rsid w:val="5B46046C"/>
    <w:rsid w:val="5B4A17C8"/>
    <w:rsid w:val="5B660F5B"/>
    <w:rsid w:val="5B7E450C"/>
    <w:rsid w:val="5C3E4A5A"/>
    <w:rsid w:val="5D145940"/>
    <w:rsid w:val="5E7676C9"/>
    <w:rsid w:val="5EA50E11"/>
    <w:rsid w:val="60000583"/>
    <w:rsid w:val="60626EA0"/>
    <w:rsid w:val="620939DF"/>
    <w:rsid w:val="6296501D"/>
    <w:rsid w:val="62D117D7"/>
    <w:rsid w:val="62D13E8B"/>
    <w:rsid w:val="639553D8"/>
    <w:rsid w:val="63CC37A5"/>
    <w:rsid w:val="63E45F72"/>
    <w:rsid w:val="643668C2"/>
    <w:rsid w:val="650D3EF5"/>
    <w:rsid w:val="6591458A"/>
    <w:rsid w:val="65E72DC0"/>
    <w:rsid w:val="66A23584"/>
    <w:rsid w:val="66DA47DF"/>
    <w:rsid w:val="67C04F73"/>
    <w:rsid w:val="67E64F5C"/>
    <w:rsid w:val="683A169E"/>
    <w:rsid w:val="6A617820"/>
    <w:rsid w:val="6A9E243C"/>
    <w:rsid w:val="6AAC66AC"/>
    <w:rsid w:val="6AD50FDA"/>
    <w:rsid w:val="6C1116A1"/>
    <w:rsid w:val="6C296510"/>
    <w:rsid w:val="6CCC4F1D"/>
    <w:rsid w:val="6D8D59D9"/>
    <w:rsid w:val="6DDE61CB"/>
    <w:rsid w:val="6ECC2340"/>
    <w:rsid w:val="6EF47892"/>
    <w:rsid w:val="7029560A"/>
    <w:rsid w:val="707B22E2"/>
    <w:rsid w:val="70987AC1"/>
    <w:rsid w:val="71416DFA"/>
    <w:rsid w:val="71C46621"/>
    <w:rsid w:val="71D60544"/>
    <w:rsid w:val="71F67E82"/>
    <w:rsid w:val="722609D6"/>
    <w:rsid w:val="72904793"/>
    <w:rsid w:val="7301390F"/>
    <w:rsid w:val="73815F46"/>
    <w:rsid w:val="740154F2"/>
    <w:rsid w:val="74067451"/>
    <w:rsid w:val="7419272A"/>
    <w:rsid w:val="745F27C0"/>
    <w:rsid w:val="754C6B0E"/>
    <w:rsid w:val="755F68D7"/>
    <w:rsid w:val="75CB701D"/>
    <w:rsid w:val="7680154B"/>
    <w:rsid w:val="76BA1AA8"/>
    <w:rsid w:val="771146DB"/>
    <w:rsid w:val="774C3D95"/>
    <w:rsid w:val="775664EC"/>
    <w:rsid w:val="77CB5E8D"/>
    <w:rsid w:val="77D873E9"/>
    <w:rsid w:val="780568E4"/>
    <w:rsid w:val="783F399D"/>
    <w:rsid w:val="78D5468A"/>
    <w:rsid w:val="79100267"/>
    <w:rsid w:val="791469E4"/>
    <w:rsid w:val="793B1E8C"/>
    <w:rsid w:val="797551F3"/>
    <w:rsid w:val="79F110EE"/>
    <w:rsid w:val="7ACB7D0E"/>
    <w:rsid w:val="7AD27CCD"/>
    <w:rsid w:val="7B412D6F"/>
    <w:rsid w:val="7BB06B72"/>
    <w:rsid w:val="7BCB34CC"/>
    <w:rsid w:val="7C2C7A8A"/>
    <w:rsid w:val="7C8E5A86"/>
    <w:rsid w:val="7CB11D15"/>
    <w:rsid w:val="7CDD344F"/>
    <w:rsid w:val="7D422661"/>
    <w:rsid w:val="7D5D666D"/>
    <w:rsid w:val="7E1D4AEB"/>
    <w:rsid w:val="7E7B6F99"/>
    <w:rsid w:val="7EDE5F51"/>
    <w:rsid w:val="7EE923FA"/>
    <w:rsid w:val="7F2C13B3"/>
    <w:rsid w:val="7FBA6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outlineLvl w:val="0"/>
    </w:pPr>
    <w:rPr>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0"/>
      <w:ind w:left="1320"/>
    </w:pPr>
    <w:rPr>
      <w:rFonts w:asciiTheme="minorHAnsi" w:hAnsiTheme="minorHAnsi"/>
      <w:sz w:val="18"/>
      <w:szCs w:val="18"/>
    </w:rPr>
  </w:style>
  <w:style w:type="paragraph" w:styleId="12">
    <w:name w:val="Document Map"/>
    <w:basedOn w:val="1"/>
    <w:link w:val="43"/>
    <w:unhideWhenUsed/>
    <w:qFormat/>
    <w:uiPriority w:val="99"/>
    <w:rPr>
      <w:rFonts w:ascii="宋体" w:eastAsia="宋体"/>
      <w:sz w:val="18"/>
      <w:szCs w:val="18"/>
    </w:rPr>
  </w:style>
  <w:style w:type="paragraph" w:styleId="13">
    <w:name w:val="toc 5"/>
    <w:basedOn w:val="1"/>
    <w:next w:val="1"/>
    <w:unhideWhenUsed/>
    <w:qFormat/>
    <w:uiPriority w:val="39"/>
    <w:pPr>
      <w:spacing w:after="0"/>
      <w:ind w:left="880"/>
    </w:pPr>
    <w:rPr>
      <w:rFonts w:asciiTheme="minorHAnsi" w:hAnsiTheme="minorHAnsi"/>
      <w:sz w:val="18"/>
      <w:szCs w:val="18"/>
    </w:rPr>
  </w:style>
  <w:style w:type="paragraph" w:styleId="14">
    <w:name w:val="toc 3"/>
    <w:basedOn w:val="1"/>
    <w:next w:val="1"/>
    <w:unhideWhenUsed/>
    <w:qFormat/>
    <w:uiPriority w:val="39"/>
    <w:pPr>
      <w:spacing w:after="0"/>
      <w:ind w:left="440"/>
    </w:pPr>
    <w:rPr>
      <w:rFonts w:asciiTheme="minorHAnsi" w:hAnsiTheme="minorHAnsi"/>
      <w:i/>
      <w:iCs/>
      <w:sz w:val="20"/>
      <w:szCs w:val="20"/>
    </w:rPr>
  </w:style>
  <w:style w:type="paragraph" w:styleId="15">
    <w:name w:val="toc 8"/>
    <w:basedOn w:val="1"/>
    <w:next w:val="1"/>
    <w:unhideWhenUsed/>
    <w:qFormat/>
    <w:uiPriority w:val="39"/>
    <w:pPr>
      <w:spacing w:after="0"/>
      <w:ind w:left="1540"/>
    </w:pPr>
    <w:rPr>
      <w:rFonts w:asciiTheme="minorHAnsi" w:hAnsiTheme="minorHAnsi"/>
      <w:sz w:val="18"/>
      <w:szCs w:val="18"/>
    </w:rPr>
  </w:style>
  <w:style w:type="paragraph" w:styleId="16">
    <w:name w:val="Balloon Text"/>
    <w:basedOn w:val="1"/>
    <w:link w:val="41"/>
    <w:unhideWhenUsed/>
    <w:qFormat/>
    <w:uiPriority w:val="99"/>
    <w:pPr>
      <w:spacing w:after="0"/>
    </w:pPr>
    <w:rPr>
      <w:sz w:val="18"/>
      <w:szCs w:val="18"/>
    </w:rPr>
  </w:style>
  <w:style w:type="paragraph" w:styleId="17">
    <w:name w:val="footer"/>
    <w:basedOn w:val="1"/>
    <w:link w:val="29"/>
    <w:unhideWhenUsed/>
    <w:qFormat/>
    <w:uiPriority w:val="99"/>
    <w:pPr>
      <w:tabs>
        <w:tab w:val="center" w:pos="4153"/>
        <w:tab w:val="right" w:pos="8306"/>
      </w:tabs>
    </w:pPr>
    <w:rPr>
      <w:sz w:val="18"/>
      <w:szCs w:val="18"/>
    </w:rPr>
  </w:style>
  <w:style w:type="paragraph" w:styleId="18">
    <w:name w:val="header"/>
    <w:basedOn w:val="1"/>
    <w:link w:val="28"/>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unhideWhenUsed/>
    <w:qFormat/>
    <w:uiPriority w:val="39"/>
    <w:pPr>
      <w:spacing w:before="120" w:after="120"/>
    </w:pPr>
    <w:rPr>
      <w:rFonts w:asciiTheme="minorHAnsi" w:hAnsiTheme="minorHAnsi"/>
      <w:b/>
      <w:bCs/>
      <w:caps/>
      <w:sz w:val="20"/>
      <w:szCs w:val="20"/>
    </w:rPr>
  </w:style>
  <w:style w:type="paragraph" w:styleId="20">
    <w:name w:val="toc 4"/>
    <w:basedOn w:val="1"/>
    <w:next w:val="1"/>
    <w:unhideWhenUsed/>
    <w:qFormat/>
    <w:uiPriority w:val="39"/>
    <w:pPr>
      <w:spacing w:after="0"/>
      <w:ind w:left="660"/>
    </w:pPr>
    <w:rPr>
      <w:rFonts w:asciiTheme="minorHAnsi" w:hAnsiTheme="minorHAnsi"/>
      <w:sz w:val="18"/>
      <w:szCs w:val="18"/>
    </w:rPr>
  </w:style>
  <w:style w:type="paragraph" w:styleId="21">
    <w:name w:val="toc 6"/>
    <w:basedOn w:val="1"/>
    <w:next w:val="1"/>
    <w:unhideWhenUsed/>
    <w:qFormat/>
    <w:uiPriority w:val="39"/>
    <w:pPr>
      <w:spacing w:after="0"/>
      <w:ind w:left="1100"/>
    </w:pPr>
    <w:rPr>
      <w:rFonts w:asciiTheme="minorHAnsi" w:hAnsiTheme="minorHAnsi"/>
      <w:sz w:val="18"/>
      <w:szCs w:val="18"/>
    </w:rPr>
  </w:style>
  <w:style w:type="paragraph" w:styleId="22">
    <w:name w:val="toc 2"/>
    <w:basedOn w:val="1"/>
    <w:next w:val="1"/>
    <w:unhideWhenUsed/>
    <w:qFormat/>
    <w:uiPriority w:val="39"/>
    <w:pPr>
      <w:spacing w:after="0"/>
      <w:ind w:left="220"/>
    </w:pPr>
    <w:rPr>
      <w:rFonts w:asciiTheme="minorHAnsi" w:hAnsiTheme="minorHAnsi"/>
      <w:smallCaps/>
      <w:sz w:val="20"/>
      <w:szCs w:val="20"/>
    </w:rPr>
  </w:style>
  <w:style w:type="paragraph" w:styleId="23">
    <w:name w:val="toc 9"/>
    <w:basedOn w:val="1"/>
    <w:next w:val="1"/>
    <w:unhideWhenUsed/>
    <w:qFormat/>
    <w:uiPriority w:val="39"/>
    <w:pPr>
      <w:spacing w:after="0"/>
      <w:ind w:left="1760"/>
    </w:pPr>
    <w:rPr>
      <w:rFonts w:asciiTheme="minorHAnsi" w:hAnsiTheme="minorHAnsi"/>
      <w:sz w:val="18"/>
      <w:szCs w:val="18"/>
    </w:r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rPr>
  </w:style>
  <w:style w:type="character" w:customStyle="1" w:styleId="28">
    <w:name w:val="页眉 Char"/>
    <w:basedOn w:val="25"/>
    <w:link w:val="18"/>
    <w:semiHidden/>
    <w:qFormat/>
    <w:uiPriority w:val="99"/>
    <w:rPr>
      <w:rFonts w:ascii="Tahoma" w:hAnsi="Tahoma"/>
      <w:sz w:val="18"/>
      <w:szCs w:val="18"/>
    </w:rPr>
  </w:style>
  <w:style w:type="character" w:customStyle="1" w:styleId="29">
    <w:name w:val="页脚 Char"/>
    <w:basedOn w:val="25"/>
    <w:link w:val="17"/>
    <w:semiHidden/>
    <w:qFormat/>
    <w:uiPriority w:val="99"/>
    <w:rPr>
      <w:rFonts w:ascii="Tahoma" w:hAnsi="Tahoma"/>
      <w:sz w:val="18"/>
      <w:szCs w:val="18"/>
    </w:rPr>
  </w:style>
  <w:style w:type="paragraph" w:customStyle="1" w:styleId="30">
    <w:name w:val="列出段落1"/>
    <w:basedOn w:val="1"/>
    <w:qFormat/>
    <w:uiPriority w:val="34"/>
    <w:pPr>
      <w:ind w:firstLine="420" w:firstLineChars="200"/>
    </w:pPr>
  </w:style>
  <w:style w:type="paragraph" w:customStyle="1" w:styleId="31">
    <w:name w:val="标书正文"/>
    <w:basedOn w:val="1"/>
    <w:qFormat/>
    <w:uiPriority w:val="0"/>
    <w:pPr>
      <w:widowControl w:val="0"/>
      <w:adjustRightInd/>
      <w:snapToGrid/>
      <w:spacing w:after="0" w:line="360" w:lineRule="auto"/>
    </w:pPr>
    <w:rPr>
      <w:rFonts w:asciiTheme="minorHAnsi" w:hAnsiTheme="minorHAnsi" w:eastAsiaTheme="minorEastAsia"/>
      <w:kern w:val="2"/>
      <w:sz w:val="24"/>
      <w:szCs w:val="21"/>
    </w:rPr>
  </w:style>
  <w:style w:type="character" w:customStyle="1" w:styleId="32">
    <w:name w:val="标题 1 Char"/>
    <w:basedOn w:val="25"/>
    <w:link w:val="2"/>
    <w:qFormat/>
    <w:uiPriority w:val="9"/>
    <w:rPr>
      <w:rFonts w:ascii="Tahoma" w:hAnsi="Tahoma"/>
      <w:b/>
      <w:bCs/>
      <w:kern w:val="44"/>
      <w:sz w:val="44"/>
      <w:szCs w:val="44"/>
    </w:rPr>
  </w:style>
  <w:style w:type="character" w:customStyle="1" w:styleId="33">
    <w:name w:val="标题 2 Char"/>
    <w:basedOn w:val="25"/>
    <w:link w:val="3"/>
    <w:qFormat/>
    <w:uiPriority w:val="9"/>
    <w:rPr>
      <w:rFonts w:asciiTheme="majorHAnsi" w:hAnsiTheme="majorHAnsi" w:eastAsiaTheme="majorEastAsia" w:cstheme="majorBidi"/>
      <w:b/>
      <w:bCs/>
      <w:sz w:val="32"/>
      <w:szCs w:val="32"/>
    </w:rPr>
  </w:style>
  <w:style w:type="character" w:customStyle="1" w:styleId="34">
    <w:name w:val="标题 3 Char"/>
    <w:basedOn w:val="25"/>
    <w:link w:val="4"/>
    <w:qFormat/>
    <w:uiPriority w:val="9"/>
    <w:rPr>
      <w:rFonts w:ascii="Tahoma" w:hAnsi="Tahoma" w:eastAsia="微软雅黑" w:cstheme="minorBidi"/>
      <w:b/>
      <w:bCs/>
      <w:sz w:val="32"/>
      <w:szCs w:val="32"/>
    </w:rPr>
  </w:style>
  <w:style w:type="character" w:customStyle="1" w:styleId="35">
    <w:name w:val="标题 4 Char"/>
    <w:basedOn w:val="25"/>
    <w:link w:val="5"/>
    <w:semiHidden/>
    <w:qFormat/>
    <w:uiPriority w:val="9"/>
    <w:rPr>
      <w:rFonts w:asciiTheme="majorHAnsi" w:hAnsiTheme="majorHAnsi" w:eastAsiaTheme="majorEastAsia" w:cstheme="majorBidi"/>
      <w:b/>
      <w:bCs/>
      <w:sz w:val="28"/>
      <w:szCs w:val="28"/>
    </w:rPr>
  </w:style>
  <w:style w:type="character" w:customStyle="1" w:styleId="36">
    <w:name w:val="标题 5 Char"/>
    <w:basedOn w:val="25"/>
    <w:link w:val="6"/>
    <w:semiHidden/>
    <w:qFormat/>
    <w:uiPriority w:val="9"/>
    <w:rPr>
      <w:rFonts w:ascii="Tahoma" w:hAnsi="Tahoma"/>
      <w:b/>
      <w:bCs/>
      <w:sz w:val="28"/>
      <w:szCs w:val="28"/>
    </w:rPr>
  </w:style>
  <w:style w:type="character" w:customStyle="1" w:styleId="37">
    <w:name w:val="标题 6 Char"/>
    <w:basedOn w:val="25"/>
    <w:link w:val="7"/>
    <w:semiHidden/>
    <w:qFormat/>
    <w:uiPriority w:val="9"/>
    <w:rPr>
      <w:rFonts w:asciiTheme="majorHAnsi" w:hAnsiTheme="majorHAnsi" w:eastAsiaTheme="majorEastAsia" w:cstheme="majorBidi"/>
      <w:b/>
      <w:bCs/>
      <w:sz w:val="24"/>
      <w:szCs w:val="24"/>
    </w:rPr>
  </w:style>
  <w:style w:type="character" w:customStyle="1" w:styleId="38">
    <w:name w:val="标题 7 Char"/>
    <w:basedOn w:val="25"/>
    <w:link w:val="8"/>
    <w:semiHidden/>
    <w:qFormat/>
    <w:uiPriority w:val="9"/>
    <w:rPr>
      <w:rFonts w:ascii="Tahoma" w:hAnsi="Tahoma"/>
      <w:b/>
      <w:bCs/>
      <w:sz w:val="24"/>
      <w:szCs w:val="24"/>
    </w:rPr>
  </w:style>
  <w:style w:type="character" w:customStyle="1" w:styleId="39">
    <w:name w:val="标题 8 Char"/>
    <w:basedOn w:val="25"/>
    <w:link w:val="9"/>
    <w:semiHidden/>
    <w:qFormat/>
    <w:uiPriority w:val="9"/>
    <w:rPr>
      <w:rFonts w:asciiTheme="majorHAnsi" w:hAnsiTheme="majorHAnsi" w:eastAsiaTheme="majorEastAsia" w:cstheme="majorBidi"/>
      <w:sz w:val="24"/>
      <w:szCs w:val="24"/>
    </w:rPr>
  </w:style>
  <w:style w:type="character" w:customStyle="1" w:styleId="40">
    <w:name w:val="标题 9 Char"/>
    <w:basedOn w:val="25"/>
    <w:link w:val="10"/>
    <w:semiHidden/>
    <w:qFormat/>
    <w:uiPriority w:val="9"/>
    <w:rPr>
      <w:rFonts w:asciiTheme="majorHAnsi" w:hAnsiTheme="majorHAnsi" w:eastAsiaTheme="majorEastAsia" w:cstheme="majorBidi"/>
      <w:sz w:val="21"/>
      <w:szCs w:val="21"/>
    </w:rPr>
  </w:style>
  <w:style w:type="character" w:customStyle="1" w:styleId="41">
    <w:name w:val="批注框文本 Char"/>
    <w:basedOn w:val="25"/>
    <w:link w:val="16"/>
    <w:semiHidden/>
    <w:qFormat/>
    <w:uiPriority w:val="99"/>
    <w:rPr>
      <w:rFonts w:ascii="Tahoma" w:hAnsi="Tahoma"/>
      <w:sz w:val="18"/>
      <w:szCs w:val="18"/>
    </w:rPr>
  </w:style>
  <w:style w:type="paragraph" w:customStyle="1" w:styleId="42">
    <w:name w:val="无间隔1"/>
    <w:qFormat/>
    <w:uiPriority w:val="1"/>
    <w:pPr>
      <w:adjustRightInd w:val="0"/>
      <w:snapToGrid w:val="0"/>
    </w:pPr>
    <w:rPr>
      <w:rFonts w:ascii="Tahoma" w:hAnsi="Tahoma" w:eastAsia="微软雅黑" w:cstheme="minorBidi"/>
      <w:sz w:val="22"/>
      <w:szCs w:val="22"/>
      <w:lang w:val="en-US" w:eastAsia="zh-CN" w:bidi="ar-SA"/>
    </w:rPr>
  </w:style>
  <w:style w:type="character" w:customStyle="1" w:styleId="43">
    <w:name w:val="文档结构图 Char"/>
    <w:basedOn w:val="25"/>
    <w:link w:val="12"/>
    <w:semiHidden/>
    <w:qFormat/>
    <w:uiPriority w:val="99"/>
    <w:rPr>
      <w:rFonts w:ascii="宋体" w:hAnsi="Tahoma" w:eastAsia="宋体"/>
      <w:sz w:val="18"/>
      <w:szCs w:val="18"/>
    </w:rPr>
  </w:style>
  <w:style w:type="paragraph" w:styleId="44">
    <w:name w:val="List Paragraph"/>
    <w:basedOn w:val="1"/>
    <w:unhideWhenUsed/>
    <w:qFormat/>
    <w:uiPriority w:val="99"/>
    <w:pPr>
      <w:ind w:firstLine="420" w:firstLineChars="200"/>
    </w:pPr>
  </w:style>
  <w:style w:type="paragraph" w:customStyle="1" w:styleId="45">
    <w:name w:val="湖南省自然资源可研-正文"/>
    <w:basedOn w:val="1"/>
    <w:qFormat/>
    <w:uiPriority w:val="0"/>
    <w:pPr>
      <w:spacing w:line="360" w:lineRule="auto"/>
      <w:ind w:firstLine="480" w:firstLineChars="200"/>
    </w:pPr>
    <w:rPr>
      <w:rFonts w:ascii="Arial" w:hAnsi="Arial" w:eastAsia="宋体" w:cs="Times New Roman"/>
      <w:kern w:val="0"/>
      <w:sz w:val="24"/>
      <w:szCs w:val="20"/>
      <w:lang w:val="zh-CN"/>
    </w:rPr>
  </w:style>
  <w:style w:type="paragraph" w:customStyle="1" w:styleId="46">
    <w:name w:val="列出段落11"/>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media/image5.png"/><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microsoft.com/office/2007/relationships/diagramDrawing" Target="diagrams/drawing1.xml"/><Relationship Id="rId83" Type="http://schemas.openxmlformats.org/officeDocument/2006/relationships/diagramColors" Target="diagrams/colors1.xml"/><Relationship Id="rId82" Type="http://schemas.openxmlformats.org/officeDocument/2006/relationships/diagramQuickStyle" Target="diagrams/quickStyle1.xml"/><Relationship Id="rId81" Type="http://schemas.openxmlformats.org/officeDocument/2006/relationships/diagramLayout" Target="diagrams/layout1.xml"/><Relationship Id="rId80" Type="http://schemas.openxmlformats.org/officeDocument/2006/relationships/diagramData" Target="diagrams/data1.xm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1" Type="http://schemas.openxmlformats.org/officeDocument/2006/relationships/fontTable" Target="fontTable.xml"/><Relationship Id="rId150" Type="http://schemas.openxmlformats.org/officeDocument/2006/relationships/customXml" Target="../customXml/item2.xml"/><Relationship Id="rId15" Type="http://schemas.openxmlformats.org/officeDocument/2006/relationships/image" Target="media/image11.png"/><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133.png"/><Relationship Id="rId146" Type="http://schemas.openxmlformats.org/officeDocument/2006/relationships/image" Target="media/image132.png"/><Relationship Id="rId145" Type="http://schemas.openxmlformats.org/officeDocument/2006/relationships/image" Target="media/image131.png"/><Relationship Id="rId144" Type="http://schemas.openxmlformats.org/officeDocument/2006/relationships/image" Target="media/image130.png"/><Relationship Id="rId143" Type="http://schemas.openxmlformats.org/officeDocument/2006/relationships/image" Target="media/image129.png"/><Relationship Id="rId142" Type="http://schemas.openxmlformats.org/officeDocument/2006/relationships/image" Target="media/image128.png"/><Relationship Id="rId141" Type="http://schemas.openxmlformats.org/officeDocument/2006/relationships/image" Target="media/image127.png"/><Relationship Id="rId140" Type="http://schemas.openxmlformats.org/officeDocument/2006/relationships/image" Target="media/image126.png"/><Relationship Id="rId14" Type="http://schemas.openxmlformats.org/officeDocument/2006/relationships/image" Target="media/image10.png"/><Relationship Id="rId139" Type="http://schemas.openxmlformats.org/officeDocument/2006/relationships/image" Target="media/image125.png"/><Relationship Id="rId138" Type="http://schemas.openxmlformats.org/officeDocument/2006/relationships/image" Target="media/image124.png"/><Relationship Id="rId137" Type="http://schemas.openxmlformats.org/officeDocument/2006/relationships/image" Target="media/image123.png"/><Relationship Id="rId136" Type="http://schemas.openxmlformats.org/officeDocument/2006/relationships/image" Target="media/image122.png"/><Relationship Id="rId135" Type="http://schemas.openxmlformats.org/officeDocument/2006/relationships/image" Target="media/image121.png"/><Relationship Id="rId134" Type="http://schemas.openxmlformats.org/officeDocument/2006/relationships/image" Target="media/image120.png"/><Relationship Id="rId133" Type="http://schemas.openxmlformats.org/officeDocument/2006/relationships/image" Target="media/image119.png"/><Relationship Id="rId132" Type="http://schemas.openxmlformats.org/officeDocument/2006/relationships/image" Target="media/image118.png"/><Relationship Id="rId131" Type="http://schemas.openxmlformats.org/officeDocument/2006/relationships/image" Target="media/image117.png"/><Relationship Id="rId130" Type="http://schemas.openxmlformats.org/officeDocument/2006/relationships/image" Target="media/image116.png"/><Relationship Id="rId13" Type="http://schemas.openxmlformats.org/officeDocument/2006/relationships/image" Target="media/image9.png"/><Relationship Id="rId129" Type="http://schemas.openxmlformats.org/officeDocument/2006/relationships/image" Target="media/image115.png"/><Relationship Id="rId128" Type="http://schemas.openxmlformats.org/officeDocument/2006/relationships/image" Target="media/image114.png"/><Relationship Id="rId127" Type="http://schemas.openxmlformats.org/officeDocument/2006/relationships/image" Target="media/image113.png"/><Relationship Id="rId126" Type="http://schemas.openxmlformats.org/officeDocument/2006/relationships/image" Target="media/image112.png"/><Relationship Id="rId125" Type="http://schemas.openxmlformats.org/officeDocument/2006/relationships/image" Target="media/image111.png"/><Relationship Id="rId124" Type="http://schemas.openxmlformats.org/officeDocument/2006/relationships/image" Target="media/image110.png"/><Relationship Id="rId123" Type="http://schemas.openxmlformats.org/officeDocument/2006/relationships/image" Target="media/image109.png"/><Relationship Id="rId122" Type="http://schemas.openxmlformats.org/officeDocument/2006/relationships/image" Target="media/image108.pn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image" Target="media/image8.png"/><Relationship Id="rId119" Type="http://schemas.openxmlformats.org/officeDocument/2006/relationships/image" Target="media/image105.png"/><Relationship Id="rId118" Type="http://schemas.openxmlformats.org/officeDocument/2006/relationships/image" Target="media/image104.png"/><Relationship Id="rId117" Type="http://schemas.openxmlformats.org/officeDocument/2006/relationships/image" Target="media/image103.png"/><Relationship Id="rId116" Type="http://schemas.microsoft.com/office/2007/relationships/diagramDrawing" Target="diagrams/drawing2.xml"/><Relationship Id="rId115" Type="http://schemas.openxmlformats.org/officeDocument/2006/relationships/diagramColors" Target="diagrams/colors2.xml"/><Relationship Id="rId114" Type="http://schemas.openxmlformats.org/officeDocument/2006/relationships/diagramQuickStyle" Target="diagrams/quickStyle2.xml"/><Relationship Id="rId113" Type="http://schemas.openxmlformats.org/officeDocument/2006/relationships/diagramLayout" Target="diagrams/layout2.xml"/><Relationship Id="rId112" Type="http://schemas.openxmlformats.org/officeDocument/2006/relationships/diagramData" Target="diagrams/data2.xml"/><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7.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6.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44984E0-01AC-4CCC-885C-0933DAE016A6}" type="doc">
      <dgm:prSet loTypeId="urn:microsoft.com/office/officeart/2005/8/layout/orgChart1#12" loCatId="hierarchy" qsTypeId="urn:microsoft.com/office/officeart/2005/8/quickstyle/simple1#12" qsCatId="simple" csTypeId="urn:microsoft.com/office/officeart/2005/8/colors/accent1_2#12" csCatId="accent1" phldr="1"/>
      <dgm:spPr/>
      <dgm:t>
        <a:bodyPr/>
        <a:p>
          <a:endParaRPr lang="zh-CN" altLang="en-US"/>
        </a:p>
      </dgm:t>
    </dgm:pt>
    <dgm:pt modelId="{40315A96-5105-43EF-A58B-A3DDA6A0D685}">
      <dgm:prSet phldrT="[文本]" custT="1"/>
      <dgm:spPr/>
      <dgm:t>
        <a:bodyPr/>
        <a:p>
          <a:pPr algn="ctr"/>
          <a:r>
            <a:rPr lang="zh-CN" altLang="en-US" sz="1600"/>
            <a:t>安监环保</a:t>
          </a:r>
        </a:p>
      </dgm:t>
    </dgm:pt>
    <dgm:pt modelId="{A7814FFD-BED4-4626-85DF-CF43F2542FF3}" cxnId="{D17932D0-9C94-420A-8C44-53B3C44C4754}" type="parTrans">
      <dgm:prSet/>
      <dgm:spPr/>
      <dgm:t>
        <a:bodyPr/>
        <a:p>
          <a:pPr algn="ctr"/>
          <a:endParaRPr lang="zh-CN" altLang="en-US"/>
        </a:p>
      </dgm:t>
    </dgm:pt>
    <dgm:pt modelId="{E4FC14BD-F560-4A0B-A7A5-7DAC9456A700}" cxnId="{D17932D0-9C94-420A-8C44-53B3C44C4754}" type="sibTrans">
      <dgm:prSet/>
      <dgm:spPr/>
      <dgm:t>
        <a:bodyPr/>
        <a:p>
          <a:pPr algn="ctr"/>
          <a:endParaRPr lang="zh-CN" altLang="en-US"/>
        </a:p>
      </dgm:t>
    </dgm:pt>
    <dgm:pt modelId="{59AE5E27-8C71-42C4-BE8F-A531FD6B877F}">
      <dgm:prSet phldrT="[文本]" custT="1"/>
      <dgm:spPr/>
      <dgm:t>
        <a:bodyPr/>
        <a:p>
          <a:pPr algn="ctr"/>
          <a:r>
            <a:rPr lang="zh-CN" altLang="en-US" sz="1600" baseline="0"/>
            <a:t>安全监测</a:t>
          </a:r>
        </a:p>
      </dgm:t>
    </dgm:pt>
    <dgm:pt modelId="{F6D3F380-17D6-4858-8CCB-55AC5DBB0C81}" cxnId="{C056FC48-9BB3-4822-BECE-72B74A74A1ED}" type="parTrans">
      <dgm:prSet/>
      <dgm:spPr/>
      <dgm:t>
        <a:bodyPr/>
        <a:p>
          <a:pPr algn="ctr"/>
          <a:endParaRPr lang="zh-CN" altLang="en-US"/>
        </a:p>
      </dgm:t>
    </dgm:pt>
    <dgm:pt modelId="{8BB9FE63-446C-49AA-892A-5E563F6A147B}" cxnId="{C056FC48-9BB3-4822-BECE-72B74A74A1ED}" type="sibTrans">
      <dgm:prSet/>
      <dgm:spPr/>
      <dgm:t>
        <a:bodyPr/>
        <a:p>
          <a:pPr algn="ctr"/>
          <a:endParaRPr lang="zh-CN" altLang="en-US"/>
        </a:p>
      </dgm:t>
    </dgm:pt>
    <dgm:pt modelId="{0C50499B-BA03-48A7-AFD8-7BDF6F175A4C}">
      <dgm:prSet custT="1"/>
      <dgm:spPr/>
      <dgm:t>
        <a:bodyPr/>
        <a:p>
          <a:r>
            <a:rPr lang="zh-CN" altLang="en-US" sz="1600" baseline="0"/>
            <a:t>环境监测</a:t>
          </a:r>
        </a:p>
      </dgm:t>
    </dgm:pt>
    <dgm:pt modelId="{32074AC9-0D29-4783-8441-FBCCFA478B7D}" cxnId="{D337552D-0220-49C0-B76D-C0443120DBAB}" type="parTrans">
      <dgm:prSet/>
      <dgm:spPr/>
      <dgm:t>
        <a:bodyPr/>
        <a:p>
          <a:endParaRPr lang="zh-CN" altLang="en-US"/>
        </a:p>
      </dgm:t>
    </dgm:pt>
    <dgm:pt modelId="{A2D82C83-337A-40E1-84C1-317D16F0B2CB}" cxnId="{D337552D-0220-49C0-B76D-C0443120DBAB}" type="sibTrans">
      <dgm:prSet/>
      <dgm:spPr/>
      <dgm:t>
        <a:bodyPr/>
        <a:p>
          <a:endParaRPr lang="zh-CN" altLang="en-US"/>
        </a:p>
      </dgm:t>
    </dgm:pt>
    <dgm:pt modelId="{6A74E4AC-2D67-4FC2-A820-2BB34F009344}" type="pres">
      <dgm:prSet presAssocID="{B44984E0-01AC-4CCC-885C-0933DAE016A6}" presName="hierChild1" presStyleCnt="0">
        <dgm:presLayoutVars>
          <dgm:orgChart val="1"/>
          <dgm:chPref val="1"/>
          <dgm:dir/>
          <dgm:animOne val="branch"/>
          <dgm:animLvl val="lvl"/>
          <dgm:resizeHandles/>
        </dgm:presLayoutVars>
      </dgm:prSet>
      <dgm:spPr/>
    </dgm:pt>
    <dgm:pt modelId="{CC64340B-894F-4E9A-ACDB-2CCD72FAE4CF}" type="pres">
      <dgm:prSet presAssocID="{40315A96-5105-43EF-A58B-A3DDA6A0D685}" presName="hierRoot1" presStyleCnt="0">
        <dgm:presLayoutVars>
          <dgm:hierBranch val="init"/>
        </dgm:presLayoutVars>
      </dgm:prSet>
      <dgm:spPr/>
    </dgm:pt>
    <dgm:pt modelId="{A456157E-231A-41BE-B47C-01348569503F}" type="pres">
      <dgm:prSet presAssocID="{40315A96-5105-43EF-A58B-A3DDA6A0D685}" presName="rootComposite1" presStyleCnt="0"/>
      <dgm:spPr/>
    </dgm:pt>
    <dgm:pt modelId="{87C9B49C-F83A-4C90-AC9A-8F81C59C5A5B}" type="pres">
      <dgm:prSet presAssocID="{40315A96-5105-43EF-A58B-A3DDA6A0D685}" presName="rootText1" presStyleLbl="node0" presStyleIdx="0" presStyleCnt="1">
        <dgm:presLayoutVars>
          <dgm:chPref val="3"/>
        </dgm:presLayoutVars>
      </dgm:prSet>
      <dgm:spPr/>
    </dgm:pt>
    <dgm:pt modelId="{079233A6-F43A-4C16-9E77-E6AACFC80E4B}" type="pres">
      <dgm:prSet presAssocID="{40315A96-5105-43EF-A58B-A3DDA6A0D685}" presName="rootConnector1" presStyleLbl="node1" presStyleIdx="0" presStyleCnt="0"/>
      <dgm:spPr/>
    </dgm:pt>
    <dgm:pt modelId="{30B4C588-E6A2-4992-A791-CA00D76832FD}" type="pres">
      <dgm:prSet presAssocID="{40315A96-5105-43EF-A58B-A3DDA6A0D685}" presName="hierChild2" presStyleCnt="0"/>
      <dgm:spPr/>
    </dgm:pt>
    <dgm:pt modelId="{F22513FC-3BB6-45E4-94CC-F4EA5A05420C}" type="pres">
      <dgm:prSet presAssocID="{F6D3F380-17D6-4858-8CCB-55AC5DBB0C81}" presName="Name37" presStyleLbl="parChTrans1D2" presStyleIdx="0" presStyleCnt="2"/>
      <dgm:spPr/>
    </dgm:pt>
    <dgm:pt modelId="{57433DA3-2D56-4623-8154-835BFF2B60A2}" type="pres">
      <dgm:prSet presAssocID="{59AE5E27-8C71-42C4-BE8F-A531FD6B877F}" presName="hierRoot2" presStyleCnt="0">
        <dgm:presLayoutVars>
          <dgm:hierBranch val="init"/>
        </dgm:presLayoutVars>
      </dgm:prSet>
      <dgm:spPr/>
    </dgm:pt>
    <dgm:pt modelId="{6B8365E4-E8F7-4DB7-8EAC-83E8BA77F14B}" type="pres">
      <dgm:prSet presAssocID="{59AE5E27-8C71-42C4-BE8F-A531FD6B877F}" presName="rootComposite" presStyleCnt="0"/>
      <dgm:spPr/>
    </dgm:pt>
    <dgm:pt modelId="{EA84219B-791B-48D7-8254-51010A87ACB6}" type="pres">
      <dgm:prSet presAssocID="{59AE5E27-8C71-42C4-BE8F-A531FD6B877F}" presName="rootText" presStyleLbl="node2" presStyleIdx="0" presStyleCnt="2">
        <dgm:presLayoutVars>
          <dgm:chPref val="3"/>
        </dgm:presLayoutVars>
      </dgm:prSet>
      <dgm:spPr/>
    </dgm:pt>
    <dgm:pt modelId="{3957BA18-6164-43A9-9DC2-8FF906DECB55}" type="pres">
      <dgm:prSet presAssocID="{59AE5E27-8C71-42C4-BE8F-A531FD6B877F}" presName="rootConnector" presStyleLbl="node2" presStyleIdx="0" presStyleCnt="2"/>
      <dgm:spPr/>
    </dgm:pt>
    <dgm:pt modelId="{32FE8D27-77AE-4ACC-A128-936D58D8F95A}" type="pres">
      <dgm:prSet presAssocID="{59AE5E27-8C71-42C4-BE8F-A531FD6B877F}" presName="hierChild4" presStyleCnt="0"/>
      <dgm:spPr/>
    </dgm:pt>
    <dgm:pt modelId="{B18E4E76-87AA-4073-8A25-39A51C6C03D2}" type="pres">
      <dgm:prSet presAssocID="{59AE5E27-8C71-42C4-BE8F-A531FD6B877F}" presName="hierChild5" presStyleCnt="0"/>
      <dgm:spPr/>
    </dgm:pt>
    <dgm:pt modelId="{73C802D9-8B28-433C-919C-E29B4A090D13}" type="pres">
      <dgm:prSet presAssocID="{32074AC9-0D29-4783-8441-FBCCFA478B7D}" presName="Name37" presStyleLbl="parChTrans1D2" presStyleIdx="1" presStyleCnt="2"/>
      <dgm:spPr/>
    </dgm:pt>
    <dgm:pt modelId="{CB5428AF-B367-49D5-8D7E-B20B8D49BD83}" type="pres">
      <dgm:prSet presAssocID="{0C50499B-BA03-48A7-AFD8-7BDF6F175A4C}" presName="hierRoot2" presStyleCnt="0">
        <dgm:presLayoutVars>
          <dgm:hierBranch val="init"/>
        </dgm:presLayoutVars>
      </dgm:prSet>
      <dgm:spPr/>
    </dgm:pt>
    <dgm:pt modelId="{502BDE8F-4184-4333-BD28-4B991BEC7E57}" type="pres">
      <dgm:prSet presAssocID="{0C50499B-BA03-48A7-AFD8-7BDF6F175A4C}" presName="rootComposite" presStyleCnt="0"/>
      <dgm:spPr/>
    </dgm:pt>
    <dgm:pt modelId="{490F2747-2413-4C99-B63E-BB3E5F6E7790}" type="pres">
      <dgm:prSet presAssocID="{0C50499B-BA03-48A7-AFD8-7BDF6F175A4C}" presName="rootText" presStyleLbl="node2" presStyleIdx="1" presStyleCnt="2">
        <dgm:presLayoutVars>
          <dgm:chPref val="3"/>
        </dgm:presLayoutVars>
      </dgm:prSet>
      <dgm:spPr/>
    </dgm:pt>
    <dgm:pt modelId="{4B029ED1-E56B-4A82-86DC-B5BF84EE9B60}" type="pres">
      <dgm:prSet presAssocID="{0C50499B-BA03-48A7-AFD8-7BDF6F175A4C}" presName="rootConnector" presStyleLbl="node2" presStyleIdx="1" presStyleCnt="2"/>
      <dgm:spPr/>
    </dgm:pt>
    <dgm:pt modelId="{93BE15FB-5005-41E3-99F3-CE9F49EE7921}" type="pres">
      <dgm:prSet presAssocID="{0C50499B-BA03-48A7-AFD8-7BDF6F175A4C}" presName="hierChild4" presStyleCnt="0"/>
      <dgm:spPr/>
    </dgm:pt>
    <dgm:pt modelId="{FDFC931C-75A8-4713-8FCE-2455C3ABBF5E}" type="pres">
      <dgm:prSet presAssocID="{0C50499B-BA03-48A7-AFD8-7BDF6F175A4C}" presName="hierChild5" presStyleCnt="0"/>
      <dgm:spPr/>
    </dgm:pt>
    <dgm:pt modelId="{FEF06396-8ED4-4642-AE31-73E71936BC78}" type="pres">
      <dgm:prSet presAssocID="{40315A96-5105-43EF-A58B-A3DDA6A0D685}" presName="hierChild3" presStyleCnt="0"/>
      <dgm:spPr/>
    </dgm:pt>
  </dgm:ptLst>
  <dgm:cxnLst>
    <dgm:cxn modelId="{B02DF007-6126-45A6-9A2F-98BF53958CCE}" type="presOf" srcId="{40315A96-5105-43EF-A58B-A3DDA6A0D685}" destId="{87C9B49C-F83A-4C90-AC9A-8F81C59C5A5B}" srcOrd="0" destOrd="0" presId="urn:microsoft.com/office/officeart/2005/8/layout/orgChart1#12"/>
    <dgm:cxn modelId="{D337552D-0220-49C0-B76D-C0443120DBAB}" srcId="{40315A96-5105-43EF-A58B-A3DDA6A0D685}" destId="{0C50499B-BA03-48A7-AFD8-7BDF6F175A4C}" srcOrd="1" destOrd="0" parTransId="{32074AC9-0D29-4783-8441-FBCCFA478B7D}" sibTransId="{A2D82C83-337A-40E1-84C1-317D16F0B2CB}"/>
    <dgm:cxn modelId="{49DDEC68-203B-4819-A2F8-9DADB9654F3C}" type="presOf" srcId="{40315A96-5105-43EF-A58B-A3DDA6A0D685}" destId="{079233A6-F43A-4C16-9E77-E6AACFC80E4B}" srcOrd="1" destOrd="0" presId="urn:microsoft.com/office/officeart/2005/8/layout/orgChart1#12"/>
    <dgm:cxn modelId="{C056FC48-9BB3-4822-BECE-72B74A74A1ED}" srcId="{40315A96-5105-43EF-A58B-A3DDA6A0D685}" destId="{59AE5E27-8C71-42C4-BE8F-A531FD6B877F}" srcOrd="0" destOrd="0" parTransId="{F6D3F380-17D6-4858-8CCB-55AC5DBB0C81}" sibTransId="{8BB9FE63-446C-49AA-892A-5E563F6A147B}"/>
    <dgm:cxn modelId="{D70BB849-0E96-40C7-9FDD-655B5247E374}" type="presOf" srcId="{32074AC9-0D29-4783-8441-FBCCFA478B7D}" destId="{73C802D9-8B28-433C-919C-E29B4A090D13}" srcOrd="0" destOrd="0" presId="urn:microsoft.com/office/officeart/2005/8/layout/orgChart1#12"/>
    <dgm:cxn modelId="{21CA6A6B-872F-4D17-8504-844EFAA60D96}" type="presOf" srcId="{0C50499B-BA03-48A7-AFD8-7BDF6F175A4C}" destId="{4B029ED1-E56B-4A82-86DC-B5BF84EE9B60}" srcOrd="1" destOrd="0" presId="urn:microsoft.com/office/officeart/2005/8/layout/orgChart1#12"/>
    <dgm:cxn modelId="{4AEF117D-B665-40CC-9DD2-ACB274691356}" type="presOf" srcId="{59AE5E27-8C71-42C4-BE8F-A531FD6B877F}" destId="{3957BA18-6164-43A9-9DC2-8FF906DECB55}" srcOrd="1" destOrd="0" presId="urn:microsoft.com/office/officeart/2005/8/layout/orgChart1#12"/>
    <dgm:cxn modelId="{7C8A2193-7FD9-4A1F-B46E-D04E5662DEB8}" type="presOf" srcId="{F6D3F380-17D6-4858-8CCB-55AC5DBB0C81}" destId="{F22513FC-3BB6-45E4-94CC-F4EA5A05420C}" srcOrd="0" destOrd="0" presId="urn:microsoft.com/office/officeart/2005/8/layout/orgChart1#12"/>
    <dgm:cxn modelId="{0B9069A9-1789-4B42-B96B-FCF65BA5AF0D}" type="presOf" srcId="{59AE5E27-8C71-42C4-BE8F-A531FD6B877F}" destId="{EA84219B-791B-48D7-8254-51010A87ACB6}" srcOrd="0" destOrd="0" presId="urn:microsoft.com/office/officeart/2005/8/layout/orgChart1#12"/>
    <dgm:cxn modelId="{D17932D0-9C94-420A-8C44-53B3C44C4754}" srcId="{B44984E0-01AC-4CCC-885C-0933DAE016A6}" destId="{40315A96-5105-43EF-A58B-A3DDA6A0D685}" srcOrd="0" destOrd="0" parTransId="{A7814FFD-BED4-4626-85DF-CF43F2542FF3}" sibTransId="{E4FC14BD-F560-4A0B-A7A5-7DAC9456A700}"/>
    <dgm:cxn modelId="{629D0AE9-D7FE-4E69-B9C5-9BA02E69BD0C}" type="presOf" srcId="{B44984E0-01AC-4CCC-885C-0933DAE016A6}" destId="{6A74E4AC-2D67-4FC2-A820-2BB34F009344}" srcOrd="0" destOrd="0" presId="urn:microsoft.com/office/officeart/2005/8/layout/orgChart1#12"/>
    <dgm:cxn modelId="{18EAB5FB-B6FB-4252-B977-2D897708719A}" type="presOf" srcId="{0C50499B-BA03-48A7-AFD8-7BDF6F175A4C}" destId="{490F2747-2413-4C99-B63E-BB3E5F6E7790}" srcOrd="0" destOrd="0" presId="urn:microsoft.com/office/officeart/2005/8/layout/orgChart1#12"/>
    <dgm:cxn modelId="{85A06FCE-BFA4-493B-8D04-CE2B5B635724}" type="presParOf" srcId="{6A74E4AC-2D67-4FC2-A820-2BB34F009344}" destId="{CC64340B-894F-4E9A-ACDB-2CCD72FAE4CF}" srcOrd="0" destOrd="0" presId="urn:microsoft.com/office/officeart/2005/8/layout/orgChart1#12"/>
    <dgm:cxn modelId="{2C661CCF-0FB1-46F2-A9C9-290DF0B702DE}" type="presParOf" srcId="{CC64340B-894F-4E9A-ACDB-2CCD72FAE4CF}" destId="{A456157E-231A-41BE-B47C-01348569503F}" srcOrd="0" destOrd="0" presId="urn:microsoft.com/office/officeart/2005/8/layout/orgChart1#12"/>
    <dgm:cxn modelId="{2F36CE6C-F015-43EB-A7F1-E684ECC2FFA9}" type="presParOf" srcId="{A456157E-231A-41BE-B47C-01348569503F}" destId="{87C9B49C-F83A-4C90-AC9A-8F81C59C5A5B}" srcOrd="0" destOrd="0" presId="urn:microsoft.com/office/officeart/2005/8/layout/orgChart1#12"/>
    <dgm:cxn modelId="{10C24642-5C7C-4927-91AA-A66D834DE771}" type="presParOf" srcId="{A456157E-231A-41BE-B47C-01348569503F}" destId="{079233A6-F43A-4C16-9E77-E6AACFC80E4B}" srcOrd="1" destOrd="0" presId="urn:microsoft.com/office/officeart/2005/8/layout/orgChart1#12"/>
    <dgm:cxn modelId="{95FBC754-E815-4382-99C5-D79E4901781E}" type="presParOf" srcId="{CC64340B-894F-4E9A-ACDB-2CCD72FAE4CF}" destId="{30B4C588-E6A2-4992-A791-CA00D76832FD}" srcOrd="1" destOrd="0" presId="urn:microsoft.com/office/officeart/2005/8/layout/orgChart1#12"/>
    <dgm:cxn modelId="{C4308294-DDE0-4B13-A967-2D62B30D037D}" type="presParOf" srcId="{30B4C588-E6A2-4992-A791-CA00D76832FD}" destId="{F22513FC-3BB6-45E4-94CC-F4EA5A05420C}" srcOrd="0" destOrd="0" presId="urn:microsoft.com/office/officeart/2005/8/layout/orgChart1#12"/>
    <dgm:cxn modelId="{C817915D-3F6B-40F2-806F-4EB522AAD69C}" type="presParOf" srcId="{30B4C588-E6A2-4992-A791-CA00D76832FD}" destId="{57433DA3-2D56-4623-8154-835BFF2B60A2}" srcOrd="1" destOrd="0" presId="urn:microsoft.com/office/officeart/2005/8/layout/orgChart1#12"/>
    <dgm:cxn modelId="{4CE5E12D-D14C-46F9-8071-6D212AE4F7B8}" type="presParOf" srcId="{57433DA3-2D56-4623-8154-835BFF2B60A2}" destId="{6B8365E4-E8F7-4DB7-8EAC-83E8BA77F14B}" srcOrd="0" destOrd="0" presId="urn:microsoft.com/office/officeart/2005/8/layout/orgChart1#12"/>
    <dgm:cxn modelId="{CAAB5FA2-8555-4B84-B218-8F93557E589E}" type="presParOf" srcId="{6B8365E4-E8F7-4DB7-8EAC-83E8BA77F14B}" destId="{EA84219B-791B-48D7-8254-51010A87ACB6}" srcOrd="0" destOrd="0" presId="urn:microsoft.com/office/officeart/2005/8/layout/orgChart1#12"/>
    <dgm:cxn modelId="{334A7A72-7F80-4F7F-B89D-6D62AFE49DC3}" type="presParOf" srcId="{6B8365E4-E8F7-4DB7-8EAC-83E8BA77F14B}" destId="{3957BA18-6164-43A9-9DC2-8FF906DECB55}" srcOrd="1" destOrd="0" presId="urn:microsoft.com/office/officeart/2005/8/layout/orgChart1#12"/>
    <dgm:cxn modelId="{DF514C64-440A-467D-818D-15307A2CC8CF}" type="presParOf" srcId="{57433DA3-2D56-4623-8154-835BFF2B60A2}" destId="{32FE8D27-77AE-4ACC-A128-936D58D8F95A}" srcOrd="1" destOrd="0" presId="urn:microsoft.com/office/officeart/2005/8/layout/orgChart1#12"/>
    <dgm:cxn modelId="{F6C8278B-0004-4D89-8A5F-F7DC00112797}" type="presParOf" srcId="{57433DA3-2D56-4623-8154-835BFF2B60A2}" destId="{B18E4E76-87AA-4073-8A25-39A51C6C03D2}" srcOrd="2" destOrd="0" presId="urn:microsoft.com/office/officeart/2005/8/layout/orgChart1#12"/>
    <dgm:cxn modelId="{9593932C-70D3-4BD7-B3A2-927EE6B9BD26}" type="presParOf" srcId="{30B4C588-E6A2-4992-A791-CA00D76832FD}" destId="{73C802D9-8B28-433C-919C-E29B4A090D13}" srcOrd="2" destOrd="0" presId="urn:microsoft.com/office/officeart/2005/8/layout/orgChart1#12"/>
    <dgm:cxn modelId="{C86DB235-6A96-4A84-B0FA-C896F2164F35}" type="presParOf" srcId="{30B4C588-E6A2-4992-A791-CA00D76832FD}" destId="{CB5428AF-B367-49D5-8D7E-B20B8D49BD83}" srcOrd="3" destOrd="0" presId="urn:microsoft.com/office/officeart/2005/8/layout/orgChart1#12"/>
    <dgm:cxn modelId="{893A6927-FFF0-4C6D-BECD-33C51647AC00}" type="presParOf" srcId="{CB5428AF-B367-49D5-8D7E-B20B8D49BD83}" destId="{502BDE8F-4184-4333-BD28-4B991BEC7E57}" srcOrd="0" destOrd="0" presId="urn:microsoft.com/office/officeart/2005/8/layout/orgChart1#12"/>
    <dgm:cxn modelId="{1CAD85D8-039B-46AB-B2FF-7A67BE2E9F9E}" type="presParOf" srcId="{502BDE8F-4184-4333-BD28-4B991BEC7E57}" destId="{490F2747-2413-4C99-B63E-BB3E5F6E7790}" srcOrd="0" destOrd="0" presId="urn:microsoft.com/office/officeart/2005/8/layout/orgChart1#12"/>
    <dgm:cxn modelId="{0447C689-3A1E-4CCD-83AF-038A24FE50A3}" type="presParOf" srcId="{502BDE8F-4184-4333-BD28-4B991BEC7E57}" destId="{4B029ED1-E56B-4A82-86DC-B5BF84EE9B60}" srcOrd="1" destOrd="0" presId="urn:microsoft.com/office/officeart/2005/8/layout/orgChart1#12"/>
    <dgm:cxn modelId="{8B98B4B5-DD0D-4FA3-9E36-37ECDC574879}" type="presParOf" srcId="{CB5428AF-B367-49D5-8D7E-B20B8D49BD83}" destId="{93BE15FB-5005-41E3-99F3-CE9F49EE7921}" srcOrd="1" destOrd="0" presId="urn:microsoft.com/office/officeart/2005/8/layout/orgChart1#12"/>
    <dgm:cxn modelId="{574EBF57-123C-4DA1-AF7C-54C97C86FCD1}" type="presParOf" srcId="{CB5428AF-B367-49D5-8D7E-B20B8D49BD83}" destId="{FDFC931C-75A8-4713-8FCE-2455C3ABBF5E}" srcOrd="2" destOrd="0" presId="urn:microsoft.com/office/officeart/2005/8/layout/orgChart1#12"/>
    <dgm:cxn modelId="{817B9F7D-FEB7-4E25-A1F1-DFC6FAB36BBA}" type="presParOf" srcId="{CC64340B-894F-4E9A-ACDB-2CCD72FAE4CF}" destId="{FEF06396-8ED4-4642-AE31-73E71936BC78}" srcOrd="2" destOrd="0" presId="urn:microsoft.com/office/officeart/2005/8/layout/orgChart1#1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4984E0-01AC-4CCC-885C-0933DAE016A6}" type="doc">
      <dgm:prSet loTypeId="urn:microsoft.com/office/officeart/2005/8/layout/orgChart1#10" loCatId="hierarchy" qsTypeId="urn:microsoft.com/office/officeart/2005/8/quickstyle/simple1#10" qsCatId="simple" csTypeId="urn:microsoft.com/office/officeart/2005/8/colors/accent1_2#10" csCatId="accent1" phldr="1"/>
      <dgm:spPr/>
      <dgm:t>
        <a:bodyPr/>
        <a:p>
          <a:endParaRPr lang="zh-CN" altLang="en-US"/>
        </a:p>
      </dgm:t>
    </dgm:pt>
    <dgm:pt modelId="{40315A96-5105-43EF-A58B-A3DDA6A0D685}">
      <dgm:prSet phldrT="[文本]" phldr="0" custT="0"/>
      <dgm:spPr/>
      <dgm:t>
        <a:bodyPr vert="horz" wrap="square"/>
        <a:p>
          <a:pPr algn="ctr">
            <a:lnSpc>
              <a:spcPct val="100000"/>
            </a:lnSpc>
            <a:spcBef>
              <a:spcPct val="0"/>
            </a:spcBef>
            <a:spcAft>
              <a:spcPct val="35000"/>
            </a:spcAft>
          </a:pPr>
          <a:r>
            <a:rPr lang="zh-CN"/>
            <a:t>经济分析</a:t>
          </a:r>
        </a:p>
      </dgm:t>
    </dgm:pt>
    <dgm:pt modelId="{A7814FFD-BED4-4626-85DF-CF43F2542FF3}" cxnId="{1ACD8CE3-BD36-4FF1-BEF7-D883ADD106BA}" type="parTrans">
      <dgm:prSet/>
      <dgm:spPr/>
      <dgm:t>
        <a:bodyPr/>
        <a:p>
          <a:pPr algn="ctr"/>
          <a:endParaRPr lang="zh-CN" altLang="en-US" sz="1000"/>
        </a:p>
      </dgm:t>
    </dgm:pt>
    <dgm:pt modelId="{E4FC14BD-F560-4A0B-A7A5-7DAC9456A700}" cxnId="{1ACD8CE3-BD36-4FF1-BEF7-D883ADD106BA}" type="sibTrans">
      <dgm:prSet/>
      <dgm:spPr/>
      <dgm:t>
        <a:bodyPr/>
        <a:p>
          <a:pPr algn="ctr"/>
          <a:endParaRPr lang="zh-CN" altLang="en-US" sz="1000"/>
        </a:p>
      </dgm:t>
    </dgm:pt>
    <dgm:pt modelId="{59AE5E27-8C71-42C4-BE8F-A531FD6B877F}">
      <dgm:prSet phldrT="[文本]" phldr="0" custT="1"/>
      <dgm:spPr/>
      <dgm:t>
        <a:bodyPr vert="horz" wrap="square"/>
        <a:p>
          <a:pPr algn="ctr">
            <a:lnSpc>
              <a:spcPct val="100000"/>
            </a:lnSpc>
            <a:spcBef>
              <a:spcPct val="0"/>
            </a:spcBef>
            <a:spcAft>
              <a:spcPct val="35000"/>
            </a:spcAft>
          </a:pPr>
          <a:r>
            <a:rPr lang="zh-CN" altLang="zh-CN" sz="1200"/>
            <a:t>园区经济总量</a:t>
          </a:r>
        </a:p>
      </dgm:t>
    </dgm:pt>
    <dgm:pt modelId="{F6D3F380-17D6-4858-8CCB-55AC5DBB0C81}" cxnId="{E4196A77-15FF-4028-93FC-F326FDE2EB1B}" type="parTrans">
      <dgm:prSet/>
      <dgm:spPr/>
      <dgm:t>
        <a:bodyPr/>
        <a:p>
          <a:pPr algn="ctr"/>
          <a:endParaRPr lang="zh-CN" altLang="en-US" sz="1000"/>
        </a:p>
      </dgm:t>
    </dgm:pt>
    <dgm:pt modelId="{8BB9FE63-446C-49AA-892A-5E563F6A147B}" cxnId="{E4196A77-15FF-4028-93FC-F326FDE2EB1B}" type="sibTrans">
      <dgm:prSet/>
      <dgm:spPr/>
      <dgm:t>
        <a:bodyPr/>
        <a:p>
          <a:pPr algn="ctr"/>
          <a:endParaRPr lang="zh-CN" altLang="en-US" sz="1000"/>
        </a:p>
      </dgm:t>
    </dgm:pt>
    <dgm:pt modelId="{92ECA85C-6FB8-431E-9D0D-7E8AC29342E8}">
      <dgm:prSet phldr="0" custT="1"/>
      <dgm:spPr/>
      <dgm:t>
        <a:bodyPr vert="horz" wrap="square"/>
        <a:p>
          <a:pPr>
            <a:lnSpc>
              <a:spcPct val="100000"/>
            </a:lnSpc>
            <a:spcBef>
              <a:spcPct val="0"/>
            </a:spcBef>
            <a:spcAft>
              <a:spcPct val="35000"/>
            </a:spcAft>
          </a:pPr>
          <a:r>
            <a:rPr lang="zh-CN" sz="1200"/>
            <a:t>开放创新能力</a:t>
          </a:r>
        </a:p>
      </dgm:t>
    </dgm:pt>
    <dgm:pt modelId="{3A39E71D-115C-4FDE-9733-64870E019118}" cxnId="{BB3AD8AF-FE9E-4A9B-8CE9-4FE8D3A2308B}" type="parTrans">
      <dgm:prSet/>
      <dgm:spPr/>
      <dgm:t>
        <a:bodyPr/>
        <a:p>
          <a:endParaRPr lang="zh-CN" altLang="en-US" sz="1000"/>
        </a:p>
      </dgm:t>
    </dgm:pt>
    <dgm:pt modelId="{7AFE21AC-71C1-4AD0-B80B-1CF45F6E2443}" cxnId="{BB3AD8AF-FE9E-4A9B-8CE9-4FE8D3A2308B}" type="sibTrans">
      <dgm:prSet/>
      <dgm:spPr/>
      <dgm:t>
        <a:bodyPr/>
        <a:p>
          <a:endParaRPr lang="zh-CN" altLang="en-US" sz="1000"/>
        </a:p>
      </dgm:t>
    </dgm:pt>
    <dgm:pt modelId="{EC441A2A-C5C7-4621-863A-E430ECC7B5A3}">
      <dgm:prSet phldr="0" custT="1"/>
      <dgm:spPr/>
      <dgm:t>
        <a:bodyPr vert="horz" wrap="square"/>
        <a:p>
          <a:pPr>
            <a:lnSpc>
              <a:spcPct val="100000"/>
            </a:lnSpc>
            <a:spcBef>
              <a:spcPct val="0"/>
            </a:spcBef>
            <a:spcAft>
              <a:spcPct val="35000"/>
            </a:spcAft>
          </a:pPr>
          <a:r>
            <a:rPr lang="zh-CN" sz="1200"/>
            <a:t>长沙发展态势</a:t>
          </a:r>
        </a:p>
      </dgm:t>
    </dgm:pt>
    <dgm:pt modelId="{BA4DA601-07EA-4EC8-AB2E-6C7D2DDB5965}" cxnId="{C7264C83-D9EF-446C-80FB-E96B010ADE6F}" type="parTrans">
      <dgm:prSet/>
      <dgm:spPr/>
      <dgm:t>
        <a:bodyPr/>
        <a:p>
          <a:endParaRPr lang="zh-CN" altLang="en-US" sz="1000"/>
        </a:p>
      </dgm:t>
    </dgm:pt>
    <dgm:pt modelId="{329E94F2-2566-48F3-B5B0-BA5B04DFCF3C}" cxnId="{C7264C83-D9EF-446C-80FB-E96B010ADE6F}" type="sibTrans">
      <dgm:prSet/>
      <dgm:spPr/>
      <dgm:t>
        <a:bodyPr/>
        <a:p>
          <a:endParaRPr lang="zh-CN" altLang="en-US" sz="1000"/>
        </a:p>
      </dgm:t>
    </dgm:pt>
    <dgm:pt modelId="{6A74E4AC-2D67-4FC2-A820-2BB34F009344}" type="pres">
      <dgm:prSet presAssocID="{B44984E0-01AC-4CCC-885C-0933DAE016A6}" presName="hierChild1" presStyleCnt="0">
        <dgm:presLayoutVars>
          <dgm:orgChart val="1"/>
          <dgm:chPref val="1"/>
          <dgm:dir/>
          <dgm:animOne val="branch"/>
          <dgm:animLvl val="lvl"/>
          <dgm:resizeHandles/>
        </dgm:presLayoutVars>
      </dgm:prSet>
      <dgm:spPr/>
    </dgm:pt>
    <dgm:pt modelId="{CC64340B-894F-4E9A-ACDB-2CCD72FAE4CF}" type="pres">
      <dgm:prSet presAssocID="{40315A96-5105-43EF-A58B-A3DDA6A0D685}" presName="hierRoot1" presStyleCnt="0">
        <dgm:presLayoutVars>
          <dgm:hierBranch val="init"/>
        </dgm:presLayoutVars>
      </dgm:prSet>
      <dgm:spPr/>
    </dgm:pt>
    <dgm:pt modelId="{A456157E-231A-41BE-B47C-01348569503F}" type="pres">
      <dgm:prSet presAssocID="{40315A96-5105-43EF-A58B-A3DDA6A0D685}" presName="rootComposite1" presStyleCnt="0"/>
      <dgm:spPr/>
    </dgm:pt>
    <dgm:pt modelId="{87C9B49C-F83A-4C90-AC9A-8F81C59C5A5B}" type="pres">
      <dgm:prSet presAssocID="{40315A96-5105-43EF-A58B-A3DDA6A0D685}" presName="rootText1" presStyleLbl="node0" presStyleIdx="0" presStyleCnt="1">
        <dgm:presLayoutVars>
          <dgm:chPref val="3"/>
        </dgm:presLayoutVars>
      </dgm:prSet>
      <dgm:spPr/>
    </dgm:pt>
    <dgm:pt modelId="{079233A6-F43A-4C16-9E77-E6AACFC80E4B}" type="pres">
      <dgm:prSet presAssocID="{40315A96-5105-43EF-A58B-A3DDA6A0D685}" presName="rootConnector1" presStyleLbl="node1" presStyleIdx="0" presStyleCnt="0"/>
      <dgm:spPr/>
    </dgm:pt>
    <dgm:pt modelId="{30B4C588-E6A2-4992-A791-CA00D76832FD}" type="pres">
      <dgm:prSet presAssocID="{40315A96-5105-43EF-A58B-A3DDA6A0D685}" presName="hierChild2" presStyleCnt="0"/>
      <dgm:spPr/>
    </dgm:pt>
    <dgm:pt modelId="{F22513FC-3BB6-45E4-94CC-F4EA5A05420C}" type="pres">
      <dgm:prSet presAssocID="{F6D3F380-17D6-4858-8CCB-55AC5DBB0C81}" presName="Name37" presStyleLbl="parChTrans1D2" presStyleIdx="0" presStyleCnt="3"/>
      <dgm:spPr/>
    </dgm:pt>
    <dgm:pt modelId="{57433DA3-2D56-4623-8154-835BFF2B60A2}" type="pres">
      <dgm:prSet presAssocID="{59AE5E27-8C71-42C4-BE8F-A531FD6B877F}" presName="hierRoot2" presStyleCnt="0">
        <dgm:presLayoutVars>
          <dgm:hierBranch val="init"/>
        </dgm:presLayoutVars>
      </dgm:prSet>
      <dgm:spPr/>
    </dgm:pt>
    <dgm:pt modelId="{6B8365E4-E8F7-4DB7-8EAC-83E8BA77F14B}" type="pres">
      <dgm:prSet presAssocID="{59AE5E27-8C71-42C4-BE8F-A531FD6B877F}" presName="rootComposite" presStyleCnt="0"/>
      <dgm:spPr/>
    </dgm:pt>
    <dgm:pt modelId="{EA84219B-791B-48D7-8254-51010A87ACB6}" type="pres">
      <dgm:prSet presAssocID="{59AE5E27-8C71-42C4-BE8F-A531FD6B877F}" presName="rootText" presStyleLbl="node2" presStyleIdx="0" presStyleCnt="3">
        <dgm:presLayoutVars>
          <dgm:chPref val="3"/>
        </dgm:presLayoutVars>
      </dgm:prSet>
      <dgm:spPr/>
    </dgm:pt>
    <dgm:pt modelId="{3957BA18-6164-43A9-9DC2-8FF906DECB55}" type="pres">
      <dgm:prSet presAssocID="{59AE5E27-8C71-42C4-BE8F-A531FD6B877F}" presName="rootConnector" presStyleLbl="node2" presStyleIdx="0" presStyleCnt="3"/>
      <dgm:spPr/>
    </dgm:pt>
    <dgm:pt modelId="{32FE8D27-77AE-4ACC-A128-936D58D8F95A}" type="pres">
      <dgm:prSet presAssocID="{59AE5E27-8C71-42C4-BE8F-A531FD6B877F}" presName="hierChild4" presStyleCnt="0"/>
      <dgm:spPr/>
    </dgm:pt>
    <dgm:pt modelId="{B18E4E76-87AA-4073-8A25-39A51C6C03D2}" type="pres">
      <dgm:prSet presAssocID="{59AE5E27-8C71-42C4-BE8F-A531FD6B877F}" presName="hierChild5" presStyleCnt="0"/>
      <dgm:spPr/>
    </dgm:pt>
    <dgm:pt modelId="{D7A64DC3-EE71-4D42-8BDF-6B2E59C12384}" type="pres">
      <dgm:prSet presAssocID="{3A39E71D-115C-4FDE-9733-64870E019118}" presName="Name37" presStyleLbl="parChTrans1D2" presStyleIdx="1" presStyleCnt="3"/>
      <dgm:spPr/>
    </dgm:pt>
    <dgm:pt modelId="{99C13941-6CC8-4D97-BF59-8C2FA63B8814}" type="pres">
      <dgm:prSet presAssocID="{92ECA85C-6FB8-431E-9D0D-7E8AC29342E8}" presName="hierRoot2" presStyleCnt="0">
        <dgm:presLayoutVars>
          <dgm:hierBranch val="init"/>
        </dgm:presLayoutVars>
      </dgm:prSet>
      <dgm:spPr/>
    </dgm:pt>
    <dgm:pt modelId="{B42E76AF-1C68-4812-AB74-29588F2AC80B}" type="pres">
      <dgm:prSet presAssocID="{92ECA85C-6FB8-431E-9D0D-7E8AC29342E8}" presName="rootComposite" presStyleCnt="0"/>
      <dgm:spPr/>
    </dgm:pt>
    <dgm:pt modelId="{FDB3B7AD-05D7-4375-AC50-E687D563F21B}" type="pres">
      <dgm:prSet presAssocID="{92ECA85C-6FB8-431E-9D0D-7E8AC29342E8}" presName="rootText" presStyleLbl="node2" presStyleIdx="1" presStyleCnt="3">
        <dgm:presLayoutVars>
          <dgm:chPref val="3"/>
        </dgm:presLayoutVars>
      </dgm:prSet>
      <dgm:spPr/>
    </dgm:pt>
    <dgm:pt modelId="{3DFB7CB6-8DEF-4BAF-B562-3B3EA5AFE05B}" type="pres">
      <dgm:prSet presAssocID="{92ECA85C-6FB8-431E-9D0D-7E8AC29342E8}" presName="rootConnector" presStyleLbl="node2" presStyleIdx="1" presStyleCnt="3"/>
      <dgm:spPr/>
    </dgm:pt>
    <dgm:pt modelId="{2F21B7FB-F8DB-44A8-950F-BA46FA1402D9}" type="pres">
      <dgm:prSet presAssocID="{92ECA85C-6FB8-431E-9D0D-7E8AC29342E8}" presName="hierChild4" presStyleCnt="0"/>
      <dgm:spPr/>
    </dgm:pt>
    <dgm:pt modelId="{56D45CFA-C22E-4C2B-9289-FD864C337AB6}" type="pres">
      <dgm:prSet presAssocID="{92ECA85C-6FB8-431E-9D0D-7E8AC29342E8}" presName="hierChild5" presStyleCnt="0"/>
      <dgm:spPr/>
    </dgm:pt>
    <dgm:pt modelId="{98175481-E63C-44B1-8002-1705CB16559E}" type="pres">
      <dgm:prSet presAssocID="{BA4DA601-07EA-4EC8-AB2E-6C7D2DDB5965}" presName="Name37" presStyleLbl="parChTrans1D2" presStyleIdx="2" presStyleCnt="3"/>
      <dgm:spPr/>
    </dgm:pt>
    <dgm:pt modelId="{682D7285-D532-487E-8DC1-0250134E6A58}" type="pres">
      <dgm:prSet presAssocID="{EC441A2A-C5C7-4621-863A-E430ECC7B5A3}" presName="hierRoot2" presStyleCnt="0">
        <dgm:presLayoutVars>
          <dgm:hierBranch val="init"/>
        </dgm:presLayoutVars>
      </dgm:prSet>
      <dgm:spPr/>
    </dgm:pt>
    <dgm:pt modelId="{E42D6348-E79B-479A-8C55-669B4FE9BFBD}" type="pres">
      <dgm:prSet presAssocID="{EC441A2A-C5C7-4621-863A-E430ECC7B5A3}" presName="rootComposite" presStyleCnt="0"/>
      <dgm:spPr/>
    </dgm:pt>
    <dgm:pt modelId="{24584318-8A50-400B-AC22-4472B307BE1A}" type="pres">
      <dgm:prSet presAssocID="{EC441A2A-C5C7-4621-863A-E430ECC7B5A3}" presName="rootText" presStyleLbl="node2" presStyleIdx="2" presStyleCnt="3">
        <dgm:presLayoutVars>
          <dgm:chPref val="3"/>
        </dgm:presLayoutVars>
      </dgm:prSet>
      <dgm:spPr/>
    </dgm:pt>
    <dgm:pt modelId="{3D93FC11-5AFE-46B8-A92B-70660C7558C3}" type="pres">
      <dgm:prSet presAssocID="{EC441A2A-C5C7-4621-863A-E430ECC7B5A3}" presName="rootConnector" presStyleLbl="node2" presStyleIdx="2" presStyleCnt="3"/>
      <dgm:spPr/>
    </dgm:pt>
    <dgm:pt modelId="{F728B851-DD02-4154-B5F2-6B44AC10ACC3}" type="pres">
      <dgm:prSet presAssocID="{EC441A2A-C5C7-4621-863A-E430ECC7B5A3}" presName="hierChild4" presStyleCnt="0"/>
      <dgm:spPr/>
    </dgm:pt>
    <dgm:pt modelId="{AB4AACDD-FC32-4D13-BE68-2FC1C5F7DABF}" type="pres">
      <dgm:prSet presAssocID="{EC441A2A-C5C7-4621-863A-E430ECC7B5A3}" presName="hierChild5" presStyleCnt="0"/>
      <dgm:spPr/>
    </dgm:pt>
    <dgm:pt modelId="{FEF06396-8ED4-4642-AE31-73E71936BC78}" type="pres">
      <dgm:prSet presAssocID="{40315A96-5105-43EF-A58B-A3DDA6A0D685}" presName="hierChild3" presStyleCnt="0"/>
      <dgm:spPr/>
    </dgm:pt>
  </dgm:ptLst>
  <dgm:cxnLst>
    <dgm:cxn modelId="{9B7C1422-B894-4150-A0AB-780B7815B16C}" type="presOf" srcId="{EC441A2A-C5C7-4621-863A-E430ECC7B5A3}" destId="{24584318-8A50-400B-AC22-4472B307BE1A}" srcOrd="0" destOrd="0" presId="urn:microsoft.com/office/officeart/2005/8/layout/orgChart1#10"/>
    <dgm:cxn modelId="{95B28733-3B9F-4B40-A956-3AA20515CFAD}" type="presOf" srcId="{BA4DA601-07EA-4EC8-AB2E-6C7D2DDB5965}" destId="{98175481-E63C-44B1-8002-1705CB16559E}" srcOrd="0" destOrd="0" presId="urn:microsoft.com/office/officeart/2005/8/layout/orgChart1#10"/>
    <dgm:cxn modelId="{F644C53C-EF52-44FB-8D0E-384251998F0D}" type="presOf" srcId="{92ECA85C-6FB8-431E-9D0D-7E8AC29342E8}" destId="{3DFB7CB6-8DEF-4BAF-B562-3B3EA5AFE05B}" srcOrd="1" destOrd="0" presId="urn:microsoft.com/office/officeart/2005/8/layout/orgChart1#10"/>
    <dgm:cxn modelId="{0BE3BA4C-5460-423B-B8DA-ABE413BD2F87}" type="presOf" srcId="{EC441A2A-C5C7-4621-863A-E430ECC7B5A3}" destId="{3D93FC11-5AFE-46B8-A92B-70660C7558C3}" srcOrd="1" destOrd="0" presId="urn:microsoft.com/office/officeart/2005/8/layout/orgChart1#10"/>
    <dgm:cxn modelId="{887CF251-AEB8-4B5A-8911-59A05C09A350}" type="presOf" srcId="{B44984E0-01AC-4CCC-885C-0933DAE016A6}" destId="{6A74E4AC-2D67-4FC2-A820-2BB34F009344}" srcOrd="0" destOrd="0" presId="urn:microsoft.com/office/officeart/2005/8/layout/orgChart1#10"/>
    <dgm:cxn modelId="{E4196A77-15FF-4028-93FC-F326FDE2EB1B}" srcId="{40315A96-5105-43EF-A58B-A3DDA6A0D685}" destId="{59AE5E27-8C71-42C4-BE8F-A531FD6B877F}" srcOrd="0" destOrd="0" parTransId="{F6D3F380-17D6-4858-8CCB-55AC5DBB0C81}" sibTransId="{8BB9FE63-446C-49AA-892A-5E563F6A147B}"/>
    <dgm:cxn modelId="{FAC49A79-805C-4754-B0C6-36A757356FAF}" type="presOf" srcId="{59AE5E27-8C71-42C4-BE8F-A531FD6B877F}" destId="{EA84219B-791B-48D7-8254-51010A87ACB6}" srcOrd="0" destOrd="0" presId="urn:microsoft.com/office/officeart/2005/8/layout/orgChart1#10"/>
    <dgm:cxn modelId="{30E3D879-6385-481B-A795-E074E59FD36A}" type="presOf" srcId="{40315A96-5105-43EF-A58B-A3DDA6A0D685}" destId="{079233A6-F43A-4C16-9E77-E6AACFC80E4B}" srcOrd="1" destOrd="0" presId="urn:microsoft.com/office/officeart/2005/8/layout/orgChart1#10"/>
    <dgm:cxn modelId="{C7264C83-D9EF-446C-80FB-E96B010ADE6F}" srcId="{40315A96-5105-43EF-A58B-A3DDA6A0D685}" destId="{EC441A2A-C5C7-4621-863A-E430ECC7B5A3}" srcOrd="2" destOrd="0" parTransId="{BA4DA601-07EA-4EC8-AB2E-6C7D2DDB5965}" sibTransId="{329E94F2-2566-48F3-B5B0-BA5B04DFCF3C}"/>
    <dgm:cxn modelId="{80FA2D9C-F93F-40B1-AC3B-E11DE0AE1226}" type="presOf" srcId="{59AE5E27-8C71-42C4-BE8F-A531FD6B877F}" destId="{3957BA18-6164-43A9-9DC2-8FF906DECB55}" srcOrd="1" destOrd="0" presId="urn:microsoft.com/office/officeart/2005/8/layout/orgChart1#10"/>
    <dgm:cxn modelId="{BB3AD8AF-FE9E-4A9B-8CE9-4FE8D3A2308B}" srcId="{40315A96-5105-43EF-A58B-A3DDA6A0D685}" destId="{92ECA85C-6FB8-431E-9D0D-7E8AC29342E8}" srcOrd="1" destOrd="0" parTransId="{3A39E71D-115C-4FDE-9733-64870E019118}" sibTransId="{7AFE21AC-71C1-4AD0-B80B-1CF45F6E2443}"/>
    <dgm:cxn modelId="{AEBE65B9-8BFE-4C20-8B43-B6721C5240FA}" type="presOf" srcId="{40315A96-5105-43EF-A58B-A3DDA6A0D685}" destId="{87C9B49C-F83A-4C90-AC9A-8F81C59C5A5B}" srcOrd="0" destOrd="0" presId="urn:microsoft.com/office/officeart/2005/8/layout/orgChart1#10"/>
    <dgm:cxn modelId="{0DB057CF-D9A8-4B10-8AB9-B6EF495305E1}" type="presOf" srcId="{F6D3F380-17D6-4858-8CCB-55AC5DBB0C81}" destId="{F22513FC-3BB6-45E4-94CC-F4EA5A05420C}" srcOrd="0" destOrd="0" presId="urn:microsoft.com/office/officeart/2005/8/layout/orgChart1#10"/>
    <dgm:cxn modelId="{1ACD8CE3-BD36-4FF1-BEF7-D883ADD106BA}" srcId="{B44984E0-01AC-4CCC-885C-0933DAE016A6}" destId="{40315A96-5105-43EF-A58B-A3DDA6A0D685}" srcOrd="0" destOrd="0" parTransId="{A7814FFD-BED4-4626-85DF-CF43F2542FF3}" sibTransId="{E4FC14BD-F560-4A0B-A7A5-7DAC9456A700}"/>
    <dgm:cxn modelId="{6FA3E4F3-FB82-4996-A8C4-044B991E12F3}" type="presOf" srcId="{92ECA85C-6FB8-431E-9D0D-7E8AC29342E8}" destId="{FDB3B7AD-05D7-4375-AC50-E687D563F21B}" srcOrd="0" destOrd="0" presId="urn:microsoft.com/office/officeart/2005/8/layout/orgChart1#10"/>
    <dgm:cxn modelId="{65A423FD-AAD1-4612-84DF-25221BD5ED6A}" type="presOf" srcId="{3A39E71D-115C-4FDE-9733-64870E019118}" destId="{D7A64DC3-EE71-4D42-8BDF-6B2E59C12384}" srcOrd="0" destOrd="0" presId="urn:microsoft.com/office/officeart/2005/8/layout/orgChart1#10"/>
    <dgm:cxn modelId="{40EE0BB6-5272-4986-B865-CEF1D2E27A2D}" type="presParOf" srcId="{6A74E4AC-2D67-4FC2-A820-2BB34F009344}" destId="{CC64340B-894F-4E9A-ACDB-2CCD72FAE4CF}" srcOrd="0" destOrd="0" presId="urn:microsoft.com/office/officeart/2005/8/layout/orgChart1#10"/>
    <dgm:cxn modelId="{ECB62DCC-A267-452D-AA91-0049AE42D44E}" type="presParOf" srcId="{CC64340B-894F-4E9A-ACDB-2CCD72FAE4CF}" destId="{A456157E-231A-41BE-B47C-01348569503F}" srcOrd="0" destOrd="0" presId="urn:microsoft.com/office/officeart/2005/8/layout/orgChart1#10"/>
    <dgm:cxn modelId="{A7DA8F55-D8AD-419B-B7AF-5C4D56415F87}" type="presParOf" srcId="{A456157E-231A-41BE-B47C-01348569503F}" destId="{87C9B49C-F83A-4C90-AC9A-8F81C59C5A5B}" srcOrd="0" destOrd="0" presId="urn:microsoft.com/office/officeart/2005/8/layout/orgChart1#10"/>
    <dgm:cxn modelId="{18FAD5D8-630A-4EDF-B69F-BAA64798DDF8}" type="presParOf" srcId="{A456157E-231A-41BE-B47C-01348569503F}" destId="{079233A6-F43A-4C16-9E77-E6AACFC80E4B}" srcOrd="1" destOrd="0" presId="urn:microsoft.com/office/officeart/2005/8/layout/orgChart1#10"/>
    <dgm:cxn modelId="{E54915C2-AE00-4960-A852-29B040B22929}" type="presParOf" srcId="{CC64340B-894F-4E9A-ACDB-2CCD72FAE4CF}" destId="{30B4C588-E6A2-4992-A791-CA00D76832FD}" srcOrd="1" destOrd="0" presId="urn:microsoft.com/office/officeart/2005/8/layout/orgChart1#10"/>
    <dgm:cxn modelId="{DEE0E8A1-4406-4584-999C-0BF508475BCD}" type="presParOf" srcId="{30B4C588-E6A2-4992-A791-CA00D76832FD}" destId="{F22513FC-3BB6-45E4-94CC-F4EA5A05420C}" srcOrd="0" destOrd="0" presId="urn:microsoft.com/office/officeart/2005/8/layout/orgChart1#10"/>
    <dgm:cxn modelId="{F42C79FC-C36D-460F-BAF5-796A210567BF}" type="presParOf" srcId="{30B4C588-E6A2-4992-A791-CA00D76832FD}" destId="{57433DA3-2D56-4623-8154-835BFF2B60A2}" srcOrd="1" destOrd="0" presId="urn:microsoft.com/office/officeart/2005/8/layout/orgChart1#10"/>
    <dgm:cxn modelId="{11BF9FD7-C8F7-4C1D-8FE5-4092DC03AC89}" type="presParOf" srcId="{57433DA3-2D56-4623-8154-835BFF2B60A2}" destId="{6B8365E4-E8F7-4DB7-8EAC-83E8BA77F14B}" srcOrd="0" destOrd="0" presId="urn:microsoft.com/office/officeart/2005/8/layout/orgChart1#10"/>
    <dgm:cxn modelId="{09063840-4F5E-4B56-9335-E2A71A400E47}" type="presParOf" srcId="{6B8365E4-E8F7-4DB7-8EAC-83E8BA77F14B}" destId="{EA84219B-791B-48D7-8254-51010A87ACB6}" srcOrd="0" destOrd="0" presId="urn:microsoft.com/office/officeart/2005/8/layout/orgChart1#10"/>
    <dgm:cxn modelId="{1905FBC3-DA51-4D63-9CE7-D4C5A0C8B817}" type="presParOf" srcId="{6B8365E4-E8F7-4DB7-8EAC-83E8BA77F14B}" destId="{3957BA18-6164-43A9-9DC2-8FF906DECB55}" srcOrd="1" destOrd="0" presId="urn:microsoft.com/office/officeart/2005/8/layout/orgChart1#10"/>
    <dgm:cxn modelId="{54FE1E73-D9CC-49F2-A5F8-C44B4695EEB3}" type="presParOf" srcId="{57433DA3-2D56-4623-8154-835BFF2B60A2}" destId="{32FE8D27-77AE-4ACC-A128-936D58D8F95A}" srcOrd="1" destOrd="0" presId="urn:microsoft.com/office/officeart/2005/8/layout/orgChart1#10"/>
    <dgm:cxn modelId="{47312838-7278-49CE-A132-CE0CFD91090E}" type="presParOf" srcId="{57433DA3-2D56-4623-8154-835BFF2B60A2}" destId="{B18E4E76-87AA-4073-8A25-39A51C6C03D2}" srcOrd="2" destOrd="0" presId="urn:microsoft.com/office/officeart/2005/8/layout/orgChart1#10"/>
    <dgm:cxn modelId="{4462E9C6-1BA5-4F06-92BA-A00FC92D8DC3}" type="presParOf" srcId="{30B4C588-E6A2-4992-A791-CA00D76832FD}" destId="{D7A64DC3-EE71-4D42-8BDF-6B2E59C12384}" srcOrd="2" destOrd="0" presId="urn:microsoft.com/office/officeart/2005/8/layout/orgChart1#10"/>
    <dgm:cxn modelId="{31618133-AB81-43C4-B229-77D8EC11528B}" type="presParOf" srcId="{30B4C588-E6A2-4992-A791-CA00D76832FD}" destId="{99C13941-6CC8-4D97-BF59-8C2FA63B8814}" srcOrd="3" destOrd="0" presId="urn:microsoft.com/office/officeart/2005/8/layout/orgChart1#10"/>
    <dgm:cxn modelId="{14771B2C-16C9-458E-9BEC-8ECD55F8318C}" type="presParOf" srcId="{99C13941-6CC8-4D97-BF59-8C2FA63B8814}" destId="{B42E76AF-1C68-4812-AB74-29588F2AC80B}" srcOrd="0" destOrd="0" presId="urn:microsoft.com/office/officeart/2005/8/layout/orgChart1#10"/>
    <dgm:cxn modelId="{4FFA942F-16C9-4CDA-9BD6-78958C3508F1}" type="presParOf" srcId="{B42E76AF-1C68-4812-AB74-29588F2AC80B}" destId="{FDB3B7AD-05D7-4375-AC50-E687D563F21B}" srcOrd="0" destOrd="0" presId="urn:microsoft.com/office/officeart/2005/8/layout/orgChart1#10"/>
    <dgm:cxn modelId="{CB8341B9-049E-4630-929A-BFB795CC3D48}" type="presParOf" srcId="{B42E76AF-1C68-4812-AB74-29588F2AC80B}" destId="{3DFB7CB6-8DEF-4BAF-B562-3B3EA5AFE05B}" srcOrd="1" destOrd="0" presId="urn:microsoft.com/office/officeart/2005/8/layout/orgChart1#10"/>
    <dgm:cxn modelId="{F035986D-0771-4F7F-8475-9AB6DA60C307}" type="presParOf" srcId="{99C13941-6CC8-4D97-BF59-8C2FA63B8814}" destId="{2F21B7FB-F8DB-44A8-950F-BA46FA1402D9}" srcOrd="1" destOrd="0" presId="urn:microsoft.com/office/officeart/2005/8/layout/orgChart1#10"/>
    <dgm:cxn modelId="{EDE54FFE-3A97-496C-9E2F-3A2AA10C42D1}" type="presParOf" srcId="{99C13941-6CC8-4D97-BF59-8C2FA63B8814}" destId="{56D45CFA-C22E-4C2B-9289-FD864C337AB6}" srcOrd="2" destOrd="0" presId="urn:microsoft.com/office/officeart/2005/8/layout/orgChart1#10"/>
    <dgm:cxn modelId="{7E50491D-B380-4117-A485-F57A1921FADB}" type="presParOf" srcId="{30B4C588-E6A2-4992-A791-CA00D76832FD}" destId="{98175481-E63C-44B1-8002-1705CB16559E}" srcOrd="4" destOrd="0" presId="urn:microsoft.com/office/officeart/2005/8/layout/orgChart1#10"/>
    <dgm:cxn modelId="{E23772CD-A178-47B0-B28D-084661FE8523}" type="presParOf" srcId="{30B4C588-E6A2-4992-A791-CA00D76832FD}" destId="{682D7285-D532-487E-8DC1-0250134E6A58}" srcOrd="5" destOrd="0" presId="urn:microsoft.com/office/officeart/2005/8/layout/orgChart1#10"/>
    <dgm:cxn modelId="{8C66C2E3-4B5D-4ED9-BA74-727B6DD22E94}" type="presParOf" srcId="{682D7285-D532-487E-8DC1-0250134E6A58}" destId="{E42D6348-E79B-479A-8C55-669B4FE9BFBD}" srcOrd="0" destOrd="0" presId="urn:microsoft.com/office/officeart/2005/8/layout/orgChart1#10"/>
    <dgm:cxn modelId="{32E78956-7DF4-44BA-8DC1-C4BD95CE00B6}" type="presParOf" srcId="{E42D6348-E79B-479A-8C55-669B4FE9BFBD}" destId="{24584318-8A50-400B-AC22-4472B307BE1A}" srcOrd="0" destOrd="0" presId="urn:microsoft.com/office/officeart/2005/8/layout/orgChart1#10"/>
    <dgm:cxn modelId="{14642AA4-C11B-4BFB-8B11-125EFE95FAFA}" type="presParOf" srcId="{E42D6348-E79B-479A-8C55-669B4FE9BFBD}" destId="{3D93FC11-5AFE-46B8-A92B-70660C7558C3}" srcOrd="1" destOrd="0" presId="urn:microsoft.com/office/officeart/2005/8/layout/orgChart1#10"/>
    <dgm:cxn modelId="{62EC37C9-7A3E-4F23-B2F1-DAA7C423AB45}" type="presParOf" srcId="{682D7285-D532-487E-8DC1-0250134E6A58}" destId="{F728B851-DD02-4154-B5F2-6B44AC10ACC3}" srcOrd="1" destOrd="0" presId="urn:microsoft.com/office/officeart/2005/8/layout/orgChart1#10"/>
    <dgm:cxn modelId="{7D95606F-DF56-43DB-A2B2-A2C77C43633F}" type="presParOf" srcId="{682D7285-D532-487E-8DC1-0250134E6A58}" destId="{AB4AACDD-FC32-4D13-BE68-2FC1C5F7DABF}" srcOrd="2" destOrd="0" presId="urn:microsoft.com/office/officeart/2005/8/layout/orgChart1#10"/>
    <dgm:cxn modelId="{D565ACD0-2D4F-4E19-8D0D-94A53BF1F2B3}" type="presParOf" srcId="{CC64340B-894F-4E9A-ACDB-2CCD72FAE4CF}" destId="{FEF06396-8ED4-4642-AE31-73E71936BC78}" srcOrd="2" destOrd="0" presId="urn:microsoft.com/office/officeart/2005/8/layout/orgChart1#10"/>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C802D9-8B28-433C-919C-E29B4A090D13}">
      <dsp:nvSpPr>
        <dsp:cNvPr id="0" name=""/>
        <dsp:cNvSpPr/>
      </dsp:nvSpPr>
      <dsp:spPr>
        <a:xfrm>
          <a:off x="2606674" y="625933"/>
          <a:ext cx="756562" cy="262608"/>
        </a:xfrm>
        <a:custGeom>
          <a:avLst/>
          <a:gdLst/>
          <a:ahLst/>
          <a:cxnLst/>
          <a:rect l="0" t="0" r="0" b="0"/>
          <a:pathLst>
            <a:path>
              <a:moveTo>
                <a:pt x="0" y="0"/>
              </a:moveTo>
              <a:lnTo>
                <a:pt x="0" y="131304"/>
              </a:lnTo>
              <a:lnTo>
                <a:pt x="756562" y="131304"/>
              </a:lnTo>
              <a:lnTo>
                <a:pt x="756562" y="262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513FC-3BB6-45E4-94CC-F4EA5A05420C}">
      <dsp:nvSpPr>
        <dsp:cNvPr id="0" name=""/>
        <dsp:cNvSpPr/>
      </dsp:nvSpPr>
      <dsp:spPr>
        <a:xfrm>
          <a:off x="1850112" y="625933"/>
          <a:ext cx="756562" cy="262608"/>
        </a:xfrm>
        <a:custGeom>
          <a:avLst/>
          <a:gdLst/>
          <a:ahLst/>
          <a:cxnLst/>
          <a:rect l="0" t="0" r="0" b="0"/>
          <a:pathLst>
            <a:path>
              <a:moveTo>
                <a:pt x="756562" y="0"/>
              </a:moveTo>
              <a:lnTo>
                <a:pt x="756562" y="131304"/>
              </a:lnTo>
              <a:lnTo>
                <a:pt x="0" y="131304"/>
              </a:lnTo>
              <a:lnTo>
                <a:pt x="0" y="262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9B49C-F83A-4C90-AC9A-8F81C59C5A5B}">
      <dsp:nvSpPr>
        <dsp:cNvPr id="0" name=""/>
        <dsp:cNvSpPr/>
      </dsp:nvSpPr>
      <dsp:spPr>
        <a:xfrm>
          <a:off x="1981416" y="674"/>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kern="1200"/>
            <a:t>安监环保</a:t>
          </a:r>
        </a:p>
      </dsp:txBody>
      <dsp:txXfrm>
        <a:off x="1981416" y="674"/>
        <a:ext cx="1250516" cy="625258"/>
      </dsp:txXfrm>
    </dsp:sp>
    <dsp:sp modelId="{EA84219B-791B-48D7-8254-51010A87ACB6}">
      <dsp:nvSpPr>
        <dsp:cNvPr id="0" name=""/>
        <dsp:cNvSpPr/>
      </dsp:nvSpPr>
      <dsp:spPr>
        <a:xfrm>
          <a:off x="1224854" y="888541"/>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kern="1200" baseline="0"/>
            <a:t>安全监测</a:t>
          </a:r>
        </a:p>
      </dsp:txBody>
      <dsp:txXfrm>
        <a:off x="1224854" y="888541"/>
        <a:ext cx="1250516" cy="625258"/>
      </dsp:txXfrm>
    </dsp:sp>
    <dsp:sp modelId="{490F2747-2413-4C99-B63E-BB3E5F6E7790}">
      <dsp:nvSpPr>
        <dsp:cNvPr id="0" name=""/>
        <dsp:cNvSpPr/>
      </dsp:nvSpPr>
      <dsp:spPr>
        <a:xfrm>
          <a:off x="2737979" y="888541"/>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kern="1200" baseline="0"/>
            <a:t>环境监测</a:t>
          </a:r>
        </a:p>
      </dsp:txBody>
      <dsp:txXfrm>
        <a:off x="2737979" y="888541"/>
        <a:ext cx="1250516" cy="6252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75481-E63C-44B1-8002-1705CB16559E}">
      <dsp:nvSpPr>
        <dsp:cNvPr id="0" name=""/>
        <dsp:cNvSpPr/>
      </dsp:nvSpPr>
      <dsp:spPr>
        <a:xfrm>
          <a:off x="2606674" y="625933"/>
          <a:ext cx="1513125" cy="262608"/>
        </a:xfrm>
        <a:custGeom>
          <a:avLst/>
          <a:gdLst/>
          <a:ahLst/>
          <a:cxnLst/>
          <a:rect l="0" t="0" r="0" b="0"/>
          <a:pathLst>
            <a:path>
              <a:moveTo>
                <a:pt x="0" y="0"/>
              </a:moveTo>
              <a:lnTo>
                <a:pt x="0" y="131304"/>
              </a:lnTo>
              <a:lnTo>
                <a:pt x="1513125" y="131304"/>
              </a:lnTo>
              <a:lnTo>
                <a:pt x="1513125" y="262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A64DC3-EE71-4D42-8BDF-6B2E59C12384}">
      <dsp:nvSpPr>
        <dsp:cNvPr id="0" name=""/>
        <dsp:cNvSpPr/>
      </dsp:nvSpPr>
      <dsp:spPr>
        <a:xfrm>
          <a:off x="2560955" y="625933"/>
          <a:ext cx="91440" cy="262608"/>
        </a:xfrm>
        <a:custGeom>
          <a:avLst/>
          <a:gdLst/>
          <a:ahLst/>
          <a:cxnLst/>
          <a:rect l="0" t="0" r="0" b="0"/>
          <a:pathLst>
            <a:path>
              <a:moveTo>
                <a:pt x="45720" y="0"/>
              </a:moveTo>
              <a:lnTo>
                <a:pt x="45720" y="262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513FC-3BB6-45E4-94CC-F4EA5A05420C}">
      <dsp:nvSpPr>
        <dsp:cNvPr id="0" name=""/>
        <dsp:cNvSpPr/>
      </dsp:nvSpPr>
      <dsp:spPr>
        <a:xfrm>
          <a:off x="1093549" y="625933"/>
          <a:ext cx="1513125" cy="262608"/>
        </a:xfrm>
        <a:custGeom>
          <a:avLst/>
          <a:gdLst/>
          <a:ahLst/>
          <a:cxnLst/>
          <a:rect l="0" t="0" r="0" b="0"/>
          <a:pathLst>
            <a:path>
              <a:moveTo>
                <a:pt x="1513125" y="0"/>
              </a:moveTo>
              <a:lnTo>
                <a:pt x="1513125" y="131304"/>
              </a:lnTo>
              <a:lnTo>
                <a:pt x="0" y="131304"/>
              </a:lnTo>
              <a:lnTo>
                <a:pt x="0" y="2626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C9B49C-F83A-4C90-AC9A-8F81C59C5A5B}">
      <dsp:nvSpPr>
        <dsp:cNvPr id="0" name=""/>
        <dsp:cNvSpPr/>
      </dsp:nvSpPr>
      <dsp:spPr>
        <a:xfrm>
          <a:off x="1981416" y="674"/>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100000"/>
            </a:lnSpc>
            <a:spcBef>
              <a:spcPct val="0"/>
            </a:spcBef>
            <a:spcAft>
              <a:spcPct val="35000"/>
            </a:spcAft>
            <a:buNone/>
          </a:pPr>
          <a:r>
            <a:rPr lang="zh-CN" altLang="en-US" sz="2400" kern="1200"/>
            <a:t>经济分析</a:t>
          </a:r>
        </a:p>
      </dsp:txBody>
      <dsp:txXfrm>
        <a:off x="1981416" y="674"/>
        <a:ext cx="1250516" cy="625258"/>
      </dsp:txXfrm>
    </dsp:sp>
    <dsp:sp modelId="{EA84219B-791B-48D7-8254-51010A87ACB6}">
      <dsp:nvSpPr>
        <dsp:cNvPr id="0" name=""/>
        <dsp:cNvSpPr/>
      </dsp:nvSpPr>
      <dsp:spPr>
        <a:xfrm>
          <a:off x="468291" y="888541"/>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zh-CN" sz="1200" kern="1200"/>
            <a:t>园区经济总量</a:t>
          </a:r>
        </a:p>
      </dsp:txBody>
      <dsp:txXfrm>
        <a:off x="468291" y="888541"/>
        <a:ext cx="1250516" cy="625258"/>
      </dsp:txXfrm>
    </dsp:sp>
    <dsp:sp modelId="{FDB3B7AD-05D7-4375-AC50-E687D563F21B}">
      <dsp:nvSpPr>
        <dsp:cNvPr id="0" name=""/>
        <dsp:cNvSpPr/>
      </dsp:nvSpPr>
      <dsp:spPr>
        <a:xfrm>
          <a:off x="1981416" y="888541"/>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开放创新能力</a:t>
          </a:r>
        </a:p>
      </dsp:txBody>
      <dsp:txXfrm>
        <a:off x="1981416" y="888541"/>
        <a:ext cx="1250516" cy="625258"/>
      </dsp:txXfrm>
    </dsp:sp>
    <dsp:sp modelId="{24584318-8A50-400B-AC22-4472B307BE1A}">
      <dsp:nvSpPr>
        <dsp:cNvPr id="0" name=""/>
        <dsp:cNvSpPr/>
      </dsp:nvSpPr>
      <dsp:spPr>
        <a:xfrm>
          <a:off x="3494541" y="888541"/>
          <a:ext cx="1250516" cy="6252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zh-CN" altLang="en-US" sz="1200" kern="1200"/>
            <a:t>长沙发展态势</a:t>
          </a:r>
        </a:p>
      </dsp:txBody>
      <dsp:txXfrm>
        <a:off x="3494541" y="888541"/>
        <a:ext cx="1250516" cy="62525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10">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A52830-6F75-4A86-B518-58951CDA0BCF}">
  <ds:schemaRefs/>
</ds:datastoreItem>
</file>

<file path=docProps/app.xml><?xml version="1.0" encoding="utf-8"?>
<Properties xmlns="http://schemas.openxmlformats.org/officeDocument/2006/extended-properties" xmlns:vt="http://schemas.openxmlformats.org/officeDocument/2006/docPropsVTypes">
  <Template>Normal.dotm</Template>
  <Pages>29</Pages>
  <Words>903</Words>
  <Characters>5151</Characters>
  <Lines>42</Lines>
  <Paragraphs>12</Paragraphs>
  <TotalTime>85</TotalTime>
  <ScaleCrop>false</ScaleCrop>
  <LinksUpToDate>false</LinksUpToDate>
  <CharactersWithSpaces>6042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何世星</cp:lastModifiedBy>
  <dcterms:modified xsi:type="dcterms:W3CDTF">2021-04-22T09:26:56Z</dcterms:modified>
  <cp:revision>434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D421C488E1A248F4BDABF7E8F7102443</vt:lpwstr>
  </property>
</Properties>
</file>