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/>
        <w:jc w:val="center"/>
        <w:rPr>
          <w:rFonts w:ascii="方正粗黑宋简体" w:hAnsi="方正粗黑宋简体" w:eastAsia="方正粗黑宋简体"/>
          <w:color w:val="203864" w:themeColor="accent1" w:themeShade="80"/>
          <w:sz w:val="52"/>
          <w:szCs w:val="52"/>
        </w:rPr>
      </w:pPr>
      <w:bookmarkStart w:id="4" w:name="_GoBack"/>
      <w:bookmarkEnd w:id="4"/>
      <w:bookmarkStart w:id="0" w:name="_Toc19975099"/>
      <w:bookmarkStart w:id="1" w:name="_Toc60203290"/>
      <w:r>
        <w:rPr>
          <w:rFonts w:hint="eastAsia" w:ascii="方正粗黑宋简体" w:hAnsi="方正粗黑宋简体" w:eastAsia="方正粗黑宋简体"/>
          <w:color w:val="203864" w:themeColor="accent1" w:themeShade="80"/>
          <w:sz w:val="52"/>
          <w:szCs w:val="52"/>
        </w:rPr>
        <w:t>智慧制造生产管理系统使用指南</w:t>
      </w:r>
    </w:p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一、部署后需要开放的端口号</w:t>
      </w:r>
    </w:p>
    <w:p>
      <w:pPr>
        <w:pStyle w:val="2"/>
        <w:numPr>
          <w:ilvl w:val="0"/>
          <w:numId w:val="1"/>
        </w:numPr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服务端：8</w:t>
      </w:r>
      <w:r>
        <w:rPr>
          <w:rFonts w:ascii="STZhongsong" w:hAnsi="STZhongsong" w:eastAsia="STZhongsong"/>
          <w:sz w:val="21"/>
          <w:szCs w:val="21"/>
        </w:rPr>
        <w:t>0</w:t>
      </w:r>
      <w:r>
        <w:rPr>
          <w:rFonts w:hint="eastAsia" w:ascii="STZhongsong" w:hAnsi="STZhongsong" w:eastAsia="STZhongsong"/>
          <w:sz w:val="21"/>
          <w:szCs w:val="21"/>
        </w:rPr>
        <w:t>、8</w:t>
      </w:r>
      <w:r>
        <w:rPr>
          <w:rFonts w:ascii="STZhongsong" w:hAnsi="STZhongsong" w:eastAsia="STZhongsong"/>
          <w:sz w:val="21"/>
          <w:szCs w:val="21"/>
        </w:rPr>
        <w:t xml:space="preserve">080 </w:t>
      </w:r>
      <w:r>
        <w:rPr>
          <w:rFonts w:hint="eastAsia" w:ascii="STZhongsong" w:hAnsi="STZhongsong" w:eastAsia="STZhongsong"/>
          <w:sz w:val="21"/>
          <w:szCs w:val="21"/>
        </w:rPr>
        <w:t>、授权服务：3</w:t>
      </w:r>
      <w:r>
        <w:rPr>
          <w:rFonts w:ascii="STZhongsong" w:hAnsi="STZhongsong" w:eastAsia="STZhongsong"/>
          <w:sz w:val="21"/>
          <w:szCs w:val="21"/>
        </w:rPr>
        <w:t>000</w:t>
      </w:r>
      <w:r>
        <w:rPr>
          <w:rFonts w:hint="eastAsia" w:ascii="STZhongsong" w:hAnsi="STZhongsong" w:eastAsia="STZhongsong"/>
          <w:sz w:val="21"/>
          <w:szCs w:val="21"/>
        </w:rPr>
        <w:t>、图形化代码生成：5</w:t>
      </w:r>
      <w:r>
        <w:rPr>
          <w:rFonts w:ascii="STZhongsong" w:hAnsi="STZhongsong" w:eastAsia="STZhongsong"/>
          <w:sz w:val="21"/>
          <w:szCs w:val="21"/>
        </w:rPr>
        <w:t>003</w:t>
      </w:r>
      <w:r>
        <w:rPr>
          <w:rFonts w:hint="eastAsia" w:ascii="STZhongsong" w:hAnsi="STZhongsong" w:eastAsia="STZhongsong"/>
          <w:sz w:val="21"/>
          <w:szCs w:val="21"/>
        </w:rPr>
        <w:t>、注册中心：8</w:t>
      </w:r>
      <w:r>
        <w:rPr>
          <w:rFonts w:ascii="STZhongsong" w:hAnsi="STZhongsong" w:eastAsia="STZhongsong"/>
          <w:sz w:val="21"/>
          <w:szCs w:val="21"/>
        </w:rPr>
        <w:t>848</w:t>
      </w:r>
      <w:r>
        <w:rPr>
          <w:rFonts w:hint="eastAsia" w:ascii="STZhongsong" w:hAnsi="STZhongsong" w:eastAsia="STZhongsong"/>
          <w:sz w:val="21"/>
          <w:szCs w:val="21"/>
        </w:rPr>
        <w:t>、tomcat：8</w:t>
      </w:r>
      <w:r>
        <w:rPr>
          <w:rFonts w:ascii="STZhongsong" w:hAnsi="STZhongsong" w:eastAsia="STZhongsong"/>
          <w:sz w:val="21"/>
          <w:szCs w:val="21"/>
        </w:rPr>
        <w:t>001</w:t>
      </w:r>
      <w:r>
        <w:rPr>
          <w:rFonts w:hint="eastAsia" w:ascii="STZhongsong" w:hAnsi="STZhongsong" w:eastAsia="STZhongsong"/>
          <w:sz w:val="21"/>
          <w:szCs w:val="21"/>
        </w:rPr>
        <w:t>、系统模块：9</w:t>
      </w:r>
      <w:r>
        <w:rPr>
          <w:rFonts w:ascii="STZhongsong" w:hAnsi="STZhongsong" w:eastAsia="STZhongsong"/>
          <w:sz w:val="21"/>
          <w:szCs w:val="21"/>
        </w:rPr>
        <w:t>201</w:t>
      </w:r>
    </w:p>
    <w:p>
      <w:pPr>
        <w:pStyle w:val="2"/>
        <w:numPr>
          <w:ilvl w:val="0"/>
          <w:numId w:val="1"/>
        </w:numPr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MySQL数据库：3</w:t>
      </w:r>
      <w:r>
        <w:rPr>
          <w:rFonts w:ascii="STZhongsong" w:hAnsi="STZhongsong" w:eastAsia="STZhongsong"/>
          <w:sz w:val="21"/>
          <w:szCs w:val="21"/>
        </w:rPr>
        <w:t>306</w:t>
      </w:r>
      <w:r>
        <w:rPr>
          <w:rFonts w:hint="eastAsia" w:ascii="STZhongsong" w:hAnsi="STZhongsong" w:eastAsia="STZhongsong"/>
          <w:sz w:val="21"/>
          <w:szCs w:val="21"/>
        </w:rPr>
        <w:t>、redis数据库：6</w:t>
      </w:r>
      <w:r>
        <w:rPr>
          <w:rFonts w:ascii="STZhongsong" w:hAnsi="STZhongsong" w:eastAsia="STZhongsong"/>
          <w:sz w:val="21"/>
          <w:szCs w:val="21"/>
        </w:rPr>
        <w:t>379</w:t>
      </w:r>
    </w:p>
    <w:p>
      <w:pPr>
        <w:pStyle w:val="2"/>
        <w:numPr>
          <w:ilvl w:val="0"/>
          <w:numId w:val="1"/>
        </w:numPr>
        <w:jc w:val="both"/>
        <w:rPr>
          <w:rFonts w:hint="eastAsia"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网关：9</w:t>
      </w:r>
      <w:r>
        <w:rPr>
          <w:rFonts w:ascii="STZhongsong" w:hAnsi="STZhongsong" w:eastAsia="STZhongsong"/>
          <w:sz w:val="21"/>
          <w:szCs w:val="21"/>
        </w:rPr>
        <w:t>999</w:t>
      </w:r>
    </w:p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二、登录系统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部署：1、</w:t>
      </w:r>
      <w:r>
        <w:rPr>
          <w:rFonts w:ascii="STZhongsong" w:hAnsi="STZhongsong" w:eastAsia="STZhongsong"/>
          <w:sz w:val="21"/>
          <w:szCs w:val="21"/>
        </w:rPr>
        <w:t>jar部署方式</w:t>
      </w:r>
    </w:p>
    <w:p>
      <w:pPr>
        <w:pStyle w:val="2"/>
        <w:ind w:left="420" w:firstLine="42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ascii="STZhongsong" w:hAnsi="STZhongsong" w:eastAsia="STZhongsong"/>
          <w:sz w:val="21"/>
          <w:szCs w:val="21"/>
        </w:rPr>
        <w:t>使用命令行执行：java –jar ruoyi.jar 或者执行脚本：ruoyi/bin/run.bat</w:t>
      </w:r>
    </w:p>
    <w:p>
      <w:pPr>
        <w:pStyle w:val="2"/>
        <w:numPr>
          <w:ilvl w:val="0"/>
          <w:numId w:val="2"/>
        </w:numPr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ascii="STZhongsong" w:hAnsi="STZhongsong" w:eastAsia="STZhongsong"/>
          <w:sz w:val="21"/>
          <w:szCs w:val="21"/>
        </w:rPr>
        <w:t>war部署方式</w:t>
      </w:r>
    </w:p>
    <w:p>
      <w:pPr>
        <w:pStyle w:val="2"/>
        <w:ind w:left="420" w:firstLine="36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ascii="STZhongsong" w:hAnsi="STZhongsong" w:eastAsia="STZhongsong"/>
          <w:sz w:val="21"/>
          <w:szCs w:val="21"/>
        </w:rPr>
        <w:t>ruoyi/pom.xml中的packaging修改为war，放入tomcat服务器webapps</w:t>
      </w:r>
    </w:p>
    <w:p>
      <w:pPr>
        <w:pStyle w:val="2"/>
        <w:numPr>
          <w:ilvl w:val="0"/>
          <w:numId w:val="2"/>
        </w:numPr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打包前端环境</w:t>
      </w:r>
    </w:p>
    <w:p>
      <w:pPr>
        <w:pStyle w:val="2"/>
        <w:ind w:left="99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npm</w:t>
      </w:r>
      <w:r>
        <w:rPr>
          <w:rFonts w:ascii="STZhongsong" w:hAnsi="STZhongsong" w:eastAsia="STZhongsong"/>
          <w:sz w:val="21"/>
          <w:szCs w:val="21"/>
        </w:rPr>
        <w:t xml:space="preserve"> run build:prod</w:t>
      </w:r>
    </w:p>
    <w:p>
      <w:pPr>
        <w:pStyle w:val="2"/>
        <w:ind w:left="990"/>
        <w:jc w:val="both"/>
        <w:rPr>
          <w:rFonts w:hint="eastAsia"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构建打包成功之后，会在根目录生成</w:t>
      </w:r>
      <w:r>
        <w:rPr>
          <w:rFonts w:ascii="STZhongsong" w:hAnsi="STZhongsong" w:eastAsia="STZhongsong"/>
          <w:sz w:val="21"/>
          <w:szCs w:val="21"/>
        </w:rPr>
        <w:t xml:space="preserve"> dist 文件夹，里面就是构建打包好的文件，通常是 ***.js 、***.css、index.html 等静态文件。</w:t>
      </w:r>
      <w:r>
        <w:rPr>
          <w:rFonts w:hint="eastAsia" w:ascii="STZhongsong" w:hAnsi="STZhongsong" w:eastAsia="STZhongsong"/>
          <w:sz w:val="21"/>
          <w:szCs w:val="21"/>
        </w:rPr>
        <w:t>通常情况下</w:t>
      </w:r>
      <w:r>
        <w:rPr>
          <w:rFonts w:ascii="STZhongsong" w:hAnsi="STZhongsong" w:eastAsia="STZhongsong"/>
          <w:sz w:val="21"/>
          <w:szCs w:val="21"/>
        </w:rPr>
        <w:t xml:space="preserve"> dist 文件夹的静态文件发布到你的 nginx 或者静态服务器即可，其中的 index.html 是后台服务的入口页面。</w:t>
      </w:r>
    </w:p>
    <w:p>
      <w:pPr>
        <w:pStyle w:val="2"/>
        <w:ind w:left="0"/>
        <w:jc w:val="both"/>
        <w:rPr>
          <w:rFonts w:hint="eastAsia" w:ascii="方正粗黑宋简体" w:hAnsi="方正粗黑宋简体" w:eastAsia="方正粗黑宋简体"/>
          <w:sz w:val="28"/>
          <w:szCs w:val="28"/>
        </w:rPr>
      </w:pPr>
      <w:r>
        <w:rPr>
          <w:rFonts w:ascii="方正粗黑宋简体" w:hAnsi="方正粗黑宋简体" w:eastAsia="方正粗黑宋简体"/>
          <w:sz w:val="28"/>
          <w:szCs w:val="28"/>
        </w:rPr>
        <w:tab/>
      </w:r>
      <w:r>
        <w:rPr>
          <w:rFonts w:ascii="方正粗黑宋简体" w:hAnsi="方正粗黑宋简体" w:eastAsia="方正粗黑宋简体"/>
          <w:sz w:val="28"/>
          <w:szCs w:val="28"/>
        </w:rPr>
        <w:t xml:space="preserve">  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操作：1、输入账号、密码以及验证码（账号密码：a</w:t>
      </w:r>
      <w:r>
        <w:rPr>
          <w:rFonts w:ascii="STZhongsong" w:hAnsi="STZhongsong" w:eastAsia="STZhongsong"/>
          <w:sz w:val="21"/>
          <w:szCs w:val="21"/>
        </w:rPr>
        <w:t>dmin/admin123</w:t>
      </w:r>
      <w:r>
        <w:rPr>
          <w:rFonts w:hint="eastAsia" w:ascii="STZhongsong" w:hAnsi="STZhongsong" w:eastAsia="STZhongsong"/>
          <w:sz w:val="21"/>
          <w:szCs w:val="21"/>
        </w:rPr>
        <w:t>）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ascii="STZhongsong" w:hAnsi="STZhongsong" w:eastAsia="STZhongsong"/>
          <w:sz w:val="21"/>
          <w:szCs w:val="21"/>
        </w:rPr>
        <w:t xml:space="preserve">      2</w:t>
      </w:r>
      <w:r>
        <w:rPr>
          <w:rFonts w:hint="eastAsia" w:ascii="STZhongsong" w:hAnsi="STZhongsong" w:eastAsia="STZhongsong"/>
          <w:sz w:val="21"/>
          <w:szCs w:val="21"/>
        </w:rPr>
        <w:t>、点击登录</w:t>
      </w:r>
    </w:p>
    <w:p>
      <w:r>
        <w:drawing>
          <wp:inline distT="0" distB="0" distL="0" distR="0">
            <wp:extent cx="9321800" cy="4572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二、首页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操作：1、登录后进入【首页】界面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ascii="STZhongsong" w:hAnsi="STZhongsong" w:eastAsia="STZhongsong"/>
          <w:sz w:val="21"/>
          <w:szCs w:val="21"/>
        </w:rPr>
        <w:t xml:space="preserve">      2</w:t>
      </w:r>
      <w:r>
        <w:rPr>
          <w:rFonts w:hint="eastAsia" w:ascii="STZhongsong" w:hAnsi="STZhongsong" w:eastAsia="STZhongsong"/>
          <w:sz w:val="21"/>
          <w:szCs w:val="21"/>
        </w:rPr>
        <w:t>、左列为菜单栏，包含【</w:t>
      </w:r>
      <w:bookmarkStart w:id="2" w:name="_Hlk69371895"/>
      <w:r>
        <w:rPr>
          <w:rFonts w:hint="eastAsia" w:ascii="STZhongsong" w:hAnsi="STZhongsong" w:eastAsia="STZhongsong"/>
          <w:sz w:val="21"/>
          <w:szCs w:val="21"/>
        </w:rPr>
        <w:t>工厂基础数据</w:t>
      </w:r>
      <w:bookmarkEnd w:id="2"/>
      <w:r>
        <w:rPr>
          <w:rFonts w:hint="eastAsia" w:ascii="STZhongsong" w:hAnsi="STZhongsong" w:eastAsia="STZhongsong"/>
          <w:sz w:val="21"/>
          <w:szCs w:val="21"/>
        </w:rPr>
        <w:t>】、【物料条码管理】、【生产计划管理】、【生产过程控制】、【产品质量管理】、【条码中心】、【车间库存管理】、【数据看板分析】、【系统基础管理】。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、白底主体部分可查看【访客】、【消息】、【金额】、【订单】具体数额与曲线变化。下滑查看六边形、扇形和条形统计图。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4</w:t>
      </w:r>
      <w:r>
        <w:rPr>
          <w:rFonts w:hint="eastAsia" w:ascii="STZhongsong" w:hAnsi="STZhongsong" w:eastAsia="STZhongsong"/>
          <w:sz w:val="21"/>
          <w:szCs w:val="21"/>
        </w:rPr>
        <w:t>、右上方提供【搜索】、改变【布局大小】、进入【个人中心】、【布局设置】、【退出登录】等功能。</w:t>
      </w:r>
    </w:p>
    <w:p>
      <w:pPr>
        <w:jc w:val="center"/>
      </w:pPr>
      <w:r>
        <w:drawing>
          <wp:inline distT="0" distB="0" distL="0" distR="0">
            <wp:extent cx="9325610" cy="4575175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drawing>
          <wp:inline distT="0" distB="0" distL="0" distR="0">
            <wp:extent cx="9325610" cy="4575175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三、工厂基础数据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操作：1、点击左侧菜单栏【工厂基础数据】查看子菜单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、分别点击子菜单可进入相应界面查看数据。如图示例【物料管理】。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、点击界面上方矩形框可进行精准搜索。</w:t>
      </w:r>
    </w:p>
    <w:p>
      <w:r>
        <w:drawing>
          <wp:inline distT="0" distB="0" distL="0" distR="0">
            <wp:extent cx="9325610" cy="4575175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四、物料条码管理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操作：1、点击左侧菜单栏【物料条码管理】查看子菜单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、分别点击子菜单可进入相应界面查看数据。如图示例【物料条码明细】。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、点击界面上方矩形框可进行精准搜索。</w:t>
      </w:r>
    </w:p>
    <w:p>
      <w:pPr>
        <w:pStyle w:val="2"/>
        <w:ind w:left="0"/>
        <w:jc w:val="both"/>
        <w:rPr>
          <w:rFonts w:ascii="STZhongsong" w:hAnsi="STZhongsong" w:eastAsia="STZhongsong"/>
          <w:sz w:val="28"/>
          <w:szCs w:val="28"/>
        </w:rPr>
      </w:pPr>
    </w:p>
    <w:p>
      <w:r>
        <w:drawing>
          <wp:inline distT="0" distB="0" distL="0" distR="0">
            <wp:extent cx="9325610" cy="457517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五、生产计划管理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操作：1、点击左侧菜单栏【生产计划管理】查看子菜单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、分别点击子菜单可进入相应界面查看数据。如图示例【生产计划】。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、点击界面上方矩形框可进行精准搜索。</w:t>
      </w:r>
    </w:p>
    <w:p>
      <w:r>
        <w:drawing>
          <wp:inline distT="0" distB="0" distL="0" distR="0">
            <wp:extent cx="9325610" cy="457517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六、生产过程控制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操作：1、点击左侧菜单栏【生产过程控制】查看子菜单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、分别点击子菜单可进入相应界面查看数据。如图示例【包装通知单】。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、点击界面上方矩形框可进行精准搜索。</w:t>
      </w:r>
    </w:p>
    <w:p>
      <w:r>
        <w:drawing>
          <wp:inline distT="0" distB="0" distL="0" distR="0">
            <wp:extent cx="9325610" cy="4575175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七、生产过程控制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操作：1、点击左侧菜单栏【生产过程控制】查看相应界面（图示空白界面表示暂无数据）</w:t>
      </w:r>
    </w:p>
    <w:p>
      <w:r>
        <w:drawing>
          <wp:inline distT="0" distB="0" distL="0" distR="0">
            <wp:extent cx="9325610" cy="457517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八、条码中心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操作：1、点击左侧菜单栏【条码中心】查看子菜单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、分别点击子菜单可进入相应界面查看数据。如图示例【条码方案】。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、点击界面上方矩形框可进行精准搜索。</w:t>
      </w:r>
    </w:p>
    <w:p>
      <w:r>
        <w:drawing>
          <wp:inline distT="0" distB="0" distL="0" distR="0">
            <wp:extent cx="9325610" cy="457517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九、车间库存管理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操作：1、点击左侧菜单栏【车间库存管理】查看二级菜单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、分别点击二级菜单可进入三级菜单相应界面查看数据。如图示例【发泡扫描管理】——【发泡料入库扫描】。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、点击界面上方矩形框可进行精准搜索。</w:t>
      </w:r>
    </w:p>
    <w:p>
      <w:r>
        <w:drawing>
          <wp:inline distT="0" distB="0" distL="0" distR="0">
            <wp:extent cx="9325610" cy="457517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9325610" cy="457517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十、数据看板分析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操作：1、点击左侧菜单栏【数据看板分析】查看子菜单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、分别点击子菜单相应界面查看数据。如图示例【料罐看板】、【车间生产看板】。</w:t>
      </w:r>
    </w:p>
    <w:p>
      <w:pPr>
        <w:pStyle w:val="2"/>
        <w:ind w:left="0"/>
        <w:jc w:val="both"/>
        <w:rPr>
          <w:rFonts w:ascii="STZhongsong" w:hAnsi="STZhongsong" w:eastAsia="STZhongsong"/>
          <w:sz w:val="28"/>
          <w:szCs w:val="28"/>
        </w:rPr>
      </w:pPr>
      <w:r>
        <w:rPr>
          <w:rFonts w:hint="eastAsia" w:ascii="STZhongsong" w:hAnsi="STZhongsong" w:eastAsia="STZhongsong"/>
          <w:sz w:val="28"/>
          <w:szCs w:val="28"/>
        </w:rPr>
        <w:drawing>
          <wp:inline distT="0" distB="0" distL="0" distR="0">
            <wp:extent cx="9325610" cy="4279265"/>
            <wp:effectExtent l="0" t="0" r="889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9325610" cy="5177790"/>
            <wp:effectExtent l="0" t="0" r="889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十一、系统基础管理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操作：1、点击左侧菜单栏【系统基础管理】查看子菜单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、分别点击子菜单可进入相应界面查看数据。如图示例【编码配置】。</w:t>
      </w:r>
    </w:p>
    <w:p>
      <w:pPr>
        <w:pStyle w:val="2"/>
        <w:ind w:left="0" w:firstLine="630" w:firstLineChars="30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ascii="STZhongsong" w:hAnsi="STZhongsong" w:eastAsia="STZhongsong"/>
          <w:sz w:val="21"/>
          <w:szCs w:val="21"/>
        </w:rPr>
        <w:t>3</w:t>
      </w:r>
      <w:r>
        <w:rPr>
          <w:rFonts w:hint="eastAsia" w:ascii="STZhongsong" w:hAnsi="STZhongsong" w:eastAsia="STZhongsong"/>
          <w:sz w:val="21"/>
          <w:szCs w:val="21"/>
        </w:rPr>
        <w:t>、点击界面上方矩形框可进行精准搜索。</w:t>
      </w:r>
    </w:p>
    <w:p>
      <w:r>
        <w:drawing>
          <wp:inline distT="0" distB="0" distL="0" distR="0">
            <wp:extent cx="9325610" cy="4279265"/>
            <wp:effectExtent l="0" t="0" r="889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十二、系统监控管理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操作：1、点击左侧菜单栏【系统监控管理】查看子菜单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、分别点击子菜单可进入相应界面查看数据。如图示例【在线用户】。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、点击界面上方矩形框可进行精准搜索。</w:t>
      </w:r>
    </w:p>
    <w:p>
      <w:r>
        <w:drawing>
          <wp:inline distT="0" distB="0" distL="0" distR="0">
            <wp:extent cx="9325610" cy="4279265"/>
            <wp:effectExtent l="0" t="0" r="889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十三、系统工具管理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操作：1、点击左侧菜单栏【系统工具管理】查看子菜单</w:t>
      </w:r>
    </w:p>
    <w:p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、分别点击子菜单可进入相应界面，可进行【表单构建】、【代码生成】、【系统接口】的设置。</w:t>
      </w:r>
    </w:p>
    <w:p>
      <w:r>
        <w:drawing>
          <wp:inline distT="0" distB="0" distL="0" distR="0">
            <wp:extent cx="9325610" cy="4279265"/>
            <wp:effectExtent l="0" t="0" r="889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9325610" cy="4279265"/>
            <wp:effectExtent l="0" t="0" r="889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9325610" cy="427926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first"/>
      <w:headerReference r:id="rId3" w:type="default"/>
      <w:footerReference r:id="rId4" w:type="default"/>
      <w:footerReference r:id="rId5" w:type="even"/>
      <w:pgSz w:w="16840" w:h="11907" w:orient="landscape"/>
      <w:pgMar w:top="720" w:right="720" w:bottom="720" w:left="1077" w:header="431" w:footer="431" w:gutter="357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Book Antiqua">
    <w:altName w:val="Segoe Print"/>
    <w:panose1 w:val="00000000000000000000"/>
    <w:charset w:val="00"/>
    <w:family w:val="roman"/>
    <w:pitch w:val="default"/>
    <w:sig w:usb0="00000000" w:usb1="00000000" w:usb2="00000000" w:usb3="00000000" w:csb0="000000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TZhongsong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b/>
        <w:b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8</w:t>
    </w:r>
    <w:r>
      <w:fldChar w:fldCharType="end"/>
    </w:r>
  </w:p>
  <w:p>
    <w:pPr>
      <w:pStyle w:val="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10440"/>
        <w:tab w:val="clear" w:pos="7920"/>
      </w:tabs>
    </w:pPr>
    <w:bookmarkStart w:id="3" w:name="Sec1"/>
    <w:r>
      <w:rPr>
        <w:rFonts w:hint="eastAsia"/>
      </w:rPr>
      <w:tab/>
    </w:r>
    <w:bookmarkEnd w:id="3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F7DB3"/>
    <w:multiLevelType w:val="multilevel"/>
    <w:tmpl w:val="26CF7DB3"/>
    <w:lvl w:ilvl="0" w:tentative="0">
      <w:start w:val="2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1">
    <w:nsid w:val="7FBB7338"/>
    <w:multiLevelType w:val="multilevel"/>
    <w:tmpl w:val="7FBB733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DA2"/>
    <w:rsid w:val="00030DA2"/>
    <w:rsid w:val="00053389"/>
    <w:rsid w:val="0023219C"/>
    <w:rsid w:val="00237775"/>
    <w:rsid w:val="002C691B"/>
    <w:rsid w:val="00310975"/>
    <w:rsid w:val="004806EE"/>
    <w:rsid w:val="0048641D"/>
    <w:rsid w:val="0055025E"/>
    <w:rsid w:val="00605789"/>
    <w:rsid w:val="006075BE"/>
    <w:rsid w:val="007225FA"/>
    <w:rsid w:val="00740A61"/>
    <w:rsid w:val="00741BDE"/>
    <w:rsid w:val="009806E7"/>
    <w:rsid w:val="00982BA6"/>
    <w:rsid w:val="00AB484E"/>
    <w:rsid w:val="00C02CBD"/>
    <w:rsid w:val="00D36518"/>
    <w:rsid w:val="00D57F69"/>
    <w:rsid w:val="00E508B3"/>
    <w:rsid w:val="00FA79BF"/>
    <w:rsid w:val="00FC551A"/>
    <w:rsid w:val="2DF660B1"/>
    <w:rsid w:val="7697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qFormat/>
    <w:uiPriority w:val="0"/>
    <w:pPr>
      <w:widowControl/>
      <w:spacing w:before="120" w:after="120"/>
      <w:ind w:left="2520"/>
      <w:jc w:val="left"/>
    </w:pPr>
    <w:rPr>
      <w:rFonts w:ascii="Book Antiqua" w:hAnsi="Book Antiqua" w:eastAsia="宋体" w:cs="Times New Roman"/>
      <w:kern w:val="0"/>
      <w:sz w:val="20"/>
      <w:szCs w:val="20"/>
    </w:rPr>
  </w:style>
  <w:style w:type="paragraph" w:styleId="3">
    <w:name w:val="footer"/>
    <w:basedOn w:val="1"/>
    <w:link w:val="11"/>
    <w:uiPriority w:val="0"/>
    <w:pPr>
      <w:widowControl/>
      <w:tabs>
        <w:tab w:val="right" w:pos="7920"/>
      </w:tabs>
      <w:jc w:val="left"/>
    </w:pPr>
    <w:rPr>
      <w:rFonts w:ascii="Book Antiqua" w:hAnsi="Book Antiqua" w:eastAsia="宋体" w:cs="Times New Roman"/>
      <w:kern w:val="0"/>
      <w:sz w:val="16"/>
      <w:szCs w:val="20"/>
    </w:rPr>
  </w:style>
  <w:style w:type="paragraph" w:styleId="4">
    <w:name w:val="header"/>
    <w:basedOn w:val="1"/>
    <w:link w:val="10"/>
    <w:qFormat/>
    <w:uiPriority w:val="0"/>
    <w:pPr>
      <w:widowControl/>
      <w:tabs>
        <w:tab w:val="right" w:pos="10440"/>
      </w:tabs>
      <w:jc w:val="left"/>
    </w:pPr>
    <w:rPr>
      <w:rFonts w:ascii="Book Antiqua" w:hAnsi="Book Antiqua" w:eastAsia="宋体" w:cs="Times New Roman"/>
      <w:kern w:val="0"/>
      <w:sz w:val="16"/>
      <w:szCs w:val="20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page number"/>
    <w:qFormat/>
    <w:uiPriority w:val="0"/>
    <w:rPr>
      <w:rFonts w:ascii="Book Antiqua" w:hAnsi="Book Antiqua"/>
    </w:rPr>
  </w:style>
  <w:style w:type="character" w:styleId="9">
    <w:name w:val="HTML Code"/>
    <w:basedOn w:val="7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10">
    <w:name w:val="页眉 字符"/>
    <w:basedOn w:val="7"/>
    <w:link w:val="4"/>
    <w:qFormat/>
    <w:uiPriority w:val="0"/>
    <w:rPr>
      <w:rFonts w:ascii="Book Antiqua" w:hAnsi="Book Antiqua" w:eastAsia="宋体" w:cs="Times New Roman"/>
      <w:kern w:val="0"/>
      <w:sz w:val="16"/>
      <w:szCs w:val="20"/>
    </w:rPr>
  </w:style>
  <w:style w:type="character" w:customStyle="1" w:styleId="11">
    <w:name w:val="页脚 字符"/>
    <w:basedOn w:val="7"/>
    <w:link w:val="3"/>
    <w:qFormat/>
    <w:uiPriority w:val="0"/>
    <w:rPr>
      <w:rFonts w:ascii="Book Antiqua" w:hAnsi="Book Antiqua" w:eastAsia="宋体" w:cs="Times New Roman"/>
      <w:kern w:val="0"/>
      <w:sz w:val="16"/>
      <w:szCs w:val="20"/>
    </w:rPr>
  </w:style>
  <w:style w:type="character" w:customStyle="1" w:styleId="12">
    <w:name w:val="正文文本 字符"/>
    <w:basedOn w:val="7"/>
    <w:link w:val="2"/>
    <w:uiPriority w:val="0"/>
    <w:rPr>
      <w:rFonts w:ascii="Book Antiqua" w:hAnsi="Book Antiqua" w:eastAsia="宋体" w:cs="Times New Roman"/>
      <w:kern w:val="0"/>
      <w:sz w:val="20"/>
      <w:szCs w:val="20"/>
    </w:rPr>
  </w:style>
  <w:style w:type="paragraph" w:customStyle="1" w:styleId="13">
    <w:name w:val="Char Char Char Char Char Char Char Char Char Char Char1 Char Char Char Char Char Char"/>
    <w:basedOn w:val="1"/>
    <w:qFormat/>
    <w:uiPriority w:val="0"/>
    <w:rPr>
      <w:rFonts w:ascii="Tahoma" w:hAnsi="Tahoma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269</Words>
  <Characters>1538</Characters>
  <Lines>12</Lines>
  <Paragraphs>3</Paragraphs>
  <TotalTime>0</TotalTime>
  <ScaleCrop>false</ScaleCrop>
  <LinksUpToDate>false</LinksUpToDate>
  <CharactersWithSpaces>1804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2021-04-15T01:43:00Z</dcterms:created>
  <dc:creator>肖 小小</dc:creator>
  <cp:lastModifiedBy>Pearl</cp:lastModifiedBy>
  <dcterms:modified xsi:type="dcterms:W3CDTF">2021-06-01T06:41:23Z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230309019_btnclosed</vt:lpwstr>
  </property>
  <property fmtid="{D5CDD505-2E9C-101B-9397-08002B2CF9AE}" pid="3" name="KSOProductBuildVer">
    <vt:lpwstr>2052-11.1.0.10314</vt:lpwstr>
  </property>
</Properties>
</file>