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jc w:val="center"/>
        <w:rPr>
          <w:rFonts w:ascii="Times New Roman" w:hAnsi="Times New Roman" w:eastAsia="黑体" w:cs="Times New Roman"/>
          <w:sz w:val="72"/>
          <w:szCs w:val="72"/>
        </w:rPr>
      </w:pPr>
      <w:r>
        <w:rPr>
          <w:rFonts w:hint="eastAsia" w:ascii="Times New Roman" w:hAnsi="Times New Roman" w:eastAsia="黑体" w:cs="Times New Roman"/>
          <w:sz w:val="72"/>
          <w:szCs w:val="72"/>
        </w:rPr>
        <w:t>鄂尔多斯市煤炭销售综合监管平台</w:t>
      </w:r>
    </w:p>
    <w:p>
      <w:pPr>
        <w:jc w:val="center"/>
        <w:rPr>
          <w:rFonts w:ascii="Times New Roman" w:hAnsi="Times New Roman" w:eastAsia="黑体" w:cs="Times New Roman"/>
          <w:sz w:val="72"/>
          <w:szCs w:val="72"/>
        </w:rPr>
      </w:pPr>
    </w:p>
    <w:p>
      <w:pPr>
        <w:jc w:val="center"/>
        <w:rPr>
          <w:rFonts w:ascii="Times New Roman" w:hAnsi="Times New Roman" w:eastAsia="黑体" w:cs="Times New Roman"/>
          <w:sz w:val="72"/>
          <w:szCs w:val="72"/>
        </w:rPr>
      </w:pPr>
    </w:p>
    <w:p>
      <w:pPr>
        <w:rPr>
          <w:rFonts w:ascii="Times New Roman" w:hAnsi="Times New Roman" w:eastAsia="黑体" w:cs="Times New Roman"/>
          <w:sz w:val="72"/>
          <w:szCs w:val="72"/>
        </w:rPr>
      </w:pPr>
    </w:p>
    <w:p>
      <w:pPr>
        <w:jc w:val="center"/>
        <w:rPr>
          <w:rFonts w:ascii="Times New Roman" w:hAnsi="Times New Roman" w:eastAsia="黑体" w:cs="Times New Roman"/>
          <w:sz w:val="48"/>
          <w:szCs w:val="48"/>
        </w:rPr>
      </w:pPr>
      <w:r>
        <w:rPr>
          <w:rFonts w:ascii="Times New Roman" w:hAnsi="Times New Roman" w:eastAsia="黑体" w:cs="Times New Roman"/>
          <w:sz w:val="48"/>
          <w:szCs w:val="48"/>
        </w:rPr>
        <w:t>用户操作手册</w:t>
      </w:r>
    </w:p>
    <w:p>
      <w:pPr>
        <w:jc w:val="center"/>
        <w:rPr>
          <w:rFonts w:ascii="Times New Roman" w:hAnsi="Times New Roman" w:eastAsia="黑体" w:cs="Times New Roman"/>
          <w:sz w:val="48"/>
          <w:szCs w:val="48"/>
        </w:rPr>
      </w:pPr>
    </w:p>
    <w:p>
      <w:pPr>
        <w:jc w:val="center"/>
        <w:rPr>
          <w:rFonts w:ascii="Times New Roman" w:hAnsi="Times New Roman" w:eastAsia="黑体" w:cs="Times New Roman"/>
          <w:sz w:val="48"/>
          <w:szCs w:val="48"/>
        </w:rPr>
      </w:pPr>
    </w:p>
    <w:p>
      <w:pPr>
        <w:jc w:val="center"/>
        <w:rPr>
          <w:rFonts w:ascii="Times New Roman" w:hAnsi="Times New Roman" w:eastAsia="微软雅黑" w:cs="Times New Roman"/>
          <w:b/>
          <w:sz w:val="52"/>
          <w:szCs w:val="52"/>
        </w:rPr>
      </w:pPr>
    </w:p>
    <w:p>
      <w:pPr>
        <w:jc w:val="center"/>
        <w:rPr>
          <w:rFonts w:ascii="Times New Roman" w:hAnsi="Times New Roman" w:eastAsia="微软雅黑" w:cs="Times New Roman"/>
          <w:b/>
          <w:sz w:val="52"/>
          <w:szCs w:val="52"/>
        </w:rPr>
      </w:pPr>
    </w:p>
    <w:p>
      <w:pPr>
        <w:rPr>
          <w:rFonts w:ascii="Times New Roman" w:hAnsi="Times New Roman" w:eastAsia="微软雅黑" w:cs="Times New Roman"/>
        </w:rPr>
      </w:pPr>
    </w:p>
    <w:p>
      <w:pPr>
        <w:jc w:val="center"/>
        <w:rPr>
          <w:rFonts w:ascii="Times New Roman" w:hAnsi="Times New Roman" w:eastAsia="黑体" w:cs="Times New Roman"/>
          <w:sz w:val="40"/>
          <w:szCs w:val="48"/>
        </w:rPr>
      </w:pPr>
      <w:r>
        <w:rPr>
          <w:rFonts w:ascii="Times New Roman" w:hAnsi="Times New Roman" w:eastAsia="黑体" w:cs="Times New Roman"/>
          <w:sz w:val="40"/>
          <w:szCs w:val="48"/>
        </w:rPr>
        <w:t>内蒙古煤易通科技有限公司</w:t>
      </w:r>
    </w:p>
    <w:p>
      <w:pPr>
        <w:jc w:val="center"/>
        <w:rPr>
          <w:rFonts w:ascii="Times New Roman" w:hAnsi="Times New Roman" w:eastAsia="黑体" w:cs="Times New Roman"/>
          <w:sz w:val="40"/>
          <w:szCs w:val="48"/>
        </w:rPr>
      </w:pPr>
      <w:r>
        <w:rPr>
          <w:rFonts w:ascii="Times New Roman" w:hAnsi="Times New Roman" w:eastAsia="黑体" w:cs="Times New Roman"/>
          <w:sz w:val="40"/>
          <w:szCs w:val="48"/>
        </w:rPr>
        <w:t>20</w:t>
      </w:r>
      <w:r>
        <w:rPr>
          <w:rFonts w:hint="eastAsia" w:ascii="Times New Roman" w:hAnsi="Times New Roman" w:eastAsia="黑体" w:cs="Times New Roman"/>
          <w:sz w:val="40"/>
          <w:szCs w:val="48"/>
        </w:rPr>
        <w:t>20</w:t>
      </w:r>
      <w:r>
        <w:rPr>
          <w:rFonts w:ascii="Times New Roman" w:hAnsi="Times New Roman" w:eastAsia="黑体" w:cs="Times New Roman"/>
          <w:sz w:val="40"/>
          <w:szCs w:val="48"/>
        </w:rPr>
        <w:t>年</w:t>
      </w:r>
      <w:r>
        <w:rPr>
          <w:rFonts w:hint="eastAsia" w:ascii="Times New Roman" w:hAnsi="Times New Roman" w:eastAsia="黑体" w:cs="Times New Roman"/>
          <w:sz w:val="40"/>
          <w:szCs w:val="48"/>
        </w:rPr>
        <w:t>3</w:t>
      </w:r>
      <w:r>
        <w:rPr>
          <w:rFonts w:ascii="Times New Roman" w:hAnsi="Times New Roman" w:eastAsia="黑体" w:cs="Times New Roman"/>
          <w:sz w:val="40"/>
          <w:szCs w:val="48"/>
        </w:rPr>
        <w:t>月</w:t>
      </w:r>
    </w:p>
    <w:p>
      <w:pPr>
        <w:jc w:val="center"/>
        <w:rPr>
          <w:rFonts w:ascii="Times New Roman" w:hAnsi="Times New Roman" w:eastAsia="隶书" w:cs="Times New Roman"/>
          <w:b/>
          <w:bCs/>
          <w:sz w:val="30"/>
        </w:rPr>
      </w:pPr>
      <w:r>
        <w:rPr>
          <w:rFonts w:ascii="Times New Roman" w:hAnsi="Times New Roman" w:eastAsia="微软雅黑" w:cs="Times New Roman"/>
          <w:sz w:val="32"/>
          <w:szCs w:val="32"/>
        </w:rPr>
        <w:br w:type="page"/>
      </w:r>
      <w:r>
        <w:rPr>
          <w:rFonts w:ascii="Times New Roman" w:hAnsi="Times New Roman" w:cs="Times New Roman"/>
          <w:b/>
          <w:bCs/>
          <w:sz w:val="28"/>
        </w:rPr>
        <w:t>文档修订记录</w:t>
      </w:r>
    </w:p>
    <w:tbl>
      <w:tblPr>
        <w:tblStyle w:val="22"/>
        <w:tblW w:w="836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440"/>
        <w:gridCol w:w="1440"/>
        <w:gridCol w:w="4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1188" w:type="dxa"/>
            <w:shd w:val="clear" w:color="auto" w:fill="C0C0C0"/>
            <w:vAlign w:val="center"/>
          </w:tcPr>
          <w:p>
            <w:pPr>
              <w:ind w:left="1"/>
              <w:jc w:val="center"/>
              <w:rPr>
                <w:rFonts w:ascii="Times New Roman" w:hAnsi="Times New Roman" w:cs="Times New Roman"/>
                <w:b/>
                <w:bCs/>
              </w:rPr>
            </w:pPr>
            <w:r>
              <w:rPr>
                <w:rFonts w:ascii="Times New Roman" w:hAnsi="Times New Roman" w:cs="Times New Roman"/>
                <w:b/>
                <w:bCs/>
              </w:rPr>
              <w:t>版本号</w:t>
            </w:r>
          </w:p>
        </w:tc>
        <w:tc>
          <w:tcPr>
            <w:tcW w:w="1440" w:type="dxa"/>
            <w:shd w:val="clear" w:color="auto" w:fill="C0C0C0"/>
            <w:vAlign w:val="center"/>
          </w:tcPr>
          <w:p>
            <w:pPr>
              <w:jc w:val="center"/>
              <w:rPr>
                <w:rFonts w:ascii="Times New Roman" w:hAnsi="Times New Roman" w:cs="Times New Roman"/>
                <w:b/>
                <w:bCs/>
              </w:rPr>
            </w:pPr>
            <w:r>
              <w:rPr>
                <w:rFonts w:ascii="Times New Roman" w:hAnsi="Times New Roman" w:cs="Times New Roman"/>
                <w:b/>
                <w:bCs/>
              </w:rPr>
              <w:t>修订人</w:t>
            </w:r>
          </w:p>
        </w:tc>
        <w:tc>
          <w:tcPr>
            <w:tcW w:w="1440" w:type="dxa"/>
            <w:shd w:val="clear" w:color="auto" w:fill="C0C0C0"/>
            <w:vAlign w:val="center"/>
          </w:tcPr>
          <w:p>
            <w:pPr>
              <w:jc w:val="center"/>
              <w:rPr>
                <w:rFonts w:ascii="Times New Roman" w:hAnsi="Times New Roman" w:cs="Times New Roman"/>
                <w:b/>
                <w:bCs/>
              </w:rPr>
            </w:pPr>
            <w:r>
              <w:rPr>
                <w:rFonts w:ascii="Times New Roman" w:hAnsi="Times New Roman" w:cs="Times New Roman"/>
                <w:b/>
                <w:bCs/>
              </w:rPr>
              <w:t>修订日期</w:t>
            </w:r>
          </w:p>
        </w:tc>
        <w:tc>
          <w:tcPr>
            <w:tcW w:w="4296" w:type="dxa"/>
            <w:shd w:val="clear" w:color="auto" w:fill="C0C0C0"/>
            <w:vAlign w:val="center"/>
          </w:tcPr>
          <w:p>
            <w:pPr>
              <w:jc w:val="center"/>
              <w:rPr>
                <w:rFonts w:ascii="Times New Roman" w:hAnsi="Times New Roman" w:cs="Times New Roman"/>
                <w:b/>
                <w:bCs/>
              </w:rPr>
            </w:pPr>
            <w:r>
              <w:rPr>
                <w:rFonts w:ascii="Times New Roman" w:hAnsi="Times New Roman" w:cs="Times New Roman"/>
                <w:b/>
                <w:bCs/>
              </w:rPr>
              <w:t>修订描述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jc w:val="center"/>
              <w:rPr>
                <w:rFonts w:ascii="Times New Roman" w:hAnsi="Times New Roman" w:cs="Times New Roman"/>
              </w:rPr>
            </w:pPr>
          </w:p>
        </w:tc>
        <w:tc>
          <w:tcPr>
            <w:tcW w:w="1440" w:type="dxa"/>
            <w:vAlign w:val="center"/>
          </w:tcPr>
          <w:p>
            <w:pPr>
              <w:jc w:val="center"/>
              <w:rPr>
                <w:rFonts w:ascii="Times New Roman" w:hAnsi="Times New Roman" w:cs="Times New Roman"/>
              </w:rPr>
            </w:pPr>
          </w:p>
        </w:tc>
        <w:tc>
          <w:tcPr>
            <w:tcW w:w="1440" w:type="dxa"/>
            <w:vAlign w:val="center"/>
          </w:tcPr>
          <w:p>
            <w:pPr>
              <w:jc w:val="center"/>
              <w:rPr>
                <w:rFonts w:ascii="Times New Roman" w:hAnsi="Times New Roman" w:cs="Times New Roman"/>
              </w:rPr>
            </w:pPr>
          </w:p>
        </w:tc>
        <w:tc>
          <w:tcPr>
            <w:tcW w:w="4296" w:type="dxa"/>
            <w:vAlign w:val="center"/>
          </w:tcPr>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jc w:val="center"/>
              <w:rPr>
                <w:rFonts w:ascii="Times New Roman" w:hAnsi="Times New Roman" w:cs="Times New Roman"/>
              </w:rPr>
            </w:pPr>
          </w:p>
        </w:tc>
        <w:tc>
          <w:tcPr>
            <w:tcW w:w="1440" w:type="dxa"/>
            <w:vAlign w:val="center"/>
          </w:tcPr>
          <w:p>
            <w:pPr>
              <w:pStyle w:val="17"/>
              <w:jc w:val="center"/>
              <w:rPr>
                <w:rFonts w:ascii="Times New Roman" w:hAnsi="Times New Roman" w:cs="Times New Roman"/>
              </w:rPr>
            </w:pPr>
          </w:p>
        </w:tc>
        <w:tc>
          <w:tcPr>
            <w:tcW w:w="1440" w:type="dxa"/>
            <w:vAlign w:val="center"/>
          </w:tcPr>
          <w:p>
            <w:pPr>
              <w:jc w:val="center"/>
              <w:rPr>
                <w:rFonts w:ascii="Times New Roman" w:hAnsi="Times New Roman" w:cs="Times New Roman"/>
              </w:rPr>
            </w:pPr>
          </w:p>
        </w:tc>
        <w:tc>
          <w:tcPr>
            <w:tcW w:w="4296" w:type="dxa"/>
            <w:vAlign w:val="center"/>
          </w:tcPr>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jc w:val="center"/>
              <w:rPr>
                <w:rFonts w:ascii="Times New Roman" w:hAnsi="Times New Roman" w:cs="Times New Roman"/>
              </w:rPr>
            </w:pPr>
          </w:p>
        </w:tc>
        <w:tc>
          <w:tcPr>
            <w:tcW w:w="1440" w:type="dxa"/>
            <w:vAlign w:val="center"/>
          </w:tcPr>
          <w:p>
            <w:pPr>
              <w:jc w:val="center"/>
              <w:rPr>
                <w:rFonts w:ascii="Times New Roman" w:hAnsi="Times New Roman" w:cs="Times New Roman"/>
              </w:rPr>
            </w:pPr>
          </w:p>
        </w:tc>
        <w:tc>
          <w:tcPr>
            <w:tcW w:w="1440" w:type="dxa"/>
            <w:vAlign w:val="center"/>
          </w:tcPr>
          <w:p>
            <w:pPr>
              <w:jc w:val="center"/>
              <w:rPr>
                <w:rFonts w:ascii="Times New Roman" w:hAnsi="Times New Roman" w:cs="Times New Roman"/>
              </w:rPr>
            </w:pPr>
          </w:p>
        </w:tc>
        <w:tc>
          <w:tcPr>
            <w:tcW w:w="4296" w:type="dxa"/>
            <w:vAlign w:val="center"/>
          </w:tcPr>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jc w:val="center"/>
              <w:rPr>
                <w:rFonts w:ascii="Times New Roman" w:hAnsi="Times New Roman" w:cs="Times New Roman"/>
              </w:rPr>
            </w:pPr>
          </w:p>
        </w:tc>
        <w:tc>
          <w:tcPr>
            <w:tcW w:w="1440" w:type="dxa"/>
            <w:vAlign w:val="center"/>
          </w:tcPr>
          <w:p>
            <w:pPr>
              <w:jc w:val="center"/>
              <w:rPr>
                <w:rFonts w:ascii="Times New Roman" w:hAnsi="Times New Roman" w:cs="Times New Roman"/>
              </w:rPr>
            </w:pPr>
          </w:p>
        </w:tc>
        <w:tc>
          <w:tcPr>
            <w:tcW w:w="1440" w:type="dxa"/>
            <w:vAlign w:val="center"/>
          </w:tcPr>
          <w:p>
            <w:pPr>
              <w:jc w:val="center"/>
              <w:rPr>
                <w:rFonts w:ascii="Times New Roman" w:hAnsi="Times New Roman" w:cs="Times New Roman"/>
              </w:rPr>
            </w:pPr>
          </w:p>
        </w:tc>
        <w:tc>
          <w:tcPr>
            <w:tcW w:w="4296" w:type="dxa"/>
            <w:vAlign w:val="center"/>
          </w:tcPr>
          <w:p>
            <w:pPr>
              <w:rPr>
                <w:rFonts w:ascii="Times New Roman" w:hAnsi="Times New Roman" w:cs="Times New Roman"/>
              </w:rPr>
            </w:pPr>
          </w:p>
        </w:tc>
      </w:tr>
    </w:tbl>
    <w:p>
      <w:pPr>
        <w:rPr>
          <w:rFonts w:ascii="Times New Roman" w:hAnsi="Times New Roman" w:cs="Times New Roman"/>
        </w:rPr>
      </w:pPr>
    </w:p>
    <w:p>
      <w:pPr>
        <w:widowControl/>
        <w:jc w:val="left"/>
        <w:rPr>
          <w:rFonts w:ascii="Times New Roman" w:hAnsi="Times New Roman" w:eastAsia="微软雅黑" w:cs="Times New Roman"/>
          <w:sz w:val="32"/>
          <w:szCs w:val="32"/>
        </w:rPr>
      </w:pPr>
    </w:p>
    <w:p>
      <w:pPr>
        <w:widowControl/>
        <w:jc w:val="left"/>
      </w:pPr>
      <w:r>
        <w:rPr>
          <w:rFonts w:ascii="Times New Roman" w:hAnsi="Times New Roman" w:cs="Times New Roman"/>
        </w:rPr>
        <w:br w:type="page"/>
      </w:r>
    </w:p>
    <w:sdt>
      <w:sdtPr>
        <w:rPr>
          <w:rFonts w:ascii="Times New Roman" w:hAnsi="Times New Roman" w:cs="Times New Roman"/>
          <w:sz w:val="28"/>
          <w:szCs w:val="28"/>
          <w:lang w:val="zh-CN"/>
        </w:rPr>
        <w:id w:val="1885906540"/>
      </w:sdtPr>
      <w:sdtEndPr>
        <w:rPr>
          <w:rFonts w:ascii="Times New Roman" w:hAnsi="Times New Roman" w:cs="Times New Roman"/>
          <w:sz w:val="18"/>
          <w:szCs w:val="18"/>
          <w:lang w:val="zh-CN"/>
        </w:rPr>
      </w:sdtEndPr>
      <w:sdtContent>
        <w:sdt>
          <w:sdtPr>
            <w:rPr>
              <w:rFonts w:ascii="宋体" w:hAnsi="宋体" w:eastAsia="宋体" w:cstheme="minorBidi"/>
              <w:kern w:val="2"/>
              <w:sz w:val="28"/>
              <w:szCs w:val="28"/>
              <w:lang w:val="en-US" w:eastAsia="zh-CN" w:bidi="ar-SA"/>
            </w:rPr>
            <w:id w:val="147458281"/>
            <w15:color w:val="DBDBDB"/>
            <w:docPartObj>
              <w:docPartGallery w:val="Table of Contents"/>
              <w:docPartUnique/>
            </w:docPartObj>
          </w:sdtPr>
          <w:sdtEndPr>
            <w:rPr>
              <w:rFonts w:ascii="宋体" w:hAnsi="宋体" w:eastAsia="宋体" w:cstheme="minorBidi"/>
              <w:kern w:val="2"/>
              <w:sz w:val="28"/>
              <w:szCs w:val="28"/>
              <w:lang w:val="en-US" w:eastAsia="zh-CN" w:bidi="ar-SA"/>
            </w:rPr>
          </w:sdtEndPr>
          <w:sdtContent>
            <w:p>
              <w:pPr>
                <w:jc w:val="center"/>
                <w:rPr>
                  <w:sz w:val="28"/>
                  <w:szCs w:val="28"/>
                </w:rPr>
              </w:pPr>
              <w:bookmarkStart w:id="0" w:name="_Toc481605331"/>
              <w:bookmarkStart w:id="1" w:name="_Toc481605401"/>
              <w:bookmarkStart w:id="2" w:name="_Toc23621"/>
              <w:r>
                <w:rPr>
                  <w:rFonts w:ascii="宋体" w:hAnsi="宋体" w:eastAsia="宋体"/>
                  <w:sz w:val="28"/>
                  <w:szCs w:val="28"/>
                </w:rPr>
                <w:t>目</w:t>
              </w:r>
              <w:r>
                <w:rPr>
                  <w:rFonts w:hint="eastAsia" w:ascii="宋体" w:hAnsi="宋体" w:eastAsia="宋体"/>
                  <w:sz w:val="28"/>
                  <w:szCs w:val="28"/>
                  <w:lang w:val="en-US" w:eastAsia="zh-CN"/>
                </w:rPr>
                <w:t xml:space="preserve">  </w:t>
              </w:r>
              <w:r>
                <w:rPr>
                  <w:rFonts w:ascii="宋体" w:hAnsi="宋体" w:eastAsia="宋体"/>
                  <w:sz w:val="28"/>
                  <w:szCs w:val="28"/>
                </w:rPr>
                <w:t>录</w:t>
              </w:r>
            </w:p>
            <w:p>
              <w:pPr>
                <w:pStyle w:val="45"/>
                <w:tabs>
                  <w:tab w:val="right" w:leader="dot" w:pos="8306"/>
                </w:tabs>
              </w:pPr>
              <w:r>
                <w:fldChar w:fldCharType="begin"/>
              </w:r>
              <w:r>
                <w:instrText xml:space="preserve">TOC \o "1-3" \h \u </w:instrText>
              </w:r>
              <w:r>
                <w:fldChar w:fldCharType="separate"/>
              </w:r>
              <w:r>
                <w:fldChar w:fldCharType="begin"/>
              </w:r>
              <w:r>
                <w:instrText xml:space="preserve"> HYPERLINK \l _Toc4487 </w:instrText>
              </w:r>
              <w:r>
                <w:fldChar w:fldCharType="separate"/>
              </w:r>
              <w:r>
                <w:rPr>
                  <w:rFonts w:hint="default" w:ascii="Times New Roman" w:hAnsi="Times New Roman" w:cs="Times New Roman"/>
                </w:rPr>
                <w:t xml:space="preserve">1. </w:t>
              </w:r>
              <w:r>
                <w:rPr>
                  <w:rFonts w:ascii="Times New Roman" w:hAnsi="Times New Roman" w:cs="Times New Roman"/>
                </w:rPr>
                <w:t>概述</w:t>
              </w:r>
              <w:r>
                <w:tab/>
              </w:r>
              <w:r>
                <w:fldChar w:fldCharType="begin"/>
              </w:r>
              <w:r>
                <w:instrText xml:space="preserve"> PAGEREF _Toc4487 </w:instrText>
              </w:r>
              <w:r>
                <w:fldChar w:fldCharType="separate"/>
              </w:r>
              <w:r>
                <w:t>1</w:t>
              </w:r>
              <w:r>
                <w:fldChar w:fldCharType="end"/>
              </w:r>
              <w:r>
                <w:fldChar w:fldCharType="end"/>
              </w:r>
            </w:p>
            <w:p>
              <w:pPr>
                <w:pStyle w:val="46"/>
                <w:tabs>
                  <w:tab w:val="right" w:leader="dot" w:pos="8306"/>
                </w:tabs>
              </w:pPr>
              <w:r>
                <w:fldChar w:fldCharType="begin"/>
              </w:r>
              <w:r>
                <w:instrText xml:space="preserve"> HYPERLINK \l _Toc29305 </w:instrText>
              </w:r>
              <w:r>
                <w:fldChar w:fldCharType="separate"/>
              </w:r>
              <w:r>
                <w:rPr>
                  <w:rFonts w:hint="default" w:ascii="Times New Roman" w:hAnsi="Times New Roman" w:cs="Times New Roman"/>
                </w:rPr>
                <w:t xml:space="preserve">1.1. </w:t>
              </w:r>
              <w:r>
                <w:rPr>
                  <w:rFonts w:ascii="Times New Roman" w:hAnsi="Times New Roman" w:cs="Times New Roman"/>
                </w:rPr>
                <w:t>产品概述</w:t>
              </w:r>
              <w:r>
                <w:tab/>
              </w:r>
              <w:r>
                <w:fldChar w:fldCharType="begin"/>
              </w:r>
              <w:r>
                <w:instrText xml:space="preserve"> PAGEREF _Toc29305 </w:instrText>
              </w:r>
              <w:r>
                <w:fldChar w:fldCharType="separate"/>
              </w:r>
              <w:r>
                <w:t>1</w:t>
              </w:r>
              <w:r>
                <w:fldChar w:fldCharType="end"/>
              </w:r>
              <w:r>
                <w:fldChar w:fldCharType="end"/>
              </w:r>
            </w:p>
            <w:p>
              <w:pPr>
                <w:pStyle w:val="46"/>
                <w:tabs>
                  <w:tab w:val="right" w:leader="dot" w:pos="8306"/>
                </w:tabs>
              </w:pPr>
              <w:r>
                <w:fldChar w:fldCharType="begin"/>
              </w:r>
              <w:r>
                <w:instrText xml:space="preserve"> HYPERLINK \l _Toc14638 </w:instrText>
              </w:r>
              <w:r>
                <w:fldChar w:fldCharType="separate"/>
              </w:r>
              <w:r>
                <w:rPr>
                  <w:rFonts w:hint="default" w:ascii="Times New Roman" w:hAnsi="Times New Roman" w:cs="Times New Roman"/>
                </w:rPr>
                <w:t xml:space="preserve">1.2. </w:t>
              </w:r>
              <w:r>
                <w:rPr>
                  <w:rFonts w:ascii="Times New Roman" w:hAnsi="Times New Roman" w:cs="Times New Roman"/>
                </w:rPr>
                <w:t>用户角色</w:t>
              </w:r>
              <w:r>
                <w:tab/>
              </w:r>
              <w:r>
                <w:fldChar w:fldCharType="begin"/>
              </w:r>
              <w:r>
                <w:instrText xml:space="preserve"> PAGEREF _Toc14638 </w:instrText>
              </w:r>
              <w:r>
                <w:fldChar w:fldCharType="separate"/>
              </w:r>
              <w:r>
                <w:t>3</w:t>
              </w:r>
              <w:r>
                <w:fldChar w:fldCharType="end"/>
              </w:r>
              <w:r>
                <w:fldChar w:fldCharType="end"/>
              </w:r>
            </w:p>
            <w:p>
              <w:pPr>
                <w:pStyle w:val="45"/>
                <w:tabs>
                  <w:tab w:val="right" w:leader="dot" w:pos="8306"/>
                </w:tabs>
              </w:pPr>
              <w:r>
                <w:fldChar w:fldCharType="begin"/>
              </w:r>
              <w:r>
                <w:instrText xml:space="preserve"> HYPERLINK \l _Toc30626 </w:instrText>
              </w:r>
              <w:r>
                <w:fldChar w:fldCharType="separate"/>
              </w:r>
              <w:r>
                <w:rPr>
                  <w:rFonts w:hint="default" w:ascii="Times New Roman" w:hAnsi="Times New Roman" w:cs="Times New Roman"/>
                </w:rPr>
                <w:t xml:space="preserve">2. </w:t>
              </w:r>
              <w:r>
                <w:rPr>
                  <w:rFonts w:hint="eastAsia" w:ascii="Times New Roman" w:hAnsi="Times New Roman" w:cs="Times New Roman"/>
                  <w:lang w:val="en-US" w:eastAsia="zh-CN"/>
                </w:rPr>
                <w:t>企业销售管理</w:t>
              </w:r>
              <w:r>
                <w:tab/>
              </w:r>
              <w:r>
                <w:fldChar w:fldCharType="begin"/>
              </w:r>
              <w:r>
                <w:instrText xml:space="preserve"> PAGEREF _Toc30626 </w:instrText>
              </w:r>
              <w:r>
                <w:fldChar w:fldCharType="separate"/>
              </w:r>
              <w:r>
                <w:t>4</w:t>
              </w:r>
              <w:r>
                <w:fldChar w:fldCharType="end"/>
              </w:r>
              <w:r>
                <w:fldChar w:fldCharType="end"/>
              </w:r>
            </w:p>
            <w:p>
              <w:pPr>
                <w:pStyle w:val="46"/>
                <w:tabs>
                  <w:tab w:val="right" w:leader="dot" w:pos="8306"/>
                </w:tabs>
              </w:pPr>
              <w:r>
                <w:fldChar w:fldCharType="begin"/>
              </w:r>
              <w:r>
                <w:instrText xml:space="preserve"> HYPERLINK \l _Toc22271 </w:instrText>
              </w:r>
              <w:r>
                <w:fldChar w:fldCharType="separate"/>
              </w:r>
              <w:r>
                <w:rPr>
                  <w:rFonts w:hint="default"/>
                  <w:lang w:val="en-US" w:eastAsia="zh-CN"/>
                </w:rPr>
                <w:t xml:space="preserve">2.1. </w:t>
              </w:r>
              <w:r>
                <w:rPr>
                  <w:rFonts w:hint="eastAsia"/>
                  <w:lang w:val="en-US" w:eastAsia="zh-CN"/>
                </w:rPr>
                <w:t>企业客户管理</w:t>
              </w:r>
              <w:r>
                <w:tab/>
              </w:r>
              <w:r>
                <w:fldChar w:fldCharType="begin"/>
              </w:r>
              <w:r>
                <w:instrText xml:space="preserve"> PAGEREF _Toc22271 </w:instrText>
              </w:r>
              <w:r>
                <w:fldChar w:fldCharType="separate"/>
              </w:r>
              <w:r>
                <w:t>4</w:t>
              </w:r>
              <w:r>
                <w:fldChar w:fldCharType="end"/>
              </w:r>
              <w:r>
                <w:fldChar w:fldCharType="end"/>
              </w:r>
            </w:p>
            <w:p>
              <w:pPr>
                <w:pStyle w:val="46"/>
                <w:tabs>
                  <w:tab w:val="right" w:leader="dot" w:pos="8306"/>
                </w:tabs>
              </w:pPr>
              <w:r>
                <w:fldChar w:fldCharType="begin"/>
              </w:r>
              <w:r>
                <w:instrText xml:space="preserve"> HYPERLINK \l _Toc12650 </w:instrText>
              </w:r>
              <w:r>
                <w:fldChar w:fldCharType="separate"/>
              </w:r>
              <w:r>
                <w:rPr>
                  <w:rFonts w:hint="default"/>
                  <w:lang w:val="en-US" w:eastAsia="zh-CN"/>
                </w:rPr>
                <w:t xml:space="preserve">2.2. </w:t>
              </w:r>
              <w:r>
                <w:rPr>
                  <w:rFonts w:hint="eastAsia"/>
                  <w:lang w:val="en-US" w:eastAsia="zh-CN"/>
                </w:rPr>
                <w:t>企业煤种管理</w:t>
              </w:r>
              <w:r>
                <w:tab/>
              </w:r>
              <w:r>
                <w:fldChar w:fldCharType="begin"/>
              </w:r>
              <w:r>
                <w:instrText xml:space="preserve"> PAGEREF _Toc12650 </w:instrText>
              </w:r>
              <w:r>
                <w:fldChar w:fldCharType="separate"/>
              </w:r>
              <w:r>
                <w:t>5</w:t>
              </w:r>
              <w:r>
                <w:fldChar w:fldCharType="end"/>
              </w:r>
              <w:r>
                <w:fldChar w:fldCharType="end"/>
              </w:r>
            </w:p>
            <w:p>
              <w:pPr>
                <w:pStyle w:val="46"/>
                <w:tabs>
                  <w:tab w:val="right" w:leader="dot" w:pos="8306"/>
                </w:tabs>
              </w:pPr>
              <w:r>
                <w:fldChar w:fldCharType="begin"/>
              </w:r>
              <w:r>
                <w:instrText xml:space="preserve"> HYPERLINK \l _Toc7829 </w:instrText>
              </w:r>
              <w:r>
                <w:fldChar w:fldCharType="separate"/>
              </w:r>
              <w:r>
                <w:rPr>
                  <w:rFonts w:hint="default"/>
                  <w:lang w:val="en-US" w:eastAsia="zh-CN"/>
                </w:rPr>
                <w:t xml:space="preserve">2.3. </w:t>
              </w:r>
              <w:r>
                <w:rPr>
                  <w:rFonts w:hint="eastAsia"/>
                  <w:lang w:val="en-US" w:eastAsia="zh-CN"/>
                </w:rPr>
                <w:t>详细运往地管理</w:t>
              </w:r>
              <w:r>
                <w:tab/>
              </w:r>
              <w:r>
                <w:fldChar w:fldCharType="begin"/>
              </w:r>
              <w:r>
                <w:instrText xml:space="preserve"> PAGEREF _Toc7829 </w:instrText>
              </w:r>
              <w:r>
                <w:fldChar w:fldCharType="separate"/>
              </w:r>
              <w:r>
                <w:t>6</w:t>
              </w:r>
              <w:r>
                <w:fldChar w:fldCharType="end"/>
              </w:r>
              <w:r>
                <w:fldChar w:fldCharType="end"/>
              </w:r>
            </w:p>
            <w:p>
              <w:pPr>
                <w:pStyle w:val="45"/>
                <w:tabs>
                  <w:tab w:val="right" w:leader="dot" w:pos="8306"/>
                </w:tabs>
              </w:pPr>
              <w:r>
                <w:fldChar w:fldCharType="begin"/>
              </w:r>
              <w:r>
                <w:instrText xml:space="preserve"> HYPERLINK \l _Toc28668 </w:instrText>
              </w:r>
              <w:r>
                <w:fldChar w:fldCharType="separate"/>
              </w:r>
              <w:r>
                <w:rPr>
                  <w:rFonts w:hint="default" w:ascii="Times New Roman" w:hAnsi="Times New Roman" w:cs="Times New Roman"/>
                </w:rPr>
                <w:t xml:space="preserve">3. </w:t>
              </w:r>
              <w:r>
                <w:rPr>
                  <w:rFonts w:ascii="Times New Roman" w:hAnsi="Times New Roman" w:cs="Times New Roman"/>
                </w:rPr>
                <w:t>出入矿管理</w:t>
              </w:r>
              <w:r>
                <w:tab/>
              </w:r>
              <w:r>
                <w:fldChar w:fldCharType="begin"/>
              </w:r>
              <w:r>
                <w:instrText xml:space="preserve"> PAGEREF _Toc28668 </w:instrText>
              </w:r>
              <w:r>
                <w:fldChar w:fldCharType="separate"/>
              </w:r>
              <w:r>
                <w:t>8</w:t>
              </w:r>
              <w:r>
                <w:fldChar w:fldCharType="end"/>
              </w:r>
              <w:r>
                <w:fldChar w:fldCharType="end"/>
              </w:r>
            </w:p>
            <w:p>
              <w:pPr>
                <w:pStyle w:val="46"/>
                <w:tabs>
                  <w:tab w:val="right" w:leader="dot" w:pos="8306"/>
                </w:tabs>
              </w:pPr>
              <w:r>
                <w:fldChar w:fldCharType="begin"/>
              </w:r>
              <w:r>
                <w:instrText xml:space="preserve"> HYPERLINK \l _Toc18050 </w:instrText>
              </w:r>
              <w:r>
                <w:fldChar w:fldCharType="separate"/>
              </w:r>
              <w:r>
                <w:rPr>
                  <w:rFonts w:hint="default"/>
                </w:rPr>
                <w:t xml:space="preserve">3.1. </w:t>
              </w:r>
              <w:r>
                <w:t>空车过磅</w:t>
              </w:r>
              <w:r>
                <w:tab/>
              </w:r>
              <w:r>
                <w:fldChar w:fldCharType="begin"/>
              </w:r>
              <w:r>
                <w:instrText xml:space="preserve"> PAGEREF _Toc18050 </w:instrText>
              </w:r>
              <w:r>
                <w:fldChar w:fldCharType="separate"/>
              </w:r>
              <w:r>
                <w:t>8</w:t>
              </w:r>
              <w:r>
                <w:fldChar w:fldCharType="end"/>
              </w:r>
              <w:r>
                <w:fldChar w:fldCharType="end"/>
              </w:r>
            </w:p>
            <w:p>
              <w:pPr>
                <w:pStyle w:val="47"/>
                <w:tabs>
                  <w:tab w:val="right" w:leader="dot" w:pos="8306"/>
                </w:tabs>
              </w:pPr>
              <w:r>
                <w:fldChar w:fldCharType="begin"/>
              </w:r>
              <w:r>
                <w:instrText xml:space="preserve"> HYPERLINK \l _Toc25195 </w:instrText>
              </w:r>
              <w:r>
                <w:fldChar w:fldCharType="separate"/>
              </w:r>
              <w:r>
                <w:rPr>
                  <w:rFonts w:hint="default"/>
                </w:rPr>
                <w:t xml:space="preserve">3.1.1. </w:t>
              </w:r>
              <w:r>
                <w:t>空车过磅</w:t>
              </w:r>
              <w:r>
                <w:tab/>
              </w:r>
              <w:r>
                <w:fldChar w:fldCharType="begin"/>
              </w:r>
              <w:r>
                <w:instrText xml:space="preserve"> PAGEREF _Toc25195 </w:instrText>
              </w:r>
              <w:r>
                <w:fldChar w:fldCharType="separate"/>
              </w:r>
              <w:r>
                <w:t>8</w:t>
              </w:r>
              <w:r>
                <w:fldChar w:fldCharType="end"/>
              </w:r>
              <w:r>
                <w:fldChar w:fldCharType="end"/>
              </w:r>
            </w:p>
            <w:p>
              <w:pPr>
                <w:pStyle w:val="46"/>
                <w:tabs>
                  <w:tab w:val="right" w:leader="dot" w:pos="8306"/>
                </w:tabs>
              </w:pPr>
              <w:r>
                <w:fldChar w:fldCharType="begin"/>
              </w:r>
              <w:r>
                <w:instrText xml:space="preserve"> HYPERLINK \l _Toc28975 </w:instrText>
              </w:r>
              <w:r>
                <w:fldChar w:fldCharType="separate"/>
              </w:r>
              <w:r>
                <w:rPr>
                  <w:rFonts w:hint="default"/>
                </w:rPr>
                <w:t xml:space="preserve">3.2. </w:t>
              </w:r>
              <w:r>
                <w:t>重车过磅</w:t>
              </w:r>
              <w:r>
                <w:tab/>
              </w:r>
              <w:r>
                <w:fldChar w:fldCharType="begin"/>
              </w:r>
              <w:r>
                <w:instrText xml:space="preserve"> PAGEREF _Toc28975 </w:instrText>
              </w:r>
              <w:r>
                <w:fldChar w:fldCharType="separate"/>
              </w:r>
              <w:r>
                <w:t>9</w:t>
              </w:r>
              <w:r>
                <w:fldChar w:fldCharType="end"/>
              </w:r>
              <w:r>
                <w:fldChar w:fldCharType="end"/>
              </w:r>
            </w:p>
            <w:p>
              <w:pPr>
                <w:pStyle w:val="47"/>
                <w:tabs>
                  <w:tab w:val="right" w:leader="dot" w:pos="8306"/>
                </w:tabs>
              </w:pPr>
              <w:r>
                <w:fldChar w:fldCharType="begin"/>
              </w:r>
              <w:r>
                <w:instrText xml:space="preserve"> HYPERLINK \l _Toc6811 </w:instrText>
              </w:r>
              <w:r>
                <w:fldChar w:fldCharType="separate"/>
              </w:r>
              <w:r>
                <w:rPr>
                  <w:rFonts w:hint="default"/>
                </w:rPr>
                <w:t xml:space="preserve">3.2.1. </w:t>
              </w:r>
              <w:r>
                <w:t>重车过磅</w:t>
              </w:r>
              <w:r>
                <w:tab/>
              </w:r>
              <w:r>
                <w:fldChar w:fldCharType="begin"/>
              </w:r>
              <w:r>
                <w:instrText xml:space="preserve"> PAGEREF _Toc6811 </w:instrText>
              </w:r>
              <w:r>
                <w:fldChar w:fldCharType="separate"/>
              </w:r>
              <w:r>
                <w:t>9</w:t>
              </w:r>
              <w:r>
                <w:fldChar w:fldCharType="end"/>
              </w:r>
              <w:r>
                <w:fldChar w:fldCharType="end"/>
              </w:r>
            </w:p>
            <w:p>
              <w:pPr>
                <w:pStyle w:val="47"/>
                <w:tabs>
                  <w:tab w:val="right" w:leader="dot" w:pos="8306"/>
                </w:tabs>
              </w:pPr>
              <w:r>
                <w:fldChar w:fldCharType="begin"/>
              </w:r>
              <w:r>
                <w:instrText xml:space="preserve"> HYPERLINK \l _Toc26018 </w:instrText>
              </w:r>
              <w:r>
                <w:fldChar w:fldCharType="separate"/>
              </w:r>
              <w:r>
                <w:rPr>
                  <w:rFonts w:hint="default"/>
                </w:rPr>
                <w:t xml:space="preserve">3.2.2. </w:t>
              </w:r>
              <w:r>
                <w:t>过重</w:t>
              </w:r>
              <w:r>
                <w:rPr>
                  <w:rFonts w:hint="eastAsia"/>
                </w:rPr>
                <w:t>记录</w:t>
              </w:r>
              <w:r>
                <w:tab/>
              </w:r>
              <w:r>
                <w:fldChar w:fldCharType="begin"/>
              </w:r>
              <w:r>
                <w:instrText xml:space="preserve"> PAGEREF _Toc26018 </w:instrText>
              </w:r>
              <w:r>
                <w:fldChar w:fldCharType="separate"/>
              </w:r>
              <w:r>
                <w:t>13</w:t>
              </w:r>
              <w:r>
                <w:fldChar w:fldCharType="end"/>
              </w:r>
              <w:r>
                <w:fldChar w:fldCharType="end"/>
              </w:r>
            </w:p>
            <w:p>
              <w:pPr>
                <w:pStyle w:val="45"/>
                <w:tabs>
                  <w:tab w:val="right" w:leader="dot" w:pos="8306"/>
                </w:tabs>
              </w:pPr>
              <w:r>
                <w:fldChar w:fldCharType="begin"/>
              </w:r>
              <w:r>
                <w:instrText xml:space="preserve"> HYPERLINK \l _Toc5470 </w:instrText>
              </w:r>
              <w:r>
                <w:fldChar w:fldCharType="separate"/>
              </w:r>
              <w:r>
                <w:rPr>
                  <w:rFonts w:hint="default" w:ascii="Times New Roman" w:hAnsi="Times New Roman" w:cs="Times New Roman"/>
                </w:rPr>
                <w:t xml:space="preserve">4. </w:t>
              </w:r>
              <w:r>
                <w:rPr>
                  <w:rFonts w:hint="eastAsia" w:ascii="Times New Roman" w:hAnsi="Times New Roman" w:cs="Times New Roman"/>
                </w:rPr>
                <w:t>电子</w:t>
              </w:r>
              <w:r>
                <w:rPr>
                  <w:rFonts w:ascii="Times New Roman" w:hAnsi="Times New Roman" w:cs="Times New Roman"/>
                </w:rPr>
                <w:t>票证管理</w:t>
              </w:r>
              <w:r>
                <w:tab/>
              </w:r>
              <w:r>
                <w:fldChar w:fldCharType="begin"/>
              </w:r>
              <w:r>
                <w:instrText xml:space="preserve"> PAGEREF _Toc5470 </w:instrText>
              </w:r>
              <w:r>
                <w:fldChar w:fldCharType="separate"/>
              </w:r>
              <w:r>
                <w:t>15</w:t>
              </w:r>
              <w:r>
                <w:fldChar w:fldCharType="end"/>
              </w:r>
              <w:r>
                <w:fldChar w:fldCharType="end"/>
              </w:r>
            </w:p>
            <w:p>
              <w:pPr>
                <w:pStyle w:val="46"/>
                <w:tabs>
                  <w:tab w:val="right" w:leader="dot" w:pos="8306"/>
                </w:tabs>
              </w:pPr>
              <w:r>
                <w:fldChar w:fldCharType="begin"/>
              </w:r>
              <w:r>
                <w:instrText xml:space="preserve"> HYPERLINK \l _Toc24482 </w:instrText>
              </w:r>
              <w:r>
                <w:fldChar w:fldCharType="separate"/>
              </w:r>
              <w:r>
                <w:rPr>
                  <w:rFonts w:hint="default"/>
                </w:rPr>
                <w:t xml:space="preserve">4.1. </w:t>
              </w:r>
              <w:r>
                <w:t>煤票</w:t>
              </w:r>
              <w:r>
                <w:rPr>
                  <w:rFonts w:hint="eastAsia"/>
                </w:rPr>
                <w:t>领用</w:t>
              </w:r>
              <w:r>
                <w:tab/>
              </w:r>
              <w:r>
                <w:fldChar w:fldCharType="begin"/>
              </w:r>
              <w:r>
                <w:instrText xml:space="preserve"> PAGEREF _Toc24482 </w:instrText>
              </w:r>
              <w:r>
                <w:fldChar w:fldCharType="separate"/>
              </w:r>
              <w:r>
                <w:t>15</w:t>
              </w:r>
              <w:r>
                <w:fldChar w:fldCharType="end"/>
              </w:r>
              <w:r>
                <w:fldChar w:fldCharType="end"/>
              </w:r>
            </w:p>
            <w:p>
              <w:pPr>
                <w:pStyle w:val="46"/>
                <w:tabs>
                  <w:tab w:val="right" w:leader="dot" w:pos="8306"/>
                </w:tabs>
              </w:pPr>
              <w:r>
                <w:fldChar w:fldCharType="begin"/>
              </w:r>
              <w:r>
                <w:instrText xml:space="preserve"> HYPERLINK \l _Toc4251 </w:instrText>
              </w:r>
              <w:r>
                <w:fldChar w:fldCharType="separate"/>
              </w:r>
              <w:r>
                <w:rPr>
                  <w:rFonts w:hint="default"/>
                </w:rPr>
                <w:t xml:space="preserve">4.2. </w:t>
              </w:r>
              <w:r>
                <w:rPr>
                  <w:rFonts w:hint="eastAsia"/>
                </w:rPr>
                <w:t>煤票库存</w:t>
              </w:r>
              <w:r>
                <w:tab/>
              </w:r>
              <w:r>
                <w:fldChar w:fldCharType="begin"/>
              </w:r>
              <w:r>
                <w:instrText xml:space="preserve"> PAGEREF _Toc4251 </w:instrText>
              </w:r>
              <w:r>
                <w:fldChar w:fldCharType="separate"/>
              </w:r>
              <w:r>
                <w:t>16</w:t>
              </w:r>
              <w:r>
                <w:fldChar w:fldCharType="end"/>
              </w:r>
              <w:r>
                <w:fldChar w:fldCharType="end"/>
              </w:r>
            </w:p>
            <w:p>
              <w:pPr>
                <w:pStyle w:val="46"/>
                <w:tabs>
                  <w:tab w:val="right" w:leader="dot" w:pos="8306"/>
                </w:tabs>
              </w:pPr>
              <w:r>
                <w:fldChar w:fldCharType="begin"/>
              </w:r>
              <w:r>
                <w:instrText xml:space="preserve"> HYPERLINK \l _Toc14803 </w:instrText>
              </w:r>
              <w:r>
                <w:fldChar w:fldCharType="separate"/>
              </w:r>
              <w:r>
                <w:rPr>
                  <w:rFonts w:hint="default"/>
                </w:rPr>
                <w:t xml:space="preserve">4.3. </w:t>
              </w:r>
              <w:r>
                <w:rPr>
                  <w:rFonts w:hint="eastAsia"/>
                </w:rPr>
                <w:t>煤票查询</w:t>
              </w:r>
              <w:r>
                <w:tab/>
              </w:r>
              <w:r>
                <w:fldChar w:fldCharType="begin"/>
              </w:r>
              <w:r>
                <w:instrText xml:space="preserve"> PAGEREF _Toc14803 </w:instrText>
              </w:r>
              <w:r>
                <w:fldChar w:fldCharType="separate"/>
              </w:r>
              <w:r>
                <w:t>17</w:t>
              </w:r>
              <w:r>
                <w:fldChar w:fldCharType="end"/>
              </w:r>
              <w:r>
                <w:fldChar w:fldCharType="end"/>
              </w:r>
            </w:p>
            <w:p>
              <w:pPr>
                <w:pStyle w:val="46"/>
                <w:tabs>
                  <w:tab w:val="right" w:leader="dot" w:pos="8306"/>
                </w:tabs>
              </w:pPr>
              <w:r>
                <w:fldChar w:fldCharType="begin"/>
              </w:r>
              <w:r>
                <w:instrText xml:space="preserve"> HYPERLINK \l _Toc1906 </w:instrText>
              </w:r>
              <w:r>
                <w:fldChar w:fldCharType="separate"/>
              </w:r>
              <w:r>
                <w:rPr>
                  <w:rFonts w:hint="default"/>
                </w:rPr>
                <w:t xml:space="preserve">4.4. </w:t>
              </w:r>
              <w:r>
                <w:rPr>
                  <w:rFonts w:hint="eastAsia"/>
                </w:rPr>
                <w:t>煤票连号作废</w:t>
              </w:r>
              <w:r>
                <w:tab/>
              </w:r>
              <w:r>
                <w:fldChar w:fldCharType="begin"/>
              </w:r>
              <w:r>
                <w:instrText xml:space="preserve"> PAGEREF _Toc1906 </w:instrText>
              </w:r>
              <w:r>
                <w:fldChar w:fldCharType="separate"/>
              </w:r>
              <w:r>
                <w:t>18</w:t>
              </w:r>
              <w:r>
                <w:fldChar w:fldCharType="end"/>
              </w:r>
              <w:r>
                <w:fldChar w:fldCharType="end"/>
              </w:r>
            </w:p>
            <w:p>
              <w:pPr>
                <w:pStyle w:val="46"/>
                <w:tabs>
                  <w:tab w:val="right" w:leader="dot" w:pos="8306"/>
                </w:tabs>
              </w:pPr>
              <w:r>
                <w:fldChar w:fldCharType="begin"/>
              </w:r>
              <w:r>
                <w:instrText xml:space="preserve"> HYPERLINK \l _Toc2485 </w:instrText>
              </w:r>
              <w:r>
                <w:fldChar w:fldCharType="separate"/>
              </w:r>
              <w:r>
                <w:rPr>
                  <w:rFonts w:hint="default"/>
                </w:rPr>
                <w:t xml:space="preserve">4.5. </w:t>
              </w:r>
              <w:r>
                <w:rPr>
                  <w:rFonts w:hint="eastAsia"/>
                </w:rPr>
                <w:t>煤票退库</w:t>
              </w:r>
              <w:r>
                <w:tab/>
              </w:r>
              <w:r>
                <w:fldChar w:fldCharType="begin"/>
              </w:r>
              <w:r>
                <w:instrText xml:space="preserve"> PAGEREF _Toc2485 </w:instrText>
              </w:r>
              <w:r>
                <w:fldChar w:fldCharType="separate"/>
              </w:r>
              <w:r>
                <w:t>19</w:t>
              </w:r>
              <w:r>
                <w:fldChar w:fldCharType="end"/>
              </w:r>
              <w:r>
                <w:fldChar w:fldCharType="end"/>
              </w:r>
            </w:p>
            <w:p>
              <w:pPr>
                <w:pStyle w:val="46"/>
                <w:tabs>
                  <w:tab w:val="right" w:leader="dot" w:pos="8306"/>
                </w:tabs>
              </w:pPr>
              <w:r>
                <w:fldChar w:fldCharType="begin"/>
              </w:r>
              <w:r>
                <w:instrText xml:space="preserve"> HYPERLINK \l _Toc11449 </w:instrText>
              </w:r>
              <w:r>
                <w:fldChar w:fldCharType="separate"/>
              </w:r>
              <w:r>
                <w:rPr>
                  <w:rFonts w:hint="default"/>
                </w:rPr>
                <w:t xml:space="preserve">4.6. </w:t>
              </w:r>
              <w:r>
                <w:rPr>
                  <w:rFonts w:hint="eastAsia"/>
                </w:rPr>
                <w:t>错票管理</w:t>
              </w:r>
              <w:r>
                <w:tab/>
              </w:r>
              <w:r>
                <w:fldChar w:fldCharType="begin"/>
              </w:r>
              <w:r>
                <w:instrText xml:space="preserve"> PAGEREF _Toc11449 </w:instrText>
              </w:r>
              <w:r>
                <w:fldChar w:fldCharType="separate"/>
              </w:r>
              <w:r>
                <w:t>21</w:t>
              </w:r>
              <w:r>
                <w:fldChar w:fldCharType="end"/>
              </w:r>
              <w:r>
                <w:fldChar w:fldCharType="end"/>
              </w:r>
            </w:p>
            <w:p>
              <w:pPr>
                <w:pStyle w:val="46"/>
                <w:tabs>
                  <w:tab w:val="right" w:leader="dot" w:pos="8306"/>
                </w:tabs>
              </w:pPr>
              <w:r>
                <w:fldChar w:fldCharType="begin"/>
              </w:r>
              <w:r>
                <w:instrText xml:space="preserve"> HYPERLINK \l _Toc17590 </w:instrText>
              </w:r>
              <w:r>
                <w:fldChar w:fldCharType="separate"/>
              </w:r>
              <w:r>
                <w:rPr>
                  <w:rFonts w:hint="default"/>
                </w:rPr>
                <w:t xml:space="preserve">4.7. </w:t>
              </w:r>
              <w:r>
                <w:rPr>
                  <w:rFonts w:hint="eastAsia"/>
                </w:rPr>
                <w:t>错票续开</w:t>
              </w:r>
              <w:r>
                <w:tab/>
              </w:r>
              <w:r>
                <w:fldChar w:fldCharType="begin"/>
              </w:r>
              <w:r>
                <w:instrText xml:space="preserve"> PAGEREF _Toc17590 </w:instrText>
              </w:r>
              <w:r>
                <w:fldChar w:fldCharType="separate"/>
              </w:r>
              <w:r>
                <w:t>23</w:t>
              </w:r>
              <w:r>
                <w:fldChar w:fldCharType="end"/>
              </w:r>
              <w:r>
                <w:fldChar w:fldCharType="end"/>
              </w:r>
            </w:p>
            <w:p>
              <w:pPr>
                <w:pStyle w:val="46"/>
                <w:tabs>
                  <w:tab w:val="right" w:leader="dot" w:pos="8306"/>
                </w:tabs>
              </w:pPr>
              <w:r>
                <w:fldChar w:fldCharType="begin"/>
              </w:r>
              <w:r>
                <w:instrText xml:space="preserve"> HYPERLINK \l _Toc15954 </w:instrText>
              </w:r>
              <w:r>
                <w:fldChar w:fldCharType="separate"/>
              </w:r>
              <w:r>
                <w:rPr>
                  <w:rFonts w:hint="default"/>
                </w:rPr>
                <w:t xml:space="preserve">4.8. </w:t>
              </w:r>
              <w:r>
                <w:rPr>
                  <w:rFonts w:hint="eastAsia"/>
                </w:rPr>
                <w:t>煤票缴销回收</w:t>
              </w:r>
              <w:r>
                <w:tab/>
              </w:r>
              <w:r>
                <w:fldChar w:fldCharType="begin"/>
              </w:r>
              <w:r>
                <w:instrText xml:space="preserve"> PAGEREF _Toc15954 </w:instrText>
              </w:r>
              <w:r>
                <w:fldChar w:fldCharType="separate"/>
              </w:r>
              <w:r>
                <w:t>24</w:t>
              </w:r>
              <w:r>
                <w:fldChar w:fldCharType="end"/>
              </w:r>
              <w:r>
                <w:fldChar w:fldCharType="end"/>
              </w:r>
            </w:p>
            <w:p>
              <w:pPr>
                <w:pStyle w:val="46"/>
                <w:tabs>
                  <w:tab w:val="right" w:leader="dot" w:pos="8306"/>
                </w:tabs>
              </w:pPr>
              <w:r>
                <w:fldChar w:fldCharType="begin"/>
              </w:r>
              <w:r>
                <w:instrText xml:space="preserve"> HYPERLINK \l _Toc32437 </w:instrText>
              </w:r>
              <w:r>
                <w:fldChar w:fldCharType="separate"/>
              </w:r>
              <w:r>
                <w:rPr>
                  <w:rFonts w:hint="default"/>
                </w:rPr>
                <w:t xml:space="preserve">4.9. </w:t>
              </w:r>
              <w:r>
                <w:rPr>
                  <w:rFonts w:hint="eastAsia"/>
                </w:rPr>
                <w:t>手动缴销</w:t>
              </w:r>
              <w:r>
                <w:tab/>
              </w:r>
              <w:r>
                <w:fldChar w:fldCharType="begin"/>
              </w:r>
              <w:r>
                <w:instrText xml:space="preserve"> PAGEREF _Toc32437 </w:instrText>
              </w:r>
              <w:r>
                <w:fldChar w:fldCharType="separate"/>
              </w:r>
              <w:r>
                <w:t>26</w:t>
              </w:r>
              <w:r>
                <w:fldChar w:fldCharType="end"/>
              </w:r>
              <w:r>
                <w:fldChar w:fldCharType="end"/>
              </w:r>
            </w:p>
            <w:p>
              <w:pPr>
                <w:pStyle w:val="45"/>
                <w:tabs>
                  <w:tab w:val="right" w:leader="dot" w:pos="8306"/>
                </w:tabs>
              </w:pPr>
              <w:r>
                <w:fldChar w:fldCharType="begin"/>
              </w:r>
              <w:r>
                <w:instrText xml:space="preserve"> HYPERLINK \l _Toc8221 </w:instrText>
              </w:r>
              <w:r>
                <w:fldChar w:fldCharType="separate"/>
              </w:r>
              <w:r>
                <w:rPr>
                  <w:rFonts w:hint="default" w:ascii="Times New Roman" w:hAnsi="Times New Roman" w:cs="Times New Roman"/>
                </w:rPr>
                <w:t xml:space="preserve">5. </w:t>
              </w:r>
              <w:r>
                <w:rPr>
                  <w:rFonts w:hint="eastAsia" w:ascii="Times New Roman" w:hAnsi="Times New Roman" w:cs="Times New Roman"/>
                </w:rPr>
                <w:t>监管统计</w:t>
              </w:r>
              <w:r>
                <w:tab/>
              </w:r>
              <w:r>
                <w:fldChar w:fldCharType="begin"/>
              </w:r>
              <w:r>
                <w:instrText xml:space="preserve"> PAGEREF _Toc8221 </w:instrText>
              </w:r>
              <w:r>
                <w:fldChar w:fldCharType="separate"/>
              </w:r>
              <w:r>
                <w:t>27</w:t>
              </w:r>
              <w:r>
                <w:fldChar w:fldCharType="end"/>
              </w:r>
              <w:r>
                <w:fldChar w:fldCharType="end"/>
              </w:r>
            </w:p>
            <w:p>
              <w:pPr>
                <w:pStyle w:val="46"/>
                <w:tabs>
                  <w:tab w:val="right" w:leader="dot" w:pos="8306"/>
                </w:tabs>
              </w:pPr>
              <w:r>
                <w:fldChar w:fldCharType="begin"/>
              </w:r>
              <w:r>
                <w:instrText xml:space="preserve"> HYPERLINK \l _Toc5534 </w:instrText>
              </w:r>
              <w:r>
                <w:fldChar w:fldCharType="separate"/>
              </w:r>
              <w:r>
                <w:rPr>
                  <w:rFonts w:hint="default"/>
                </w:rPr>
                <w:t xml:space="preserve">5.1. </w:t>
              </w:r>
              <w:r>
                <w:rPr>
                  <w:rFonts w:hint="eastAsia"/>
                </w:rPr>
                <w:t>机构</w:t>
              </w:r>
              <w:r>
                <w:t>销售</w:t>
              </w:r>
              <w:r>
                <w:rPr>
                  <w:rFonts w:hint="eastAsia"/>
                </w:rPr>
                <w:t>统计</w:t>
              </w:r>
              <w:r>
                <w:tab/>
              </w:r>
              <w:r>
                <w:fldChar w:fldCharType="begin"/>
              </w:r>
              <w:r>
                <w:instrText xml:space="preserve"> PAGEREF _Toc5534 </w:instrText>
              </w:r>
              <w:r>
                <w:fldChar w:fldCharType="separate"/>
              </w:r>
              <w:r>
                <w:t>27</w:t>
              </w:r>
              <w:r>
                <w:fldChar w:fldCharType="end"/>
              </w:r>
              <w:r>
                <w:fldChar w:fldCharType="end"/>
              </w:r>
            </w:p>
            <w:p>
              <w:pPr>
                <w:pStyle w:val="46"/>
                <w:tabs>
                  <w:tab w:val="right" w:leader="dot" w:pos="8306"/>
                </w:tabs>
              </w:pPr>
              <w:r>
                <w:fldChar w:fldCharType="begin"/>
              </w:r>
              <w:r>
                <w:instrText xml:space="preserve"> HYPERLINK \l _Toc25500 </w:instrText>
              </w:r>
              <w:r>
                <w:fldChar w:fldCharType="separate"/>
              </w:r>
              <w:r>
                <w:rPr>
                  <w:rFonts w:hint="default"/>
                </w:rPr>
                <w:t xml:space="preserve">5.2. </w:t>
              </w:r>
              <w:r>
                <w:rPr>
                  <w:rFonts w:hint="eastAsia"/>
                </w:rPr>
                <w:t>煤种</w:t>
              </w:r>
              <w:r>
                <w:t>销售统计</w:t>
              </w:r>
              <w:r>
                <w:tab/>
              </w:r>
              <w:r>
                <w:fldChar w:fldCharType="begin"/>
              </w:r>
              <w:r>
                <w:instrText xml:space="preserve"> PAGEREF _Toc25500 </w:instrText>
              </w:r>
              <w:r>
                <w:fldChar w:fldCharType="separate"/>
              </w:r>
              <w:r>
                <w:t>27</w:t>
              </w:r>
              <w:r>
                <w:fldChar w:fldCharType="end"/>
              </w:r>
              <w:r>
                <w:fldChar w:fldCharType="end"/>
              </w:r>
            </w:p>
            <w:p>
              <w:pPr>
                <w:pStyle w:val="46"/>
                <w:tabs>
                  <w:tab w:val="right" w:leader="dot" w:pos="8306"/>
                </w:tabs>
              </w:pPr>
              <w:r>
                <w:fldChar w:fldCharType="begin"/>
              </w:r>
              <w:r>
                <w:instrText xml:space="preserve"> HYPERLINK \l _Toc31511 </w:instrText>
              </w:r>
              <w:r>
                <w:fldChar w:fldCharType="separate"/>
              </w:r>
              <w:r>
                <w:rPr>
                  <w:rFonts w:hint="default"/>
                </w:rPr>
                <w:t xml:space="preserve">5.3. </w:t>
              </w:r>
              <w:r>
                <w:rPr>
                  <w:rFonts w:hint="eastAsia"/>
                </w:rPr>
                <w:t>运往地</w:t>
              </w:r>
              <w:r>
                <w:t>销售统计</w:t>
              </w:r>
              <w:r>
                <w:tab/>
              </w:r>
              <w:r>
                <w:fldChar w:fldCharType="begin"/>
              </w:r>
              <w:r>
                <w:instrText xml:space="preserve"> PAGEREF _Toc31511 </w:instrText>
              </w:r>
              <w:r>
                <w:fldChar w:fldCharType="separate"/>
              </w:r>
              <w:r>
                <w:t>28</w:t>
              </w:r>
              <w:r>
                <w:fldChar w:fldCharType="end"/>
              </w:r>
              <w:r>
                <w:fldChar w:fldCharType="end"/>
              </w:r>
            </w:p>
            <w:p>
              <w:pPr>
                <w:pStyle w:val="46"/>
                <w:tabs>
                  <w:tab w:val="right" w:leader="dot" w:pos="8306"/>
                </w:tabs>
              </w:pPr>
              <w:r>
                <w:fldChar w:fldCharType="begin"/>
              </w:r>
              <w:r>
                <w:instrText xml:space="preserve"> HYPERLINK \l _Toc18808 </w:instrText>
              </w:r>
              <w:r>
                <w:fldChar w:fldCharType="separate"/>
              </w:r>
              <w:r>
                <w:rPr>
                  <w:rFonts w:hint="default"/>
                </w:rPr>
                <w:t xml:space="preserve">5.4. </w:t>
              </w:r>
              <w:r>
                <w:t>销售</w:t>
              </w:r>
              <w:r>
                <w:rPr>
                  <w:rFonts w:hint="eastAsia"/>
                </w:rPr>
                <w:t>明细查询</w:t>
              </w:r>
              <w:r>
                <w:tab/>
              </w:r>
              <w:r>
                <w:fldChar w:fldCharType="begin"/>
              </w:r>
              <w:r>
                <w:instrText xml:space="preserve"> PAGEREF _Toc18808 </w:instrText>
              </w:r>
              <w:r>
                <w:fldChar w:fldCharType="separate"/>
              </w:r>
              <w:r>
                <w:t>29</w:t>
              </w:r>
              <w:r>
                <w:fldChar w:fldCharType="end"/>
              </w:r>
              <w:r>
                <w:fldChar w:fldCharType="end"/>
              </w:r>
            </w:p>
            <w:p>
              <w:pPr>
                <w:pStyle w:val="45"/>
                <w:tabs>
                  <w:tab w:val="right" w:leader="dot" w:pos="8306"/>
                </w:tabs>
              </w:pPr>
              <w:r>
                <w:fldChar w:fldCharType="begin"/>
              </w:r>
              <w:r>
                <w:instrText xml:space="preserve"> HYPERLINK \l _Toc5197 </w:instrText>
              </w:r>
              <w:r>
                <w:fldChar w:fldCharType="separate"/>
              </w:r>
              <w:r>
                <w:rPr>
                  <w:rFonts w:hint="default" w:ascii="Times New Roman" w:hAnsi="Times New Roman" w:cs="Times New Roman"/>
                </w:rPr>
                <w:t xml:space="preserve">6. </w:t>
              </w:r>
              <w:r>
                <w:rPr>
                  <w:rFonts w:hint="eastAsia" w:ascii="Times New Roman" w:hAnsi="Times New Roman" w:cs="Times New Roman"/>
                </w:rPr>
                <w:t>系统管理</w:t>
              </w:r>
              <w:r>
                <w:tab/>
              </w:r>
              <w:r>
                <w:fldChar w:fldCharType="begin"/>
              </w:r>
              <w:r>
                <w:instrText xml:space="preserve"> PAGEREF _Toc5197 </w:instrText>
              </w:r>
              <w:r>
                <w:fldChar w:fldCharType="separate"/>
              </w:r>
              <w:r>
                <w:t>31</w:t>
              </w:r>
              <w:r>
                <w:fldChar w:fldCharType="end"/>
              </w:r>
              <w:r>
                <w:fldChar w:fldCharType="end"/>
              </w:r>
            </w:p>
            <w:p>
              <w:pPr>
                <w:pStyle w:val="46"/>
                <w:tabs>
                  <w:tab w:val="right" w:leader="dot" w:pos="8306"/>
                </w:tabs>
              </w:pPr>
              <w:r>
                <w:fldChar w:fldCharType="begin"/>
              </w:r>
              <w:r>
                <w:instrText xml:space="preserve"> HYPERLINK \l _Toc29844 </w:instrText>
              </w:r>
              <w:r>
                <w:fldChar w:fldCharType="separate"/>
              </w:r>
              <w:r>
                <w:rPr>
                  <w:rFonts w:hint="default"/>
                </w:rPr>
                <w:t xml:space="preserve">6.1. </w:t>
              </w:r>
              <w:r>
                <w:rPr>
                  <w:rFonts w:hint="eastAsia"/>
                </w:rPr>
                <w:t>下载</w:t>
              </w:r>
              <w:r>
                <w:tab/>
              </w:r>
              <w:r>
                <w:fldChar w:fldCharType="begin"/>
              </w:r>
              <w:r>
                <w:instrText xml:space="preserve"> PAGEREF _Toc29844 </w:instrText>
              </w:r>
              <w:r>
                <w:fldChar w:fldCharType="separate"/>
              </w:r>
              <w:r>
                <w:t>31</w:t>
              </w:r>
              <w:r>
                <w:fldChar w:fldCharType="end"/>
              </w:r>
              <w:r>
                <w:fldChar w:fldCharType="end"/>
              </w:r>
            </w:p>
            <w:p>
              <w:pPr>
                <w:pStyle w:val="46"/>
                <w:tabs>
                  <w:tab w:val="right" w:leader="dot" w:pos="8306"/>
                </w:tabs>
              </w:pPr>
              <w:r>
                <w:fldChar w:fldCharType="begin"/>
              </w:r>
              <w:r>
                <w:instrText xml:space="preserve"> HYPERLINK \l _Toc10590 </w:instrText>
              </w:r>
              <w:r>
                <w:fldChar w:fldCharType="separate"/>
              </w:r>
              <w:r>
                <w:rPr>
                  <w:rFonts w:hint="default"/>
                </w:rPr>
                <w:t xml:space="preserve">6.2. </w:t>
              </w:r>
              <w:r>
                <w:rPr>
                  <w:rFonts w:hint="eastAsia"/>
                </w:rPr>
                <w:t>公告</w:t>
              </w:r>
              <w:r>
                <w:tab/>
              </w:r>
              <w:r>
                <w:fldChar w:fldCharType="begin"/>
              </w:r>
              <w:r>
                <w:instrText xml:space="preserve"> PAGEREF _Toc10590 </w:instrText>
              </w:r>
              <w:r>
                <w:fldChar w:fldCharType="separate"/>
              </w:r>
              <w:r>
                <w:t>31</w:t>
              </w:r>
              <w:r>
                <w:fldChar w:fldCharType="end"/>
              </w:r>
              <w:r>
                <w:fldChar w:fldCharType="end"/>
              </w:r>
            </w:p>
            <w:p>
              <w:pPr>
                <w:pStyle w:val="46"/>
                <w:tabs>
                  <w:tab w:val="right" w:leader="dot" w:pos="8306"/>
                </w:tabs>
              </w:pPr>
              <w:r>
                <w:fldChar w:fldCharType="begin"/>
              </w:r>
              <w:r>
                <w:instrText xml:space="preserve"> HYPERLINK \l _Toc591 </w:instrText>
              </w:r>
              <w:r>
                <w:fldChar w:fldCharType="separate"/>
              </w:r>
              <w:r>
                <w:rPr>
                  <w:rFonts w:hint="default"/>
                </w:rPr>
                <w:t xml:space="preserve">6.3. </w:t>
              </w:r>
              <w:r>
                <w:rPr>
                  <w:rFonts w:hint="eastAsia"/>
                </w:rPr>
                <w:t>煤票打印方式</w:t>
              </w:r>
              <w:r>
                <w:tab/>
              </w:r>
              <w:r>
                <w:fldChar w:fldCharType="begin"/>
              </w:r>
              <w:r>
                <w:instrText xml:space="preserve"> PAGEREF _Toc591 </w:instrText>
              </w:r>
              <w:r>
                <w:fldChar w:fldCharType="separate"/>
              </w:r>
              <w:r>
                <w:t>32</w:t>
              </w:r>
              <w:r>
                <w:fldChar w:fldCharType="end"/>
              </w:r>
              <w:r>
                <w:fldChar w:fldCharType="end"/>
              </w:r>
            </w:p>
            <w:p>
              <w:r>
                <w:fldChar w:fldCharType="end"/>
              </w:r>
            </w:p>
          </w:sdtContent>
        </w:sdt>
        <w:p>
          <w:pPr>
            <w:rPr>
              <w:rFonts w:ascii="Times New Roman" w:hAnsi="Times New Roman" w:eastAsia="微软雅黑" w:cs="Times New Roman"/>
              <w:sz w:val="18"/>
              <w:szCs w:val="18"/>
            </w:rPr>
            <w:sectPr>
              <w:pgSz w:w="11906" w:h="16838"/>
              <w:pgMar w:top="1440" w:right="1800" w:bottom="1440" w:left="1800" w:header="851" w:footer="992" w:gutter="0"/>
              <w:cols w:space="425" w:num="1"/>
              <w:docGrid w:type="lines" w:linePitch="312" w:charSpace="0"/>
            </w:sectPr>
          </w:pPr>
        </w:p>
      </w:sdtContent>
    </w:sdt>
    <w:p>
      <w:pPr>
        <w:pStyle w:val="2"/>
        <w:pageBreakBefore/>
        <w:numPr>
          <w:ilvl w:val="0"/>
          <w:numId w:val="2"/>
        </w:numPr>
        <w:ind w:left="425" w:leftChars="0" w:hanging="425" w:firstLineChars="0"/>
        <w:rPr>
          <w:rFonts w:ascii="Times New Roman" w:hAnsi="Times New Roman" w:cs="Times New Roman"/>
        </w:rPr>
      </w:pPr>
      <w:bookmarkStart w:id="3" w:name="_Toc4487"/>
      <w:bookmarkStart w:id="4" w:name="_Toc481605497"/>
      <w:r>
        <w:rPr>
          <w:rFonts w:ascii="Times New Roman" w:hAnsi="Times New Roman" w:cs="Times New Roman"/>
        </w:rPr>
        <w:t>概述</w:t>
      </w:r>
      <w:bookmarkEnd w:id="0"/>
      <w:bookmarkEnd w:id="1"/>
      <w:bookmarkEnd w:id="2"/>
      <w:bookmarkEnd w:id="3"/>
      <w:bookmarkEnd w:id="4"/>
    </w:p>
    <w:p>
      <w:pPr>
        <w:pStyle w:val="3"/>
        <w:numPr>
          <w:ilvl w:val="1"/>
          <w:numId w:val="3"/>
        </w:numPr>
        <w:ind w:left="567" w:leftChars="0" w:hanging="567" w:firstLineChars="0"/>
        <w:rPr>
          <w:rFonts w:ascii="Times New Roman" w:hAnsi="Times New Roman" w:cs="Times New Roman"/>
        </w:rPr>
      </w:pPr>
      <w:bookmarkStart w:id="5" w:name="_Toc29305"/>
      <w:bookmarkStart w:id="6" w:name="_Toc481605402"/>
      <w:bookmarkStart w:id="7" w:name="_Toc481605332"/>
      <w:bookmarkStart w:id="8" w:name="_Toc22216"/>
      <w:bookmarkStart w:id="9" w:name="_Toc481605498"/>
      <w:r>
        <w:rPr>
          <w:rFonts w:ascii="Times New Roman" w:hAnsi="Times New Roman" w:cs="Times New Roman"/>
        </w:rPr>
        <w:t>产品概述</w:t>
      </w:r>
      <w:bookmarkEnd w:id="5"/>
      <w:bookmarkEnd w:id="6"/>
      <w:bookmarkEnd w:id="7"/>
      <w:bookmarkEnd w:id="8"/>
      <w:bookmarkEnd w:id="9"/>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本用户手册描述了</w:t>
      </w:r>
      <w:r>
        <w:rPr>
          <w:rFonts w:hint="eastAsia" w:ascii="Times New Roman" w:hAnsi="Times New Roman" w:eastAsia="宋体" w:cs="Times New Roman"/>
          <w:sz w:val="24"/>
          <w:szCs w:val="24"/>
        </w:rPr>
        <w:t>鄂尔多斯市煤炭销售监管平台的</w:t>
      </w:r>
      <w:r>
        <w:rPr>
          <w:rFonts w:ascii="Times New Roman" w:hAnsi="Times New Roman" w:eastAsia="宋体" w:cs="Times New Roman"/>
          <w:sz w:val="24"/>
          <w:szCs w:val="24"/>
        </w:rPr>
        <w:t>详细说明，以帮助刚接触本系统的</w:t>
      </w:r>
      <w:r>
        <w:rPr>
          <w:rFonts w:hint="eastAsia" w:ascii="Times New Roman" w:hAnsi="Times New Roman" w:eastAsia="宋体" w:cs="Times New Roman"/>
          <w:sz w:val="24"/>
          <w:szCs w:val="24"/>
        </w:rPr>
        <w:t>用票企业</w:t>
      </w:r>
      <w:r>
        <w:rPr>
          <w:rFonts w:ascii="Times New Roman" w:hAnsi="Times New Roman" w:eastAsia="宋体" w:cs="Times New Roman"/>
          <w:sz w:val="24"/>
          <w:szCs w:val="24"/>
        </w:rPr>
        <w:t>的用户，能迅速掌握使用</w:t>
      </w:r>
      <w:r>
        <w:rPr>
          <w:rFonts w:hint="eastAsia" w:ascii="Times New Roman" w:hAnsi="Times New Roman" w:eastAsia="宋体" w:cs="Times New Roman"/>
          <w:sz w:val="24"/>
          <w:szCs w:val="24"/>
        </w:rPr>
        <w:t>本系统</w:t>
      </w:r>
      <w:r>
        <w:rPr>
          <w:rFonts w:ascii="Times New Roman" w:hAnsi="Times New Roman" w:eastAsia="宋体" w:cs="Times New Roman"/>
          <w:sz w:val="24"/>
          <w:szCs w:val="24"/>
        </w:rPr>
        <w:t>。</w:t>
      </w:r>
      <w:r>
        <w:rPr>
          <w:rFonts w:hint="eastAsia" w:ascii="Times New Roman" w:hAnsi="Times New Roman" w:eastAsia="宋体" w:cs="Times New Roman"/>
          <w:sz w:val="24"/>
          <w:szCs w:val="24"/>
        </w:rPr>
        <w:t>鄂尔多斯市煤炭销售监管平台</w:t>
      </w:r>
      <w:r>
        <w:rPr>
          <w:rFonts w:ascii="Times New Roman" w:hAnsi="Times New Roman" w:eastAsia="宋体" w:cs="Times New Roman"/>
          <w:sz w:val="24"/>
          <w:szCs w:val="24"/>
        </w:rPr>
        <w:t>主要有</w:t>
      </w:r>
      <w:r>
        <w:rPr>
          <w:rFonts w:hint="eastAsia" w:ascii="Times New Roman" w:hAnsi="Times New Roman" w:eastAsia="宋体" w:cs="Times New Roman"/>
          <w:sz w:val="24"/>
          <w:szCs w:val="24"/>
        </w:rPr>
        <w:t>5</w:t>
      </w:r>
      <w:r>
        <w:rPr>
          <w:rFonts w:ascii="Times New Roman" w:hAnsi="Times New Roman" w:eastAsia="宋体" w:cs="Times New Roman"/>
          <w:sz w:val="24"/>
          <w:szCs w:val="24"/>
        </w:rPr>
        <w:t>个功能模块，分别是</w:t>
      </w:r>
      <w:bookmarkStart w:id="104" w:name="_GoBack"/>
      <w:bookmarkEnd w:id="104"/>
      <w:r>
        <w:rPr>
          <w:rFonts w:hint="eastAsia" w:ascii="Times New Roman" w:hAnsi="Times New Roman" w:eastAsia="宋体" w:cs="Times New Roman"/>
          <w:sz w:val="24"/>
          <w:szCs w:val="24"/>
        </w:rPr>
        <w:t>企业销售管理、出</w:t>
      </w:r>
      <w:r>
        <w:rPr>
          <w:rFonts w:ascii="Times New Roman" w:hAnsi="Times New Roman" w:eastAsia="宋体" w:cs="Times New Roman"/>
          <w:sz w:val="24"/>
          <w:szCs w:val="24"/>
        </w:rPr>
        <w:t>入矿管理、</w:t>
      </w:r>
      <w:r>
        <w:rPr>
          <w:rFonts w:hint="eastAsia" w:ascii="Times New Roman" w:hAnsi="Times New Roman" w:eastAsia="宋体" w:cs="Times New Roman"/>
          <w:sz w:val="24"/>
          <w:szCs w:val="24"/>
        </w:rPr>
        <w:t>电子</w:t>
      </w:r>
      <w:r>
        <w:rPr>
          <w:rFonts w:ascii="Times New Roman" w:hAnsi="Times New Roman" w:eastAsia="宋体" w:cs="Times New Roman"/>
          <w:sz w:val="24"/>
          <w:szCs w:val="24"/>
        </w:rPr>
        <w:t>票证管理、</w:t>
      </w:r>
      <w:r>
        <w:rPr>
          <w:rFonts w:hint="eastAsia" w:ascii="Times New Roman" w:hAnsi="Times New Roman" w:eastAsia="宋体" w:cs="Times New Roman"/>
          <w:sz w:val="24"/>
          <w:szCs w:val="24"/>
        </w:rPr>
        <w:t>监管</w:t>
      </w:r>
      <w:r>
        <w:rPr>
          <w:rFonts w:ascii="Times New Roman" w:hAnsi="Times New Roman" w:eastAsia="宋体" w:cs="Times New Roman"/>
          <w:sz w:val="24"/>
          <w:szCs w:val="24"/>
        </w:rPr>
        <w:t>统计</w:t>
      </w:r>
      <w:r>
        <w:rPr>
          <w:rFonts w:hint="eastAsia" w:ascii="Times New Roman" w:hAnsi="Times New Roman" w:eastAsia="宋体" w:cs="Times New Roman"/>
          <w:sz w:val="24"/>
          <w:szCs w:val="24"/>
        </w:rPr>
        <w:t>、</w:t>
      </w:r>
      <w:r>
        <w:rPr>
          <w:rFonts w:ascii="Times New Roman" w:hAnsi="Times New Roman" w:eastAsia="宋体" w:cs="Times New Roman"/>
          <w:sz w:val="24"/>
          <w:szCs w:val="24"/>
        </w:rPr>
        <w:t>系统</w:t>
      </w:r>
      <w:r>
        <w:rPr>
          <w:rFonts w:hint="eastAsia" w:ascii="Times New Roman" w:hAnsi="Times New Roman" w:eastAsia="宋体" w:cs="Times New Roman"/>
          <w:sz w:val="24"/>
          <w:szCs w:val="24"/>
        </w:rPr>
        <w:t>管理。</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企业销售</w:t>
      </w:r>
      <w:r>
        <w:rPr>
          <w:rFonts w:ascii="Times New Roman" w:hAnsi="Times New Roman" w:eastAsia="宋体" w:cs="Times New Roman"/>
          <w:sz w:val="24"/>
          <w:szCs w:val="24"/>
        </w:rPr>
        <w:t>管理：</w:t>
      </w:r>
      <w:r>
        <w:rPr>
          <w:rFonts w:hint="eastAsia" w:ascii="Times New Roman" w:hAnsi="Times New Roman" w:eastAsia="宋体" w:cs="Times New Roman"/>
          <w:sz w:val="24"/>
          <w:szCs w:val="24"/>
        </w:rPr>
        <w:t>企业客户管理、企业煤种管理、详细运往地管理；</w:t>
      </w:r>
      <w:r>
        <w:rPr>
          <w:rFonts w:ascii="Times New Roman" w:hAnsi="Times New Roman" w:eastAsia="宋体" w:cs="Times New Roman"/>
          <w:sz w:val="24"/>
          <w:szCs w:val="24"/>
        </w:rPr>
        <w:t xml:space="preserve"> </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出入矿管理</w:t>
      </w:r>
      <w:r>
        <w:rPr>
          <w:rFonts w:ascii="Times New Roman" w:hAnsi="Times New Roman" w:eastAsia="宋体" w:cs="Times New Roman"/>
          <w:sz w:val="24"/>
          <w:szCs w:val="24"/>
        </w:rPr>
        <w:t>：</w:t>
      </w:r>
      <w:r>
        <w:rPr>
          <w:rFonts w:hint="eastAsia" w:ascii="Times New Roman" w:hAnsi="Times New Roman" w:eastAsia="宋体" w:cs="Times New Roman"/>
          <w:sz w:val="24"/>
          <w:szCs w:val="24"/>
        </w:rPr>
        <w:t>空车过磅、重车过磅；</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电子票证管理</w:t>
      </w:r>
      <w:r>
        <w:rPr>
          <w:rFonts w:ascii="Times New Roman" w:hAnsi="Times New Roman" w:eastAsia="宋体" w:cs="Times New Roman"/>
          <w:sz w:val="24"/>
          <w:szCs w:val="24"/>
        </w:rPr>
        <w:t>：</w:t>
      </w:r>
      <w:r>
        <w:rPr>
          <w:rFonts w:hint="eastAsia" w:ascii="Times New Roman" w:hAnsi="Times New Roman" w:eastAsia="宋体" w:cs="Times New Roman"/>
          <w:sz w:val="24"/>
          <w:szCs w:val="24"/>
        </w:rPr>
        <w:t>煤票库存、煤票查询、煤票连号作废、煤票退库、错票管理、错票续开、手动缴销、煤票缴销回收、煤票领用；</w:t>
      </w:r>
      <w:r>
        <w:rPr>
          <w:rFonts w:ascii="Times New Roman" w:hAnsi="Times New Roman" w:eastAsia="宋体" w:cs="Times New Roman"/>
          <w:sz w:val="24"/>
          <w:szCs w:val="24"/>
        </w:rPr>
        <w:t xml:space="preserve"> </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监管统计</w:t>
      </w:r>
      <w:r>
        <w:rPr>
          <w:rFonts w:ascii="Times New Roman" w:hAnsi="Times New Roman" w:eastAsia="宋体" w:cs="Times New Roman"/>
          <w:sz w:val="24"/>
          <w:szCs w:val="24"/>
        </w:rPr>
        <w:t>：</w:t>
      </w:r>
      <w:r>
        <w:rPr>
          <w:rFonts w:hint="eastAsia" w:ascii="Times New Roman" w:hAnsi="Times New Roman" w:eastAsia="宋体" w:cs="Times New Roman"/>
          <w:sz w:val="24"/>
          <w:szCs w:val="24"/>
        </w:rPr>
        <w:t>机构销售统计、煤种销售统计、运往地销售统计、销售明细查询；</w:t>
      </w:r>
      <w:r>
        <w:rPr>
          <w:rFonts w:ascii="Times New Roman" w:hAnsi="Times New Roman" w:eastAsia="宋体" w:cs="Times New Roman"/>
          <w:sz w:val="24"/>
          <w:szCs w:val="24"/>
        </w:rPr>
        <w:t xml:space="preserve"> </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系统管理</w:t>
      </w:r>
      <w:r>
        <w:rPr>
          <w:rFonts w:ascii="Times New Roman" w:hAnsi="Times New Roman" w:eastAsia="宋体" w:cs="Times New Roman"/>
          <w:sz w:val="24"/>
          <w:szCs w:val="24"/>
        </w:rPr>
        <w:t>：</w:t>
      </w:r>
      <w:r>
        <w:rPr>
          <w:rFonts w:hint="eastAsia" w:ascii="Times New Roman" w:hAnsi="Times New Roman" w:eastAsia="宋体" w:cs="Times New Roman"/>
          <w:sz w:val="24"/>
          <w:szCs w:val="24"/>
        </w:rPr>
        <w:t>下载、公告；</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pPr>
      <w:r>
        <w:drawing>
          <wp:inline distT="0" distB="0" distL="0" distR="0">
            <wp:extent cx="6169025" cy="3396615"/>
            <wp:effectExtent l="0" t="0" r="317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6169025" cy="3396615"/>
                    </a:xfrm>
                    <a:prstGeom prst="rect">
                      <a:avLst/>
                    </a:prstGeom>
                  </pic:spPr>
                </pic:pic>
              </a:graphicData>
            </a:graphic>
          </wp:inline>
        </w:drawing>
      </w:r>
    </w:p>
    <w:p>
      <w:pPr>
        <w:pStyle w:val="1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lang w:eastAsia="zh-CN"/>
        </w:rPr>
      </w:pPr>
      <w:r>
        <w:t xml:space="preserve">图 </w:t>
      </w:r>
      <w:r>
        <w:fldChar w:fldCharType="begin"/>
      </w:r>
      <w:r>
        <w:instrText xml:space="preserve"> SEQ 图 \* ARABIC </w:instrText>
      </w:r>
      <w:r>
        <w:fldChar w:fldCharType="separate"/>
      </w:r>
      <w:r>
        <w:t>1</w:t>
      </w:r>
      <w:r>
        <w:fldChar w:fldCharType="end"/>
      </w:r>
      <w:r>
        <w:rPr>
          <w:rFonts w:hint="eastAsia"/>
          <w:lang w:eastAsia="zh-CN"/>
        </w:rPr>
        <w:t>登录界面</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pPr>
      <w:r>
        <w:drawing>
          <wp:inline distT="0" distB="0" distL="0" distR="0">
            <wp:extent cx="6200140" cy="3396615"/>
            <wp:effectExtent l="0" t="0" r="1016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6200140" cy="3396615"/>
                    </a:xfrm>
                    <a:prstGeom prst="rect">
                      <a:avLst/>
                    </a:prstGeom>
                  </pic:spPr>
                </pic:pic>
              </a:graphicData>
            </a:graphic>
          </wp:inline>
        </w:drawing>
      </w:r>
    </w:p>
    <w:p>
      <w:pPr>
        <w:pStyle w:val="1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z w:val="24"/>
          <w:szCs w:val="24"/>
        </w:rPr>
      </w:pPr>
      <w:r>
        <w:t xml:space="preserve">图 </w:t>
      </w:r>
      <w:r>
        <w:fldChar w:fldCharType="begin"/>
      </w:r>
      <w:r>
        <w:instrText xml:space="preserve"> SEQ 图 \* ARABIC </w:instrText>
      </w:r>
      <w:r>
        <w:fldChar w:fldCharType="separate"/>
      </w:r>
      <w:r>
        <w:t>2</w:t>
      </w:r>
      <w:r>
        <w:fldChar w:fldCharType="end"/>
      </w:r>
      <w:r>
        <w:rPr>
          <w:rFonts w:hint="eastAsia"/>
          <w:lang w:eastAsia="zh-CN"/>
        </w:rPr>
        <w:t>企业司磅员操作界面</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pPr>
      <w:r>
        <w:drawing>
          <wp:inline distT="0" distB="0" distL="0" distR="0">
            <wp:extent cx="6231890" cy="4431665"/>
            <wp:effectExtent l="0" t="0" r="381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stretch>
                      <a:fillRect/>
                    </a:stretch>
                  </pic:blipFill>
                  <pic:spPr>
                    <a:xfrm>
                      <a:off x="0" y="0"/>
                      <a:ext cx="6231890" cy="4431665"/>
                    </a:xfrm>
                    <a:prstGeom prst="rect">
                      <a:avLst/>
                    </a:prstGeom>
                  </pic:spPr>
                </pic:pic>
              </a:graphicData>
            </a:graphic>
          </wp:inline>
        </w:drawing>
      </w:r>
    </w:p>
    <w:p>
      <w:pPr>
        <w:pStyle w:val="11"/>
        <w:spacing w:line="360" w:lineRule="auto"/>
        <w:ind w:firstLine="400" w:firstLineChars="200"/>
        <w:jc w:val="center"/>
        <w:rPr>
          <w:rFonts w:ascii="Times New Roman" w:hAnsi="Times New Roman" w:eastAsia="宋体" w:cs="Times New Roman"/>
          <w:sz w:val="24"/>
          <w:szCs w:val="24"/>
        </w:rPr>
      </w:pPr>
      <w:r>
        <w:t xml:space="preserve">图 </w:t>
      </w:r>
      <w:r>
        <w:fldChar w:fldCharType="begin"/>
      </w:r>
      <w:r>
        <w:instrText xml:space="preserve"> SEQ 图 \* ARABIC </w:instrText>
      </w:r>
      <w:r>
        <w:fldChar w:fldCharType="separate"/>
      </w:r>
      <w:r>
        <w:t>3</w:t>
      </w:r>
      <w:r>
        <w:fldChar w:fldCharType="end"/>
      </w:r>
      <w:r>
        <w:rPr>
          <w:rFonts w:hint="eastAsia"/>
          <w:lang w:eastAsia="zh-CN"/>
        </w:rPr>
        <w:t>企业票管员操作界面</w:t>
      </w:r>
    </w:p>
    <w:p>
      <w:pPr>
        <w:pStyle w:val="3"/>
        <w:numPr>
          <w:ilvl w:val="1"/>
          <w:numId w:val="3"/>
        </w:numPr>
        <w:ind w:left="567" w:leftChars="0" w:hanging="567" w:firstLineChars="0"/>
        <w:rPr>
          <w:rFonts w:ascii="Times New Roman" w:hAnsi="Times New Roman" w:cs="Times New Roman"/>
        </w:rPr>
      </w:pPr>
      <w:bookmarkStart w:id="10" w:name="_Toc7514"/>
      <w:bookmarkStart w:id="11" w:name="_Toc481605403"/>
      <w:bookmarkStart w:id="12" w:name="_Toc481605333"/>
      <w:bookmarkStart w:id="13" w:name="_Toc481605499"/>
      <w:bookmarkStart w:id="14" w:name="_Toc14638"/>
      <w:r>
        <w:rPr>
          <w:rFonts w:ascii="Times New Roman" w:hAnsi="Times New Roman" w:cs="Times New Roman"/>
        </w:rPr>
        <w:t>用户角色</w:t>
      </w:r>
      <w:bookmarkEnd w:id="10"/>
      <w:bookmarkEnd w:id="11"/>
      <w:bookmarkEnd w:id="12"/>
      <w:bookmarkEnd w:id="13"/>
      <w:bookmarkEnd w:id="14"/>
    </w:p>
    <w:tbl>
      <w:tblPr>
        <w:tblStyle w:val="22"/>
        <w:tblW w:w="9708" w:type="dxa"/>
        <w:tblInd w:w="113" w:type="dxa"/>
        <w:tblLayout w:type="fixed"/>
        <w:tblCellMar>
          <w:top w:w="0" w:type="dxa"/>
          <w:left w:w="108" w:type="dxa"/>
          <w:bottom w:w="0" w:type="dxa"/>
          <w:right w:w="108" w:type="dxa"/>
        </w:tblCellMar>
      </w:tblPr>
      <w:tblGrid>
        <w:gridCol w:w="1696"/>
        <w:gridCol w:w="8012"/>
      </w:tblGrid>
      <w:tr>
        <w:tblPrEx>
          <w:tblCellMar>
            <w:top w:w="0" w:type="dxa"/>
            <w:left w:w="108" w:type="dxa"/>
            <w:bottom w:w="0" w:type="dxa"/>
            <w:right w:w="108" w:type="dxa"/>
          </w:tblCellMar>
        </w:tblPrEx>
        <w:trPr>
          <w:trHeight w:val="375" w:hRule="atLeast"/>
        </w:trPr>
        <w:tc>
          <w:tcPr>
            <w:tcW w:w="1696" w:type="dxa"/>
            <w:tcBorders>
              <w:top w:val="single" w:color="auto" w:sz="4" w:space="0"/>
              <w:left w:val="single" w:color="auto" w:sz="4" w:space="0"/>
              <w:bottom w:val="single" w:color="auto" w:sz="4" w:space="0"/>
              <w:right w:val="single" w:color="auto" w:sz="4" w:space="0"/>
            </w:tcBorders>
            <w:shd w:val="clear" w:color="000000" w:fill="8DB4E2"/>
            <w:vAlign w:val="center"/>
          </w:tcPr>
          <w:p>
            <w:pPr>
              <w:widowControl/>
              <w:jc w:val="center"/>
              <w:rPr>
                <w:rFonts w:ascii="Times New Roman" w:hAnsi="Times New Roman" w:eastAsia="宋体" w:cs="Times New Roman"/>
                <w:b/>
                <w:color w:val="000000"/>
                <w:kern w:val="0"/>
                <w:sz w:val="28"/>
                <w:szCs w:val="28"/>
              </w:rPr>
            </w:pPr>
            <w:r>
              <w:rPr>
                <w:rFonts w:ascii="Times New Roman" w:hAnsi="Times New Roman" w:eastAsia="宋体" w:cs="Times New Roman"/>
                <w:b/>
                <w:color w:val="000000"/>
                <w:kern w:val="0"/>
                <w:sz w:val="28"/>
                <w:szCs w:val="28"/>
              </w:rPr>
              <w:t>角色名称</w:t>
            </w:r>
          </w:p>
        </w:tc>
        <w:tc>
          <w:tcPr>
            <w:tcW w:w="8012" w:type="dxa"/>
            <w:tcBorders>
              <w:top w:val="single" w:color="auto" w:sz="4" w:space="0"/>
              <w:left w:val="nil"/>
              <w:bottom w:val="single" w:color="auto" w:sz="4" w:space="0"/>
              <w:right w:val="single" w:color="auto" w:sz="4" w:space="0"/>
            </w:tcBorders>
            <w:shd w:val="clear" w:color="000000" w:fill="8DB4E2"/>
            <w:vAlign w:val="center"/>
          </w:tcPr>
          <w:p>
            <w:pPr>
              <w:widowControl/>
              <w:jc w:val="center"/>
              <w:rPr>
                <w:rFonts w:ascii="Times New Roman" w:hAnsi="Times New Roman" w:eastAsia="宋体" w:cs="Times New Roman"/>
                <w:b/>
                <w:color w:val="000000"/>
                <w:kern w:val="0"/>
                <w:sz w:val="28"/>
                <w:szCs w:val="28"/>
              </w:rPr>
            </w:pPr>
            <w:r>
              <w:rPr>
                <w:rFonts w:ascii="Times New Roman" w:hAnsi="Times New Roman" w:eastAsia="宋体" w:cs="Times New Roman"/>
                <w:b/>
                <w:color w:val="000000"/>
                <w:kern w:val="0"/>
                <w:sz w:val="28"/>
                <w:szCs w:val="28"/>
              </w:rPr>
              <w:t>描述</w:t>
            </w:r>
          </w:p>
        </w:tc>
      </w:tr>
      <w:tr>
        <w:tblPrEx>
          <w:tblCellMar>
            <w:top w:w="0" w:type="dxa"/>
            <w:left w:w="108" w:type="dxa"/>
            <w:bottom w:w="0" w:type="dxa"/>
            <w:right w:w="108" w:type="dxa"/>
          </w:tblCellMar>
        </w:tblPrEx>
        <w:trPr>
          <w:trHeight w:val="450" w:hRule="atLeast"/>
        </w:trPr>
        <w:tc>
          <w:tcPr>
            <w:tcW w:w="169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2"/>
              </w:rPr>
            </w:pPr>
            <w:r>
              <w:rPr>
                <w:rFonts w:ascii="Times New Roman" w:hAnsi="Times New Roman" w:eastAsia="宋体" w:cs="Times New Roman"/>
                <w:color w:val="000000"/>
                <w:kern w:val="0"/>
                <w:szCs w:val="22"/>
              </w:rPr>
              <w:t>企业</w:t>
            </w:r>
            <w:r>
              <w:rPr>
                <w:rFonts w:hint="eastAsia" w:ascii="Times New Roman" w:hAnsi="Times New Roman" w:eastAsia="宋体" w:cs="Times New Roman"/>
                <w:color w:val="000000"/>
                <w:kern w:val="0"/>
                <w:szCs w:val="22"/>
              </w:rPr>
              <w:t>票管</w:t>
            </w:r>
            <w:r>
              <w:rPr>
                <w:rFonts w:ascii="Times New Roman" w:hAnsi="Times New Roman" w:eastAsia="宋体" w:cs="Times New Roman"/>
                <w:color w:val="000000"/>
                <w:kern w:val="0"/>
                <w:szCs w:val="22"/>
              </w:rPr>
              <w:t>员</w:t>
            </w:r>
          </w:p>
        </w:tc>
        <w:tc>
          <w:tcPr>
            <w:tcW w:w="8012"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000000"/>
                <w:kern w:val="0"/>
                <w:szCs w:val="22"/>
                <w:lang w:val="en-US" w:eastAsia="zh-CN"/>
              </w:rPr>
            </w:pPr>
            <w:r>
              <w:rPr>
                <w:rFonts w:hint="eastAsia" w:ascii="Times New Roman" w:hAnsi="Times New Roman" w:eastAsia="宋体" w:cs="Times New Roman"/>
                <w:color w:val="000000"/>
                <w:kern w:val="0"/>
                <w:szCs w:val="22"/>
                <w:lang w:val="en-US" w:eastAsia="zh-CN"/>
              </w:rPr>
              <w:t>进行</w:t>
            </w:r>
            <w:r>
              <w:rPr>
                <w:rFonts w:hint="eastAsia" w:ascii="Times New Roman" w:hAnsi="Times New Roman" w:eastAsia="宋体" w:cs="Times New Roman"/>
                <w:color w:val="000000"/>
                <w:kern w:val="0"/>
                <w:szCs w:val="22"/>
              </w:rPr>
              <w:t>煤票领用、缴销、退库</w:t>
            </w:r>
            <w:r>
              <w:rPr>
                <w:rFonts w:hint="eastAsia" w:ascii="Times New Roman" w:hAnsi="Times New Roman" w:eastAsia="宋体" w:cs="Times New Roman"/>
                <w:color w:val="000000"/>
                <w:kern w:val="0"/>
                <w:szCs w:val="22"/>
                <w:lang w:val="en-US" w:eastAsia="zh-CN"/>
              </w:rPr>
              <w:t>等操作</w:t>
            </w:r>
          </w:p>
        </w:tc>
      </w:tr>
      <w:tr>
        <w:tblPrEx>
          <w:tblCellMar>
            <w:top w:w="0" w:type="dxa"/>
            <w:left w:w="108" w:type="dxa"/>
            <w:bottom w:w="0" w:type="dxa"/>
            <w:right w:w="108" w:type="dxa"/>
          </w:tblCellMar>
        </w:tblPrEx>
        <w:trPr>
          <w:trHeight w:val="450" w:hRule="atLeast"/>
        </w:trPr>
        <w:tc>
          <w:tcPr>
            <w:tcW w:w="1696" w:type="dxa"/>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Cs w:val="22"/>
              </w:rPr>
            </w:pPr>
            <w:r>
              <w:rPr>
                <w:rFonts w:hint="eastAsia" w:ascii="Times New Roman" w:hAnsi="Times New Roman" w:eastAsia="宋体" w:cs="Times New Roman"/>
                <w:color w:val="000000"/>
                <w:kern w:val="0"/>
                <w:szCs w:val="22"/>
              </w:rPr>
              <w:t>企业</w:t>
            </w:r>
            <w:r>
              <w:rPr>
                <w:rFonts w:ascii="Times New Roman" w:hAnsi="Times New Roman" w:eastAsia="宋体" w:cs="Times New Roman"/>
                <w:color w:val="000000"/>
                <w:kern w:val="0"/>
                <w:szCs w:val="22"/>
              </w:rPr>
              <w:t>司磅员</w:t>
            </w:r>
          </w:p>
        </w:tc>
        <w:tc>
          <w:tcPr>
            <w:tcW w:w="8012" w:type="dxa"/>
            <w:tcBorders>
              <w:top w:val="nil"/>
              <w:left w:val="nil"/>
              <w:bottom w:val="nil"/>
              <w:right w:val="single" w:color="auto" w:sz="4" w:space="0"/>
            </w:tcBorders>
            <w:shd w:val="clear" w:color="auto" w:fill="auto"/>
            <w:vAlign w:val="bottom"/>
          </w:tcPr>
          <w:p>
            <w:pPr>
              <w:widowControl/>
              <w:jc w:val="center"/>
              <w:rPr>
                <w:rFonts w:hint="default" w:ascii="Times New Roman" w:hAnsi="Times New Roman" w:eastAsia="宋体" w:cs="Times New Roman"/>
                <w:color w:val="000000"/>
                <w:kern w:val="0"/>
                <w:szCs w:val="22"/>
                <w:lang w:val="en-US" w:eastAsia="zh-CN"/>
              </w:rPr>
            </w:pPr>
            <w:r>
              <w:rPr>
                <w:rFonts w:hint="eastAsia" w:ascii="Times New Roman" w:hAnsi="Times New Roman" w:eastAsia="宋体" w:cs="Times New Roman"/>
                <w:color w:val="000000"/>
                <w:kern w:val="0"/>
                <w:szCs w:val="22"/>
                <w:lang w:val="en-US" w:eastAsia="zh-CN"/>
              </w:rPr>
              <w:t>进行日常的空、重车过磅操作，重车磅打印煤管票</w:t>
            </w:r>
          </w:p>
        </w:tc>
      </w:tr>
      <w:tr>
        <w:tblPrEx>
          <w:tblCellMar>
            <w:top w:w="0" w:type="dxa"/>
            <w:left w:w="108" w:type="dxa"/>
            <w:bottom w:w="0" w:type="dxa"/>
            <w:right w:w="108" w:type="dxa"/>
          </w:tblCellMar>
        </w:tblPrEx>
        <w:trPr>
          <w:trHeight w:val="450" w:hRule="atLeast"/>
        </w:trPr>
        <w:tc>
          <w:tcPr>
            <w:tcW w:w="1696"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hint="default" w:ascii="Times New Roman" w:hAnsi="Times New Roman" w:eastAsia="宋体" w:cs="Times New Roman"/>
                <w:color w:val="000000"/>
                <w:kern w:val="0"/>
                <w:szCs w:val="22"/>
                <w:lang w:val="en-US" w:eastAsia="zh-CN"/>
              </w:rPr>
            </w:pPr>
            <w:r>
              <w:rPr>
                <w:rFonts w:hint="eastAsia" w:ascii="Times New Roman" w:hAnsi="Times New Roman" w:eastAsia="宋体" w:cs="Times New Roman"/>
                <w:color w:val="000000"/>
                <w:kern w:val="0"/>
                <w:szCs w:val="22"/>
                <w:lang w:val="en-US" w:eastAsia="zh-CN"/>
              </w:rPr>
              <w:t>企业销售</w:t>
            </w:r>
          </w:p>
        </w:tc>
        <w:tc>
          <w:tcPr>
            <w:tcW w:w="8012" w:type="dxa"/>
            <w:tcBorders>
              <w:top w:val="nil"/>
              <w:left w:val="nil"/>
              <w:bottom w:val="single" w:color="auto" w:sz="4" w:space="0"/>
              <w:right w:val="single" w:color="auto" w:sz="4" w:space="0"/>
            </w:tcBorders>
            <w:shd w:val="clear" w:color="auto" w:fill="auto"/>
            <w:vAlign w:val="bottom"/>
          </w:tcPr>
          <w:p>
            <w:pPr>
              <w:widowControl/>
              <w:jc w:val="center"/>
              <w:rPr>
                <w:rFonts w:hint="default" w:ascii="Times New Roman" w:hAnsi="Times New Roman" w:eastAsia="宋体" w:cs="Times New Roman"/>
                <w:color w:val="000000"/>
                <w:kern w:val="0"/>
                <w:szCs w:val="22"/>
                <w:lang w:val="en-US" w:eastAsia="zh-CN"/>
              </w:rPr>
            </w:pPr>
            <w:r>
              <w:rPr>
                <w:rFonts w:hint="eastAsia" w:ascii="Times New Roman" w:hAnsi="Times New Roman" w:eastAsia="宋体" w:cs="Times New Roman"/>
                <w:color w:val="000000"/>
                <w:kern w:val="0"/>
                <w:szCs w:val="22"/>
                <w:lang w:val="en-US" w:eastAsia="zh-CN"/>
              </w:rPr>
              <w:t>维护企业客户、煤种、运往地等信息</w:t>
            </w:r>
          </w:p>
        </w:tc>
      </w:tr>
    </w:tbl>
    <w:p>
      <w:pPr>
        <w:pStyle w:val="2"/>
        <w:pageBreakBefore/>
        <w:numPr>
          <w:ilvl w:val="0"/>
          <w:numId w:val="2"/>
        </w:numPr>
        <w:ind w:left="425" w:leftChars="0" w:hanging="425" w:firstLineChars="0"/>
        <w:rPr>
          <w:rFonts w:ascii="Times New Roman" w:hAnsi="Times New Roman" w:cs="Times New Roman"/>
        </w:rPr>
      </w:pPr>
      <w:bookmarkStart w:id="15" w:name="_Toc30626"/>
      <w:bookmarkStart w:id="16" w:name="_Toc481605334"/>
      <w:bookmarkStart w:id="17" w:name="_Toc481605404"/>
      <w:bookmarkStart w:id="18" w:name="_Toc481605500"/>
      <w:bookmarkStart w:id="19" w:name="_Toc15300"/>
      <w:r>
        <w:rPr>
          <w:rFonts w:hint="eastAsia" w:ascii="Times New Roman" w:hAnsi="Times New Roman" w:cs="Times New Roman"/>
          <w:lang w:val="en-US" w:eastAsia="zh-CN"/>
        </w:rPr>
        <w:t>企业销售管理</w:t>
      </w:r>
      <w:bookmarkEnd w:id="1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企业销售管理包括企业客户管理、企业煤种管理及详细运往地管理三个功能模块。</w:t>
      </w:r>
    </w:p>
    <w:p>
      <w:pPr>
        <w:pStyle w:val="3"/>
        <w:numPr>
          <w:ilvl w:val="1"/>
          <w:numId w:val="2"/>
        </w:numPr>
        <w:bidi w:val="0"/>
        <w:ind w:left="567" w:leftChars="0" w:hanging="567" w:firstLineChars="0"/>
        <w:rPr>
          <w:rFonts w:hint="default"/>
          <w:lang w:val="en-US" w:eastAsia="zh-CN"/>
        </w:rPr>
      </w:pPr>
      <w:bookmarkStart w:id="20" w:name="_Toc22271"/>
      <w:r>
        <w:rPr>
          <w:rFonts w:hint="eastAsia"/>
          <w:lang w:val="en-US" w:eastAsia="zh-CN"/>
        </w:rPr>
        <w:t>企业客户管理</w:t>
      </w:r>
      <w:bookmarkEnd w:id="20"/>
    </w:p>
    <w:p>
      <w:p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操作角色：</w:t>
      </w:r>
      <w:r>
        <w:rPr>
          <w:rFonts w:hint="eastAsia" w:ascii="Times New Roman" w:hAnsi="Times New Roman" w:eastAsia="宋体" w:cs="Times New Roman"/>
          <w:b w:val="0"/>
          <w:bCs/>
          <w:sz w:val="24"/>
          <w:szCs w:val="24"/>
          <w:lang w:val="en-US" w:eastAsia="zh-CN"/>
        </w:rPr>
        <w:t>企业销售</w:t>
      </w:r>
      <w:r>
        <w:rPr>
          <w:rFonts w:ascii="Times New Roman" w:hAnsi="Times New Roman" w:eastAsia="宋体" w:cs="Times New Roman"/>
          <w:sz w:val="24"/>
          <w:szCs w:val="24"/>
        </w:rPr>
        <w:t>；</w:t>
      </w:r>
    </w:p>
    <w:p>
      <w:pPr>
        <w:spacing w:line="360" w:lineRule="auto"/>
        <w:rPr>
          <w:rFonts w:ascii="Times New Roman" w:hAnsi="Times New Roman" w:eastAsia="宋体" w:cs="Times New Roman"/>
          <w:sz w:val="24"/>
          <w:szCs w:val="24"/>
        </w:rPr>
      </w:pPr>
      <w:r>
        <w:rPr>
          <w:rFonts w:ascii="Times New Roman" w:hAnsi="Times New Roman" w:eastAsia="宋体" w:cs="Times New Roman"/>
          <w:b/>
          <w:sz w:val="24"/>
          <w:szCs w:val="24"/>
        </w:rPr>
        <w:t>业务活动：</w:t>
      </w:r>
      <w:r>
        <w:rPr>
          <w:rFonts w:hint="eastAsia" w:ascii="Times New Roman" w:hAnsi="Times New Roman" w:eastAsia="宋体" w:cs="Times New Roman"/>
          <w:b w:val="0"/>
          <w:bCs/>
          <w:sz w:val="24"/>
          <w:szCs w:val="24"/>
          <w:lang w:val="en-US" w:eastAsia="zh-CN"/>
        </w:rPr>
        <w:t>维护煤矿自身客户信息，该信息打印至煤管票上</w:t>
      </w:r>
      <w:r>
        <w:rPr>
          <w:rFonts w:ascii="Times New Roman" w:hAnsi="Times New Roman" w:eastAsia="宋体" w:cs="Times New Roman"/>
          <w:sz w:val="24"/>
          <w:szCs w:val="24"/>
        </w:rPr>
        <w:t>；</w:t>
      </w:r>
    </w:p>
    <w:p>
      <w:p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业务操作说明：</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在左侧导航栏的【</w:t>
      </w:r>
      <w:r>
        <w:rPr>
          <w:rFonts w:hint="eastAsia" w:ascii="Times New Roman" w:hAnsi="Times New Roman" w:eastAsia="宋体" w:cs="Times New Roman"/>
          <w:sz w:val="24"/>
          <w:szCs w:val="24"/>
          <w:lang w:val="en-US" w:eastAsia="zh-CN"/>
        </w:rPr>
        <w:t>企业销售</w:t>
      </w:r>
      <w:r>
        <w:rPr>
          <w:rFonts w:ascii="Times New Roman" w:hAnsi="Times New Roman" w:eastAsia="宋体" w:cs="Times New Roman"/>
          <w:sz w:val="24"/>
          <w:szCs w:val="24"/>
        </w:rPr>
        <w:t>管理】中，点击 【</w:t>
      </w:r>
      <w:r>
        <w:rPr>
          <w:rFonts w:hint="eastAsia" w:ascii="Times New Roman" w:hAnsi="Times New Roman" w:eastAsia="宋体" w:cs="Times New Roman"/>
          <w:sz w:val="24"/>
          <w:szCs w:val="24"/>
          <w:lang w:val="en-US" w:eastAsia="zh-CN"/>
        </w:rPr>
        <w:t>企业客户管理</w:t>
      </w:r>
      <w:r>
        <w:rPr>
          <w:rFonts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进入企业客户的</w:t>
      </w:r>
      <w:r>
        <w:rPr>
          <w:rFonts w:ascii="Times New Roman" w:hAnsi="Times New Roman" w:eastAsia="宋体" w:cs="Times New Roman"/>
          <w:sz w:val="24"/>
          <w:szCs w:val="24"/>
        </w:rPr>
        <w:t>操作页面，显示</w:t>
      </w:r>
      <w:r>
        <w:rPr>
          <w:rFonts w:hint="eastAsia" w:ascii="Times New Roman" w:hAnsi="Times New Roman" w:eastAsia="宋体" w:cs="Times New Roman"/>
          <w:sz w:val="24"/>
          <w:szCs w:val="24"/>
          <w:lang w:val="en-US" w:eastAsia="zh-CN"/>
        </w:rPr>
        <w:t>企业已添加完成的客户信息，</w:t>
      </w:r>
      <w:r>
        <w:rPr>
          <w:rFonts w:hint="eastAsia" w:ascii="Times New Roman" w:hAnsi="Times New Roman" w:eastAsia="宋体" w:cs="Times New Roman"/>
          <w:sz w:val="24"/>
          <w:szCs w:val="24"/>
        </w:rPr>
        <w:t>如图</w:t>
      </w:r>
      <w:r>
        <w:rPr>
          <w:rFonts w:hint="eastAsia" w:ascii="Times New Roman" w:hAnsi="Times New Roman" w:eastAsia="宋体" w:cs="Times New Roman"/>
          <w:sz w:val="24"/>
          <w:szCs w:val="24"/>
          <w:lang w:val="en-US" w:eastAsia="zh-CN"/>
        </w:rPr>
        <w:t xml:space="preserve"> 企业客户管理列表</w:t>
      </w:r>
      <w:r>
        <w:rPr>
          <w:rFonts w:hint="eastAsia" w:ascii="Times New Roman" w:hAnsi="Times New Roman" w:eastAsia="宋体" w:cs="Times New Roman"/>
          <w:sz w:val="24"/>
          <w:szCs w:val="24"/>
        </w:rPr>
        <w:t>所示；，</w:t>
      </w:r>
      <w:r>
        <w:rPr>
          <w:rFonts w:hint="eastAsia" w:ascii="Times New Roman" w:hAnsi="Times New Roman" w:eastAsia="宋体" w:cs="Times New Roman"/>
          <w:sz w:val="24"/>
          <w:szCs w:val="24"/>
          <w:lang w:val="en-US" w:eastAsia="zh-CN"/>
        </w:rPr>
        <w:t>点击</w:t>
      </w:r>
      <w:r>
        <w:rPr>
          <w:rFonts w:hint="eastAsia" w:ascii="Times New Roman" w:hAnsi="Times New Roman" w:eastAsia="宋体" w:cs="Times New Roman"/>
          <w:sz w:val="24"/>
          <w:szCs w:val="24"/>
          <w:lang w:val="en-US" w:eastAsia="zh-CN"/>
        </w:rPr>
        <w:drawing>
          <wp:inline distT="0" distB="0" distL="114300" distR="114300">
            <wp:extent cx="622300" cy="203200"/>
            <wp:effectExtent l="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8"/>
                    <a:stretch>
                      <a:fillRect/>
                    </a:stretch>
                  </pic:blipFill>
                  <pic:spPr>
                    <a:xfrm>
                      <a:off x="0" y="0"/>
                      <a:ext cx="622300" cy="203200"/>
                    </a:xfrm>
                    <a:prstGeom prst="rect">
                      <a:avLst/>
                    </a:prstGeom>
                    <a:noFill/>
                    <a:ln>
                      <a:noFill/>
                    </a:ln>
                  </pic:spPr>
                </pic:pic>
              </a:graphicData>
            </a:graphic>
          </wp:inline>
        </w:drawing>
      </w:r>
      <w:r>
        <w:rPr>
          <w:rFonts w:hint="eastAsia" w:ascii="Times New Roman" w:hAnsi="Times New Roman" w:eastAsia="宋体" w:cs="Times New Roman"/>
          <w:sz w:val="24"/>
          <w:szCs w:val="24"/>
          <w:lang w:val="en-US" w:eastAsia="zh-CN"/>
        </w:rPr>
        <w:t>弹出的新建客户的操作页面，</w:t>
      </w:r>
      <w:r>
        <w:rPr>
          <w:rFonts w:hint="eastAsia" w:ascii="Times New Roman" w:hAnsi="Times New Roman" w:eastAsia="宋体" w:cs="Times New Roman"/>
          <w:sz w:val="24"/>
          <w:szCs w:val="24"/>
        </w:rPr>
        <w:t>输入</w:t>
      </w:r>
      <w:r>
        <w:rPr>
          <w:rFonts w:hint="eastAsia" w:ascii="Times New Roman" w:hAnsi="Times New Roman" w:eastAsia="宋体" w:cs="Times New Roman"/>
          <w:sz w:val="24"/>
          <w:szCs w:val="24"/>
          <w:lang w:val="en-US" w:eastAsia="zh-CN"/>
        </w:rPr>
        <w:t>客户名称、证件类型、证件号码、客户地址、客户联系人、电话等信息，如图 新建客户所示</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客户添加</w:t>
      </w:r>
      <w:r>
        <w:rPr>
          <w:rFonts w:hint="eastAsia" w:ascii="Times New Roman" w:hAnsi="Times New Roman" w:eastAsia="宋体" w:cs="Times New Roman"/>
          <w:sz w:val="24"/>
          <w:szCs w:val="24"/>
        </w:rPr>
        <w:t>完成</w:t>
      </w:r>
      <w:r>
        <w:rPr>
          <w:rFonts w:hint="eastAsia" w:ascii="Times New Roman" w:hAnsi="Times New Roman" w:eastAsia="宋体" w:cs="Times New Roman"/>
          <w:sz w:val="24"/>
          <w:szCs w:val="24"/>
          <w:lang w:val="en-US" w:eastAsia="zh-CN"/>
        </w:rPr>
        <w:t>后</w:t>
      </w:r>
      <w:r>
        <w:rPr>
          <w:rFonts w:ascii="Times New Roman" w:hAnsi="Times New Roman" w:eastAsia="宋体" w:cs="Times New Roman"/>
          <w:sz w:val="24"/>
          <w:szCs w:val="24"/>
        </w:rPr>
        <w:t>。</w:t>
      </w:r>
      <w:r>
        <w:rPr>
          <w:rFonts w:hint="eastAsia" w:ascii="Times New Roman" w:hAnsi="Times New Roman" w:eastAsia="宋体" w:cs="Times New Roman"/>
          <w:sz w:val="24"/>
          <w:szCs w:val="24"/>
        </w:rPr>
        <w:t>在【</w:t>
      </w:r>
      <w:r>
        <w:rPr>
          <w:rFonts w:hint="eastAsia" w:ascii="Times New Roman" w:hAnsi="Times New Roman" w:eastAsia="宋体" w:cs="Times New Roman"/>
          <w:sz w:val="24"/>
          <w:szCs w:val="24"/>
          <w:lang w:val="en-US" w:eastAsia="zh-CN"/>
        </w:rPr>
        <w:t>企业客户管理</w:t>
      </w:r>
      <w:r>
        <w:rPr>
          <w:rFonts w:hint="eastAsia" w:ascii="Times New Roman" w:hAnsi="Times New Roman" w:eastAsia="宋体" w:cs="Times New Roman"/>
          <w:sz w:val="24"/>
          <w:szCs w:val="24"/>
        </w:rPr>
        <w:t>】中</w:t>
      </w:r>
      <w:r>
        <w:rPr>
          <w:rFonts w:hint="eastAsia" w:ascii="Times New Roman" w:hAnsi="Times New Roman" w:eastAsia="宋体" w:cs="Times New Roman"/>
          <w:sz w:val="24"/>
          <w:szCs w:val="24"/>
          <w:lang w:val="en-US" w:eastAsia="zh-CN"/>
        </w:rPr>
        <w:t>可</w:t>
      </w:r>
      <w:r>
        <w:rPr>
          <w:rFonts w:hint="eastAsia" w:ascii="Times New Roman" w:hAnsi="Times New Roman" w:eastAsia="宋体" w:cs="Times New Roman"/>
          <w:sz w:val="24"/>
          <w:szCs w:val="24"/>
        </w:rPr>
        <w:t>查看已</w:t>
      </w:r>
      <w:r>
        <w:rPr>
          <w:rFonts w:hint="eastAsia" w:ascii="Times New Roman" w:hAnsi="Times New Roman" w:eastAsia="宋体" w:cs="Times New Roman"/>
          <w:sz w:val="24"/>
          <w:szCs w:val="24"/>
          <w:lang w:val="en-US" w:eastAsia="zh-CN"/>
        </w:rPr>
        <w:t>添加的客户</w:t>
      </w:r>
      <w:r>
        <w:rPr>
          <w:rFonts w:hint="eastAsia" w:ascii="Times New Roman" w:hAnsi="Times New Roman" w:eastAsia="宋体" w:cs="Times New Roman"/>
          <w:sz w:val="24"/>
          <w:szCs w:val="24"/>
        </w:rPr>
        <w:t>信息。</w:t>
      </w:r>
    </w:p>
    <w:p>
      <w:pPr>
        <w:spacing w:line="360" w:lineRule="auto"/>
      </w:pPr>
      <w:r>
        <w:drawing>
          <wp:inline distT="0" distB="0" distL="114300" distR="114300">
            <wp:extent cx="6144895" cy="1881505"/>
            <wp:effectExtent l="0" t="0" r="1905" b="10795"/>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9"/>
                    <a:stretch>
                      <a:fillRect/>
                    </a:stretch>
                  </pic:blipFill>
                  <pic:spPr>
                    <a:xfrm>
                      <a:off x="0" y="0"/>
                      <a:ext cx="6144895" cy="1881505"/>
                    </a:xfrm>
                    <a:prstGeom prst="rect">
                      <a:avLst/>
                    </a:prstGeom>
                    <a:noFill/>
                    <a:ln>
                      <a:noFill/>
                    </a:ln>
                  </pic:spPr>
                </pic:pic>
              </a:graphicData>
            </a:graphic>
          </wp:inline>
        </w:drawing>
      </w:r>
    </w:p>
    <w:p>
      <w:pPr>
        <w:pStyle w:val="11"/>
        <w:spacing w:line="360" w:lineRule="auto"/>
        <w:jc w:val="center"/>
        <w:rPr>
          <w:rFonts w:ascii="Times New Roman" w:hAnsi="Times New Roman" w:eastAsia="宋体" w:cs="Times New Roman"/>
        </w:rPr>
      </w:pPr>
      <w:r>
        <w:t xml:space="preserve">图 </w:t>
      </w:r>
      <w:r>
        <w:fldChar w:fldCharType="begin"/>
      </w:r>
      <w:r>
        <w:instrText xml:space="preserve"> SEQ 图 \* ARABIC </w:instrText>
      </w:r>
      <w:r>
        <w:fldChar w:fldCharType="separate"/>
      </w:r>
      <w:r>
        <w:t>4</w:t>
      </w:r>
      <w:r>
        <w:fldChar w:fldCharType="end"/>
      </w:r>
      <w:r>
        <w:rPr>
          <w:rFonts w:hint="eastAsia"/>
          <w:lang w:eastAsia="zh-CN"/>
        </w:rPr>
        <w:t xml:space="preserve"> 企业客户管理列表</w:t>
      </w:r>
    </w:p>
    <w:p>
      <w:pPr>
        <w:keepNext w:val="0"/>
        <w:keepLines w:val="0"/>
        <w:pageBreakBefore w:val="0"/>
        <w:widowControl w:val="0"/>
        <w:kinsoku/>
        <w:wordWrap/>
        <w:overflowPunct/>
        <w:topLinePunct w:val="0"/>
        <w:autoSpaceDE/>
        <w:autoSpaceDN/>
        <w:bidi w:val="0"/>
        <w:adjustRightInd w:val="0"/>
        <w:snapToGrid w:val="0"/>
        <w:jc w:val="center"/>
        <w:textAlignment w:val="auto"/>
      </w:pPr>
      <w:r>
        <w:drawing>
          <wp:inline distT="0" distB="0" distL="114300" distR="114300">
            <wp:extent cx="6089650" cy="3665855"/>
            <wp:effectExtent l="0" t="0" r="6350" b="4445"/>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10"/>
                    <a:stretch>
                      <a:fillRect/>
                    </a:stretch>
                  </pic:blipFill>
                  <pic:spPr>
                    <a:xfrm>
                      <a:off x="0" y="0"/>
                      <a:ext cx="6089650" cy="3665855"/>
                    </a:xfrm>
                    <a:prstGeom prst="rect">
                      <a:avLst/>
                    </a:prstGeom>
                    <a:noFill/>
                    <a:ln>
                      <a:noFill/>
                    </a:ln>
                  </pic:spPr>
                </pic:pic>
              </a:graphicData>
            </a:graphic>
          </wp:inline>
        </w:drawing>
      </w:r>
    </w:p>
    <w:p>
      <w:pPr>
        <w:pStyle w:val="11"/>
        <w:jc w:val="center"/>
        <w:rPr>
          <w:rFonts w:hint="eastAsia"/>
          <w:lang w:eastAsia="zh-CN"/>
        </w:rPr>
      </w:pPr>
      <w:r>
        <w:t xml:space="preserve">图 </w:t>
      </w:r>
      <w:r>
        <w:fldChar w:fldCharType="begin"/>
      </w:r>
      <w:r>
        <w:instrText xml:space="preserve"> SEQ 图 \* ARABIC </w:instrText>
      </w:r>
      <w:r>
        <w:fldChar w:fldCharType="separate"/>
      </w:r>
      <w:r>
        <w:t>5</w:t>
      </w:r>
      <w:r>
        <w:fldChar w:fldCharType="end"/>
      </w:r>
      <w:r>
        <w:rPr>
          <w:rFonts w:hint="eastAsia"/>
          <w:lang w:eastAsia="zh-CN"/>
        </w:rPr>
        <w:t xml:space="preserve"> 新建客户</w:t>
      </w:r>
    </w:p>
    <w:p>
      <w:pPr>
        <w:pStyle w:val="3"/>
        <w:numPr>
          <w:ilvl w:val="1"/>
          <w:numId w:val="2"/>
        </w:numPr>
        <w:bidi w:val="0"/>
        <w:ind w:left="567" w:leftChars="0" w:hanging="567" w:firstLineChars="0"/>
        <w:rPr>
          <w:rFonts w:hint="default"/>
          <w:lang w:val="en-US" w:eastAsia="zh-CN"/>
        </w:rPr>
      </w:pPr>
      <w:bookmarkStart w:id="21" w:name="_Toc12650"/>
      <w:r>
        <w:rPr>
          <w:rFonts w:hint="eastAsia"/>
          <w:lang w:val="en-US" w:eastAsia="zh-CN"/>
        </w:rPr>
        <w:t>企业煤种管理</w:t>
      </w:r>
      <w:bookmarkEnd w:id="21"/>
    </w:p>
    <w:p>
      <w:p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操作角色：</w:t>
      </w:r>
      <w:r>
        <w:rPr>
          <w:rFonts w:hint="eastAsia" w:ascii="Times New Roman" w:hAnsi="Times New Roman" w:eastAsia="宋体" w:cs="Times New Roman"/>
          <w:b w:val="0"/>
          <w:bCs/>
          <w:sz w:val="24"/>
          <w:szCs w:val="24"/>
          <w:lang w:val="en-US" w:eastAsia="zh-CN"/>
        </w:rPr>
        <w:t>企业销售</w:t>
      </w:r>
      <w:r>
        <w:rPr>
          <w:rFonts w:ascii="Times New Roman" w:hAnsi="Times New Roman" w:eastAsia="宋体" w:cs="Times New Roman"/>
          <w:sz w:val="24"/>
          <w:szCs w:val="24"/>
        </w:rPr>
        <w:t>；</w:t>
      </w:r>
    </w:p>
    <w:p>
      <w:pPr>
        <w:spacing w:line="360" w:lineRule="auto"/>
        <w:rPr>
          <w:rFonts w:ascii="Times New Roman" w:hAnsi="Times New Roman" w:eastAsia="宋体" w:cs="Times New Roman"/>
          <w:sz w:val="24"/>
          <w:szCs w:val="24"/>
        </w:rPr>
      </w:pPr>
      <w:r>
        <w:rPr>
          <w:rFonts w:ascii="Times New Roman" w:hAnsi="Times New Roman" w:eastAsia="宋体" w:cs="Times New Roman"/>
          <w:b/>
          <w:sz w:val="24"/>
          <w:szCs w:val="24"/>
        </w:rPr>
        <w:t>业务活动：</w:t>
      </w:r>
      <w:r>
        <w:rPr>
          <w:rFonts w:hint="eastAsia" w:ascii="Times New Roman" w:hAnsi="Times New Roman" w:eastAsia="宋体" w:cs="Times New Roman"/>
          <w:b w:val="0"/>
          <w:bCs/>
          <w:sz w:val="24"/>
          <w:szCs w:val="24"/>
          <w:lang w:val="en-US" w:eastAsia="zh-CN"/>
        </w:rPr>
        <w:t>维护煤矿煤种信息，该信息打印至煤管票上</w:t>
      </w:r>
      <w:r>
        <w:rPr>
          <w:rFonts w:ascii="Times New Roman" w:hAnsi="Times New Roman" w:eastAsia="宋体" w:cs="Times New Roman"/>
          <w:sz w:val="24"/>
          <w:szCs w:val="24"/>
        </w:rPr>
        <w:t>；</w:t>
      </w:r>
    </w:p>
    <w:p>
      <w:p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业务操作说明：</w:t>
      </w:r>
    </w:p>
    <w:p>
      <w:pPr>
        <w:spacing w:line="360" w:lineRule="auto"/>
        <w:ind w:firstLine="480" w:firstLineChars="200"/>
        <w:rPr>
          <w:rFonts w:hint="eastAsia" w:ascii="Times New Roman" w:hAnsi="Times New Roman" w:eastAsia="宋体" w:cs="Times New Roman"/>
          <w:sz w:val="24"/>
          <w:szCs w:val="24"/>
        </w:rPr>
      </w:pPr>
      <w:r>
        <w:rPr>
          <w:rFonts w:ascii="Times New Roman" w:hAnsi="Times New Roman" w:eastAsia="宋体" w:cs="Times New Roman"/>
          <w:sz w:val="24"/>
          <w:szCs w:val="24"/>
        </w:rPr>
        <w:t>在左侧导航栏的【</w:t>
      </w:r>
      <w:r>
        <w:rPr>
          <w:rFonts w:hint="eastAsia" w:ascii="Times New Roman" w:hAnsi="Times New Roman" w:eastAsia="宋体" w:cs="Times New Roman"/>
          <w:sz w:val="24"/>
          <w:szCs w:val="24"/>
          <w:lang w:val="en-US" w:eastAsia="zh-CN"/>
        </w:rPr>
        <w:t>企业销售</w:t>
      </w:r>
      <w:r>
        <w:rPr>
          <w:rFonts w:ascii="Times New Roman" w:hAnsi="Times New Roman" w:eastAsia="宋体" w:cs="Times New Roman"/>
          <w:sz w:val="24"/>
          <w:szCs w:val="24"/>
        </w:rPr>
        <w:t>管理】中，点击 【</w:t>
      </w:r>
      <w:r>
        <w:rPr>
          <w:rFonts w:hint="eastAsia" w:ascii="Times New Roman" w:hAnsi="Times New Roman" w:eastAsia="宋体" w:cs="Times New Roman"/>
          <w:sz w:val="24"/>
          <w:szCs w:val="24"/>
          <w:lang w:val="en-US" w:eastAsia="zh-CN"/>
        </w:rPr>
        <w:t>企业煤种管理</w:t>
      </w:r>
      <w:r>
        <w:rPr>
          <w:rFonts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进入企业煤种管理的</w:t>
      </w:r>
      <w:r>
        <w:rPr>
          <w:rFonts w:ascii="Times New Roman" w:hAnsi="Times New Roman" w:eastAsia="宋体" w:cs="Times New Roman"/>
          <w:sz w:val="24"/>
          <w:szCs w:val="24"/>
        </w:rPr>
        <w:t>操作页面，显示</w:t>
      </w:r>
      <w:r>
        <w:rPr>
          <w:rFonts w:hint="eastAsia" w:ascii="Times New Roman" w:hAnsi="Times New Roman" w:eastAsia="宋体" w:cs="Times New Roman"/>
          <w:sz w:val="24"/>
          <w:szCs w:val="24"/>
          <w:lang w:val="en-US" w:eastAsia="zh-CN"/>
        </w:rPr>
        <w:t>企业已添加完成的煤种信息，</w:t>
      </w:r>
      <w:r>
        <w:rPr>
          <w:rFonts w:hint="eastAsia" w:ascii="Times New Roman" w:hAnsi="Times New Roman" w:eastAsia="宋体" w:cs="Times New Roman"/>
          <w:sz w:val="24"/>
          <w:szCs w:val="24"/>
        </w:rPr>
        <w:t>如图</w:t>
      </w:r>
      <w:r>
        <w:rPr>
          <w:rFonts w:hint="eastAsia" w:ascii="Times New Roman" w:hAnsi="Times New Roman" w:eastAsia="宋体" w:cs="Times New Roman"/>
          <w:sz w:val="24"/>
          <w:szCs w:val="24"/>
          <w:lang w:val="en-US" w:eastAsia="zh-CN"/>
        </w:rPr>
        <w:t xml:space="preserve"> 企业煤种管理列表</w:t>
      </w:r>
      <w:r>
        <w:rPr>
          <w:rFonts w:hint="eastAsia" w:ascii="Times New Roman" w:hAnsi="Times New Roman" w:eastAsia="宋体" w:cs="Times New Roman"/>
          <w:sz w:val="24"/>
          <w:szCs w:val="24"/>
        </w:rPr>
        <w:t>所示；，</w:t>
      </w:r>
      <w:r>
        <w:rPr>
          <w:rFonts w:hint="eastAsia" w:ascii="Times New Roman" w:hAnsi="Times New Roman" w:eastAsia="宋体" w:cs="Times New Roman"/>
          <w:sz w:val="24"/>
          <w:szCs w:val="24"/>
          <w:lang w:val="en-US" w:eastAsia="zh-CN"/>
        </w:rPr>
        <w:t>点击</w:t>
      </w:r>
      <w:r>
        <w:drawing>
          <wp:inline distT="0" distB="0" distL="114300" distR="114300">
            <wp:extent cx="615950" cy="203200"/>
            <wp:effectExtent l="0" t="0" r="635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pic:cNvPicPr>
                      <a:picLocks noChangeAspect="1"/>
                    </pic:cNvPicPr>
                  </pic:nvPicPr>
                  <pic:blipFill>
                    <a:blip r:embed="rId11"/>
                    <a:stretch>
                      <a:fillRect/>
                    </a:stretch>
                  </pic:blipFill>
                  <pic:spPr>
                    <a:xfrm>
                      <a:off x="0" y="0"/>
                      <a:ext cx="615950" cy="203200"/>
                    </a:xfrm>
                    <a:prstGeom prst="rect">
                      <a:avLst/>
                    </a:prstGeom>
                    <a:noFill/>
                    <a:ln>
                      <a:noFill/>
                    </a:ln>
                  </pic:spPr>
                </pic:pic>
              </a:graphicData>
            </a:graphic>
          </wp:inline>
        </w:drawing>
      </w:r>
      <w:r>
        <w:rPr>
          <w:rFonts w:hint="eastAsia" w:ascii="Times New Roman" w:hAnsi="Times New Roman" w:eastAsia="宋体" w:cs="Times New Roman"/>
          <w:sz w:val="24"/>
          <w:szCs w:val="24"/>
          <w:lang w:val="en-US" w:eastAsia="zh-CN"/>
        </w:rPr>
        <w:t>弹出的新建煤种的操作页面，输入企业煤种名称、选择企业煤种对应的国家煤炭种类的标准分类，鄂尔多斯市能源局设定的自定义煤种分类及打印在煤管票上的煤种单价信息，如图 新建煤种所示</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煤种添加</w:t>
      </w:r>
      <w:r>
        <w:rPr>
          <w:rFonts w:hint="eastAsia" w:ascii="Times New Roman" w:hAnsi="Times New Roman" w:eastAsia="宋体" w:cs="Times New Roman"/>
          <w:sz w:val="24"/>
          <w:szCs w:val="24"/>
        </w:rPr>
        <w:t>完成</w:t>
      </w:r>
      <w:r>
        <w:rPr>
          <w:rFonts w:hint="eastAsia" w:ascii="Times New Roman" w:hAnsi="Times New Roman" w:eastAsia="宋体" w:cs="Times New Roman"/>
          <w:sz w:val="24"/>
          <w:szCs w:val="24"/>
          <w:lang w:val="en-US" w:eastAsia="zh-CN"/>
        </w:rPr>
        <w:t>后</w:t>
      </w:r>
      <w:r>
        <w:rPr>
          <w:rFonts w:ascii="Times New Roman" w:hAnsi="Times New Roman" w:eastAsia="宋体" w:cs="Times New Roman"/>
          <w:sz w:val="24"/>
          <w:szCs w:val="24"/>
        </w:rPr>
        <w:t>。</w:t>
      </w:r>
      <w:r>
        <w:rPr>
          <w:rFonts w:hint="eastAsia" w:ascii="Times New Roman" w:hAnsi="Times New Roman" w:eastAsia="宋体" w:cs="Times New Roman"/>
          <w:sz w:val="24"/>
          <w:szCs w:val="24"/>
        </w:rPr>
        <w:t>在【</w:t>
      </w:r>
      <w:r>
        <w:rPr>
          <w:rFonts w:hint="eastAsia" w:ascii="Times New Roman" w:hAnsi="Times New Roman" w:eastAsia="宋体" w:cs="Times New Roman"/>
          <w:sz w:val="24"/>
          <w:szCs w:val="24"/>
          <w:lang w:val="en-US" w:eastAsia="zh-CN"/>
        </w:rPr>
        <w:t>企业煤种管理</w:t>
      </w:r>
      <w:r>
        <w:rPr>
          <w:rFonts w:hint="eastAsia" w:ascii="Times New Roman" w:hAnsi="Times New Roman" w:eastAsia="宋体" w:cs="Times New Roman"/>
          <w:sz w:val="24"/>
          <w:szCs w:val="24"/>
        </w:rPr>
        <w:t>】中</w:t>
      </w:r>
      <w:r>
        <w:rPr>
          <w:rFonts w:hint="eastAsia" w:ascii="Times New Roman" w:hAnsi="Times New Roman" w:eastAsia="宋体" w:cs="Times New Roman"/>
          <w:sz w:val="24"/>
          <w:szCs w:val="24"/>
          <w:lang w:val="en-US" w:eastAsia="zh-CN"/>
        </w:rPr>
        <w:t>可</w:t>
      </w:r>
      <w:r>
        <w:rPr>
          <w:rFonts w:hint="eastAsia" w:ascii="Times New Roman" w:hAnsi="Times New Roman" w:eastAsia="宋体" w:cs="Times New Roman"/>
          <w:sz w:val="24"/>
          <w:szCs w:val="24"/>
        </w:rPr>
        <w:t>查看已</w:t>
      </w:r>
      <w:r>
        <w:rPr>
          <w:rFonts w:hint="eastAsia" w:ascii="Times New Roman" w:hAnsi="Times New Roman" w:eastAsia="宋体" w:cs="Times New Roman"/>
          <w:sz w:val="24"/>
          <w:szCs w:val="24"/>
          <w:lang w:val="en-US" w:eastAsia="zh-CN"/>
        </w:rPr>
        <w:t>添加的煤种</w:t>
      </w:r>
      <w:r>
        <w:rPr>
          <w:rFonts w:hint="eastAsia" w:ascii="Times New Roman" w:hAnsi="Times New Roman" w:eastAsia="宋体" w:cs="Times New Roman"/>
          <w:sz w:val="24"/>
          <w:szCs w:val="24"/>
        </w:rPr>
        <w:t>信息。</w:t>
      </w:r>
    </w:p>
    <w:p>
      <w:pPr>
        <w:spacing w:line="360" w:lineRule="auto"/>
      </w:pPr>
      <w:r>
        <w:drawing>
          <wp:inline distT="0" distB="0" distL="114300" distR="114300">
            <wp:extent cx="6165215" cy="1852295"/>
            <wp:effectExtent l="0" t="0" r="6985" b="1905"/>
            <wp:docPr id="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pic:cNvPicPr>
                      <a:picLocks noChangeAspect="1"/>
                    </pic:cNvPicPr>
                  </pic:nvPicPr>
                  <pic:blipFill>
                    <a:blip r:embed="rId12"/>
                    <a:stretch>
                      <a:fillRect/>
                    </a:stretch>
                  </pic:blipFill>
                  <pic:spPr>
                    <a:xfrm>
                      <a:off x="0" y="0"/>
                      <a:ext cx="6165215" cy="1852295"/>
                    </a:xfrm>
                    <a:prstGeom prst="rect">
                      <a:avLst/>
                    </a:prstGeom>
                    <a:noFill/>
                    <a:ln>
                      <a:noFill/>
                    </a:ln>
                  </pic:spPr>
                </pic:pic>
              </a:graphicData>
            </a:graphic>
          </wp:inline>
        </w:drawing>
      </w:r>
    </w:p>
    <w:p>
      <w:pPr>
        <w:pStyle w:val="11"/>
        <w:spacing w:line="360" w:lineRule="auto"/>
        <w:jc w:val="center"/>
        <w:rPr>
          <w:rFonts w:hint="eastAsia" w:eastAsiaTheme="minorEastAsia"/>
          <w:lang w:eastAsia="zh-CN"/>
        </w:rPr>
      </w:pPr>
      <w:r>
        <w:t xml:space="preserve">图 </w:t>
      </w:r>
      <w:r>
        <w:fldChar w:fldCharType="begin"/>
      </w:r>
      <w:r>
        <w:instrText xml:space="preserve"> SEQ 图 \* ARABIC </w:instrText>
      </w:r>
      <w:r>
        <w:fldChar w:fldCharType="separate"/>
      </w:r>
      <w:r>
        <w:t>6</w:t>
      </w:r>
      <w:r>
        <w:fldChar w:fldCharType="end"/>
      </w:r>
      <w:r>
        <w:rPr>
          <w:rFonts w:hint="eastAsia"/>
          <w:lang w:eastAsia="zh-CN"/>
        </w:rPr>
        <w:t xml:space="preserve"> 企业煤种信息列表</w:t>
      </w:r>
    </w:p>
    <w:p>
      <w:r>
        <w:drawing>
          <wp:inline distT="0" distB="0" distL="114300" distR="114300">
            <wp:extent cx="6179185" cy="2994025"/>
            <wp:effectExtent l="0" t="0" r="5715" b="3175"/>
            <wp:docPr id="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
                    <pic:cNvPicPr>
                      <a:picLocks noChangeAspect="1"/>
                    </pic:cNvPicPr>
                  </pic:nvPicPr>
                  <pic:blipFill>
                    <a:blip r:embed="rId13"/>
                    <a:stretch>
                      <a:fillRect/>
                    </a:stretch>
                  </pic:blipFill>
                  <pic:spPr>
                    <a:xfrm>
                      <a:off x="0" y="0"/>
                      <a:ext cx="6179185" cy="2994025"/>
                    </a:xfrm>
                    <a:prstGeom prst="rect">
                      <a:avLst/>
                    </a:prstGeom>
                    <a:noFill/>
                    <a:ln>
                      <a:noFill/>
                    </a:ln>
                  </pic:spPr>
                </pic:pic>
              </a:graphicData>
            </a:graphic>
          </wp:inline>
        </w:drawing>
      </w:r>
    </w:p>
    <w:p>
      <w:pPr>
        <w:pStyle w:val="11"/>
        <w:jc w:val="center"/>
        <w:rPr>
          <w:rFonts w:hint="eastAsia"/>
          <w:lang w:eastAsia="zh-CN"/>
        </w:rPr>
      </w:pPr>
      <w:r>
        <w:t xml:space="preserve">图 </w:t>
      </w:r>
      <w:r>
        <w:fldChar w:fldCharType="begin"/>
      </w:r>
      <w:r>
        <w:instrText xml:space="preserve"> SEQ 图 \* ARABIC </w:instrText>
      </w:r>
      <w:r>
        <w:fldChar w:fldCharType="separate"/>
      </w:r>
      <w:r>
        <w:t>7</w:t>
      </w:r>
      <w:r>
        <w:fldChar w:fldCharType="end"/>
      </w:r>
      <w:r>
        <w:rPr>
          <w:rFonts w:hint="eastAsia"/>
          <w:lang w:eastAsia="zh-CN"/>
        </w:rPr>
        <w:t xml:space="preserve"> 新建煤种</w:t>
      </w:r>
    </w:p>
    <w:p>
      <w:pPr>
        <w:pStyle w:val="3"/>
        <w:numPr>
          <w:ilvl w:val="1"/>
          <w:numId w:val="2"/>
        </w:numPr>
        <w:bidi w:val="0"/>
        <w:ind w:left="567" w:leftChars="0" w:hanging="567" w:firstLineChars="0"/>
        <w:rPr>
          <w:rFonts w:hint="default"/>
          <w:lang w:val="en-US" w:eastAsia="zh-CN"/>
        </w:rPr>
      </w:pPr>
      <w:bookmarkStart w:id="22" w:name="_Toc7829"/>
      <w:r>
        <w:rPr>
          <w:rFonts w:hint="eastAsia"/>
          <w:lang w:val="en-US" w:eastAsia="zh-CN"/>
        </w:rPr>
        <w:t>详细运往地管理</w:t>
      </w:r>
      <w:bookmarkEnd w:id="22"/>
    </w:p>
    <w:p>
      <w:p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操作角色：</w:t>
      </w:r>
      <w:r>
        <w:rPr>
          <w:rFonts w:hint="eastAsia" w:ascii="Times New Roman" w:hAnsi="Times New Roman" w:eastAsia="宋体" w:cs="Times New Roman"/>
          <w:b w:val="0"/>
          <w:bCs/>
          <w:sz w:val="24"/>
          <w:szCs w:val="24"/>
          <w:lang w:val="en-US" w:eastAsia="zh-CN"/>
        </w:rPr>
        <w:t>企业销售</w:t>
      </w:r>
      <w:r>
        <w:rPr>
          <w:rFonts w:ascii="Times New Roman" w:hAnsi="Times New Roman" w:eastAsia="宋体" w:cs="Times New Roman"/>
          <w:sz w:val="24"/>
          <w:szCs w:val="24"/>
        </w:rPr>
        <w:t>；</w:t>
      </w:r>
    </w:p>
    <w:p>
      <w:pPr>
        <w:spacing w:line="360" w:lineRule="auto"/>
        <w:rPr>
          <w:rFonts w:ascii="Times New Roman" w:hAnsi="Times New Roman" w:eastAsia="宋体" w:cs="Times New Roman"/>
          <w:sz w:val="24"/>
          <w:szCs w:val="24"/>
        </w:rPr>
      </w:pPr>
      <w:r>
        <w:rPr>
          <w:rFonts w:ascii="Times New Roman" w:hAnsi="Times New Roman" w:eastAsia="宋体" w:cs="Times New Roman"/>
          <w:b/>
          <w:sz w:val="24"/>
          <w:szCs w:val="24"/>
        </w:rPr>
        <w:t>业务活动：</w:t>
      </w:r>
      <w:r>
        <w:rPr>
          <w:rFonts w:hint="eastAsia" w:ascii="Times New Roman" w:hAnsi="Times New Roman" w:eastAsia="宋体" w:cs="Times New Roman"/>
          <w:b w:val="0"/>
          <w:bCs/>
          <w:sz w:val="24"/>
          <w:szCs w:val="24"/>
          <w:lang w:val="en-US" w:eastAsia="zh-CN"/>
        </w:rPr>
        <w:t>维护煤矿煤种信息，该信息打印至煤管票上</w:t>
      </w:r>
      <w:r>
        <w:rPr>
          <w:rFonts w:ascii="Times New Roman" w:hAnsi="Times New Roman" w:eastAsia="宋体" w:cs="Times New Roman"/>
          <w:sz w:val="24"/>
          <w:szCs w:val="24"/>
        </w:rPr>
        <w:t>；</w:t>
      </w:r>
    </w:p>
    <w:p>
      <w:p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业务操作说明：</w:t>
      </w:r>
    </w:p>
    <w:p>
      <w:pPr>
        <w:spacing w:line="360" w:lineRule="auto"/>
        <w:ind w:firstLine="480" w:firstLineChars="200"/>
        <w:rPr>
          <w:rFonts w:hint="eastAsia" w:ascii="Times New Roman" w:hAnsi="Times New Roman" w:eastAsia="宋体" w:cs="Times New Roman"/>
          <w:sz w:val="24"/>
          <w:szCs w:val="24"/>
        </w:rPr>
      </w:pPr>
      <w:r>
        <w:rPr>
          <w:rFonts w:ascii="Times New Roman" w:hAnsi="Times New Roman" w:eastAsia="宋体" w:cs="Times New Roman"/>
          <w:sz w:val="24"/>
          <w:szCs w:val="24"/>
        </w:rPr>
        <w:t>在左侧导航栏的【</w:t>
      </w:r>
      <w:r>
        <w:rPr>
          <w:rFonts w:hint="eastAsia" w:ascii="Times New Roman" w:hAnsi="Times New Roman" w:eastAsia="宋体" w:cs="Times New Roman"/>
          <w:sz w:val="24"/>
          <w:szCs w:val="24"/>
          <w:lang w:val="en-US" w:eastAsia="zh-CN"/>
        </w:rPr>
        <w:t>企业销售</w:t>
      </w:r>
      <w:r>
        <w:rPr>
          <w:rFonts w:ascii="Times New Roman" w:hAnsi="Times New Roman" w:eastAsia="宋体" w:cs="Times New Roman"/>
          <w:sz w:val="24"/>
          <w:szCs w:val="24"/>
        </w:rPr>
        <w:t>管理】中，点击【</w:t>
      </w:r>
      <w:r>
        <w:rPr>
          <w:rFonts w:hint="eastAsia" w:ascii="Times New Roman" w:hAnsi="Times New Roman" w:eastAsia="宋体" w:cs="Times New Roman"/>
          <w:sz w:val="24"/>
          <w:szCs w:val="24"/>
          <w:lang w:val="en-US" w:eastAsia="zh-CN"/>
        </w:rPr>
        <w:t>详细运往地管理</w:t>
      </w:r>
      <w:r>
        <w:rPr>
          <w:rFonts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进入详细运往地管理的</w:t>
      </w:r>
      <w:r>
        <w:rPr>
          <w:rFonts w:ascii="Times New Roman" w:hAnsi="Times New Roman" w:eastAsia="宋体" w:cs="Times New Roman"/>
          <w:sz w:val="24"/>
          <w:szCs w:val="24"/>
        </w:rPr>
        <w:t>操作页面，显示</w:t>
      </w:r>
      <w:r>
        <w:rPr>
          <w:rFonts w:hint="eastAsia" w:ascii="Times New Roman" w:hAnsi="Times New Roman" w:eastAsia="宋体" w:cs="Times New Roman"/>
          <w:sz w:val="24"/>
          <w:szCs w:val="24"/>
          <w:lang w:val="en-US" w:eastAsia="zh-CN"/>
        </w:rPr>
        <w:t>企业已添加完成的详细运往地信息，</w:t>
      </w:r>
      <w:r>
        <w:rPr>
          <w:rFonts w:hint="eastAsia" w:ascii="Times New Roman" w:hAnsi="Times New Roman" w:eastAsia="宋体" w:cs="Times New Roman"/>
          <w:sz w:val="24"/>
          <w:szCs w:val="24"/>
        </w:rPr>
        <w:t>如图</w:t>
      </w:r>
      <w:r>
        <w:rPr>
          <w:rFonts w:hint="eastAsia" w:ascii="Times New Roman" w:hAnsi="Times New Roman" w:eastAsia="宋体" w:cs="Times New Roman"/>
          <w:sz w:val="24"/>
          <w:szCs w:val="24"/>
          <w:lang w:val="en-US" w:eastAsia="zh-CN"/>
        </w:rPr>
        <w:t>详细运往地列表</w:t>
      </w:r>
      <w:r>
        <w:rPr>
          <w:rFonts w:hint="eastAsia" w:ascii="Times New Roman" w:hAnsi="Times New Roman" w:eastAsia="宋体" w:cs="Times New Roman"/>
          <w:sz w:val="24"/>
          <w:szCs w:val="24"/>
        </w:rPr>
        <w:t>所示；，</w:t>
      </w:r>
      <w:r>
        <w:rPr>
          <w:rFonts w:hint="eastAsia" w:ascii="Times New Roman" w:hAnsi="Times New Roman" w:eastAsia="宋体" w:cs="Times New Roman"/>
          <w:sz w:val="24"/>
          <w:szCs w:val="24"/>
          <w:lang w:val="en-US" w:eastAsia="zh-CN"/>
        </w:rPr>
        <w:t>点击</w:t>
      </w:r>
      <w:r>
        <w:drawing>
          <wp:inline distT="0" distB="0" distL="114300" distR="114300">
            <wp:extent cx="863600" cy="190500"/>
            <wp:effectExtent l="0" t="0" r="0" b="0"/>
            <wp:docPr id="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
                    <pic:cNvPicPr>
                      <a:picLocks noChangeAspect="1"/>
                    </pic:cNvPicPr>
                  </pic:nvPicPr>
                  <pic:blipFill>
                    <a:blip r:embed="rId14"/>
                    <a:stretch>
                      <a:fillRect/>
                    </a:stretch>
                  </pic:blipFill>
                  <pic:spPr>
                    <a:xfrm>
                      <a:off x="0" y="0"/>
                      <a:ext cx="863600" cy="190500"/>
                    </a:xfrm>
                    <a:prstGeom prst="rect">
                      <a:avLst/>
                    </a:prstGeom>
                    <a:noFill/>
                    <a:ln>
                      <a:noFill/>
                    </a:ln>
                  </pic:spPr>
                </pic:pic>
              </a:graphicData>
            </a:graphic>
          </wp:inline>
        </w:drawing>
      </w:r>
      <w:r>
        <w:rPr>
          <w:rFonts w:hint="eastAsia" w:ascii="Times New Roman" w:hAnsi="Times New Roman" w:eastAsia="宋体" w:cs="Times New Roman"/>
          <w:sz w:val="24"/>
          <w:szCs w:val="24"/>
          <w:lang w:val="en-US" w:eastAsia="zh-CN"/>
        </w:rPr>
        <w:t>弹出的新建运往地的操作页面，选择省市，输入所选省市下的详细信息，如图 增加详细运往地所示</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运往地添加</w:t>
      </w:r>
      <w:r>
        <w:rPr>
          <w:rFonts w:hint="eastAsia" w:ascii="Times New Roman" w:hAnsi="Times New Roman" w:eastAsia="宋体" w:cs="Times New Roman"/>
          <w:sz w:val="24"/>
          <w:szCs w:val="24"/>
        </w:rPr>
        <w:t>完成</w:t>
      </w:r>
      <w:r>
        <w:rPr>
          <w:rFonts w:hint="eastAsia" w:ascii="Times New Roman" w:hAnsi="Times New Roman" w:eastAsia="宋体" w:cs="Times New Roman"/>
          <w:sz w:val="24"/>
          <w:szCs w:val="24"/>
          <w:lang w:val="en-US" w:eastAsia="zh-CN"/>
        </w:rPr>
        <w:t>后</w:t>
      </w:r>
      <w:r>
        <w:rPr>
          <w:rFonts w:ascii="Times New Roman" w:hAnsi="Times New Roman" w:eastAsia="宋体" w:cs="Times New Roman"/>
          <w:sz w:val="24"/>
          <w:szCs w:val="24"/>
        </w:rPr>
        <w:t>。</w:t>
      </w:r>
      <w:r>
        <w:rPr>
          <w:rFonts w:hint="eastAsia" w:ascii="Times New Roman" w:hAnsi="Times New Roman" w:eastAsia="宋体" w:cs="Times New Roman"/>
          <w:sz w:val="24"/>
          <w:szCs w:val="24"/>
        </w:rPr>
        <w:t>在【</w:t>
      </w:r>
      <w:r>
        <w:rPr>
          <w:rFonts w:hint="eastAsia" w:ascii="Times New Roman" w:hAnsi="Times New Roman" w:eastAsia="宋体" w:cs="Times New Roman"/>
          <w:sz w:val="24"/>
          <w:szCs w:val="24"/>
          <w:lang w:val="en-US" w:eastAsia="zh-CN"/>
        </w:rPr>
        <w:t>详细运往地管理</w:t>
      </w:r>
      <w:r>
        <w:rPr>
          <w:rFonts w:hint="eastAsia" w:ascii="Times New Roman" w:hAnsi="Times New Roman" w:eastAsia="宋体" w:cs="Times New Roman"/>
          <w:sz w:val="24"/>
          <w:szCs w:val="24"/>
        </w:rPr>
        <w:t>】中</w:t>
      </w:r>
      <w:r>
        <w:rPr>
          <w:rFonts w:hint="eastAsia" w:ascii="Times New Roman" w:hAnsi="Times New Roman" w:eastAsia="宋体" w:cs="Times New Roman"/>
          <w:sz w:val="24"/>
          <w:szCs w:val="24"/>
          <w:lang w:val="en-US" w:eastAsia="zh-CN"/>
        </w:rPr>
        <w:t>可</w:t>
      </w:r>
      <w:r>
        <w:rPr>
          <w:rFonts w:hint="eastAsia" w:ascii="Times New Roman" w:hAnsi="Times New Roman" w:eastAsia="宋体" w:cs="Times New Roman"/>
          <w:sz w:val="24"/>
          <w:szCs w:val="24"/>
        </w:rPr>
        <w:t>查看已</w:t>
      </w:r>
      <w:r>
        <w:rPr>
          <w:rFonts w:hint="eastAsia" w:ascii="Times New Roman" w:hAnsi="Times New Roman" w:eastAsia="宋体" w:cs="Times New Roman"/>
          <w:sz w:val="24"/>
          <w:szCs w:val="24"/>
          <w:lang w:val="en-US" w:eastAsia="zh-CN"/>
        </w:rPr>
        <w:t>添加的运往地</w:t>
      </w:r>
      <w:r>
        <w:rPr>
          <w:rFonts w:hint="eastAsia" w:ascii="Times New Roman" w:hAnsi="Times New Roman" w:eastAsia="宋体" w:cs="Times New Roman"/>
          <w:sz w:val="24"/>
          <w:szCs w:val="24"/>
        </w:rPr>
        <w:t>信息。</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pPr>
      <w:r>
        <w:drawing>
          <wp:inline distT="0" distB="0" distL="114300" distR="114300">
            <wp:extent cx="6193790" cy="1461770"/>
            <wp:effectExtent l="0" t="0" r="3810" b="11430"/>
            <wp:docPr id="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
                    <pic:cNvPicPr>
                      <a:picLocks noChangeAspect="1"/>
                    </pic:cNvPicPr>
                  </pic:nvPicPr>
                  <pic:blipFill>
                    <a:blip r:embed="rId15"/>
                    <a:stretch>
                      <a:fillRect/>
                    </a:stretch>
                  </pic:blipFill>
                  <pic:spPr>
                    <a:xfrm>
                      <a:off x="0" y="0"/>
                      <a:ext cx="6193790" cy="1461770"/>
                    </a:xfrm>
                    <a:prstGeom prst="rect">
                      <a:avLst/>
                    </a:prstGeom>
                    <a:noFill/>
                    <a:ln>
                      <a:noFill/>
                    </a:ln>
                  </pic:spPr>
                </pic:pic>
              </a:graphicData>
            </a:graphic>
          </wp:inline>
        </w:drawing>
      </w:r>
    </w:p>
    <w:p>
      <w:pPr>
        <w:pStyle w:val="11"/>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sz w:val="24"/>
          <w:szCs w:val="24"/>
        </w:rPr>
      </w:pPr>
      <w:r>
        <w:t xml:space="preserve">图 </w:t>
      </w:r>
      <w:r>
        <w:fldChar w:fldCharType="begin"/>
      </w:r>
      <w:r>
        <w:instrText xml:space="preserve"> SEQ 图 \* ARABIC </w:instrText>
      </w:r>
      <w:r>
        <w:fldChar w:fldCharType="separate"/>
      </w:r>
      <w:r>
        <w:t>8</w:t>
      </w:r>
      <w:r>
        <w:fldChar w:fldCharType="end"/>
      </w:r>
      <w:r>
        <w:rPr>
          <w:rFonts w:hint="eastAsia"/>
          <w:lang w:eastAsia="zh-CN"/>
        </w:rPr>
        <w:t xml:space="preserve"> 详细运往地列表</w:t>
      </w:r>
    </w:p>
    <w:p>
      <w:r>
        <w:drawing>
          <wp:inline distT="0" distB="0" distL="114300" distR="114300">
            <wp:extent cx="6194425" cy="3138805"/>
            <wp:effectExtent l="0" t="0" r="3175" b="10795"/>
            <wp:docPr id="4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
                    <pic:cNvPicPr>
                      <a:picLocks noChangeAspect="1"/>
                    </pic:cNvPicPr>
                  </pic:nvPicPr>
                  <pic:blipFill>
                    <a:blip r:embed="rId16"/>
                    <a:stretch>
                      <a:fillRect/>
                    </a:stretch>
                  </pic:blipFill>
                  <pic:spPr>
                    <a:xfrm>
                      <a:off x="0" y="0"/>
                      <a:ext cx="6194425" cy="3138805"/>
                    </a:xfrm>
                    <a:prstGeom prst="rect">
                      <a:avLst/>
                    </a:prstGeom>
                    <a:noFill/>
                    <a:ln>
                      <a:noFill/>
                    </a:ln>
                  </pic:spPr>
                </pic:pic>
              </a:graphicData>
            </a:graphic>
          </wp:inline>
        </w:drawing>
      </w:r>
    </w:p>
    <w:p>
      <w:pPr>
        <w:pStyle w:val="11"/>
        <w:jc w:val="center"/>
        <w:rPr>
          <w:rFonts w:hint="eastAsia" w:eastAsiaTheme="minorEastAsia"/>
          <w:lang w:val="en-US" w:eastAsia="zh-CN"/>
        </w:rPr>
      </w:pPr>
      <w:r>
        <w:t xml:space="preserve">图 </w:t>
      </w:r>
      <w:r>
        <w:fldChar w:fldCharType="begin"/>
      </w:r>
      <w:r>
        <w:instrText xml:space="preserve"> SEQ 图 \* ARABIC </w:instrText>
      </w:r>
      <w:r>
        <w:fldChar w:fldCharType="separate"/>
      </w:r>
      <w:r>
        <w:t>9</w:t>
      </w:r>
      <w:r>
        <w:fldChar w:fldCharType="end"/>
      </w:r>
      <w:r>
        <w:rPr>
          <w:rFonts w:hint="eastAsia"/>
          <w:lang w:eastAsia="zh-CN"/>
        </w:rPr>
        <w:t>增加详细运往地</w:t>
      </w:r>
    </w:p>
    <w:p>
      <w:pPr>
        <w:pStyle w:val="2"/>
        <w:pageBreakBefore/>
        <w:numPr>
          <w:ilvl w:val="0"/>
          <w:numId w:val="2"/>
        </w:numPr>
        <w:ind w:left="425" w:leftChars="0" w:hanging="425" w:firstLineChars="0"/>
        <w:rPr>
          <w:rFonts w:ascii="Times New Roman" w:hAnsi="Times New Roman" w:cs="Times New Roman"/>
        </w:rPr>
      </w:pPr>
      <w:bookmarkStart w:id="23" w:name="_Toc28668"/>
      <w:r>
        <w:rPr>
          <w:rFonts w:ascii="Times New Roman" w:hAnsi="Times New Roman" w:cs="Times New Roman"/>
        </w:rPr>
        <w:t>出入矿管理</w:t>
      </w:r>
      <w:bookmarkEnd w:id="16"/>
      <w:bookmarkEnd w:id="17"/>
      <w:bookmarkEnd w:id="18"/>
      <w:bookmarkEnd w:id="19"/>
      <w:bookmarkEnd w:id="23"/>
    </w:p>
    <w:p>
      <w:pPr>
        <w:pStyle w:val="3"/>
        <w:numPr>
          <w:ilvl w:val="1"/>
          <w:numId w:val="2"/>
        </w:numPr>
        <w:bidi w:val="0"/>
        <w:ind w:left="567" w:leftChars="0" w:hanging="567" w:firstLineChars="0"/>
      </w:pPr>
      <w:bookmarkStart w:id="24" w:name="_Toc481605405"/>
      <w:bookmarkStart w:id="25" w:name="_Toc481605335"/>
      <w:bookmarkStart w:id="26" w:name="_Toc481605501"/>
      <w:bookmarkStart w:id="27" w:name="_Toc3284"/>
      <w:bookmarkStart w:id="28" w:name="_Toc18050"/>
      <w:r>
        <w:t>空车过磅</w:t>
      </w:r>
      <w:bookmarkEnd w:id="24"/>
      <w:bookmarkEnd w:id="25"/>
      <w:bookmarkEnd w:id="26"/>
      <w:bookmarkEnd w:id="27"/>
      <w:bookmarkEnd w:id="28"/>
    </w:p>
    <w:p>
      <w:pPr>
        <w:pStyle w:val="4"/>
        <w:numPr>
          <w:ilvl w:val="2"/>
          <w:numId w:val="2"/>
        </w:numPr>
        <w:ind w:left="709" w:leftChars="0" w:hanging="709" w:firstLineChars="0"/>
      </w:pPr>
      <w:bookmarkStart w:id="29" w:name="_Toc481605336"/>
      <w:bookmarkStart w:id="30" w:name="_Toc481605406"/>
      <w:bookmarkStart w:id="31" w:name="_Toc19629"/>
      <w:bookmarkStart w:id="32" w:name="_Toc481605502"/>
      <w:bookmarkStart w:id="33" w:name="_Toc25195"/>
      <w:r>
        <w:t>空车过磅</w:t>
      </w:r>
      <w:bookmarkEnd w:id="29"/>
      <w:bookmarkEnd w:id="30"/>
      <w:bookmarkEnd w:id="31"/>
      <w:bookmarkEnd w:id="32"/>
      <w:bookmarkEnd w:id="33"/>
    </w:p>
    <w:p>
      <w:pPr>
        <w:spacing w:line="360" w:lineRule="auto"/>
        <w:rPr>
          <w:rFonts w:ascii="Times New Roman" w:hAnsi="Times New Roman" w:eastAsia="宋体" w:cs="Times New Roman"/>
          <w:sz w:val="24"/>
          <w:szCs w:val="24"/>
        </w:rPr>
      </w:pPr>
      <w:r>
        <w:rPr>
          <w:rFonts w:ascii="Times New Roman" w:hAnsi="Times New Roman" w:eastAsia="宋体" w:cs="Times New Roman"/>
          <w:b/>
          <w:sz w:val="24"/>
          <w:szCs w:val="24"/>
        </w:rPr>
        <w:t>操作角色</w:t>
      </w:r>
      <w:r>
        <w:rPr>
          <w:rFonts w:ascii="Times New Roman" w:hAnsi="Times New Roman" w:eastAsia="宋体" w:cs="Times New Roman"/>
          <w:sz w:val="24"/>
          <w:szCs w:val="24"/>
        </w:rPr>
        <w:t>：司磅员</w:t>
      </w:r>
    </w:p>
    <w:p>
      <w:pPr>
        <w:spacing w:line="360" w:lineRule="auto"/>
        <w:rPr>
          <w:rFonts w:ascii="Times New Roman" w:hAnsi="Times New Roman" w:eastAsia="宋体" w:cs="Times New Roman"/>
          <w:sz w:val="24"/>
          <w:szCs w:val="24"/>
        </w:rPr>
      </w:pPr>
      <w:r>
        <w:rPr>
          <w:rFonts w:ascii="Times New Roman" w:hAnsi="Times New Roman" w:eastAsia="宋体" w:cs="Times New Roman"/>
          <w:b/>
          <w:sz w:val="24"/>
          <w:szCs w:val="24"/>
        </w:rPr>
        <w:t>业务活动</w:t>
      </w:r>
      <w:r>
        <w:rPr>
          <w:rFonts w:ascii="Times New Roman" w:hAnsi="Times New Roman" w:eastAsia="宋体" w:cs="Times New Roman"/>
          <w:sz w:val="24"/>
          <w:szCs w:val="24"/>
        </w:rPr>
        <w:t>：</w:t>
      </w:r>
      <w:r>
        <w:rPr>
          <w:rFonts w:hint="eastAsia" w:ascii="Times New Roman" w:hAnsi="Times New Roman" w:eastAsia="宋体" w:cs="Times New Roman"/>
          <w:sz w:val="24"/>
          <w:szCs w:val="24"/>
        </w:rPr>
        <w:t>空车回皮称重</w:t>
      </w:r>
    </w:p>
    <w:p>
      <w:p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业务操作说明：</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在左侧导航栏的【出入矿管理】中，点击 【空车过磅】进入空车过磅的</w:t>
      </w:r>
      <w:r>
        <w:rPr>
          <w:rFonts w:hint="eastAsia" w:ascii="Times New Roman" w:hAnsi="Times New Roman" w:eastAsia="宋体" w:cs="Times New Roman"/>
          <w:sz w:val="24"/>
          <w:szCs w:val="24"/>
        </w:rPr>
        <w:t>操作</w:t>
      </w:r>
      <w:r>
        <w:rPr>
          <w:rFonts w:ascii="Times New Roman" w:hAnsi="Times New Roman" w:eastAsia="宋体" w:cs="Times New Roman"/>
          <w:sz w:val="24"/>
          <w:szCs w:val="24"/>
        </w:rPr>
        <w:t>页面，</w:t>
      </w:r>
      <w:r>
        <w:rPr>
          <w:rFonts w:hint="eastAsia" w:ascii="Times New Roman" w:hAnsi="Times New Roman" w:eastAsia="宋体" w:cs="Times New Roman"/>
          <w:sz w:val="24"/>
          <w:szCs w:val="24"/>
        </w:rPr>
        <w:t>车牌号：手动输入车牌号；车辆轴数：手动选择车辆轴数；空车重量：通过监管平台客户端程序读取地磅数据自动显示；车辆皮重信息确认后，点击【提交】，车辆本次过空完成，</w:t>
      </w:r>
      <w:r>
        <w:rPr>
          <w:rFonts w:ascii="Times New Roman" w:hAnsi="Times New Roman" w:eastAsia="宋体" w:cs="Times New Roman"/>
          <w:sz w:val="24"/>
          <w:szCs w:val="24"/>
        </w:rPr>
        <w:t>如</w:t>
      </w:r>
      <w:r>
        <w:rPr>
          <w:rFonts w:hint="eastAsia" w:ascii="Times New Roman" w:hAnsi="Times New Roman" w:eastAsia="宋体" w:cs="Times New Roman"/>
          <w:sz w:val="24"/>
          <w:szCs w:val="24"/>
          <w:lang w:eastAsia="zh-CN"/>
        </w:rPr>
        <w:t>图</w:t>
      </w:r>
      <w:r>
        <w:rPr>
          <w:rFonts w:hint="eastAsia" w:ascii="Times New Roman" w:hAnsi="Times New Roman" w:eastAsia="宋体" w:cs="Times New Roman"/>
          <w:sz w:val="24"/>
          <w:szCs w:val="24"/>
          <w:lang w:val="en-US" w:eastAsia="zh-CN"/>
        </w:rPr>
        <w:t>空车过磅</w:t>
      </w:r>
      <w:r>
        <w:rPr>
          <w:rFonts w:ascii="Times New Roman" w:hAnsi="Times New Roman" w:eastAsia="宋体" w:cs="Times New Roman"/>
          <w:sz w:val="24"/>
          <w:szCs w:val="24"/>
        </w:rPr>
        <w:t>所示。</w:t>
      </w:r>
      <w:r>
        <w:rPr>
          <w:rFonts w:hint="eastAsia" w:ascii="Times New Roman" w:hAnsi="Times New Roman" w:eastAsia="宋体" w:cs="Times New Roman"/>
          <w:sz w:val="24"/>
          <w:szCs w:val="24"/>
        </w:rPr>
        <w:t>点击【过空记录】进入过空记录的查询页面，对已过空车辆进行查询统计，如图</w:t>
      </w:r>
      <w:r>
        <w:rPr>
          <w:rFonts w:hint="eastAsia" w:ascii="Times New Roman" w:hAnsi="Times New Roman" w:eastAsia="宋体" w:cs="Times New Roman"/>
          <w:sz w:val="24"/>
          <w:szCs w:val="24"/>
          <w:lang w:val="en-US" w:eastAsia="zh-CN"/>
        </w:rPr>
        <w:t>过空记录</w:t>
      </w:r>
      <w:r>
        <w:rPr>
          <w:rFonts w:hint="eastAsia" w:ascii="Times New Roman" w:hAnsi="Times New Roman" w:eastAsia="宋体" w:cs="Times New Roman"/>
          <w:sz w:val="24"/>
          <w:szCs w:val="24"/>
        </w:rPr>
        <w:t>所示。</w:t>
      </w:r>
    </w:p>
    <w:p>
      <w:pPr>
        <w:spacing w:line="360" w:lineRule="auto"/>
      </w:pPr>
      <w:r>
        <w:drawing>
          <wp:inline distT="0" distB="0" distL="0" distR="0">
            <wp:extent cx="6207125" cy="3396615"/>
            <wp:effectExtent l="0" t="0" r="3175"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stretch>
                      <a:fillRect/>
                    </a:stretch>
                  </pic:blipFill>
                  <pic:spPr>
                    <a:xfrm>
                      <a:off x="0" y="0"/>
                      <a:ext cx="6207125" cy="3396615"/>
                    </a:xfrm>
                    <a:prstGeom prst="rect">
                      <a:avLst/>
                    </a:prstGeom>
                  </pic:spPr>
                </pic:pic>
              </a:graphicData>
            </a:graphic>
          </wp:inline>
        </w:drawing>
      </w:r>
    </w:p>
    <w:p>
      <w:pPr>
        <w:pStyle w:val="11"/>
        <w:spacing w:line="360" w:lineRule="auto"/>
        <w:jc w:val="center"/>
        <w:rPr>
          <w:rFonts w:ascii="Times New Roman" w:hAnsi="Times New Roman" w:eastAsia="宋体" w:cs="Times New Roman"/>
          <w:kern w:val="0"/>
          <w:sz w:val="24"/>
          <w:szCs w:val="24"/>
        </w:rPr>
      </w:pPr>
      <w:r>
        <w:t xml:space="preserve">图 </w:t>
      </w:r>
      <w:r>
        <w:fldChar w:fldCharType="begin"/>
      </w:r>
      <w:r>
        <w:instrText xml:space="preserve"> SEQ 图 \* ARABIC </w:instrText>
      </w:r>
      <w:r>
        <w:fldChar w:fldCharType="separate"/>
      </w:r>
      <w:r>
        <w:t>10</w:t>
      </w:r>
      <w:r>
        <w:fldChar w:fldCharType="end"/>
      </w:r>
      <w:r>
        <w:rPr>
          <w:rFonts w:hint="eastAsia"/>
          <w:lang w:eastAsia="zh-CN"/>
        </w:rPr>
        <w:t xml:space="preserve"> 空车过磅</w:t>
      </w:r>
    </w:p>
    <w:p>
      <w:pPr>
        <w:widowControl/>
        <w:jc w:val="left"/>
      </w:pPr>
      <w:r>
        <w:drawing>
          <wp:inline distT="0" distB="0" distL="0" distR="0">
            <wp:extent cx="6169025" cy="3396615"/>
            <wp:effectExtent l="0" t="0" r="3175"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8"/>
                    <a:stretch>
                      <a:fillRect/>
                    </a:stretch>
                  </pic:blipFill>
                  <pic:spPr>
                    <a:xfrm>
                      <a:off x="0" y="0"/>
                      <a:ext cx="6169025" cy="3396615"/>
                    </a:xfrm>
                    <a:prstGeom prst="rect">
                      <a:avLst/>
                    </a:prstGeom>
                  </pic:spPr>
                </pic:pic>
              </a:graphicData>
            </a:graphic>
          </wp:inline>
        </w:drawing>
      </w:r>
    </w:p>
    <w:p>
      <w:pPr>
        <w:pStyle w:val="11"/>
        <w:widowControl/>
        <w:jc w:val="center"/>
        <w:rPr>
          <w:rFonts w:hint="eastAsia" w:eastAsiaTheme="minorEastAsia"/>
          <w:lang w:eastAsia="zh-CN"/>
        </w:rPr>
      </w:pPr>
      <w:r>
        <w:t xml:space="preserve">图 </w:t>
      </w:r>
      <w:r>
        <w:fldChar w:fldCharType="begin"/>
      </w:r>
      <w:r>
        <w:instrText xml:space="preserve"> SEQ 图 \* ARABIC </w:instrText>
      </w:r>
      <w:r>
        <w:fldChar w:fldCharType="separate"/>
      </w:r>
      <w:r>
        <w:t>11</w:t>
      </w:r>
      <w:r>
        <w:fldChar w:fldCharType="end"/>
      </w:r>
      <w:r>
        <w:rPr>
          <w:rFonts w:hint="eastAsia"/>
          <w:lang w:eastAsia="zh-CN"/>
        </w:rPr>
        <w:t xml:space="preserve"> 过空记录</w:t>
      </w:r>
    </w:p>
    <w:p>
      <w:p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注意事项：</w:t>
      </w:r>
    </w:p>
    <w:p>
      <w:pPr>
        <w:pStyle w:val="41"/>
        <w:numPr>
          <w:ilvl w:val="0"/>
          <w:numId w:val="4"/>
        </w:numPr>
        <w:spacing w:line="360" w:lineRule="auto"/>
        <w:ind w:firstLineChars="0"/>
        <w:rPr>
          <w:rFonts w:ascii="Times New Roman" w:hAnsi="Times New Roman" w:eastAsia="宋体" w:cs="Times New Roman"/>
          <w:sz w:val="24"/>
          <w:szCs w:val="24"/>
        </w:rPr>
      </w:pPr>
      <w:r>
        <w:rPr>
          <w:rFonts w:ascii="Times New Roman" w:hAnsi="Times New Roman" w:eastAsia="宋体" w:cs="Times New Roman"/>
          <w:sz w:val="24"/>
          <w:szCs w:val="24"/>
        </w:rPr>
        <w:t>车辆的皮重信息以地磅数据为准，司磅员不可进行修改；</w:t>
      </w:r>
    </w:p>
    <w:p>
      <w:pPr>
        <w:pStyle w:val="41"/>
        <w:numPr>
          <w:ilvl w:val="0"/>
          <w:numId w:val="4"/>
        </w:numPr>
        <w:spacing w:line="360" w:lineRule="auto"/>
        <w:ind w:firstLineChars="0"/>
        <w:rPr>
          <w:rFonts w:ascii="Times New Roman" w:hAnsi="Times New Roman" w:eastAsia="宋体" w:cs="Times New Roman"/>
          <w:sz w:val="24"/>
          <w:szCs w:val="24"/>
        </w:rPr>
      </w:pPr>
      <w:r>
        <w:rPr>
          <w:rFonts w:ascii="Times New Roman" w:hAnsi="Times New Roman" w:eastAsia="宋体" w:cs="Times New Roman"/>
          <w:sz w:val="24"/>
          <w:szCs w:val="24"/>
        </w:rPr>
        <w:t>在</w:t>
      </w:r>
      <w:r>
        <w:rPr>
          <w:rFonts w:hint="eastAsia" w:ascii="Times New Roman" w:hAnsi="Times New Roman" w:eastAsia="宋体" w:cs="Times New Roman"/>
          <w:sz w:val="24"/>
          <w:szCs w:val="24"/>
        </w:rPr>
        <w:t>输入车牌号时确保车牌号信息准确。</w:t>
      </w:r>
    </w:p>
    <w:p>
      <w:pPr>
        <w:pStyle w:val="3"/>
        <w:numPr>
          <w:ilvl w:val="1"/>
          <w:numId w:val="2"/>
        </w:numPr>
        <w:bidi w:val="0"/>
        <w:ind w:left="567" w:leftChars="0" w:hanging="567" w:firstLineChars="0"/>
      </w:pPr>
      <w:bookmarkStart w:id="34" w:name="_Toc481605338"/>
      <w:bookmarkStart w:id="35" w:name="_Toc481605504"/>
      <w:bookmarkStart w:id="36" w:name="_Toc481605408"/>
      <w:bookmarkStart w:id="37" w:name="_Toc18369"/>
      <w:bookmarkStart w:id="38" w:name="_Toc28975"/>
      <w:r>
        <w:t>重车过磅</w:t>
      </w:r>
      <w:bookmarkEnd w:id="34"/>
      <w:bookmarkEnd w:id="35"/>
      <w:bookmarkEnd w:id="36"/>
      <w:bookmarkEnd w:id="37"/>
      <w:bookmarkEnd w:id="38"/>
    </w:p>
    <w:p>
      <w:pPr>
        <w:pStyle w:val="4"/>
        <w:numPr>
          <w:ilvl w:val="2"/>
          <w:numId w:val="2"/>
        </w:numPr>
        <w:ind w:left="709" w:leftChars="0" w:hanging="709" w:firstLineChars="0"/>
      </w:pPr>
      <w:bookmarkStart w:id="39" w:name="_Toc481605409"/>
      <w:bookmarkStart w:id="40" w:name="_Toc481605339"/>
      <w:bookmarkStart w:id="41" w:name="_Toc87"/>
      <w:bookmarkStart w:id="42" w:name="_Toc481605505"/>
      <w:bookmarkStart w:id="43" w:name="_Toc6811"/>
      <w:r>
        <w:t>重车过磅</w:t>
      </w:r>
      <w:bookmarkEnd w:id="39"/>
      <w:bookmarkEnd w:id="40"/>
      <w:bookmarkEnd w:id="41"/>
      <w:bookmarkEnd w:id="42"/>
      <w:bookmarkEnd w:id="43"/>
    </w:p>
    <w:p>
      <w:pPr>
        <w:spacing w:line="360" w:lineRule="auto"/>
        <w:rPr>
          <w:rFonts w:ascii="Times New Roman" w:hAnsi="Times New Roman" w:eastAsia="宋体" w:cs="Times New Roman"/>
          <w:sz w:val="24"/>
          <w:szCs w:val="24"/>
        </w:rPr>
      </w:pPr>
      <w:r>
        <w:rPr>
          <w:rFonts w:ascii="Times New Roman" w:hAnsi="Times New Roman" w:eastAsia="宋体" w:cs="Times New Roman"/>
          <w:b/>
          <w:sz w:val="24"/>
          <w:szCs w:val="24"/>
        </w:rPr>
        <w:t>操作角色</w:t>
      </w:r>
      <w:r>
        <w:rPr>
          <w:rFonts w:ascii="Times New Roman" w:hAnsi="Times New Roman" w:eastAsia="宋体" w:cs="Times New Roman"/>
          <w:sz w:val="24"/>
          <w:szCs w:val="24"/>
        </w:rPr>
        <w:t>：司磅员</w:t>
      </w:r>
    </w:p>
    <w:p>
      <w:pPr>
        <w:spacing w:line="360" w:lineRule="auto"/>
        <w:rPr>
          <w:rFonts w:ascii="Times New Roman" w:hAnsi="Times New Roman" w:eastAsia="宋体" w:cs="Times New Roman"/>
          <w:sz w:val="24"/>
          <w:szCs w:val="24"/>
        </w:rPr>
      </w:pPr>
      <w:r>
        <w:rPr>
          <w:rFonts w:ascii="Times New Roman" w:hAnsi="Times New Roman" w:eastAsia="宋体" w:cs="Times New Roman"/>
          <w:b/>
          <w:sz w:val="24"/>
          <w:szCs w:val="24"/>
        </w:rPr>
        <w:t>业务活动</w:t>
      </w:r>
      <w:r>
        <w:rPr>
          <w:rFonts w:ascii="Times New Roman" w:hAnsi="Times New Roman" w:eastAsia="宋体" w:cs="Times New Roman"/>
          <w:sz w:val="24"/>
          <w:szCs w:val="24"/>
        </w:rPr>
        <w:t>：</w:t>
      </w:r>
      <w:r>
        <w:rPr>
          <w:rFonts w:hint="eastAsia" w:ascii="Times New Roman" w:hAnsi="Times New Roman" w:eastAsia="宋体" w:cs="Times New Roman"/>
          <w:sz w:val="24"/>
          <w:szCs w:val="24"/>
        </w:rPr>
        <w:t>重车称重、打票</w:t>
      </w:r>
    </w:p>
    <w:p>
      <w:p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业务操作说明：</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在左侧导航栏的【出入矿管理】中，点击 【重车过磅】进入重车过磅的</w:t>
      </w:r>
      <w:r>
        <w:rPr>
          <w:rFonts w:hint="eastAsia" w:ascii="Times New Roman" w:hAnsi="Times New Roman" w:eastAsia="宋体" w:cs="Times New Roman"/>
          <w:sz w:val="24"/>
          <w:szCs w:val="24"/>
        </w:rPr>
        <w:t>操作</w:t>
      </w:r>
      <w:r>
        <w:rPr>
          <w:rFonts w:ascii="Times New Roman" w:hAnsi="Times New Roman" w:eastAsia="宋体" w:cs="Times New Roman"/>
          <w:sz w:val="24"/>
          <w:szCs w:val="24"/>
        </w:rPr>
        <w:t>页面</w:t>
      </w:r>
      <w:r>
        <w:rPr>
          <w:rFonts w:hint="eastAsia" w:ascii="Times New Roman" w:hAnsi="Times New Roman" w:eastAsia="宋体" w:cs="Times New Roman"/>
          <w:sz w:val="24"/>
          <w:szCs w:val="24"/>
        </w:rPr>
        <w:t>，如</w:t>
      </w:r>
      <w:r>
        <w:rPr>
          <w:rFonts w:hint="eastAsia" w:ascii="Times New Roman" w:hAnsi="Times New Roman" w:eastAsia="宋体" w:cs="Times New Roman"/>
          <w:sz w:val="24"/>
          <w:szCs w:val="24"/>
          <w:lang w:val="en-US" w:eastAsia="zh-CN"/>
        </w:rPr>
        <w:t>图-重车过磅</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车牌号：输入重车车号；车辆轴数、入矿时间、车辆皮重自动调用该车过空时的数据；车辆毛重：通过监管平台客户端程序读取地磅数据自动显示；车辆净重：系统通过该车的毛重、皮重自动计算；煤炭种类：选择销售的煤种；销售用途：选择销售用途；客户名称：选择客户名称；运往地：选择运往地（如图）；详细运往地：区外运往地需选择详细运往地；煤票号：选择对应煤票如图；</w:t>
      </w:r>
      <w:r>
        <w:rPr>
          <w:rFonts w:hint="eastAsia" w:ascii="Times New Roman" w:hAnsi="Times New Roman" w:eastAsia="宋体" w:cs="Times New Roman"/>
          <w:kern w:val="0"/>
          <w:sz w:val="24"/>
          <w:szCs w:val="24"/>
        </w:rPr>
        <w:t>确认过重信息后，点击【提交】，进入PDF打印预览界面再次确认过重信息后，进行打印操作如图，或在系统管理设置中选择系统自动打印，进行打印操作，车辆过重完成。</w:t>
      </w:r>
    </w:p>
    <w:p>
      <w:pPr>
        <w:widowControl/>
        <w:jc w:val="left"/>
      </w:pPr>
      <w:r>
        <w:drawing>
          <wp:inline distT="0" distB="0" distL="0" distR="0">
            <wp:extent cx="6195060" cy="3396615"/>
            <wp:effectExtent l="0" t="0" r="254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a:stretch>
                      <a:fillRect/>
                    </a:stretch>
                  </pic:blipFill>
                  <pic:spPr>
                    <a:xfrm>
                      <a:off x="0" y="0"/>
                      <a:ext cx="6195060" cy="3396615"/>
                    </a:xfrm>
                    <a:prstGeom prst="rect">
                      <a:avLst/>
                    </a:prstGeom>
                  </pic:spPr>
                </pic:pic>
              </a:graphicData>
            </a:graphic>
          </wp:inline>
        </w:drawing>
      </w:r>
    </w:p>
    <w:p>
      <w:pPr>
        <w:pStyle w:val="11"/>
        <w:widowControl/>
        <w:jc w:val="center"/>
        <w:rPr>
          <w:rFonts w:ascii="Times New Roman" w:hAnsi="Times New Roman" w:eastAsia="宋体" w:cs="Times New Roman"/>
          <w:kern w:val="0"/>
        </w:rPr>
      </w:pPr>
      <w:r>
        <w:t xml:space="preserve">图 </w:t>
      </w:r>
      <w:r>
        <w:fldChar w:fldCharType="begin"/>
      </w:r>
      <w:r>
        <w:instrText xml:space="preserve"> SEQ 图 \* ARABIC </w:instrText>
      </w:r>
      <w:r>
        <w:fldChar w:fldCharType="separate"/>
      </w:r>
      <w:r>
        <w:t>12</w:t>
      </w:r>
      <w:r>
        <w:fldChar w:fldCharType="end"/>
      </w:r>
      <w:r>
        <w:rPr>
          <w:rFonts w:hint="eastAsia"/>
          <w:lang w:eastAsia="zh-CN"/>
        </w:rPr>
        <w:t>重车过磅</w:t>
      </w:r>
    </w:p>
    <w:p>
      <w:pPr>
        <w:widowControl/>
        <w:jc w:val="center"/>
      </w:pPr>
      <w:r>
        <w:drawing>
          <wp:inline distT="0" distB="0" distL="0" distR="0">
            <wp:extent cx="3899535" cy="645668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0"/>
                    <a:stretch>
                      <a:fillRect/>
                    </a:stretch>
                  </pic:blipFill>
                  <pic:spPr>
                    <a:xfrm>
                      <a:off x="0" y="0"/>
                      <a:ext cx="3913296" cy="6478967"/>
                    </a:xfrm>
                    <a:prstGeom prst="rect">
                      <a:avLst/>
                    </a:prstGeom>
                  </pic:spPr>
                </pic:pic>
              </a:graphicData>
            </a:graphic>
          </wp:inline>
        </w:drawing>
      </w:r>
    </w:p>
    <w:p>
      <w:pPr>
        <w:pStyle w:val="11"/>
        <w:widowControl/>
        <w:jc w:val="center"/>
        <w:rPr>
          <w:rFonts w:ascii="Times New Roman" w:hAnsi="Times New Roman" w:eastAsia="宋体" w:cs="Times New Roman"/>
        </w:rPr>
      </w:pPr>
      <w:r>
        <w:t xml:space="preserve">图 </w:t>
      </w:r>
      <w:r>
        <w:fldChar w:fldCharType="begin"/>
      </w:r>
      <w:r>
        <w:instrText xml:space="preserve"> SEQ 图 \* ARABIC </w:instrText>
      </w:r>
      <w:r>
        <w:fldChar w:fldCharType="separate"/>
      </w:r>
      <w:r>
        <w:t>13</w:t>
      </w:r>
      <w:r>
        <w:fldChar w:fldCharType="end"/>
      </w:r>
      <w:r>
        <w:rPr>
          <w:rFonts w:hint="eastAsia"/>
          <w:lang w:eastAsia="zh-CN"/>
        </w:rPr>
        <w:t xml:space="preserve"> 选择运往地</w:t>
      </w:r>
    </w:p>
    <w:p>
      <w:pPr>
        <w:keepNext w:val="0"/>
        <w:keepLines w:val="0"/>
        <w:pageBreakBefore w:val="0"/>
        <w:widowControl w:val="0"/>
        <w:kinsoku/>
        <w:wordWrap/>
        <w:overflowPunct/>
        <w:topLinePunct w:val="0"/>
        <w:autoSpaceDE/>
        <w:autoSpaceDN/>
        <w:bidi w:val="0"/>
        <w:adjustRightInd w:val="0"/>
        <w:snapToGrid w:val="0"/>
        <w:jc w:val="center"/>
        <w:textAlignment w:val="auto"/>
      </w:pPr>
      <w:r>
        <w:drawing>
          <wp:inline distT="0" distB="0" distL="0" distR="0">
            <wp:extent cx="5878195" cy="5630545"/>
            <wp:effectExtent l="0" t="0" r="1905"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1"/>
                    <a:stretch>
                      <a:fillRect/>
                    </a:stretch>
                  </pic:blipFill>
                  <pic:spPr>
                    <a:xfrm>
                      <a:off x="0" y="0"/>
                      <a:ext cx="5878195" cy="5632986"/>
                    </a:xfrm>
                    <a:prstGeom prst="rect">
                      <a:avLst/>
                    </a:prstGeom>
                  </pic:spPr>
                </pic:pic>
              </a:graphicData>
            </a:graphic>
          </wp:inline>
        </w:drawing>
      </w:r>
    </w:p>
    <w:p>
      <w:pPr>
        <w:pStyle w:val="11"/>
        <w:jc w:val="center"/>
        <w:rPr>
          <w:rFonts w:ascii="Times New Roman" w:hAnsi="Times New Roman" w:eastAsia="宋体" w:cs="Times New Roman"/>
        </w:rPr>
      </w:pPr>
      <w:r>
        <w:t xml:space="preserve">图 </w:t>
      </w:r>
      <w:r>
        <w:fldChar w:fldCharType="begin"/>
      </w:r>
      <w:r>
        <w:instrText xml:space="preserve"> SEQ 图 \* ARABIC </w:instrText>
      </w:r>
      <w:r>
        <w:fldChar w:fldCharType="separate"/>
      </w:r>
      <w:r>
        <w:t>14</w:t>
      </w:r>
      <w:r>
        <w:fldChar w:fldCharType="end"/>
      </w:r>
      <w:r>
        <w:rPr>
          <w:rFonts w:hint="eastAsia"/>
          <w:lang w:eastAsia="zh-CN"/>
        </w:rPr>
        <w:t>选择煤管票</w:t>
      </w:r>
    </w:p>
    <w:p>
      <w:pPr>
        <w:keepNext w:val="0"/>
        <w:keepLines w:val="0"/>
        <w:pageBreakBefore w:val="0"/>
        <w:widowControl w:val="0"/>
        <w:kinsoku/>
        <w:wordWrap/>
        <w:overflowPunct/>
        <w:topLinePunct w:val="0"/>
        <w:autoSpaceDE/>
        <w:autoSpaceDN/>
        <w:bidi w:val="0"/>
        <w:adjustRightInd w:val="0"/>
        <w:snapToGrid w:val="0"/>
        <w:jc w:val="center"/>
        <w:textAlignment w:val="auto"/>
      </w:pPr>
      <w:r>
        <w:drawing>
          <wp:inline distT="0" distB="0" distL="0" distR="0">
            <wp:extent cx="6060440" cy="4389120"/>
            <wp:effectExtent l="0" t="0" r="1016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2"/>
                    <a:stretch>
                      <a:fillRect/>
                    </a:stretch>
                  </pic:blipFill>
                  <pic:spPr>
                    <a:xfrm>
                      <a:off x="0" y="0"/>
                      <a:ext cx="6060440" cy="4389120"/>
                    </a:xfrm>
                    <a:prstGeom prst="rect">
                      <a:avLst/>
                    </a:prstGeom>
                  </pic:spPr>
                </pic:pic>
              </a:graphicData>
            </a:graphic>
          </wp:inline>
        </w:drawing>
      </w:r>
    </w:p>
    <w:p>
      <w:pPr>
        <w:pStyle w:val="11"/>
        <w:jc w:val="center"/>
        <w:rPr>
          <w:rFonts w:ascii="Times New Roman" w:hAnsi="Times New Roman" w:eastAsia="宋体" w:cs="Times New Roman"/>
        </w:rPr>
      </w:pPr>
      <w:r>
        <w:t xml:space="preserve">图 </w:t>
      </w:r>
      <w:r>
        <w:fldChar w:fldCharType="begin"/>
      </w:r>
      <w:r>
        <w:instrText xml:space="preserve"> SEQ 图 \* ARABIC </w:instrText>
      </w:r>
      <w:r>
        <w:fldChar w:fldCharType="separate"/>
      </w:r>
      <w:r>
        <w:t>15</w:t>
      </w:r>
      <w:r>
        <w:fldChar w:fldCharType="end"/>
      </w:r>
      <w:r>
        <w:rPr>
          <w:rFonts w:hint="eastAsia"/>
          <w:lang w:eastAsia="zh-CN"/>
        </w:rPr>
        <w:t>预览打印</w:t>
      </w:r>
    </w:p>
    <w:p>
      <w:p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注意事项：</w:t>
      </w:r>
    </w:p>
    <w:p>
      <w:pPr>
        <w:pStyle w:val="41"/>
        <w:spacing w:line="360" w:lineRule="auto"/>
        <w:ind w:firstLine="0" w:firstLineChars="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1.</w:t>
      </w:r>
      <w:r>
        <w:rPr>
          <w:rFonts w:ascii="Times New Roman" w:hAnsi="Times New Roman" w:eastAsia="宋体" w:cs="Times New Roman"/>
          <w:sz w:val="24"/>
          <w:szCs w:val="24"/>
        </w:rPr>
        <w:t>车辆的</w:t>
      </w:r>
      <w:r>
        <w:rPr>
          <w:rFonts w:hint="eastAsia" w:ascii="Times New Roman" w:hAnsi="Times New Roman" w:eastAsia="宋体" w:cs="Times New Roman"/>
          <w:sz w:val="24"/>
          <w:szCs w:val="24"/>
        </w:rPr>
        <w:t>毛</w:t>
      </w:r>
      <w:r>
        <w:rPr>
          <w:rFonts w:ascii="Times New Roman" w:hAnsi="Times New Roman" w:eastAsia="宋体" w:cs="Times New Roman"/>
          <w:sz w:val="24"/>
          <w:szCs w:val="24"/>
        </w:rPr>
        <w:t>重信息以地磅数据为准，司磅员不可进行修改；</w:t>
      </w:r>
    </w:p>
    <w:p>
      <w:pPr>
        <w:rPr>
          <w:rFonts w:hint="eastAsia" w:ascii="Times New Roman" w:hAnsi="Times New Roman" w:eastAsia="宋体" w:cs="Times New Roman"/>
        </w:rPr>
      </w:pPr>
      <w:r>
        <w:rPr>
          <w:rFonts w:hint="eastAsia" w:ascii="Times New Roman" w:hAnsi="Times New Roman" w:eastAsia="宋体" w:cs="Times New Roman"/>
          <w:sz w:val="24"/>
          <w:szCs w:val="24"/>
        </w:rPr>
        <w:t>2.</w:t>
      </w:r>
      <w:r>
        <w:rPr>
          <w:rFonts w:ascii="Times New Roman" w:hAnsi="Times New Roman" w:eastAsia="宋体" w:cs="Times New Roman"/>
          <w:sz w:val="24"/>
          <w:szCs w:val="24"/>
        </w:rPr>
        <w:t>在</w:t>
      </w:r>
      <w:r>
        <w:rPr>
          <w:rFonts w:hint="eastAsia" w:ascii="Times New Roman" w:hAnsi="Times New Roman" w:eastAsia="宋体" w:cs="Times New Roman"/>
          <w:sz w:val="24"/>
          <w:szCs w:val="24"/>
        </w:rPr>
        <w:t>输入车牌号时确保车牌号信息准确</w:t>
      </w:r>
    </w:p>
    <w:p>
      <w:pPr>
        <w:pStyle w:val="4"/>
        <w:numPr>
          <w:ilvl w:val="2"/>
          <w:numId w:val="2"/>
        </w:numPr>
        <w:ind w:left="709" w:leftChars="0" w:hanging="709" w:firstLineChars="0"/>
      </w:pPr>
      <w:bookmarkStart w:id="44" w:name="_Toc481605410"/>
      <w:bookmarkStart w:id="45" w:name="_Toc481605340"/>
      <w:bookmarkStart w:id="46" w:name="_Toc18421"/>
      <w:bookmarkStart w:id="47" w:name="_Toc481605506"/>
      <w:bookmarkStart w:id="48" w:name="_Toc26018"/>
      <w:r>
        <w:t>过重</w:t>
      </w:r>
      <w:bookmarkEnd w:id="44"/>
      <w:bookmarkEnd w:id="45"/>
      <w:bookmarkEnd w:id="46"/>
      <w:bookmarkEnd w:id="47"/>
      <w:r>
        <w:rPr>
          <w:rFonts w:hint="eastAsia"/>
        </w:rPr>
        <w:t>记录</w:t>
      </w:r>
      <w:bookmarkEnd w:id="48"/>
    </w:p>
    <w:p>
      <w:pPr>
        <w:spacing w:line="360" w:lineRule="auto"/>
        <w:rPr>
          <w:rFonts w:ascii="Times New Roman" w:hAnsi="Times New Roman" w:eastAsia="宋体" w:cs="Times New Roman"/>
          <w:sz w:val="24"/>
          <w:szCs w:val="24"/>
        </w:rPr>
      </w:pPr>
      <w:r>
        <w:rPr>
          <w:rFonts w:ascii="Times New Roman" w:hAnsi="Times New Roman" w:eastAsia="宋体" w:cs="Times New Roman"/>
          <w:b/>
          <w:sz w:val="24"/>
          <w:szCs w:val="24"/>
        </w:rPr>
        <w:t>操作角色</w:t>
      </w:r>
      <w:r>
        <w:rPr>
          <w:rFonts w:ascii="Times New Roman" w:hAnsi="Times New Roman" w:eastAsia="宋体" w:cs="Times New Roman"/>
          <w:sz w:val="24"/>
          <w:szCs w:val="24"/>
        </w:rPr>
        <w:t>：司磅员、</w:t>
      </w:r>
      <w:r>
        <w:rPr>
          <w:rFonts w:hint="eastAsia" w:ascii="Times New Roman" w:hAnsi="Times New Roman" w:eastAsia="宋体" w:cs="Times New Roman"/>
          <w:sz w:val="24"/>
          <w:szCs w:val="24"/>
        </w:rPr>
        <w:t>票管员</w:t>
      </w:r>
    </w:p>
    <w:p>
      <w:pPr>
        <w:spacing w:line="360" w:lineRule="auto"/>
        <w:rPr>
          <w:rFonts w:ascii="Times New Roman" w:hAnsi="Times New Roman" w:eastAsia="宋体" w:cs="Times New Roman"/>
          <w:sz w:val="24"/>
          <w:szCs w:val="24"/>
        </w:rPr>
      </w:pPr>
      <w:r>
        <w:rPr>
          <w:rFonts w:ascii="Times New Roman" w:hAnsi="Times New Roman" w:eastAsia="宋体" w:cs="Times New Roman"/>
          <w:b/>
          <w:sz w:val="24"/>
          <w:szCs w:val="24"/>
        </w:rPr>
        <w:t>业务活动</w:t>
      </w:r>
      <w:r>
        <w:rPr>
          <w:rFonts w:ascii="Times New Roman" w:hAnsi="Times New Roman" w:eastAsia="宋体" w:cs="Times New Roman"/>
          <w:sz w:val="24"/>
          <w:szCs w:val="24"/>
        </w:rPr>
        <w:t>：查看</w:t>
      </w:r>
      <w:r>
        <w:rPr>
          <w:rFonts w:hint="eastAsia" w:ascii="Times New Roman" w:hAnsi="Times New Roman" w:eastAsia="宋体" w:cs="Times New Roman"/>
          <w:sz w:val="24"/>
          <w:szCs w:val="24"/>
        </w:rPr>
        <w:t>已过重</w:t>
      </w:r>
      <w:r>
        <w:rPr>
          <w:rFonts w:ascii="Times New Roman" w:hAnsi="Times New Roman" w:eastAsia="宋体" w:cs="Times New Roman"/>
          <w:sz w:val="24"/>
          <w:szCs w:val="24"/>
        </w:rPr>
        <w:t>车辆</w:t>
      </w:r>
    </w:p>
    <w:p>
      <w:p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业务操作说明：</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在左侧导航栏的【出入矿管理】中，点击 【重车过磅】进入【过重</w:t>
      </w:r>
      <w:r>
        <w:rPr>
          <w:rFonts w:hint="eastAsia" w:ascii="Times New Roman" w:hAnsi="Times New Roman" w:eastAsia="宋体" w:cs="Times New Roman"/>
          <w:sz w:val="24"/>
          <w:szCs w:val="24"/>
        </w:rPr>
        <w:t>记录</w:t>
      </w:r>
      <w:r>
        <w:rPr>
          <w:rFonts w:ascii="Times New Roman" w:hAnsi="Times New Roman" w:eastAsia="宋体" w:cs="Times New Roman"/>
          <w:sz w:val="24"/>
          <w:szCs w:val="24"/>
        </w:rPr>
        <w:t>】的</w:t>
      </w:r>
      <w:r>
        <w:rPr>
          <w:rFonts w:hint="eastAsia" w:ascii="Times New Roman" w:hAnsi="Times New Roman" w:eastAsia="宋体" w:cs="Times New Roman"/>
          <w:sz w:val="24"/>
          <w:szCs w:val="24"/>
        </w:rPr>
        <w:t>查询操作界</w:t>
      </w:r>
      <w:r>
        <w:rPr>
          <w:rFonts w:ascii="Times New Roman" w:hAnsi="Times New Roman" w:eastAsia="宋体" w:cs="Times New Roman"/>
          <w:sz w:val="24"/>
          <w:szCs w:val="24"/>
        </w:rPr>
        <w:t>面，该</w:t>
      </w:r>
      <w:r>
        <w:rPr>
          <w:rFonts w:hint="eastAsia" w:ascii="Times New Roman" w:hAnsi="Times New Roman" w:eastAsia="宋体" w:cs="Times New Roman"/>
          <w:sz w:val="24"/>
          <w:szCs w:val="24"/>
        </w:rPr>
        <w:t>界</w:t>
      </w:r>
      <w:r>
        <w:rPr>
          <w:rFonts w:ascii="Times New Roman" w:hAnsi="Times New Roman" w:eastAsia="宋体" w:cs="Times New Roman"/>
          <w:sz w:val="24"/>
          <w:szCs w:val="24"/>
        </w:rPr>
        <w:t>面显示已</w:t>
      </w:r>
      <w:r>
        <w:rPr>
          <w:rFonts w:hint="eastAsia" w:ascii="Times New Roman" w:hAnsi="Times New Roman" w:eastAsia="宋体" w:cs="Times New Roman"/>
          <w:sz w:val="24"/>
          <w:szCs w:val="24"/>
        </w:rPr>
        <w:t>过重</w:t>
      </w:r>
      <w:r>
        <w:rPr>
          <w:rFonts w:ascii="Times New Roman" w:hAnsi="Times New Roman" w:eastAsia="宋体" w:cs="Times New Roman"/>
          <w:sz w:val="24"/>
          <w:szCs w:val="24"/>
        </w:rPr>
        <w:t>的车辆信息，已过重车辆信息包括：</w:t>
      </w:r>
      <w:r>
        <w:rPr>
          <w:rFonts w:hint="eastAsia" w:ascii="Times New Roman" w:hAnsi="Times New Roman" w:eastAsia="宋体" w:cs="Times New Roman"/>
          <w:sz w:val="24"/>
          <w:szCs w:val="24"/>
        </w:rPr>
        <w:t>企业名称、客户名称、煤票号、车牌号、皮重、毛重、净重、单价、总价、运往地、煤种、标准煤种、自定义煤种、入矿时间、出矿时间</w:t>
      </w:r>
      <w:r>
        <w:rPr>
          <w:rFonts w:ascii="Times New Roman" w:hAnsi="Times New Roman" w:eastAsia="宋体" w:cs="Times New Roman"/>
          <w:sz w:val="24"/>
          <w:szCs w:val="24"/>
        </w:rPr>
        <w:t>。用户可通过</w:t>
      </w:r>
      <w:r>
        <w:rPr>
          <w:rFonts w:hint="eastAsia" w:ascii="Times New Roman" w:hAnsi="Times New Roman" w:eastAsia="宋体" w:cs="Times New Roman"/>
          <w:sz w:val="24"/>
          <w:szCs w:val="24"/>
        </w:rPr>
        <w:t>煤票</w:t>
      </w:r>
      <w:r>
        <w:rPr>
          <w:rFonts w:ascii="Times New Roman" w:hAnsi="Times New Roman" w:eastAsia="宋体" w:cs="Times New Roman"/>
          <w:sz w:val="24"/>
          <w:szCs w:val="24"/>
        </w:rPr>
        <w:t>号、</w:t>
      </w:r>
      <w:r>
        <w:rPr>
          <w:rFonts w:hint="eastAsia" w:ascii="Times New Roman" w:hAnsi="Times New Roman" w:eastAsia="宋体" w:cs="Times New Roman"/>
          <w:sz w:val="24"/>
          <w:szCs w:val="24"/>
        </w:rPr>
        <w:t>车牌号</w:t>
      </w:r>
      <w:r>
        <w:rPr>
          <w:rFonts w:ascii="Times New Roman" w:hAnsi="Times New Roman" w:eastAsia="宋体" w:cs="Times New Roman"/>
          <w:sz w:val="24"/>
          <w:szCs w:val="24"/>
        </w:rPr>
        <w:t>、</w:t>
      </w:r>
      <w:r>
        <w:rPr>
          <w:rFonts w:hint="eastAsia" w:ascii="Times New Roman" w:hAnsi="Times New Roman" w:eastAsia="宋体" w:cs="Times New Roman"/>
          <w:sz w:val="24"/>
          <w:szCs w:val="24"/>
        </w:rPr>
        <w:t>出入矿时间</w:t>
      </w:r>
      <w:r>
        <w:rPr>
          <w:rFonts w:ascii="Times New Roman" w:hAnsi="Times New Roman" w:eastAsia="宋体" w:cs="Times New Roman"/>
          <w:sz w:val="24"/>
          <w:szCs w:val="24"/>
        </w:rPr>
        <w:t>对已过重车辆信息进行查询，在已过重车辆信息列表中，选中过重记录后，可对选中的</w:t>
      </w:r>
      <w:r>
        <w:rPr>
          <w:rFonts w:hint="eastAsia" w:ascii="Times New Roman" w:hAnsi="Times New Roman" w:eastAsia="宋体" w:cs="Times New Roman"/>
          <w:sz w:val="24"/>
          <w:szCs w:val="24"/>
        </w:rPr>
        <w:t>过重记录</w:t>
      </w:r>
      <w:r>
        <w:rPr>
          <w:rFonts w:ascii="Times New Roman" w:hAnsi="Times New Roman" w:eastAsia="宋体" w:cs="Times New Roman"/>
          <w:sz w:val="24"/>
          <w:szCs w:val="24"/>
        </w:rPr>
        <w:t>进行补打煤票的操作</w:t>
      </w:r>
      <w:r>
        <w:rPr>
          <w:rFonts w:hint="eastAsia" w:ascii="Times New Roman" w:hAnsi="Times New Roman" w:eastAsia="宋体" w:cs="Times New Roman"/>
          <w:sz w:val="24"/>
          <w:szCs w:val="24"/>
        </w:rPr>
        <w:t>及打印预览操作</w:t>
      </w:r>
      <w:r>
        <w:rPr>
          <w:rFonts w:ascii="Times New Roman" w:hAnsi="Times New Roman" w:eastAsia="宋体" w:cs="Times New Roman"/>
          <w:sz w:val="24"/>
          <w:szCs w:val="24"/>
        </w:rPr>
        <w:t>。</w:t>
      </w:r>
    </w:p>
    <w:p>
      <w:pPr>
        <w:spacing w:line="360" w:lineRule="auto"/>
      </w:pPr>
      <w:r>
        <w:drawing>
          <wp:inline distT="0" distB="0" distL="0" distR="0">
            <wp:extent cx="6207760" cy="3396615"/>
            <wp:effectExtent l="0" t="0" r="2540" b="698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3"/>
                    <a:stretch>
                      <a:fillRect/>
                    </a:stretch>
                  </pic:blipFill>
                  <pic:spPr>
                    <a:xfrm>
                      <a:off x="0" y="0"/>
                      <a:ext cx="6207760" cy="3396615"/>
                    </a:xfrm>
                    <a:prstGeom prst="rect">
                      <a:avLst/>
                    </a:prstGeom>
                  </pic:spPr>
                </pic:pic>
              </a:graphicData>
            </a:graphic>
          </wp:inline>
        </w:drawing>
      </w:r>
    </w:p>
    <w:p>
      <w:pPr>
        <w:pStyle w:val="11"/>
        <w:spacing w:line="360" w:lineRule="auto"/>
        <w:jc w:val="center"/>
        <w:rPr>
          <w:rFonts w:hint="eastAsia" w:eastAsiaTheme="minorEastAsia"/>
          <w:lang w:eastAsia="zh-CN"/>
        </w:rPr>
      </w:pPr>
      <w:r>
        <w:t xml:space="preserve">图 </w:t>
      </w:r>
      <w:r>
        <w:fldChar w:fldCharType="begin"/>
      </w:r>
      <w:r>
        <w:instrText xml:space="preserve"> SEQ 图 \* ARABIC </w:instrText>
      </w:r>
      <w:r>
        <w:fldChar w:fldCharType="separate"/>
      </w:r>
      <w:r>
        <w:t>16</w:t>
      </w:r>
      <w:r>
        <w:fldChar w:fldCharType="end"/>
      </w:r>
      <w:r>
        <w:rPr>
          <w:rFonts w:hint="eastAsia"/>
          <w:lang w:eastAsia="zh-CN"/>
        </w:rPr>
        <w:t>过重记录</w:t>
      </w:r>
    </w:p>
    <w:p>
      <w:pPr>
        <w:pStyle w:val="2"/>
        <w:pageBreakBefore/>
        <w:numPr>
          <w:ilvl w:val="0"/>
          <w:numId w:val="2"/>
        </w:numPr>
        <w:ind w:left="425" w:leftChars="0" w:hanging="425" w:firstLineChars="0"/>
        <w:rPr>
          <w:rFonts w:ascii="Times New Roman" w:hAnsi="Times New Roman" w:cs="Times New Roman"/>
        </w:rPr>
      </w:pPr>
      <w:bookmarkStart w:id="49" w:name="_Toc2567"/>
      <w:bookmarkStart w:id="50" w:name="_Toc481605433"/>
      <w:bookmarkStart w:id="51" w:name="_Toc481605529"/>
      <w:bookmarkStart w:id="52" w:name="_Toc481605363"/>
      <w:bookmarkStart w:id="53" w:name="_Toc5470"/>
      <w:r>
        <w:rPr>
          <w:rFonts w:hint="eastAsia" w:ascii="Times New Roman" w:hAnsi="Times New Roman" w:cs="Times New Roman"/>
        </w:rPr>
        <w:t>电子</w:t>
      </w:r>
      <w:r>
        <w:rPr>
          <w:rFonts w:ascii="Times New Roman" w:hAnsi="Times New Roman" w:cs="Times New Roman"/>
        </w:rPr>
        <w:t>票证管理</w:t>
      </w:r>
      <w:bookmarkEnd w:id="49"/>
      <w:bookmarkEnd w:id="50"/>
      <w:bookmarkEnd w:id="51"/>
      <w:bookmarkEnd w:id="52"/>
      <w:bookmarkEnd w:id="53"/>
    </w:p>
    <w:p>
      <w:pPr>
        <w:pStyle w:val="3"/>
        <w:numPr>
          <w:ilvl w:val="1"/>
          <w:numId w:val="2"/>
        </w:numPr>
        <w:bidi w:val="0"/>
        <w:ind w:left="567" w:leftChars="0" w:hanging="567" w:firstLineChars="0"/>
      </w:pPr>
      <w:bookmarkStart w:id="54" w:name="_Toc481605434"/>
      <w:bookmarkStart w:id="55" w:name="_Toc481605530"/>
      <w:bookmarkStart w:id="56" w:name="_Toc24742"/>
      <w:bookmarkStart w:id="57" w:name="_Toc481605364"/>
      <w:bookmarkStart w:id="58" w:name="_Toc24482"/>
      <w:r>
        <w:t>煤票</w:t>
      </w:r>
      <w:bookmarkEnd w:id="54"/>
      <w:bookmarkEnd w:id="55"/>
      <w:bookmarkEnd w:id="56"/>
      <w:bookmarkEnd w:id="57"/>
      <w:r>
        <w:rPr>
          <w:rFonts w:hint="eastAsia"/>
        </w:rPr>
        <w:t>领用</w:t>
      </w:r>
      <w:bookmarkEnd w:id="58"/>
    </w:p>
    <w:p>
      <w:p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操作角色：</w:t>
      </w:r>
      <w:r>
        <w:rPr>
          <w:rFonts w:ascii="Times New Roman" w:hAnsi="Times New Roman" w:eastAsia="宋体" w:cs="Times New Roman"/>
          <w:sz w:val="24"/>
          <w:szCs w:val="24"/>
        </w:rPr>
        <w:t>票管员；</w:t>
      </w:r>
    </w:p>
    <w:p>
      <w:pPr>
        <w:spacing w:line="360" w:lineRule="auto"/>
        <w:rPr>
          <w:rFonts w:ascii="Times New Roman" w:hAnsi="Times New Roman" w:eastAsia="宋体" w:cs="Times New Roman"/>
          <w:sz w:val="24"/>
          <w:szCs w:val="24"/>
        </w:rPr>
      </w:pPr>
      <w:r>
        <w:rPr>
          <w:rFonts w:ascii="Times New Roman" w:hAnsi="Times New Roman" w:eastAsia="宋体" w:cs="Times New Roman"/>
          <w:b/>
          <w:sz w:val="24"/>
          <w:szCs w:val="24"/>
        </w:rPr>
        <w:t>业务活动：</w:t>
      </w:r>
      <w:r>
        <w:rPr>
          <w:rFonts w:ascii="Times New Roman" w:hAnsi="Times New Roman" w:eastAsia="宋体" w:cs="Times New Roman"/>
          <w:sz w:val="24"/>
          <w:szCs w:val="24"/>
        </w:rPr>
        <w:t>对</w:t>
      </w:r>
      <w:r>
        <w:rPr>
          <w:rFonts w:hint="eastAsia" w:ascii="Times New Roman" w:hAnsi="Times New Roman" w:eastAsia="宋体" w:cs="Times New Roman"/>
          <w:sz w:val="24"/>
          <w:szCs w:val="24"/>
        </w:rPr>
        <w:t>能源</w:t>
      </w:r>
      <w:r>
        <w:rPr>
          <w:rFonts w:ascii="Times New Roman" w:hAnsi="Times New Roman" w:eastAsia="宋体" w:cs="Times New Roman"/>
          <w:sz w:val="24"/>
          <w:szCs w:val="24"/>
        </w:rPr>
        <w:t>局或煤管站派发至企业的煤票进行</w:t>
      </w:r>
      <w:r>
        <w:rPr>
          <w:rFonts w:hint="eastAsia" w:ascii="Times New Roman" w:hAnsi="Times New Roman" w:eastAsia="宋体" w:cs="Times New Roman"/>
          <w:sz w:val="24"/>
          <w:szCs w:val="24"/>
        </w:rPr>
        <w:t>煤票领用</w:t>
      </w:r>
      <w:r>
        <w:rPr>
          <w:rFonts w:ascii="Times New Roman" w:hAnsi="Times New Roman" w:eastAsia="宋体" w:cs="Times New Roman"/>
          <w:sz w:val="24"/>
          <w:szCs w:val="24"/>
        </w:rPr>
        <w:t>；</w:t>
      </w:r>
    </w:p>
    <w:p>
      <w:p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业务操作说明：</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在左侧导航栏的【</w:t>
      </w:r>
      <w:r>
        <w:rPr>
          <w:rFonts w:hint="eastAsia" w:ascii="Times New Roman" w:hAnsi="Times New Roman" w:eastAsia="宋体" w:cs="Times New Roman"/>
          <w:sz w:val="24"/>
          <w:szCs w:val="24"/>
        </w:rPr>
        <w:t>电子</w:t>
      </w:r>
      <w:r>
        <w:rPr>
          <w:rFonts w:ascii="Times New Roman" w:hAnsi="Times New Roman" w:eastAsia="宋体" w:cs="Times New Roman"/>
          <w:sz w:val="24"/>
          <w:szCs w:val="24"/>
        </w:rPr>
        <w:t>票证管理】中，点击 【</w:t>
      </w:r>
      <w:r>
        <w:rPr>
          <w:rFonts w:hint="eastAsia" w:ascii="Times New Roman" w:hAnsi="Times New Roman" w:eastAsia="宋体" w:cs="Times New Roman"/>
          <w:sz w:val="24"/>
          <w:szCs w:val="24"/>
        </w:rPr>
        <w:t>煤票领用</w:t>
      </w:r>
      <w:r>
        <w:rPr>
          <w:rFonts w:ascii="Times New Roman" w:hAnsi="Times New Roman" w:eastAsia="宋体" w:cs="Times New Roman"/>
          <w:sz w:val="24"/>
          <w:szCs w:val="24"/>
        </w:rPr>
        <w:t>】进入煤票</w:t>
      </w:r>
      <w:r>
        <w:rPr>
          <w:rFonts w:hint="eastAsia" w:ascii="Times New Roman" w:hAnsi="Times New Roman" w:eastAsia="宋体" w:cs="Times New Roman"/>
          <w:sz w:val="24"/>
          <w:szCs w:val="24"/>
        </w:rPr>
        <w:t>领用</w:t>
      </w:r>
      <w:r>
        <w:rPr>
          <w:rFonts w:ascii="Times New Roman" w:hAnsi="Times New Roman" w:eastAsia="宋体" w:cs="Times New Roman"/>
          <w:sz w:val="24"/>
          <w:szCs w:val="24"/>
        </w:rPr>
        <w:t>的操作页面，显示</w:t>
      </w:r>
      <w:r>
        <w:rPr>
          <w:rFonts w:hint="eastAsia" w:ascii="Times New Roman" w:hAnsi="Times New Roman" w:eastAsia="宋体" w:cs="Times New Roman"/>
          <w:sz w:val="24"/>
          <w:szCs w:val="24"/>
        </w:rPr>
        <w:t>能源局已给用票企业派发的煤票</w:t>
      </w:r>
      <w:r>
        <w:rPr>
          <w:rFonts w:ascii="Times New Roman" w:hAnsi="Times New Roman" w:eastAsia="宋体" w:cs="Times New Roman"/>
          <w:sz w:val="24"/>
          <w:szCs w:val="24"/>
        </w:rPr>
        <w:t>信息</w:t>
      </w:r>
      <w:r>
        <w:rPr>
          <w:rFonts w:hint="eastAsia" w:ascii="Times New Roman" w:hAnsi="Times New Roman" w:eastAsia="宋体" w:cs="Times New Roman"/>
          <w:sz w:val="24"/>
          <w:szCs w:val="24"/>
        </w:rPr>
        <w:t>如图</w:t>
      </w:r>
      <w:r>
        <w:rPr>
          <w:rFonts w:hint="eastAsia" w:ascii="Times New Roman" w:hAnsi="Times New Roman" w:eastAsia="宋体" w:cs="Times New Roman"/>
          <w:sz w:val="24"/>
          <w:szCs w:val="24"/>
          <w:lang w:val="en-US" w:eastAsia="zh-CN"/>
        </w:rPr>
        <w:t>煤票领用</w:t>
      </w:r>
      <w:r>
        <w:rPr>
          <w:rFonts w:hint="eastAsia" w:ascii="Times New Roman" w:hAnsi="Times New Roman" w:eastAsia="宋体" w:cs="Times New Roman"/>
          <w:sz w:val="24"/>
          <w:szCs w:val="24"/>
        </w:rPr>
        <w:t>所示；选中要领取的煤票，点击</w:t>
      </w:r>
      <w:r>
        <w:drawing>
          <wp:inline distT="0" distB="0" distL="0" distR="0">
            <wp:extent cx="670560" cy="17081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4"/>
                    <a:stretch>
                      <a:fillRect/>
                    </a:stretch>
                  </pic:blipFill>
                  <pic:spPr>
                    <a:xfrm>
                      <a:off x="0" y="0"/>
                      <a:ext cx="1045935" cy="266891"/>
                    </a:xfrm>
                    <a:prstGeom prst="rect">
                      <a:avLst/>
                    </a:prstGeom>
                  </pic:spPr>
                </pic:pic>
              </a:graphicData>
            </a:graphic>
          </wp:inline>
        </w:drawing>
      </w:r>
      <w:r>
        <w:rPr>
          <w:rFonts w:hint="eastAsia" w:ascii="Times New Roman" w:hAnsi="Times New Roman" w:eastAsia="宋体" w:cs="Times New Roman"/>
          <w:sz w:val="24"/>
          <w:szCs w:val="24"/>
        </w:rPr>
        <w:t>，输入领用数量（本数），输入每本煤票数量，选择领用人，点击【提交】如图</w:t>
      </w:r>
      <w:r>
        <w:rPr>
          <w:rFonts w:hint="eastAsia" w:ascii="Times New Roman" w:hAnsi="Times New Roman" w:eastAsia="宋体" w:cs="Times New Roman"/>
          <w:sz w:val="24"/>
          <w:szCs w:val="24"/>
          <w:lang w:val="en-US" w:eastAsia="zh-CN"/>
        </w:rPr>
        <w:t>煤票领用</w:t>
      </w:r>
      <w:r>
        <w:rPr>
          <w:rFonts w:hint="eastAsia" w:ascii="Times New Roman" w:hAnsi="Times New Roman" w:eastAsia="宋体" w:cs="Times New Roman"/>
          <w:sz w:val="24"/>
          <w:szCs w:val="24"/>
        </w:rPr>
        <w:t>所示，煤票领用操作完成</w:t>
      </w:r>
      <w:r>
        <w:rPr>
          <w:rFonts w:ascii="Times New Roman" w:hAnsi="Times New Roman" w:eastAsia="宋体" w:cs="Times New Roman"/>
          <w:sz w:val="24"/>
          <w:szCs w:val="24"/>
        </w:rPr>
        <w:t>。</w:t>
      </w:r>
      <w:r>
        <w:rPr>
          <w:rFonts w:hint="eastAsia" w:ascii="Times New Roman" w:hAnsi="Times New Roman" w:eastAsia="宋体" w:cs="Times New Roman"/>
          <w:sz w:val="24"/>
          <w:szCs w:val="24"/>
        </w:rPr>
        <w:t>在【领用记录】中查看已领用煤票信息，如图</w:t>
      </w:r>
      <w:r>
        <w:rPr>
          <w:rFonts w:hint="eastAsia" w:ascii="Times New Roman" w:hAnsi="Times New Roman" w:eastAsia="宋体" w:cs="Times New Roman"/>
          <w:sz w:val="24"/>
          <w:szCs w:val="24"/>
          <w:lang w:val="en-US" w:eastAsia="zh-CN"/>
        </w:rPr>
        <w:t>领用记录</w:t>
      </w:r>
      <w:r>
        <w:rPr>
          <w:rFonts w:hint="eastAsia" w:ascii="Times New Roman" w:hAnsi="Times New Roman" w:eastAsia="宋体" w:cs="Times New Roman"/>
          <w:sz w:val="24"/>
          <w:szCs w:val="24"/>
        </w:rPr>
        <w:t>所示。</w:t>
      </w:r>
    </w:p>
    <w:p>
      <w:pPr>
        <w:spacing w:line="360" w:lineRule="auto"/>
      </w:pPr>
      <w:r>
        <w:drawing>
          <wp:inline distT="0" distB="0" distL="0" distR="0">
            <wp:extent cx="6315075" cy="3396615"/>
            <wp:effectExtent l="0" t="0" r="9525" b="698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5"/>
                    <a:stretch>
                      <a:fillRect/>
                    </a:stretch>
                  </pic:blipFill>
                  <pic:spPr>
                    <a:xfrm>
                      <a:off x="0" y="0"/>
                      <a:ext cx="6315075" cy="3396615"/>
                    </a:xfrm>
                    <a:prstGeom prst="rect">
                      <a:avLst/>
                    </a:prstGeom>
                  </pic:spPr>
                </pic:pic>
              </a:graphicData>
            </a:graphic>
          </wp:inline>
        </w:drawing>
      </w:r>
    </w:p>
    <w:p>
      <w:pPr>
        <w:pStyle w:val="11"/>
        <w:spacing w:line="360" w:lineRule="auto"/>
        <w:jc w:val="center"/>
        <w:rPr>
          <w:rFonts w:ascii="Times New Roman" w:hAnsi="Times New Roman" w:eastAsia="宋体" w:cs="Times New Roman"/>
        </w:rPr>
      </w:pPr>
      <w:r>
        <w:t xml:space="preserve">图 </w:t>
      </w:r>
      <w:r>
        <w:fldChar w:fldCharType="begin"/>
      </w:r>
      <w:r>
        <w:instrText xml:space="preserve"> SEQ 图 \* ARABIC </w:instrText>
      </w:r>
      <w:r>
        <w:fldChar w:fldCharType="separate"/>
      </w:r>
      <w:r>
        <w:t>17</w:t>
      </w:r>
      <w:r>
        <w:fldChar w:fldCharType="end"/>
      </w:r>
      <w:r>
        <w:rPr>
          <w:rFonts w:hint="eastAsia"/>
          <w:lang w:eastAsia="zh-CN"/>
        </w:rPr>
        <w:t>煤票领用</w:t>
      </w:r>
    </w:p>
    <w:p>
      <w:pPr>
        <w:jc w:val="center"/>
      </w:pPr>
      <w:r>
        <w:drawing>
          <wp:inline distT="0" distB="0" distL="0" distR="0">
            <wp:extent cx="5749925" cy="2136140"/>
            <wp:effectExtent l="0" t="0" r="3175" b="1016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6"/>
                    <a:stretch>
                      <a:fillRect/>
                    </a:stretch>
                  </pic:blipFill>
                  <pic:spPr>
                    <a:xfrm>
                      <a:off x="0" y="0"/>
                      <a:ext cx="5749925" cy="2146062"/>
                    </a:xfrm>
                    <a:prstGeom prst="rect">
                      <a:avLst/>
                    </a:prstGeom>
                  </pic:spPr>
                </pic:pic>
              </a:graphicData>
            </a:graphic>
          </wp:inline>
        </w:drawing>
      </w:r>
    </w:p>
    <w:p>
      <w:pPr>
        <w:pStyle w:val="11"/>
        <w:jc w:val="center"/>
        <w:rPr>
          <w:rFonts w:hint="default" w:ascii="Times New Roman" w:hAnsi="Times New Roman" w:eastAsia="黑体" w:cs="Times New Roman"/>
          <w:lang w:val="en-US" w:eastAsia="zh-CN"/>
        </w:rPr>
      </w:pPr>
      <w:r>
        <w:t xml:space="preserve">图 </w:t>
      </w:r>
      <w:r>
        <w:fldChar w:fldCharType="begin"/>
      </w:r>
      <w:r>
        <w:instrText xml:space="preserve"> SEQ 图 \* ARABIC </w:instrText>
      </w:r>
      <w:r>
        <w:fldChar w:fldCharType="separate"/>
      </w:r>
      <w:r>
        <w:t>18</w:t>
      </w:r>
      <w:r>
        <w:fldChar w:fldCharType="end"/>
      </w:r>
      <w:r>
        <w:rPr>
          <w:rFonts w:hint="eastAsia"/>
          <w:lang w:val="en-US" w:eastAsia="zh-CN"/>
        </w:rPr>
        <w:t>领用界面</w:t>
      </w:r>
    </w:p>
    <w:p>
      <w:pPr>
        <w:keepNext w:val="0"/>
        <w:keepLines w:val="0"/>
        <w:pageBreakBefore w:val="0"/>
        <w:widowControl w:val="0"/>
        <w:kinsoku/>
        <w:wordWrap/>
        <w:overflowPunct/>
        <w:topLinePunct w:val="0"/>
        <w:autoSpaceDE/>
        <w:autoSpaceDN/>
        <w:bidi w:val="0"/>
        <w:adjustRightInd w:val="0"/>
        <w:snapToGrid w:val="0"/>
        <w:jc w:val="center"/>
        <w:textAlignment w:val="auto"/>
      </w:pPr>
      <w:r>
        <w:drawing>
          <wp:inline distT="0" distB="0" distL="0" distR="0">
            <wp:extent cx="5819140" cy="3396615"/>
            <wp:effectExtent l="0" t="0" r="10160" b="698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7"/>
                    <a:stretch>
                      <a:fillRect/>
                    </a:stretch>
                  </pic:blipFill>
                  <pic:spPr>
                    <a:xfrm>
                      <a:off x="0" y="0"/>
                      <a:ext cx="5819140" cy="3396615"/>
                    </a:xfrm>
                    <a:prstGeom prst="rect">
                      <a:avLst/>
                    </a:prstGeom>
                  </pic:spPr>
                </pic:pic>
              </a:graphicData>
            </a:graphic>
          </wp:inline>
        </w:drawing>
      </w:r>
    </w:p>
    <w:p>
      <w:pPr>
        <w:pStyle w:val="11"/>
        <w:jc w:val="center"/>
        <w:rPr>
          <w:rFonts w:hint="eastAsia" w:eastAsiaTheme="minorEastAsia"/>
          <w:lang w:eastAsia="zh-CN"/>
        </w:rPr>
      </w:pPr>
      <w:r>
        <w:t xml:space="preserve">图 </w:t>
      </w:r>
      <w:r>
        <w:fldChar w:fldCharType="begin"/>
      </w:r>
      <w:r>
        <w:instrText xml:space="preserve"> SEQ 图 \* ARABIC </w:instrText>
      </w:r>
      <w:r>
        <w:fldChar w:fldCharType="separate"/>
      </w:r>
      <w:r>
        <w:t>19</w:t>
      </w:r>
      <w:r>
        <w:fldChar w:fldCharType="end"/>
      </w:r>
      <w:r>
        <w:rPr>
          <w:rFonts w:hint="eastAsia"/>
          <w:lang w:eastAsia="zh-CN"/>
        </w:rPr>
        <w:t>领用记录</w:t>
      </w:r>
    </w:p>
    <w:p>
      <w:pPr>
        <w:pStyle w:val="3"/>
        <w:numPr>
          <w:ilvl w:val="1"/>
          <w:numId w:val="2"/>
        </w:numPr>
        <w:bidi w:val="0"/>
        <w:ind w:left="567" w:leftChars="0" w:hanging="567" w:firstLineChars="0"/>
        <w:rPr>
          <w:rFonts w:hint="eastAsia"/>
        </w:rPr>
      </w:pPr>
      <w:bookmarkStart w:id="59" w:name="_Toc481605365"/>
      <w:bookmarkStart w:id="60" w:name="_Toc481605531"/>
      <w:bookmarkStart w:id="61" w:name="_Toc28760"/>
      <w:bookmarkStart w:id="62" w:name="_Toc481605435"/>
      <w:bookmarkStart w:id="63" w:name="_Toc4251"/>
      <w:r>
        <w:rPr>
          <w:rFonts w:hint="eastAsia"/>
        </w:rPr>
        <w:t>煤票</w:t>
      </w:r>
      <w:bookmarkEnd w:id="59"/>
      <w:bookmarkEnd w:id="60"/>
      <w:bookmarkEnd w:id="61"/>
      <w:bookmarkEnd w:id="62"/>
      <w:r>
        <w:rPr>
          <w:rFonts w:hint="eastAsia"/>
        </w:rPr>
        <w:t>库存</w:t>
      </w:r>
      <w:bookmarkEnd w:id="63"/>
    </w:p>
    <w:p>
      <w:p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操作角色：</w:t>
      </w:r>
      <w:r>
        <w:rPr>
          <w:rFonts w:ascii="Times New Roman" w:hAnsi="Times New Roman" w:eastAsia="宋体" w:cs="Times New Roman"/>
          <w:sz w:val="24"/>
          <w:szCs w:val="24"/>
        </w:rPr>
        <w:t>票管员；</w:t>
      </w:r>
    </w:p>
    <w:p>
      <w:pPr>
        <w:spacing w:line="360" w:lineRule="auto"/>
        <w:rPr>
          <w:rFonts w:ascii="Times New Roman" w:hAnsi="Times New Roman" w:eastAsia="宋体" w:cs="Times New Roman"/>
          <w:sz w:val="24"/>
          <w:szCs w:val="24"/>
        </w:rPr>
      </w:pPr>
      <w:r>
        <w:rPr>
          <w:rFonts w:ascii="Times New Roman" w:hAnsi="Times New Roman" w:eastAsia="宋体" w:cs="Times New Roman"/>
          <w:b/>
          <w:sz w:val="24"/>
          <w:szCs w:val="24"/>
        </w:rPr>
        <w:t>业务活动：</w:t>
      </w:r>
      <w:r>
        <w:rPr>
          <w:rFonts w:hint="eastAsia" w:ascii="Times New Roman" w:hAnsi="Times New Roman" w:eastAsia="宋体" w:cs="Times New Roman"/>
          <w:sz w:val="24"/>
          <w:szCs w:val="24"/>
        </w:rPr>
        <w:t>查看统计煤票库存记录</w:t>
      </w:r>
      <w:r>
        <w:rPr>
          <w:rFonts w:ascii="Times New Roman" w:hAnsi="Times New Roman" w:eastAsia="宋体" w:cs="Times New Roman"/>
          <w:sz w:val="24"/>
          <w:szCs w:val="24"/>
        </w:rPr>
        <w:t>；</w:t>
      </w:r>
    </w:p>
    <w:p>
      <w:p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业务操作说明：</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【煤票库存】显示未缴销已领用煤票库存记录如图</w:t>
      </w:r>
      <w:r>
        <w:rPr>
          <w:rFonts w:hint="eastAsia" w:ascii="Times New Roman" w:hAnsi="Times New Roman" w:eastAsia="宋体" w:cs="Times New Roman"/>
          <w:sz w:val="24"/>
          <w:szCs w:val="24"/>
          <w:lang w:val="en-US" w:eastAsia="zh-CN"/>
        </w:rPr>
        <w:t>煤票库存</w:t>
      </w:r>
      <w:r>
        <w:rPr>
          <w:rFonts w:hint="eastAsia" w:ascii="Times New Roman" w:hAnsi="Times New Roman" w:eastAsia="宋体" w:cs="Times New Roman"/>
          <w:sz w:val="24"/>
          <w:szCs w:val="24"/>
        </w:rPr>
        <w:t>所示；【入库记录】显示已缴销领用煤票记录如图</w:t>
      </w:r>
      <w:r>
        <w:rPr>
          <w:rFonts w:hint="eastAsia" w:ascii="Times New Roman" w:hAnsi="Times New Roman" w:eastAsia="宋体" w:cs="Times New Roman"/>
          <w:sz w:val="24"/>
          <w:szCs w:val="24"/>
          <w:lang w:val="en-US" w:eastAsia="zh-CN"/>
        </w:rPr>
        <w:t>入库记录</w:t>
      </w:r>
      <w:r>
        <w:rPr>
          <w:rFonts w:hint="eastAsia" w:ascii="Times New Roman" w:hAnsi="Times New Roman" w:eastAsia="宋体" w:cs="Times New Roman"/>
          <w:sz w:val="24"/>
          <w:szCs w:val="24"/>
        </w:rPr>
        <w:t>所示。</w:t>
      </w:r>
    </w:p>
    <w:p>
      <w:pPr>
        <w:spacing w:line="360" w:lineRule="auto"/>
        <w:ind w:firstLine="480" w:firstLineChars="200"/>
        <w:rPr>
          <w:rFonts w:ascii="Times New Roman" w:hAnsi="Times New Roman" w:eastAsia="微软雅黑" w:cs="Times New Roman"/>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pPr>
      <w:r>
        <w:drawing>
          <wp:inline distT="0" distB="0" distL="0" distR="0">
            <wp:extent cx="6156960" cy="3396615"/>
            <wp:effectExtent l="0" t="0" r="2540" b="698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8"/>
                    <a:stretch>
                      <a:fillRect/>
                    </a:stretch>
                  </pic:blipFill>
                  <pic:spPr>
                    <a:xfrm>
                      <a:off x="0" y="0"/>
                      <a:ext cx="6156960" cy="3396615"/>
                    </a:xfrm>
                    <a:prstGeom prst="rect">
                      <a:avLst/>
                    </a:prstGeom>
                  </pic:spPr>
                </pic:pic>
              </a:graphicData>
            </a:graphic>
          </wp:inline>
        </w:drawing>
      </w:r>
    </w:p>
    <w:p>
      <w:pPr>
        <w:pStyle w:val="1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rPr>
      </w:pPr>
      <w:r>
        <w:t xml:space="preserve">图 </w:t>
      </w:r>
      <w:r>
        <w:fldChar w:fldCharType="begin"/>
      </w:r>
      <w:r>
        <w:instrText xml:space="preserve"> SEQ 图 \* ARABIC </w:instrText>
      </w:r>
      <w:r>
        <w:fldChar w:fldCharType="separate"/>
      </w:r>
      <w:r>
        <w:t>20</w:t>
      </w:r>
      <w:r>
        <w:fldChar w:fldCharType="end"/>
      </w:r>
      <w:r>
        <w:rPr>
          <w:rFonts w:hint="eastAsia"/>
          <w:lang w:eastAsia="zh-CN"/>
        </w:rPr>
        <w:t>煤票库存</w:t>
      </w:r>
    </w:p>
    <w:p>
      <w:pPr>
        <w:keepNext w:val="0"/>
        <w:keepLines w:val="0"/>
        <w:pageBreakBefore w:val="0"/>
        <w:widowControl w:val="0"/>
        <w:kinsoku/>
        <w:wordWrap/>
        <w:overflowPunct/>
        <w:topLinePunct w:val="0"/>
        <w:autoSpaceDE/>
        <w:autoSpaceDN/>
        <w:bidi w:val="0"/>
        <w:adjustRightInd w:val="0"/>
        <w:snapToGrid w:val="0"/>
        <w:jc w:val="center"/>
        <w:textAlignment w:val="auto"/>
      </w:pPr>
      <w:r>
        <w:drawing>
          <wp:inline distT="0" distB="0" distL="0" distR="0">
            <wp:extent cx="6176010" cy="3396615"/>
            <wp:effectExtent l="0" t="0" r="8890" b="698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9"/>
                    <a:stretch>
                      <a:fillRect/>
                    </a:stretch>
                  </pic:blipFill>
                  <pic:spPr>
                    <a:xfrm>
                      <a:off x="0" y="0"/>
                      <a:ext cx="6176010" cy="3396615"/>
                    </a:xfrm>
                    <a:prstGeom prst="rect">
                      <a:avLst/>
                    </a:prstGeom>
                  </pic:spPr>
                </pic:pic>
              </a:graphicData>
            </a:graphic>
          </wp:inline>
        </w:drawing>
      </w:r>
    </w:p>
    <w:p>
      <w:pPr>
        <w:pStyle w:val="11"/>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Theme="minorEastAsia"/>
          <w:lang w:eastAsia="zh-CN"/>
        </w:rPr>
      </w:pPr>
      <w:r>
        <w:t xml:space="preserve">图 </w:t>
      </w:r>
      <w:r>
        <w:fldChar w:fldCharType="begin"/>
      </w:r>
      <w:r>
        <w:instrText xml:space="preserve"> SEQ 图 \* ARABIC </w:instrText>
      </w:r>
      <w:r>
        <w:fldChar w:fldCharType="separate"/>
      </w:r>
      <w:r>
        <w:t>21</w:t>
      </w:r>
      <w:r>
        <w:fldChar w:fldCharType="end"/>
      </w:r>
      <w:r>
        <w:rPr>
          <w:rFonts w:hint="eastAsia"/>
          <w:lang w:eastAsia="zh-CN"/>
        </w:rPr>
        <w:t>入库记录</w:t>
      </w:r>
    </w:p>
    <w:p>
      <w:pPr>
        <w:pStyle w:val="3"/>
        <w:numPr>
          <w:ilvl w:val="1"/>
          <w:numId w:val="2"/>
        </w:numPr>
        <w:bidi w:val="0"/>
        <w:ind w:left="567" w:leftChars="0" w:hanging="567" w:firstLineChars="0"/>
        <w:rPr>
          <w:rFonts w:hint="eastAsia"/>
        </w:rPr>
      </w:pPr>
      <w:bookmarkStart w:id="64" w:name="_Toc14803"/>
      <w:r>
        <w:rPr>
          <w:rFonts w:hint="eastAsia"/>
        </w:rPr>
        <w:t>煤票查询</w:t>
      </w:r>
      <w:bookmarkEnd w:id="64"/>
    </w:p>
    <w:p>
      <w:p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操作角色：</w:t>
      </w:r>
      <w:r>
        <w:rPr>
          <w:rFonts w:ascii="Times New Roman" w:hAnsi="Times New Roman" w:eastAsia="宋体" w:cs="Times New Roman"/>
          <w:sz w:val="24"/>
          <w:szCs w:val="24"/>
        </w:rPr>
        <w:t>票管员</w:t>
      </w:r>
    </w:p>
    <w:p>
      <w:pPr>
        <w:spacing w:line="360" w:lineRule="auto"/>
        <w:rPr>
          <w:rFonts w:ascii="Times New Roman" w:hAnsi="Times New Roman" w:eastAsia="宋体" w:cs="Times New Roman"/>
          <w:sz w:val="24"/>
          <w:szCs w:val="24"/>
        </w:rPr>
      </w:pPr>
      <w:r>
        <w:rPr>
          <w:rFonts w:ascii="Times New Roman" w:hAnsi="Times New Roman" w:eastAsia="宋体" w:cs="Times New Roman"/>
          <w:b/>
          <w:sz w:val="24"/>
          <w:szCs w:val="24"/>
        </w:rPr>
        <w:t>业务活动：</w:t>
      </w:r>
      <w:r>
        <w:rPr>
          <w:rFonts w:ascii="Times New Roman" w:hAnsi="Times New Roman" w:eastAsia="宋体" w:cs="Times New Roman"/>
          <w:sz w:val="24"/>
          <w:szCs w:val="24"/>
        </w:rPr>
        <w:t>对</w:t>
      </w:r>
      <w:r>
        <w:rPr>
          <w:rFonts w:hint="eastAsia" w:ascii="Times New Roman" w:hAnsi="Times New Roman" w:eastAsia="宋体" w:cs="Times New Roman"/>
          <w:sz w:val="24"/>
          <w:szCs w:val="24"/>
        </w:rPr>
        <w:t>整本</w:t>
      </w:r>
      <w:r>
        <w:rPr>
          <w:rFonts w:ascii="Times New Roman" w:hAnsi="Times New Roman" w:eastAsia="宋体" w:cs="Times New Roman"/>
          <w:sz w:val="24"/>
          <w:szCs w:val="24"/>
        </w:rPr>
        <w:t>煤票</w:t>
      </w:r>
      <w:r>
        <w:rPr>
          <w:rFonts w:hint="eastAsia" w:ascii="Times New Roman" w:hAnsi="Times New Roman" w:eastAsia="宋体" w:cs="Times New Roman"/>
          <w:sz w:val="24"/>
          <w:szCs w:val="24"/>
        </w:rPr>
        <w:t>使用</w:t>
      </w:r>
      <w:r>
        <w:rPr>
          <w:rFonts w:ascii="Times New Roman" w:hAnsi="Times New Roman" w:eastAsia="宋体" w:cs="Times New Roman"/>
          <w:sz w:val="24"/>
          <w:szCs w:val="24"/>
        </w:rPr>
        <w:t>信息进行查询；</w:t>
      </w:r>
    </w:p>
    <w:p>
      <w:p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业务操作说明：</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w:t>
      </w:r>
      <w:r>
        <w:rPr>
          <w:rFonts w:hint="eastAsia" w:ascii="Times New Roman" w:hAnsi="Times New Roman" w:eastAsia="宋体" w:cs="Times New Roman"/>
          <w:sz w:val="24"/>
          <w:szCs w:val="24"/>
        </w:rPr>
        <w:t>煤票查询</w:t>
      </w:r>
      <w:r>
        <w:rPr>
          <w:rFonts w:ascii="Times New Roman" w:hAnsi="Times New Roman" w:eastAsia="宋体" w:cs="Times New Roman"/>
          <w:sz w:val="24"/>
          <w:szCs w:val="24"/>
        </w:rPr>
        <w:t>】中，</w:t>
      </w:r>
      <w:r>
        <w:rPr>
          <w:rFonts w:hint="eastAsia" w:ascii="Times New Roman" w:hAnsi="Times New Roman" w:eastAsia="宋体" w:cs="Times New Roman"/>
          <w:sz w:val="24"/>
          <w:szCs w:val="24"/>
        </w:rPr>
        <w:t>如图3-3-1所示，</w:t>
      </w:r>
      <w:r>
        <w:rPr>
          <w:rFonts w:ascii="Times New Roman" w:hAnsi="Times New Roman" w:eastAsia="宋体" w:cs="Times New Roman"/>
          <w:sz w:val="24"/>
          <w:szCs w:val="24"/>
        </w:rPr>
        <w:t>用户可以</w:t>
      </w:r>
      <w:r>
        <w:rPr>
          <w:rFonts w:hint="eastAsia" w:ascii="Times New Roman" w:hAnsi="Times New Roman" w:eastAsia="宋体" w:cs="Times New Roman"/>
          <w:sz w:val="24"/>
          <w:szCs w:val="24"/>
        </w:rPr>
        <w:t>输入煤票的起始号与煤票终止号对整本煤票的</w:t>
      </w:r>
      <w:r>
        <w:rPr>
          <w:rFonts w:ascii="Times New Roman" w:hAnsi="Times New Roman" w:eastAsia="宋体" w:cs="Times New Roman"/>
          <w:sz w:val="24"/>
          <w:szCs w:val="24"/>
        </w:rPr>
        <w:t>信息</w:t>
      </w:r>
      <w:r>
        <w:rPr>
          <w:rFonts w:hint="eastAsia" w:ascii="Times New Roman" w:hAnsi="Times New Roman" w:eastAsia="宋体" w:cs="Times New Roman"/>
          <w:sz w:val="24"/>
          <w:szCs w:val="24"/>
        </w:rPr>
        <w:t>进行查询</w:t>
      </w:r>
      <w:r>
        <w:rPr>
          <w:rFonts w:ascii="Times New Roman" w:hAnsi="Times New Roman" w:eastAsia="宋体" w:cs="Times New Roman"/>
          <w:sz w:val="24"/>
          <w:szCs w:val="24"/>
        </w:rPr>
        <w:t>，</w:t>
      </w:r>
      <w:r>
        <w:rPr>
          <w:rFonts w:hint="eastAsia" w:ascii="Times New Roman" w:hAnsi="Times New Roman" w:eastAsia="宋体" w:cs="Times New Roman"/>
          <w:sz w:val="24"/>
          <w:szCs w:val="24"/>
        </w:rPr>
        <w:t>查询信息</w:t>
      </w:r>
      <w:r>
        <w:rPr>
          <w:rFonts w:ascii="Times New Roman" w:hAnsi="Times New Roman" w:eastAsia="宋体" w:cs="Times New Roman"/>
          <w:sz w:val="24"/>
          <w:szCs w:val="24"/>
        </w:rPr>
        <w:t>包括入</w:t>
      </w:r>
      <w:r>
        <w:rPr>
          <w:rFonts w:hint="eastAsia" w:ascii="Times New Roman" w:hAnsi="Times New Roman" w:eastAsia="宋体" w:cs="Times New Roman"/>
          <w:sz w:val="24"/>
          <w:szCs w:val="24"/>
        </w:rPr>
        <w:t>票号</w:t>
      </w:r>
      <w:r>
        <w:rPr>
          <w:rFonts w:ascii="Times New Roman" w:hAnsi="Times New Roman" w:eastAsia="宋体" w:cs="Times New Roman"/>
          <w:sz w:val="24"/>
          <w:szCs w:val="24"/>
        </w:rPr>
        <w:t>、</w:t>
      </w:r>
      <w:r>
        <w:rPr>
          <w:rFonts w:hint="eastAsia" w:ascii="Times New Roman" w:hAnsi="Times New Roman" w:eastAsia="宋体" w:cs="Times New Roman"/>
          <w:sz w:val="24"/>
          <w:szCs w:val="24"/>
        </w:rPr>
        <w:t>使用企业</w:t>
      </w:r>
      <w:r>
        <w:rPr>
          <w:rFonts w:ascii="Times New Roman" w:hAnsi="Times New Roman" w:eastAsia="宋体" w:cs="Times New Roman"/>
          <w:sz w:val="24"/>
          <w:szCs w:val="24"/>
        </w:rPr>
        <w:t>、</w:t>
      </w:r>
      <w:r>
        <w:rPr>
          <w:rFonts w:hint="eastAsia" w:ascii="Times New Roman" w:hAnsi="Times New Roman" w:eastAsia="宋体" w:cs="Times New Roman"/>
          <w:sz w:val="24"/>
          <w:szCs w:val="24"/>
        </w:rPr>
        <w:t>车</w:t>
      </w:r>
      <w:r>
        <w:rPr>
          <w:rFonts w:ascii="Times New Roman" w:hAnsi="Times New Roman" w:eastAsia="宋体" w:cs="Times New Roman"/>
          <w:sz w:val="24"/>
          <w:szCs w:val="24"/>
        </w:rPr>
        <w:t>号、</w:t>
      </w:r>
      <w:r>
        <w:rPr>
          <w:rFonts w:hint="eastAsia" w:ascii="Times New Roman" w:hAnsi="Times New Roman" w:eastAsia="宋体" w:cs="Times New Roman"/>
          <w:sz w:val="24"/>
          <w:szCs w:val="24"/>
        </w:rPr>
        <w:t>皮重</w:t>
      </w:r>
      <w:r>
        <w:rPr>
          <w:rFonts w:ascii="Times New Roman" w:hAnsi="Times New Roman" w:eastAsia="宋体" w:cs="Times New Roman"/>
          <w:sz w:val="24"/>
          <w:szCs w:val="24"/>
        </w:rPr>
        <w:t>、</w:t>
      </w:r>
      <w:r>
        <w:rPr>
          <w:rFonts w:hint="eastAsia" w:ascii="Times New Roman" w:hAnsi="Times New Roman" w:eastAsia="宋体" w:cs="Times New Roman"/>
          <w:sz w:val="24"/>
          <w:szCs w:val="24"/>
        </w:rPr>
        <w:t>毛重</w:t>
      </w:r>
      <w:r>
        <w:rPr>
          <w:rFonts w:ascii="Times New Roman" w:hAnsi="Times New Roman" w:eastAsia="宋体" w:cs="Times New Roman"/>
          <w:sz w:val="24"/>
          <w:szCs w:val="24"/>
        </w:rPr>
        <w:t>、</w:t>
      </w:r>
      <w:r>
        <w:rPr>
          <w:rFonts w:hint="eastAsia" w:ascii="Times New Roman" w:hAnsi="Times New Roman" w:eastAsia="宋体" w:cs="Times New Roman"/>
          <w:sz w:val="24"/>
          <w:szCs w:val="24"/>
        </w:rPr>
        <w:t>净重</w:t>
      </w:r>
      <w:r>
        <w:rPr>
          <w:rFonts w:ascii="Times New Roman" w:hAnsi="Times New Roman" w:eastAsia="宋体" w:cs="Times New Roman"/>
          <w:sz w:val="24"/>
          <w:szCs w:val="24"/>
        </w:rPr>
        <w:t>、</w:t>
      </w:r>
      <w:r>
        <w:rPr>
          <w:rFonts w:hint="eastAsia" w:ascii="Times New Roman" w:hAnsi="Times New Roman" w:eastAsia="宋体" w:cs="Times New Roman"/>
          <w:sz w:val="24"/>
          <w:szCs w:val="24"/>
        </w:rPr>
        <w:t>单价</w:t>
      </w:r>
      <w:r>
        <w:rPr>
          <w:rFonts w:ascii="Times New Roman" w:hAnsi="Times New Roman" w:eastAsia="宋体" w:cs="Times New Roman"/>
          <w:sz w:val="24"/>
          <w:szCs w:val="24"/>
        </w:rPr>
        <w:t>、</w:t>
      </w:r>
      <w:r>
        <w:rPr>
          <w:rFonts w:hint="eastAsia" w:ascii="Times New Roman" w:hAnsi="Times New Roman" w:eastAsia="宋体" w:cs="Times New Roman"/>
          <w:sz w:val="24"/>
          <w:szCs w:val="24"/>
        </w:rPr>
        <w:t>总价</w:t>
      </w:r>
      <w:r>
        <w:rPr>
          <w:rFonts w:ascii="Times New Roman" w:hAnsi="Times New Roman" w:eastAsia="宋体" w:cs="Times New Roman"/>
          <w:sz w:val="24"/>
          <w:szCs w:val="24"/>
        </w:rPr>
        <w:t>、</w:t>
      </w:r>
      <w:r>
        <w:rPr>
          <w:rFonts w:hint="eastAsia" w:ascii="Times New Roman" w:hAnsi="Times New Roman" w:eastAsia="宋体" w:cs="Times New Roman"/>
          <w:sz w:val="24"/>
          <w:szCs w:val="24"/>
        </w:rPr>
        <w:t>运往地、出矿时间、状态</w:t>
      </w:r>
      <w:r>
        <w:rPr>
          <w:rFonts w:ascii="Times New Roman" w:hAnsi="Times New Roman" w:eastAsia="宋体" w:cs="Times New Roman"/>
          <w:sz w:val="24"/>
          <w:szCs w:val="24"/>
        </w:rPr>
        <w:t>。</w:t>
      </w:r>
    </w:p>
    <w:p>
      <w:pPr>
        <w:spacing w:line="360" w:lineRule="auto"/>
      </w:pPr>
      <w:r>
        <w:drawing>
          <wp:inline distT="0" distB="0" distL="0" distR="0">
            <wp:extent cx="6200775" cy="3396615"/>
            <wp:effectExtent l="0" t="0" r="9525" b="698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0"/>
                    <a:stretch>
                      <a:fillRect/>
                    </a:stretch>
                  </pic:blipFill>
                  <pic:spPr>
                    <a:xfrm>
                      <a:off x="0" y="0"/>
                      <a:ext cx="6200775" cy="3396615"/>
                    </a:xfrm>
                    <a:prstGeom prst="rect">
                      <a:avLst/>
                    </a:prstGeom>
                  </pic:spPr>
                </pic:pic>
              </a:graphicData>
            </a:graphic>
          </wp:inline>
        </w:drawing>
      </w:r>
    </w:p>
    <w:p>
      <w:pPr>
        <w:pStyle w:val="11"/>
        <w:spacing w:line="360" w:lineRule="auto"/>
        <w:jc w:val="center"/>
        <w:rPr>
          <w:rFonts w:hint="eastAsia" w:eastAsiaTheme="minorEastAsia"/>
          <w:lang w:eastAsia="zh-CN"/>
        </w:rPr>
      </w:pPr>
      <w:r>
        <w:t xml:space="preserve">图 </w:t>
      </w:r>
      <w:r>
        <w:fldChar w:fldCharType="begin"/>
      </w:r>
      <w:r>
        <w:instrText xml:space="preserve"> SEQ 图 \* ARABIC </w:instrText>
      </w:r>
      <w:r>
        <w:fldChar w:fldCharType="separate"/>
      </w:r>
      <w:r>
        <w:t>22</w:t>
      </w:r>
      <w:r>
        <w:fldChar w:fldCharType="end"/>
      </w:r>
      <w:r>
        <w:rPr>
          <w:rFonts w:hint="eastAsia"/>
          <w:lang w:eastAsia="zh-CN"/>
        </w:rPr>
        <w:t xml:space="preserve"> 煤票查询</w:t>
      </w:r>
    </w:p>
    <w:p>
      <w:pPr>
        <w:pStyle w:val="3"/>
        <w:numPr>
          <w:ilvl w:val="1"/>
          <w:numId w:val="2"/>
        </w:numPr>
        <w:bidi w:val="0"/>
        <w:ind w:left="567" w:leftChars="0" w:hanging="567" w:firstLineChars="0"/>
        <w:rPr>
          <w:rFonts w:hint="eastAsia"/>
        </w:rPr>
      </w:pPr>
      <w:bookmarkStart w:id="65" w:name="_Toc481605533"/>
      <w:bookmarkStart w:id="66" w:name="_Toc20599"/>
      <w:bookmarkStart w:id="67" w:name="_Toc481605437"/>
      <w:bookmarkStart w:id="68" w:name="_Toc481605367"/>
      <w:bookmarkStart w:id="69" w:name="_Toc1906"/>
      <w:r>
        <w:rPr>
          <w:rFonts w:hint="eastAsia"/>
        </w:rPr>
        <w:t>煤票</w:t>
      </w:r>
      <w:bookmarkEnd w:id="65"/>
      <w:bookmarkEnd w:id="66"/>
      <w:bookmarkEnd w:id="67"/>
      <w:bookmarkEnd w:id="68"/>
      <w:r>
        <w:rPr>
          <w:rFonts w:hint="eastAsia"/>
        </w:rPr>
        <w:t>连号作废</w:t>
      </w:r>
      <w:bookmarkEnd w:id="69"/>
    </w:p>
    <w:p>
      <w:p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操作角色：</w:t>
      </w:r>
      <w:r>
        <w:rPr>
          <w:rFonts w:ascii="Times New Roman" w:hAnsi="Times New Roman" w:eastAsia="宋体" w:cs="Times New Roman"/>
          <w:sz w:val="24"/>
          <w:szCs w:val="24"/>
        </w:rPr>
        <w:t>票管员</w:t>
      </w:r>
    </w:p>
    <w:p>
      <w:pPr>
        <w:spacing w:line="360" w:lineRule="auto"/>
        <w:rPr>
          <w:rFonts w:ascii="Times New Roman" w:hAnsi="Times New Roman" w:eastAsia="宋体" w:cs="Times New Roman"/>
          <w:sz w:val="24"/>
          <w:szCs w:val="24"/>
        </w:rPr>
      </w:pPr>
      <w:r>
        <w:rPr>
          <w:rFonts w:ascii="Times New Roman" w:hAnsi="Times New Roman" w:eastAsia="宋体" w:cs="Times New Roman"/>
          <w:b/>
          <w:sz w:val="24"/>
          <w:szCs w:val="24"/>
        </w:rPr>
        <w:t>业务活动：</w:t>
      </w:r>
      <w:r>
        <w:rPr>
          <w:rFonts w:hint="eastAsia" w:ascii="Times New Roman" w:hAnsi="Times New Roman" w:eastAsia="宋体" w:cs="Times New Roman"/>
          <w:sz w:val="24"/>
          <w:szCs w:val="24"/>
        </w:rPr>
        <w:t>对年末未使用完的不是整本的煤票进行作废操作</w:t>
      </w:r>
      <w:r>
        <w:rPr>
          <w:rFonts w:ascii="Times New Roman" w:hAnsi="Times New Roman" w:eastAsia="宋体" w:cs="Times New Roman"/>
          <w:sz w:val="24"/>
          <w:szCs w:val="24"/>
        </w:rPr>
        <w:t>；</w:t>
      </w:r>
    </w:p>
    <w:p>
      <w:p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业务操作说明：</w:t>
      </w:r>
    </w:p>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在【</w:t>
      </w:r>
      <w:r>
        <w:rPr>
          <w:rFonts w:hint="eastAsia" w:ascii="Times New Roman" w:hAnsi="Times New Roman" w:eastAsia="宋体" w:cs="Times New Roman"/>
          <w:sz w:val="24"/>
          <w:szCs w:val="24"/>
        </w:rPr>
        <w:t>煤票连号作废</w:t>
      </w:r>
      <w:r>
        <w:rPr>
          <w:rFonts w:ascii="Times New Roman" w:hAnsi="Times New Roman" w:eastAsia="宋体" w:cs="Times New Roman"/>
          <w:sz w:val="24"/>
          <w:szCs w:val="24"/>
        </w:rPr>
        <w:t>】中，图</w:t>
      </w:r>
      <w:r>
        <w:rPr>
          <w:rFonts w:hint="eastAsia" w:ascii="Times New Roman" w:hAnsi="Times New Roman" w:eastAsia="宋体" w:cs="Times New Roman"/>
          <w:sz w:val="24"/>
          <w:szCs w:val="24"/>
          <w:lang w:val="en-US" w:eastAsia="zh-CN"/>
        </w:rPr>
        <w:t>连号作废</w:t>
      </w:r>
      <w:r>
        <w:rPr>
          <w:rFonts w:ascii="Times New Roman" w:hAnsi="Times New Roman" w:eastAsia="宋体" w:cs="Times New Roman"/>
          <w:sz w:val="24"/>
          <w:szCs w:val="24"/>
        </w:rPr>
        <w:t>所示</w:t>
      </w:r>
      <w:r>
        <w:rPr>
          <w:rFonts w:hint="eastAsia" w:ascii="Times New Roman" w:hAnsi="Times New Roman" w:eastAsia="宋体" w:cs="Times New Roman"/>
          <w:sz w:val="24"/>
          <w:szCs w:val="24"/>
        </w:rPr>
        <w:t>，对年末未使用完的不是整本的煤票进行作废操作</w:t>
      </w:r>
      <w:r>
        <w:rPr>
          <w:rFonts w:hint="default" w:ascii="Times New Roman" w:hAnsi="Times New Roman" w:eastAsia="宋体" w:cs="Times New Roman"/>
          <w:sz w:val="24"/>
          <w:szCs w:val="24"/>
        </w:rPr>
        <w:t>。</w:t>
      </w:r>
    </w:p>
    <w:p>
      <w:pPr>
        <w:spacing w:line="360" w:lineRule="auto"/>
      </w:pPr>
      <w:r>
        <w:drawing>
          <wp:inline distT="0" distB="0" distL="0" distR="0">
            <wp:extent cx="6156960" cy="3396615"/>
            <wp:effectExtent l="0" t="0" r="2540" b="698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1"/>
                    <a:stretch>
                      <a:fillRect/>
                    </a:stretch>
                  </pic:blipFill>
                  <pic:spPr>
                    <a:xfrm>
                      <a:off x="0" y="0"/>
                      <a:ext cx="6156960" cy="3396615"/>
                    </a:xfrm>
                    <a:prstGeom prst="rect">
                      <a:avLst/>
                    </a:prstGeom>
                  </pic:spPr>
                </pic:pic>
              </a:graphicData>
            </a:graphic>
          </wp:inline>
        </w:drawing>
      </w:r>
    </w:p>
    <w:p>
      <w:pPr>
        <w:pStyle w:val="11"/>
        <w:spacing w:line="360" w:lineRule="auto"/>
        <w:jc w:val="center"/>
        <w:rPr>
          <w:rFonts w:hint="eastAsia" w:ascii="Times New Roman" w:hAnsi="Times New Roman" w:cs="Times New Roman"/>
        </w:rPr>
      </w:pPr>
      <w:r>
        <w:t xml:space="preserve">图 </w:t>
      </w:r>
      <w:r>
        <w:fldChar w:fldCharType="begin"/>
      </w:r>
      <w:r>
        <w:instrText xml:space="preserve"> SEQ 图 \* ARABIC </w:instrText>
      </w:r>
      <w:r>
        <w:fldChar w:fldCharType="separate"/>
      </w:r>
      <w:r>
        <w:t>23</w:t>
      </w:r>
      <w:r>
        <w:fldChar w:fldCharType="end"/>
      </w:r>
      <w:r>
        <w:rPr>
          <w:rFonts w:hint="eastAsia"/>
          <w:lang w:eastAsia="zh-CN"/>
        </w:rPr>
        <w:t xml:space="preserve"> 连号作废</w:t>
      </w:r>
    </w:p>
    <w:p>
      <w:pPr>
        <w:pStyle w:val="3"/>
        <w:numPr>
          <w:ilvl w:val="1"/>
          <w:numId w:val="2"/>
        </w:numPr>
        <w:bidi w:val="0"/>
        <w:ind w:left="567" w:leftChars="0" w:hanging="567" w:firstLineChars="0"/>
        <w:rPr>
          <w:rFonts w:hint="eastAsia"/>
        </w:rPr>
      </w:pPr>
      <w:bookmarkStart w:id="70" w:name="_Toc22445"/>
      <w:bookmarkStart w:id="71" w:name="_Toc481605534"/>
      <w:bookmarkStart w:id="72" w:name="_Toc481605438"/>
      <w:bookmarkStart w:id="73" w:name="_Toc481605368"/>
      <w:bookmarkStart w:id="74" w:name="_Toc2485"/>
      <w:r>
        <w:rPr>
          <w:rFonts w:hint="eastAsia"/>
        </w:rPr>
        <w:t>煤票</w:t>
      </w:r>
      <w:bookmarkEnd w:id="70"/>
      <w:bookmarkEnd w:id="71"/>
      <w:bookmarkEnd w:id="72"/>
      <w:bookmarkEnd w:id="73"/>
      <w:r>
        <w:rPr>
          <w:rFonts w:hint="eastAsia"/>
        </w:rPr>
        <w:t>退库</w:t>
      </w:r>
      <w:bookmarkEnd w:id="74"/>
    </w:p>
    <w:p>
      <w:pPr>
        <w:spacing w:line="360" w:lineRule="auto"/>
        <w:rPr>
          <w:rFonts w:hint="eastAsia" w:ascii="Times New Roman" w:hAnsi="Times New Roman" w:eastAsia="宋体" w:cs="Times New Roman"/>
          <w:b/>
          <w:sz w:val="24"/>
          <w:szCs w:val="24"/>
        </w:rPr>
      </w:pPr>
      <w:r>
        <w:rPr>
          <w:rFonts w:ascii="Times New Roman" w:hAnsi="Times New Roman" w:eastAsia="宋体" w:cs="Times New Roman"/>
          <w:b/>
          <w:sz w:val="24"/>
          <w:szCs w:val="24"/>
        </w:rPr>
        <w:t>操作角色：</w:t>
      </w:r>
      <w:r>
        <w:rPr>
          <w:rFonts w:ascii="Times New Roman" w:hAnsi="Times New Roman" w:eastAsia="宋体" w:cs="Times New Roman"/>
          <w:sz w:val="24"/>
          <w:szCs w:val="24"/>
        </w:rPr>
        <w:t>票管员</w:t>
      </w:r>
    </w:p>
    <w:p>
      <w:pPr>
        <w:spacing w:line="360" w:lineRule="auto"/>
        <w:rPr>
          <w:rFonts w:ascii="Times New Roman" w:hAnsi="Times New Roman" w:eastAsia="宋体" w:cs="Times New Roman"/>
          <w:sz w:val="24"/>
          <w:szCs w:val="24"/>
        </w:rPr>
      </w:pPr>
      <w:r>
        <w:rPr>
          <w:rFonts w:ascii="Times New Roman" w:hAnsi="Times New Roman" w:eastAsia="宋体" w:cs="Times New Roman"/>
          <w:b/>
          <w:sz w:val="24"/>
          <w:szCs w:val="24"/>
        </w:rPr>
        <w:t>业务活动：</w:t>
      </w:r>
      <w:r>
        <w:rPr>
          <w:rFonts w:ascii="Times New Roman" w:hAnsi="Times New Roman" w:eastAsia="宋体" w:cs="Times New Roman"/>
          <w:sz w:val="24"/>
          <w:szCs w:val="24"/>
        </w:rPr>
        <w:t>对</w:t>
      </w:r>
      <w:r>
        <w:rPr>
          <w:rFonts w:hint="eastAsia" w:ascii="Times New Roman" w:hAnsi="Times New Roman" w:eastAsia="宋体" w:cs="Times New Roman"/>
          <w:sz w:val="24"/>
          <w:szCs w:val="24"/>
        </w:rPr>
        <w:t>未使用</w:t>
      </w:r>
      <w:r>
        <w:rPr>
          <w:rFonts w:ascii="Times New Roman" w:hAnsi="Times New Roman" w:eastAsia="宋体" w:cs="Times New Roman"/>
          <w:sz w:val="24"/>
          <w:szCs w:val="24"/>
        </w:rPr>
        <w:t>的</w:t>
      </w:r>
      <w:r>
        <w:rPr>
          <w:rFonts w:hint="eastAsia" w:ascii="Times New Roman" w:hAnsi="Times New Roman" w:eastAsia="宋体" w:cs="Times New Roman"/>
          <w:sz w:val="24"/>
          <w:szCs w:val="24"/>
        </w:rPr>
        <w:t>整本</w:t>
      </w:r>
      <w:r>
        <w:rPr>
          <w:rFonts w:ascii="Times New Roman" w:hAnsi="Times New Roman" w:eastAsia="宋体" w:cs="Times New Roman"/>
          <w:sz w:val="24"/>
          <w:szCs w:val="24"/>
        </w:rPr>
        <w:t>煤票进行</w:t>
      </w:r>
      <w:r>
        <w:rPr>
          <w:rFonts w:hint="eastAsia" w:ascii="Times New Roman" w:hAnsi="Times New Roman" w:eastAsia="宋体" w:cs="Times New Roman"/>
          <w:sz w:val="24"/>
          <w:szCs w:val="24"/>
        </w:rPr>
        <w:t>退库操作</w:t>
      </w:r>
      <w:r>
        <w:rPr>
          <w:rFonts w:ascii="Times New Roman" w:hAnsi="Times New Roman" w:eastAsia="宋体" w:cs="Times New Roman"/>
          <w:sz w:val="24"/>
          <w:szCs w:val="24"/>
        </w:rPr>
        <w:t>；</w:t>
      </w:r>
    </w:p>
    <w:p>
      <w:p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业务操作说明：</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在【煤票</w:t>
      </w:r>
      <w:r>
        <w:rPr>
          <w:rFonts w:hint="eastAsia" w:ascii="Times New Roman" w:hAnsi="Times New Roman" w:eastAsia="宋体" w:cs="Times New Roman"/>
          <w:sz w:val="24"/>
          <w:szCs w:val="24"/>
        </w:rPr>
        <w:t>退库</w:t>
      </w:r>
      <w:r>
        <w:rPr>
          <w:rFonts w:ascii="Times New Roman" w:hAnsi="Times New Roman" w:eastAsia="宋体" w:cs="Times New Roman"/>
          <w:sz w:val="24"/>
          <w:szCs w:val="24"/>
        </w:rPr>
        <w:t>】中</w:t>
      </w:r>
      <w:r>
        <w:rPr>
          <w:rFonts w:hint="eastAsia" w:ascii="Times New Roman" w:hAnsi="Times New Roman" w:eastAsia="宋体" w:cs="Times New Roman"/>
          <w:sz w:val="24"/>
          <w:szCs w:val="24"/>
        </w:rPr>
        <w:t>如图所示</w:t>
      </w:r>
      <w:r>
        <w:rPr>
          <w:rFonts w:ascii="Times New Roman" w:hAnsi="Times New Roman" w:eastAsia="宋体" w:cs="Times New Roman"/>
          <w:sz w:val="24"/>
          <w:szCs w:val="24"/>
        </w:rPr>
        <w:t>，</w:t>
      </w:r>
      <w:r>
        <w:rPr>
          <w:rFonts w:hint="eastAsia" w:ascii="Times New Roman" w:hAnsi="Times New Roman" w:eastAsia="宋体" w:cs="Times New Roman"/>
          <w:sz w:val="24"/>
          <w:szCs w:val="24"/>
        </w:rPr>
        <w:t>选中需要退库的整本煤票，</w:t>
      </w:r>
      <w:r>
        <w:rPr>
          <w:rFonts w:ascii="Times New Roman" w:hAnsi="Times New Roman" w:eastAsia="宋体" w:cs="Times New Roman"/>
          <w:sz w:val="24"/>
          <w:szCs w:val="24"/>
        </w:rPr>
        <w:t>点击 【</w:t>
      </w:r>
      <w:r>
        <w:rPr>
          <w:rFonts w:hint="eastAsia" w:ascii="Times New Roman" w:hAnsi="Times New Roman" w:eastAsia="宋体" w:cs="Times New Roman"/>
          <w:sz w:val="24"/>
          <w:szCs w:val="24"/>
        </w:rPr>
        <w:t>退库</w:t>
      </w:r>
      <w:r>
        <w:rPr>
          <w:rFonts w:ascii="Times New Roman" w:hAnsi="Times New Roman" w:eastAsia="宋体" w:cs="Times New Roman"/>
          <w:sz w:val="24"/>
          <w:szCs w:val="24"/>
        </w:rPr>
        <w:t>】</w:t>
      </w:r>
      <w:r>
        <w:rPr>
          <w:rFonts w:hint="eastAsia" w:ascii="Times New Roman" w:hAnsi="Times New Roman" w:eastAsia="宋体" w:cs="Times New Roman"/>
          <w:sz w:val="24"/>
          <w:szCs w:val="24"/>
        </w:rPr>
        <w:t>，</w:t>
      </w:r>
      <w:r>
        <w:rPr>
          <w:rFonts w:ascii="Times New Roman" w:hAnsi="Times New Roman" w:eastAsia="宋体" w:cs="Times New Roman"/>
          <w:sz w:val="24"/>
          <w:szCs w:val="24"/>
        </w:rPr>
        <w:t>进入</w:t>
      </w:r>
      <w:r>
        <w:rPr>
          <w:rFonts w:hint="eastAsia" w:ascii="Times New Roman" w:hAnsi="Times New Roman" w:eastAsia="宋体" w:cs="Times New Roman"/>
          <w:sz w:val="24"/>
          <w:szCs w:val="24"/>
        </w:rPr>
        <w:t>【退库至上级机构】</w:t>
      </w:r>
      <w:r>
        <w:rPr>
          <w:rFonts w:ascii="Times New Roman" w:hAnsi="Times New Roman" w:eastAsia="宋体" w:cs="Times New Roman"/>
          <w:sz w:val="24"/>
          <w:szCs w:val="24"/>
        </w:rPr>
        <w:t>的操作页面，</w:t>
      </w:r>
      <w:r>
        <w:rPr>
          <w:rFonts w:hint="eastAsia" w:ascii="Times New Roman" w:hAnsi="Times New Roman" w:eastAsia="宋体" w:cs="Times New Roman"/>
          <w:sz w:val="24"/>
          <w:szCs w:val="24"/>
        </w:rPr>
        <w:t>输入退库数量，点击【提交】，煤票退库操作完成。</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在【退库记录】中，可查询已退库煤票的记录。</w:t>
      </w:r>
    </w:p>
    <w:p>
      <w:pPr>
        <w:spacing w:line="360" w:lineRule="auto"/>
      </w:pPr>
      <w:r>
        <w:drawing>
          <wp:inline distT="0" distB="0" distL="0" distR="0">
            <wp:extent cx="6169025" cy="3396615"/>
            <wp:effectExtent l="0" t="0" r="317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2"/>
                    <a:stretch>
                      <a:fillRect/>
                    </a:stretch>
                  </pic:blipFill>
                  <pic:spPr>
                    <a:xfrm>
                      <a:off x="0" y="0"/>
                      <a:ext cx="6169025" cy="3396615"/>
                    </a:xfrm>
                    <a:prstGeom prst="rect">
                      <a:avLst/>
                    </a:prstGeom>
                  </pic:spPr>
                </pic:pic>
              </a:graphicData>
            </a:graphic>
          </wp:inline>
        </w:drawing>
      </w:r>
    </w:p>
    <w:p>
      <w:pPr>
        <w:pStyle w:val="11"/>
        <w:spacing w:line="360" w:lineRule="auto"/>
        <w:jc w:val="center"/>
        <w:rPr>
          <w:rFonts w:hint="eastAsia" w:ascii="Times New Roman" w:hAnsi="Times New Roman" w:eastAsia="宋体" w:cs="Times New Roman"/>
        </w:rPr>
      </w:pPr>
      <w:r>
        <w:t xml:space="preserve">图 </w:t>
      </w:r>
      <w:r>
        <w:fldChar w:fldCharType="begin"/>
      </w:r>
      <w:r>
        <w:instrText xml:space="preserve"> SEQ 图 \* ARABIC </w:instrText>
      </w:r>
      <w:r>
        <w:fldChar w:fldCharType="separate"/>
      </w:r>
      <w:r>
        <w:t>24</w:t>
      </w:r>
      <w:r>
        <w:fldChar w:fldCharType="end"/>
      </w:r>
      <w:r>
        <w:rPr>
          <w:rFonts w:hint="eastAsia"/>
          <w:lang w:eastAsia="zh-CN"/>
        </w:rPr>
        <w:t>煤票退库</w:t>
      </w:r>
    </w:p>
    <w:p>
      <w:pPr>
        <w:keepNext w:val="0"/>
        <w:keepLines w:val="0"/>
        <w:pageBreakBefore w:val="0"/>
        <w:widowControl w:val="0"/>
        <w:kinsoku/>
        <w:wordWrap/>
        <w:overflowPunct/>
        <w:topLinePunct w:val="0"/>
        <w:autoSpaceDE/>
        <w:autoSpaceDN/>
        <w:bidi w:val="0"/>
        <w:adjustRightInd w:val="0"/>
        <w:snapToGrid w:val="0"/>
        <w:jc w:val="center"/>
        <w:textAlignment w:val="auto"/>
      </w:pPr>
      <w:r>
        <w:drawing>
          <wp:inline distT="0" distB="0" distL="0" distR="0">
            <wp:extent cx="6124575" cy="1504315"/>
            <wp:effectExtent l="0" t="0" r="9525"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3"/>
                    <a:stretch>
                      <a:fillRect/>
                    </a:stretch>
                  </pic:blipFill>
                  <pic:spPr>
                    <a:xfrm>
                      <a:off x="0" y="0"/>
                      <a:ext cx="6124575" cy="1504315"/>
                    </a:xfrm>
                    <a:prstGeom prst="rect">
                      <a:avLst/>
                    </a:prstGeom>
                  </pic:spPr>
                </pic:pic>
              </a:graphicData>
            </a:graphic>
          </wp:inline>
        </w:drawing>
      </w:r>
    </w:p>
    <w:p>
      <w:pPr>
        <w:pStyle w:val="11"/>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rPr>
      </w:pPr>
      <w:r>
        <w:t xml:space="preserve">图 </w:t>
      </w:r>
      <w:r>
        <w:fldChar w:fldCharType="begin"/>
      </w:r>
      <w:r>
        <w:instrText xml:space="preserve"> SEQ 图 \* ARABIC </w:instrText>
      </w:r>
      <w:r>
        <w:fldChar w:fldCharType="separate"/>
      </w:r>
      <w:r>
        <w:t>25</w:t>
      </w:r>
      <w:r>
        <w:fldChar w:fldCharType="end"/>
      </w:r>
      <w:r>
        <w:rPr>
          <w:rFonts w:hint="eastAsia"/>
          <w:lang w:eastAsia="zh-CN"/>
        </w:rPr>
        <w:t>退库至上级单位</w:t>
      </w:r>
    </w:p>
    <w:p>
      <w:pPr>
        <w:keepNext w:val="0"/>
        <w:keepLines w:val="0"/>
        <w:pageBreakBefore w:val="0"/>
        <w:widowControl w:val="0"/>
        <w:kinsoku/>
        <w:wordWrap/>
        <w:overflowPunct/>
        <w:topLinePunct w:val="0"/>
        <w:autoSpaceDE/>
        <w:autoSpaceDN/>
        <w:bidi w:val="0"/>
        <w:adjustRightInd w:val="0"/>
        <w:snapToGrid w:val="0"/>
        <w:jc w:val="center"/>
        <w:textAlignment w:val="auto"/>
      </w:pPr>
      <w:r>
        <w:drawing>
          <wp:inline distT="0" distB="0" distL="0" distR="0">
            <wp:extent cx="5946775" cy="3396615"/>
            <wp:effectExtent l="0" t="0" r="9525"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4"/>
                    <a:stretch>
                      <a:fillRect/>
                    </a:stretch>
                  </pic:blipFill>
                  <pic:spPr>
                    <a:xfrm>
                      <a:off x="0" y="0"/>
                      <a:ext cx="5946775" cy="3396615"/>
                    </a:xfrm>
                    <a:prstGeom prst="rect">
                      <a:avLst/>
                    </a:prstGeom>
                  </pic:spPr>
                </pic:pic>
              </a:graphicData>
            </a:graphic>
          </wp:inline>
        </w:drawing>
      </w:r>
    </w:p>
    <w:p>
      <w:pPr>
        <w:pStyle w:val="11"/>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rPr>
      </w:pPr>
      <w:r>
        <w:t xml:space="preserve">图 </w:t>
      </w:r>
      <w:r>
        <w:fldChar w:fldCharType="begin"/>
      </w:r>
      <w:r>
        <w:instrText xml:space="preserve"> SEQ 图 \* ARABIC </w:instrText>
      </w:r>
      <w:r>
        <w:fldChar w:fldCharType="separate"/>
      </w:r>
      <w:r>
        <w:t>26</w:t>
      </w:r>
      <w:r>
        <w:fldChar w:fldCharType="end"/>
      </w:r>
      <w:r>
        <w:rPr>
          <w:rFonts w:hint="eastAsia"/>
          <w:lang w:eastAsia="zh-CN"/>
        </w:rPr>
        <w:t>退库记录</w:t>
      </w:r>
    </w:p>
    <w:p>
      <w:pPr>
        <w:pStyle w:val="3"/>
        <w:numPr>
          <w:ilvl w:val="1"/>
          <w:numId w:val="2"/>
        </w:numPr>
        <w:bidi w:val="0"/>
        <w:ind w:left="567" w:leftChars="0" w:hanging="567" w:firstLineChars="0"/>
        <w:rPr>
          <w:rFonts w:hint="eastAsia"/>
        </w:rPr>
      </w:pPr>
      <w:bookmarkStart w:id="75" w:name="_Toc11449"/>
      <w:r>
        <w:rPr>
          <w:rFonts w:hint="eastAsia"/>
        </w:rPr>
        <w:t>错票管理</w:t>
      </w:r>
      <w:bookmarkEnd w:id="75"/>
    </w:p>
    <w:p>
      <w:pPr>
        <w:spacing w:line="360" w:lineRule="auto"/>
        <w:rPr>
          <w:rFonts w:hint="eastAsia" w:ascii="Times New Roman" w:hAnsi="Times New Roman" w:eastAsia="宋体" w:cs="Times New Roman"/>
          <w:b/>
          <w:sz w:val="24"/>
          <w:szCs w:val="24"/>
        </w:rPr>
      </w:pPr>
      <w:r>
        <w:rPr>
          <w:rFonts w:ascii="Times New Roman" w:hAnsi="Times New Roman" w:eastAsia="宋体" w:cs="Times New Roman"/>
          <w:b/>
          <w:sz w:val="24"/>
          <w:szCs w:val="24"/>
        </w:rPr>
        <w:t>操作角色：</w:t>
      </w:r>
      <w:r>
        <w:rPr>
          <w:rFonts w:hint="eastAsia" w:ascii="Times New Roman" w:hAnsi="Times New Roman" w:eastAsia="宋体" w:cs="Times New Roman"/>
          <w:sz w:val="24"/>
          <w:szCs w:val="24"/>
        </w:rPr>
        <w:t>票管员、司磅员</w:t>
      </w:r>
    </w:p>
    <w:p>
      <w:pPr>
        <w:spacing w:line="360" w:lineRule="auto"/>
        <w:rPr>
          <w:rFonts w:ascii="Times New Roman" w:hAnsi="Times New Roman" w:eastAsia="宋体" w:cs="Times New Roman"/>
          <w:sz w:val="24"/>
          <w:szCs w:val="24"/>
        </w:rPr>
      </w:pPr>
      <w:r>
        <w:rPr>
          <w:rFonts w:ascii="Times New Roman" w:hAnsi="Times New Roman" w:eastAsia="宋体" w:cs="Times New Roman"/>
          <w:b/>
          <w:sz w:val="24"/>
          <w:szCs w:val="24"/>
        </w:rPr>
        <w:t>业务活动：</w:t>
      </w:r>
      <w:r>
        <w:rPr>
          <w:rFonts w:ascii="Times New Roman" w:hAnsi="Times New Roman" w:eastAsia="宋体" w:cs="Times New Roman"/>
          <w:sz w:val="24"/>
          <w:szCs w:val="24"/>
        </w:rPr>
        <w:t>对</w:t>
      </w:r>
      <w:r>
        <w:rPr>
          <w:rFonts w:hint="eastAsia" w:ascii="Times New Roman" w:hAnsi="Times New Roman" w:eastAsia="宋体" w:cs="Times New Roman"/>
          <w:sz w:val="24"/>
          <w:szCs w:val="24"/>
        </w:rPr>
        <w:t>错</w:t>
      </w:r>
      <w:r>
        <w:rPr>
          <w:rFonts w:ascii="Times New Roman" w:hAnsi="Times New Roman" w:eastAsia="宋体" w:cs="Times New Roman"/>
          <w:sz w:val="24"/>
          <w:szCs w:val="24"/>
        </w:rPr>
        <w:t>票进行</w:t>
      </w:r>
      <w:r>
        <w:rPr>
          <w:rFonts w:hint="eastAsia" w:ascii="Times New Roman" w:hAnsi="Times New Roman" w:eastAsia="宋体" w:cs="Times New Roman"/>
          <w:sz w:val="24"/>
          <w:szCs w:val="24"/>
        </w:rPr>
        <w:t>错票上传</w:t>
      </w:r>
      <w:r>
        <w:rPr>
          <w:rFonts w:ascii="Times New Roman" w:hAnsi="Times New Roman" w:eastAsia="宋体" w:cs="Times New Roman"/>
          <w:sz w:val="24"/>
          <w:szCs w:val="24"/>
        </w:rPr>
        <w:t xml:space="preserve">的操作 </w:t>
      </w:r>
    </w:p>
    <w:p>
      <w:p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业务操作说明：</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w:t>
      </w:r>
      <w:r>
        <w:rPr>
          <w:rFonts w:hint="eastAsia" w:ascii="Times New Roman" w:hAnsi="Times New Roman" w:eastAsia="宋体" w:cs="Times New Roman"/>
          <w:sz w:val="24"/>
          <w:szCs w:val="24"/>
        </w:rPr>
        <w:t>错票管理</w:t>
      </w:r>
      <w:r>
        <w:rPr>
          <w:rFonts w:ascii="Times New Roman" w:hAnsi="Times New Roman" w:eastAsia="宋体" w:cs="Times New Roman"/>
          <w:sz w:val="24"/>
          <w:szCs w:val="24"/>
        </w:rPr>
        <w:t>】中，点击 【</w:t>
      </w:r>
      <w:r>
        <w:rPr>
          <w:rFonts w:hint="eastAsia" w:ascii="Times New Roman" w:hAnsi="Times New Roman" w:eastAsia="宋体" w:cs="Times New Roman"/>
          <w:sz w:val="24"/>
          <w:szCs w:val="24"/>
        </w:rPr>
        <w:t>错票上传</w:t>
      </w:r>
      <w:r>
        <w:rPr>
          <w:rFonts w:ascii="Times New Roman" w:hAnsi="Times New Roman" w:eastAsia="宋体" w:cs="Times New Roman"/>
          <w:sz w:val="24"/>
          <w:szCs w:val="24"/>
        </w:rPr>
        <w:t>】进入</w:t>
      </w:r>
      <w:r>
        <w:rPr>
          <w:rFonts w:hint="eastAsia" w:ascii="Times New Roman" w:hAnsi="Times New Roman" w:eastAsia="宋体" w:cs="Times New Roman"/>
          <w:sz w:val="24"/>
          <w:szCs w:val="24"/>
        </w:rPr>
        <w:t>【上传错票】</w:t>
      </w:r>
      <w:r>
        <w:rPr>
          <w:rFonts w:ascii="Times New Roman" w:hAnsi="Times New Roman" w:eastAsia="宋体" w:cs="Times New Roman"/>
          <w:sz w:val="24"/>
          <w:szCs w:val="24"/>
        </w:rPr>
        <w:t>的操作页面。输入</w:t>
      </w:r>
      <w:r>
        <w:rPr>
          <w:rFonts w:hint="eastAsia" w:ascii="Times New Roman" w:hAnsi="Times New Roman" w:eastAsia="宋体" w:cs="Times New Roman"/>
          <w:sz w:val="24"/>
          <w:szCs w:val="24"/>
        </w:rPr>
        <w:t>错票号码、错票吨数、错票说明、并上传凭证：选择错票照片（需要将错票照片拷贝到桌面），并【保存】</w:t>
      </w:r>
      <w:r>
        <w:rPr>
          <w:rFonts w:ascii="Times New Roman" w:hAnsi="Times New Roman" w:eastAsia="宋体" w:cs="Times New Roman"/>
          <w:sz w:val="24"/>
          <w:szCs w:val="24"/>
        </w:rPr>
        <w:t>，</w:t>
      </w:r>
      <w:r>
        <w:rPr>
          <w:rFonts w:hint="eastAsia" w:ascii="Times New Roman" w:hAnsi="Times New Roman" w:eastAsia="宋体" w:cs="Times New Roman"/>
          <w:sz w:val="24"/>
          <w:szCs w:val="24"/>
        </w:rPr>
        <w:t>错票处理操作完成。【已审核】中，显示的是错票处理完毕，审核通过的错票信息。</w:t>
      </w:r>
    </w:p>
    <w:p>
      <w:pPr>
        <w:spacing w:line="360" w:lineRule="auto"/>
      </w:pPr>
      <w:r>
        <w:drawing>
          <wp:inline distT="0" distB="0" distL="0" distR="0">
            <wp:extent cx="6144260" cy="3396615"/>
            <wp:effectExtent l="0" t="0" r="254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5"/>
                    <a:stretch>
                      <a:fillRect/>
                    </a:stretch>
                  </pic:blipFill>
                  <pic:spPr>
                    <a:xfrm>
                      <a:off x="0" y="0"/>
                      <a:ext cx="6144260" cy="3396615"/>
                    </a:xfrm>
                    <a:prstGeom prst="rect">
                      <a:avLst/>
                    </a:prstGeom>
                  </pic:spPr>
                </pic:pic>
              </a:graphicData>
            </a:graphic>
          </wp:inline>
        </w:drawing>
      </w:r>
    </w:p>
    <w:p>
      <w:pPr>
        <w:pStyle w:val="11"/>
        <w:spacing w:line="360" w:lineRule="auto"/>
        <w:jc w:val="center"/>
        <w:rPr>
          <w:rFonts w:hint="eastAsia" w:ascii="Times New Roman" w:hAnsi="Times New Roman" w:eastAsia="宋体" w:cs="Times New Roman"/>
        </w:rPr>
      </w:pPr>
      <w:r>
        <w:t xml:space="preserve">图 </w:t>
      </w:r>
      <w:r>
        <w:fldChar w:fldCharType="begin"/>
      </w:r>
      <w:r>
        <w:instrText xml:space="preserve"> SEQ 图 \* ARABIC </w:instrText>
      </w:r>
      <w:r>
        <w:fldChar w:fldCharType="separate"/>
      </w:r>
      <w:r>
        <w:t>27</w:t>
      </w:r>
      <w:r>
        <w:fldChar w:fldCharType="end"/>
      </w:r>
      <w:r>
        <w:rPr>
          <w:rFonts w:hint="eastAsia"/>
          <w:lang w:eastAsia="zh-CN"/>
        </w:rPr>
        <w:t>错票上传</w:t>
      </w:r>
    </w:p>
    <w:p>
      <w:pPr>
        <w:spacing w:line="360" w:lineRule="auto"/>
        <w:ind w:firstLine="420" w:firstLineChars="200"/>
      </w:pPr>
      <w:r>
        <w:rPr>
          <w:rFonts w:ascii="Times New Roman" w:hAnsi="Times New Roman" w:cs="Times New Roman"/>
        </w:rPr>
        <w:t xml:space="preserve"> </w:t>
      </w:r>
      <w:r>
        <w:drawing>
          <wp:inline distT="0" distB="0" distL="0" distR="0">
            <wp:extent cx="6194425" cy="3361055"/>
            <wp:effectExtent l="0" t="0" r="317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6"/>
                    <a:stretch>
                      <a:fillRect/>
                    </a:stretch>
                  </pic:blipFill>
                  <pic:spPr>
                    <a:xfrm>
                      <a:off x="0" y="0"/>
                      <a:ext cx="6194425" cy="3361055"/>
                    </a:xfrm>
                    <a:prstGeom prst="rect">
                      <a:avLst/>
                    </a:prstGeom>
                  </pic:spPr>
                </pic:pic>
              </a:graphicData>
            </a:graphic>
          </wp:inline>
        </w:drawing>
      </w:r>
    </w:p>
    <w:p>
      <w:pPr>
        <w:pStyle w:val="11"/>
        <w:spacing w:line="360" w:lineRule="auto"/>
        <w:ind w:firstLine="400" w:firstLineChars="200"/>
        <w:jc w:val="center"/>
        <w:rPr>
          <w:rFonts w:ascii="Times New Roman" w:hAnsi="Times New Roman" w:eastAsia="宋体" w:cs="Times New Roman"/>
        </w:rPr>
      </w:pPr>
      <w:r>
        <w:t xml:space="preserve">图 </w:t>
      </w:r>
      <w:r>
        <w:fldChar w:fldCharType="begin"/>
      </w:r>
      <w:r>
        <w:instrText xml:space="preserve"> SEQ 图 \* ARABIC </w:instrText>
      </w:r>
      <w:r>
        <w:fldChar w:fldCharType="separate"/>
      </w:r>
      <w:r>
        <w:t>28</w:t>
      </w:r>
      <w:r>
        <w:fldChar w:fldCharType="end"/>
      </w:r>
      <w:r>
        <w:rPr>
          <w:rFonts w:hint="eastAsia"/>
          <w:lang w:eastAsia="zh-CN"/>
        </w:rPr>
        <w:t>上传错票</w:t>
      </w:r>
    </w:p>
    <w:p>
      <w:pPr>
        <w:jc w:val="center"/>
      </w:pPr>
      <w:r>
        <w:drawing>
          <wp:inline distT="0" distB="0" distL="0" distR="0">
            <wp:extent cx="6022340" cy="3396615"/>
            <wp:effectExtent l="0" t="0" r="1016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7"/>
                    <a:stretch>
                      <a:fillRect/>
                    </a:stretch>
                  </pic:blipFill>
                  <pic:spPr>
                    <a:xfrm>
                      <a:off x="0" y="0"/>
                      <a:ext cx="6022340" cy="3396615"/>
                    </a:xfrm>
                    <a:prstGeom prst="rect">
                      <a:avLst/>
                    </a:prstGeom>
                  </pic:spPr>
                </pic:pic>
              </a:graphicData>
            </a:graphic>
          </wp:inline>
        </w:drawing>
      </w:r>
    </w:p>
    <w:p>
      <w:pPr>
        <w:pStyle w:val="11"/>
        <w:jc w:val="center"/>
        <w:rPr>
          <w:rFonts w:hint="eastAsia" w:eastAsiaTheme="minorEastAsia"/>
          <w:lang w:eastAsia="zh-CN"/>
        </w:rPr>
      </w:pPr>
      <w:r>
        <w:t xml:space="preserve">图 </w:t>
      </w:r>
      <w:r>
        <w:fldChar w:fldCharType="begin"/>
      </w:r>
      <w:r>
        <w:instrText xml:space="preserve"> SEQ 图 \* ARABIC </w:instrText>
      </w:r>
      <w:r>
        <w:fldChar w:fldCharType="separate"/>
      </w:r>
      <w:r>
        <w:t>29</w:t>
      </w:r>
      <w:r>
        <w:fldChar w:fldCharType="end"/>
      </w:r>
      <w:r>
        <w:rPr>
          <w:rFonts w:hint="eastAsia"/>
          <w:lang w:eastAsia="zh-CN"/>
        </w:rPr>
        <w:t>已审核错票信息</w:t>
      </w:r>
    </w:p>
    <w:p>
      <w:p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注意事项：</w:t>
      </w:r>
    </w:p>
    <w:p>
      <w:pPr>
        <w:pStyle w:val="41"/>
        <w:spacing w:line="360" w:lineRule="auto"/>
        <w:ind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1.错票处理在该车辆过重打票后1小时内操作，系统自动审核通过</w:t>
      </w:r>
      <w:r>
        <w:rPr>
          <w:rFonts w:ascii="Times New Roman" w:hAnsi="Times New Roman" w:eastAsia="宋体" w:cs="Times New Roman"/>
          <w:sz w:val="24"/>
          <w:szCs w:val="24"/>
        </w:rPr>
        <w:t>；</w:t>
      </w:r>
    </w:p>
    <w:p>
      <w:pPr>
        <w:pStyle w:val="41"/>
        <w:spacing w:line="360" w:lineRule="auto"/>
        <w:ind w:firstLine="0" w:firstLineChars="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2.错票处理在该车辆过重打票后超过1小时操作的，需能源局或所属煤管站审核通过</w:t>
      </w:r>
      <w:r>
        <w:rPr>
          <w:rFonts w:ascii="Times New Roman" w:hAnsi="Times New Roman" w:eastAsia="宋体" w:cs="Times New Roman"/>
          <w:sz w:val="24"/>
          <w:szCs w:val="24"/>
        </w:rPr>
        <w:t>；</w:t>
      </w:r>
    </w:p>
    <w:p>
      <w:pPr>
        <w:pStyle w:val="3"/>
        <w:numPr>
          <w:ilvl w:val="1"/>
          <w:numId w:val="2"/>
        </w:numPr>
        <w:bidi w:val="0"/>
        <w:ind w:left="567" w:leftChars="0" w:hanging="567" w:firstLineChars="0"/>
        <w:rPr>
          <w:rFonts w:hint="eastAsia"/>
        </w:rPr>
      </w:pPr>
      <w:bookmarkStart w:id="76" w:name="_Toc17590"/>
      <w:r>
        <w:rPr>
          <w:rFonts w:hint="eastAsia"/>
        </w:rPr>
        <w:t>错票续开</w:t>
      </w:r>
      <w:bookmarkEnd w:id="76"/>
    </w:p>
    <w:p>
      <w:pPr>
        <w:spacing w:line="360" w:lineRule="auto"/>
        <w:rPr>
          <w:rFonts w:hint="eastAsia" w:ascii="Times New Roman" w:hAnsi="Times New Roman" w:eastAsia="宋体" w:cs="Times New Roman"/>
          <w:b/>
          <w:sz w:val="24"/>
          <w:szCs w:val="24"/>
        </w:rPr>
      </w:pPr>
      <w:r>
        <w:rPr>
          <w:rFonts w:ascii="Times New Roman" w:hAnsi="Times New Roman" w:eastAsia="宋体" w:cs="Times New Roman"/>
          <w:b/>
          <w:sz w:val="24"/>
          <w:szCs w:val="24"/>
        </w:rPr>
        <w:t>操作角色：</w:t>
      </w:r>
      <w:r>
        <w:rPr>
          <w:rFonts w:hint="eastAsia" w:ascii="Times New Roman" w:hAnsi="Times New Roman" w:eastAsia="宋体" w:cs="Times New Roman"/>
          <w:sz w:val="24"/>
          <w:szCs w:val="24"/>
        </w:rPr>
        <w:t>司磅员、票管员</w:t>
      </w:r>
    </w:p>
    <w:p>
      <w:pPr>
        <w:spacing w:line="360" w:lineRule="auto"/>
        <w:rPr>
          <w:rFonts w:ascii="Times New Roman" w:hAnsi="Times New Roman" w:eastAsia="宋体" w:cs="Times New Roman"/>
          <w:sz w:val="24"/>
          <w:szCs w:val="24"/>
        </w:rPr>
      </w:pPr>
      <w:r>
        <w:rPr>
          <w:rFonts w:ascii="Times New Roman" w:hAnsi="Times New Roman" w:eastAsia="宋体" w:cs="Times New Roman"/>
          <w:b/>
          <w:sz w:val="24"/>
          <w:szCs w:val="24"/>
        </w:rPr>
        <w:t>业务活动：</w:t>
      </w:r>
      <w:r>
        <w:rPr>
          <w:rFonts w:hint="eastAsia" w:ascii="Times New Roman" w:hAnsi="Times New Roman" w:eastAsia="宋体" w:cs="Times New Roman"/>
          <w:sz w:val="24"/>
          <w:szCs w:val="24"/>
        </w:rPr>
        <w:t>对错票进行错票续开操作，</w:t>
      </w:r>
      <w:r>
        <w:rPr>
          <w:rFonts w:ascii="Times New Roman" w:hAnsi="Times New Roman" w:eastAsia="宋体" w:cs="Times New Roman"/>
          <w:sz w:val="24"/>
          <w:szCs w:val="24"/>
        </w:rPr>
        <w:t xml:space="preserve"> </w:t>
      </w:r>
    </w:p>
    <w:p>
      <w:p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业务操作说明：</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w:t>
      </w:r>
      <w:r>
        <w:rPr>
          <w:rFonts w:hint="eastAsia" w:ascii="Times New Roman" w:hAnsi="Times New Roman" w:eastAsia="宋体" w:cs="Times New Roman"/>
          <w:sz w:val="24"/>
          <w:szCs w:val="24"/>
        </w:rPr>
        <w:t>错票续开</w:t>
      </w:r>
      <w:r>
        <w:rPr>
          <w:rFonts w:ascii="Times New Roman" w:hAnsi="Times New Roman" w:eastAsia="宋体" w:cs="Times New Roman"/>
          <w:sz w:val="24"/>
          <w:szCs w:val="24"/>
        </w:rPr>
        <w:t>】中，</w:t>
      </w:r>
      <w:r>
        <w:rPr>
          <w:rFonts w:hint="eastAsia" w:ascii="Times New Roman" w:hAnsi="Times New Roman" w:eastAsia="宋体" w:cs="Times New Roman"/>
          <w:sz w:val="24"/>
          <w:szCs w:val="24"/>
        </w:rPr>
        <w:t>输入错票号码后，系统自动显示出车票号、皮重、毛重、净重、煤种、销售机构、单价、总价、客户名称、入矿时间、出矿时间，再通过选择煤票号、运往地、详细运往地，确认续开信息后点击【提交】，错票续开操作完成</w:t>
      </w:r>
      <w:r>
        <w:rPr>
          <w:rFonts w:ascii="Times New Roman" w:hAnsi="Times New Roman" w:eastAsia="宋体" w:cs="Times New Roman"/>
          <w:sz w:val="24"/>
          <w:szCs w:val="24"/>
        </w:rPr>
        <w:t>。</w:t>
      </w:r>
    </w:p>
    <w:p>
      <w:pPr>
        <w:spacing w:line="360" w:lineRule="auto"/>
      </w:pPr>
      <w:r>
        <w:drawing>
          <wp:inline distT="0" distB="0" distL="0" distR="0">
            <wp:extent cx="6181725" cy="3396615"/>
            <wp:effectExtent l="0" t="0" r="3175"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8"/>
                    <a:stretch>
                      <a:fillRect/>
                    </a:stretch>
                  </pic:blipFill>
                  <pic:spPr>
                    <a:xfrm>
                      <a:off x="0" y="0"/>
                      <a:ext cx="6181725" cy="3396615"/>
                    </a:xfrm>
                    <a:prstGeom prst="rect">
                      <a:avLst/>
                    </a:prstGeom>
                  </pic:spPr>
                </pic:pic>
              </a:graphicData>
            </a:graphic>
          </wp:inline>
        </w:drawing>
      </w:r>
    </w:p>
    <w:p>
      <w:pPr>
        <w:pStyle w:val="11"/>
        <w:spacing w:line="360" w:lineRule="auto"/>
        <w:jc w:val="center"/>
        <w:rPr>
          <w:rFonts w:hint="eastAsia" w:eastAsiaTheme="minorEastAsia"/>
          <w:lang w:eastAsia="zh-CN"/>
        </w:rPr>
      </w:pPr>
      <w:r>
        <w:t xml:space="preserve">图 </w:t>
      </w:r>
      <w:r>
        <w:fldChar w:fldCharType="begin"/>
      </w:r>
      <w:r>
        <w:instrText xml:space="preserve"> SEQ 图 \* ARABIC </w:instrText>
      </w:r>
      <w:r>
        <w:fldChar w:fldCharType="separate"/>
      </w:r>
      <w:r>
        <w:t>30</w:t>
      </w:r>
      <w:r>
        <w:fldChar w:fldCharType="end"/>
      </w:r>
      <w:r>
        <w:rPr>
          <w:rFonts w:hint="eastAsia"/>
          <w:lang w:eastAsia="zh-CN"/>
        </w:rPr>
        <w:t>错票续开</w:t>
      </w:r>
    </w:p>
    <w:p>
      <w:p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注意事项：</w:t>
      </w:r>
    </w:p>
    <w:p>
      <w:pPr>
        <w:pStyle w:val="41"/>
        <w:spacing w:line="360" w:lineRule="auto"/>
        <w:ind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1.错票续开：</w:t>
      </w:r>
    </w:p>
    <w:p>
      <w:pPr>
        <w:pStyle w:val="41"/>
        <w:spacing w:line="360" w:lineRule="auto"/>
        <w:ind w:firstLine="0" w:firstLineChars="0"/>
        <w:rPr>
          <w:rFonts w:hint="eastAsia" w:ascii="Times New Roman" w:hAnsi="Times New Roman" w:eastAsia="宋体" w:cs="Times New Roman"/>
        </w:rPr>
      </w:pPr>
      <w:r>
        <w:rPr>
          <w:rFonts w:hint="eastAsia" w:ascii="Times New Roman" w:hAnsi="Times New Roman" w:eastAsia="宋体" w:cs="Times New Roman"/>
          <w:sz w:val="24"/>
          <w:szCs w:val="24"/>
        </w:rPr>
        <w:t>可续开的错票分为为：</w:t>
      </w:r>
      <w:r>
        <w:rPr>
          <w:rFonts w:ascii="Times New Roman" w:hAnsi="Times New Roman" w:eastAsia="宋体" w:cs="Times New Roman"/>
          <w:sz w:val="24"/>
          <w:szCs w:val="24"/>
        </w:rPr>
        <w:br w:type="textWrapping"/>
      </w:r>
      <w:r>
        <w:rPr>
          <w:rFonts w:hint="eastAsia" w:ascii="Times New Roman" w:hAnsi="Times New Roman" w:eastAsia="宋体" w:cs="Times New Roman"/>
          <w:sz w:val="24"/>
          <w:szCs w:val="24"/>
        </w:rPr>
        <w:t>（1）票据打印后字迹模糊、或将票据撕破</w:t>
      </w:r>
      <w:r>
        <w:rPr>
          <w:rFonts w:ascii="Times New Roman" w:hAnsi="Times New Roman" w:eastAsia="宋体" w:cs="Times New Roman"/>
          <w:sz w:val="24"/>
          <w:szCs w:val="24"/>
        </w:rPr>
        <w:br w:type="textWrapping"/>
      </w:r>
      <w:r>
        <w:rPr>
          <w:rFonts w:hint="eastAsia" w:ascii="Times New Roman" w:hAnsi="Times New Roman" w:eastAsia="宋体" w:cs="Times New Roman"/>
          <w:sz w:val="24"/>
          <w:szCs w:val="24"/>
        </w:rPr>
        <w:t>（2）运往地选择错误</w:t>
      </w:r>
      <w:r>
        <w:rPr>
          <w:rFonts w:ascii="Times New Roman" w:hAnsi="Times New Roman" w:eastAsia="宋体" w:cs="Times New Roman"/>
          <w:sz w:val="24"/>
          <w:szCs w:val="24"/>
        </w:rPr>
        <w:br w:type="textWrapping"/>
      </w:r>
      <w:r>
        <w:rPr>
          <w:rFonts w:hint="eastAsia" w:ascii="Times New Roman" w:hAnsi="Times New Roman" w:eastAsia="宋体" w:cs="Times New Roman"/>
          <w:sz w:val="24"/>
          <w:szCs w:val="24"/>
        </w:rPr>
        <w:t>（3）错票续开，除煤票号、运往地可修改，其他信息皆不能修改。</w:t>
      </w:r>
    </w:p>
    <w:p>
      <w:pPr>
        <w:pStyle w:val="3"/>
        <w:numPr>
          <w:ilvl w:val="1"/>
          <w:numId w:val="2"/>
        </w:numPr>
        <w:bidi w:val="0"/>
        <w:ind w:left="567" w:leftChars="0" w:hanging="567" w:firstLineChars="0"/>
        <w:rPr>
          <w:rFonts w:hint="eastAsia"/>
        </w:rPr>
      </w:pPr>
      <w:bookmarkStart w:id="77" w:name="_Toc15954"/>
      <w:r>
        <w:rPr>
          <w:rFonts w:hint="eastAsia"/>
        </w:rPr>
        <w:t>煤票缴销回收</w:t>
      </w:r>
      <w:bookmarkEnd w:id="77"/>
    </w:p>
    <w:p>
      <w:p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操作角色：</w:t>
      </w:r>
      <w:r>
        <w:rPr>
          <w:rFonts w:hint="eastAsia" w:ascii="Times New Roman" w:hAnsi="Times New Roman" w:eastAsia="宋体" w:cs="Times New Roman"/>
          <w:sz w:val="24"/>
          <w:szCs w:val="24"/>
        </w:rPr>
        <w:t>票管员</w:t>
      </w:r>
    </w:p>
    <w:p>
      <w:pPr>
        <w:spacing w:line="360" w:lineRule="auto"/>
        <w:rPr>
          <w:rFonts w:ascii="Times New Roman" w:hAnsi="Times New Roman" w:eastAsia="宋体" w:cs="Times New Roman"/>
          <w:sz w:val="24"/>
          <w:szCs w:val="24"/>
        </w:rPr>
      </w:pPr>
      <w:r>
        <w:rPr>
          <w:rFonts w:ascii="Times New Roman" w:hAnsi="Times New Roman" w:eastAsia="宋体" w:cs="Times New Roman"/>
          <w:b/>
          <w:sz w:val="24"/>
          <w:szCs w:val="24"/>
        </w:rPr>
        <w:t>业务活动：</w:t>
      </w:r>
      <w:r>
        <w:rPr>
          <w:rFonts w:hint="eastAsia" w:ascii="Times New Roman" w:hAnsi="Times New Roman" w:eastAsia="宋体" w:cs="Times New Roman"/>
          <w:sz w:val="24"/>
          <w:szCs w:val="24"/>
        </w:rPr>
        <w:t>对使用完毕的整本煤票向上级单位进行缴销回收</w:t>
      </w:r>
      <w:r>
        <w:rPr>
          <w:rFonts w:ascii="Times New Roman" w:hAnsi="Times New Roman" w:eastAsia="宋体" w:cs="Times New Roman"/>
          <w:sz w:val="24"/>
          <w:szCs w:val="24"/>
        </w:rPr>
        <w:t xml:space="preserve"> </w:t>
      </w:r>
    </w:p>
    <w:p>
      <w:p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业务操作说明：</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在【煤票</w:t>
      </w:r>
      <w:r>
        <w:rPr>
          <w:rFonts w:hint="eastAsia" w:ascii="Times New Roman" w:hAnsi="Times New Roman" w:eastAsia="宋体" w:cs="Times New Roman"/>
          <w:sz w:val="24"/>
          <w:szCs w:val="24"/>
        </w:rPr>
        <w:t>缴销回收</w:t>
      </w:r>
      <w:r>
        <w:rPr>
          <w:rFonts w:ascii="Times New Roman" w:hAnsi="Times New Roman" w:eastAsia="宋体" w:cs="Times New Roman"/>
          <w:sz w:val="24"/>
          <w:szCs w:val="24"/>
        </w:rPr>
        <w:t>】中，</w:t>
      </w:r>
      <w:r>
        <w:rPr>
          <w:rFonts w:hint="eastAsia" w:ascii="Times New Roman" w:hAnsi="Times New Roman" w:eastAsia="宋体" w:cs="Times New Roman"/>
          <w:sz w:val="24"/>
          <w:szCs w:val="24"/>
        </w:rPr>
        <w:t>选中需要缴销的整本煤票，点击右侧的打印封皮，点击【导出报表】导出本次选中的整本煤票的汇总信息，点击【缴销】缴销本次选中的整本煤票，煤票缴销回收完成</w:t>
      </w:r>
      <w:r>
        <w:rPr>
          <w:rFonts w:ascii="Times New Roman" w:hAnsi="Times New Roman" w:eastAsia="宋体" w:cs="Times New Roman"/>
          <w:sz w:val="24"/>
          <w:szCs w:val="24"/>
        </w:rPr>
        <w:t>。</w:t>
      </w:r>
    </w:p>
    <w:p>
      <w:pPr>
        <w:spacing w:line="360" w:lineRule="auto"/>
      </w:pPr>
      <w:r>
        <w:drawing>
          <wp:inline distT="0" distB="0" distL="0" distR="0">
            <wp:extent cx="6195060" cy="3396615"/>
            <wp:effectExtent l="0" t="0" r="254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9"/>
                    <a:stretch>
                      <a:fillRect/>
                    </a:stretch>
                  </pic:blipFill>
                  <pic:spPr>
                    <a:xfrm>
                      <a:off x="0" y="0"/>
                      <a:ext cx="6195060" cy="3396615"/>
                    </a:xfrm>
                    <a:prstGeom prst="rect">
                      <a:avLst/>
                    </a:prstGeom>
                  </pic:spPr>
                </pic:pic>
              </a:graphicData>
            </a:graphic>
          </wp:inline>
        </w:drawing>
      </w:r>
    </w:p>
    <w:p>
      <w:pPr>
        <w:pStyle w:val="11"/>
        <w:spacing w:line="360" w:lineRule="auto"/>
        <w:jc w:val="center"/>
        <w:rPr>
          <w:rFonts w:hint="eastAsia" w:eastAsiaTheme="minorEastAsia"/>
          <w:lang w:eastAsia="zh-CN"/>
        </w:rPr>
      </w:pPr>
      <w:r>
        <w:t xml:space="preserve">图 </w:t>
      </w:r>
      <w:r>
        <w:fldChar w:fldCharType="begin"/>
      </w:r>
      <w:r>
        <w:instrText xml:space="preserve"> SEQ 图 \* ARABIC </w:instrText>
      </w:r>
      <w:r>
        <w:fldChar w:fldCharType="separate"/>
      </w:r>
      <w:r>
        <w:t>31</w:t>
      </w:r>
      <w:r>
        <w:fldChar w:fldCharType="end"/>
      </w:r>
      <w:r>
        <w:rPr>
          <w:rFonts w:hint="eastAsia"/>
          <w:lang w:eastAsia="zh-CN"/>
        </w:rPr>
        <w:t>煤票缴销回收</w:t>
      </w:r>
    </w:p>
    <w:p>
      <w:pPr>
        <w:jc w:val="center"/>
      </w:pPr>
      <w:r>
        <w:drawing>
          <wp:inline distT="0" distB="0" distL="0" distR="0">
            <wp:extent cx="6213475" cy="3923030"/>
            <wp:effectExtent l="0" t="0" r="9525"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0"/>
                    <a:stretch>
                      <a:fillRect/>
                    </a:stretch>
                  </pic:blipFill>
                  <pic:spPr>
                    <a:xfrm>
                      <a:off x="0" y="0"/>
                      <a:ext cx="6213475" cy="3923030"/>
                    </a:xfrm>
                    <a:prstGeom prst="rect">
                      <a:avLst/>
                    </a:prstGeom>
                  </pic:spPr>
                </pic:pic>
              </a:graphicData>
            </a:graphic>
          </wp:inline>
        </w:drawing>
      </w:r>
    </w:p>
    <w:p>
      <w:pPr>
        <w:pStyle w:val="11"/>
        <w:jc w:val="center"/>
        <w:rPr>
          <w:rFonts w:hint="eastAsia" w:eastAsiaTheme="minorEastAsia"/>
          <w:lang w:eastAsia="zh-CN"/>
        </w:rPr>
      </w:pPr>
      <w:r>
        <w:t xml:space="preserve">图 </w:t>
      </w:r>
      <w:r>
        <w:fldChar w:fldCharType="begin"/>
      </w:r>
      <w:r>
        <w:instrText xml:space="preserve"> SEQ 图 \* ARABIC </w:instrText>
      </w:r>
      <w:r>
        <w:fldChar w:fldCharType="separate"/>
      </w:r>
      <w:r>
        <w:t>32</w:t>
      </w:r>
      <w:r>
        <w:fldChar w:fldCharType="end"/>
      </w:r>
      <w:r>
        <w:rPr>
          <w:rFonts w:hint="eastAsia"/>
          <w:lang w:eastAsia="zh-CN"/>
        </w:rPr>
        <w:t>打印封皮</w:t>
      </w:r>
    </w:p>
    <w:p>
      <w:pPr>
        <w:pStyle w:val="3"/>
        <w:numPr>
          <w:ilvl w:val="1"/>
          <w:numId w:val="2"/>
        </w:numPr>
        <w:bidi w:val="0"/>
        <w:ind w:left="567" w:leftChars="0" w:hanging="567" w:firstLineChars="0"/>
        <w:rPr>
          <w:rFonts w:hint="eastAsia"/>
        </w:rPr>
      </w:pPr>
      <w:bookmarkStart w:id="78" w:name="_Toc32437"/>
      <w:r>
        <w:rPr>
          <w:rFonts w:hint="eastAsia"/>
        </w:rPr>
        <w:t>手动缴销</w:t>
      </w:r>
      <w:bookmarkEnd w:id="78"/>
    </w:p>
    <w:p>
      <w:pPr>
        <w:spacing w:line="360" w:lineRule="auto"/>
        <w:rPr>
          <w:rFonts w:hint="eastAsia" w:ascii="Times New Roman" w:hAnsi="Times New Roman" w:eastAsia="宋体" w:cs="Times New Roman"/>
          <w:b/>
          <w:sz w:val="24"/>
          <w:szCs w:val="24"/>
        </w:rPr>
      </w:pPr>
      <w:r>
        <w:rPr>
          <w:rFonts w:ascii="Times New Roman" w:hAnsi="Times New Roman" w:eastAsia="宋体" w:cs="Times New Roman"/>
          <w:b/>
          <w:sz w:val="24"/>
          <w:szCs w:val="24"/>
        </w:rPr>
        <w:t>操作角色：</w:t>
      </w:r>
      <w:r>
        <w:rPr>
          <w:rFonts w:hint="eastAsia" w:ascii="Times New Roman" w:hAnsi="Times New Roman" w:eastAsia="宋体" w:cs="Times New Roman"/>
          <w:sz w:val="24"/>
          <w:szCs w:val="24"/>
        </w:rPr>
        <w:t>票管员</w:t>
      </w:r>
    </w:p>
    <w:p>
      <w:pPr>
        <w:spacing w:line="360" w:lineRule="auto"/>
        <w:rPr>
          <w:rFonts w:ascii="Times New Roman" w:hAnsi="Times New Roman" w:eastAsia="宋体" w:cs="Times New Roman"/>
          <w:sz w:val="24"/>
          <w:szCs w:val="24"/>
        </w:rPr>
      </w:pPr>
      <w:r>
        <w:rPr>
          <w:rFonts w:ascii="Times New Roman" w:hAnsi="Times New Roman" w:eastAsia="宋体" w:cs="Times New Roman"/>
          <w:b/>
          <w:sz w:val="24"/>
          <w:szCs w:val="24"/>
        </w:rPr>
        <w:t>业务活动：</w:t>
      </w:r>
      <w:r>
        <w:rPr>
          <w:rFonts w:hint="eastAsia" w:ascii="Times New Roman" w:hAnsi="Times New Roman" w:eastAsia="宋体" w:cs="Times New Roman"/>
          <w:sz w:val="24"/>
          <w:szCs w:val="24"/>
        </w:rPr>
        <w:t>缴销非整本煤票使用</w:t>
      </w:r>
      <w:r>
        <w:rPr>
          <w:rFonts w:ascii="Times New Roman" w:hAnsi="Times New Roman" w:eastAsia="宋体" w:cs="Times New Roman"/>
          <w:sz w:val="24"/>
          <w:szCs w:val="24"/>
        </w:rPr>
        <w:t xml:space="preserve"> </w:t>
      </w:r>
    </w:p>
    <w:p>
      <w:p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业务操作说明：</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w:t>
      </w:r>
      <w:r>
        <w:rPr>
          <w:rFonts w:hint="eastAsia" w:ascii="Times New Roman" w:hAnsi="Times New Roman" w:eastAsia="宋体" w:cs="Times New Roman"/>
          <w:sz w:val="24"/>
          <w:szCs w:val="24"/>
        </w:rPr>
        <w:t>手动缴销</w:t>
      </w:r>
      <w:r>
        <w:rPr>
          <w:rFonts w:ascii="Times New Roman" w:hAnsi="Times New Roman" w:eastAsia="宋体" w:cs="Times New Roman"/>
          <w:sz w:val="24"/>
          <w:szCs w:val="24"/>
        </w:rPr>
        <w:t>】中，</w:t>
      </w:r>
      <w:r>
        <w:rPr>
          <w:rFonts w:hint="eastAsia" w:ascii="Times New Roman" w:hAnsi="Times New Roman" w:eastAsia="宋体" w:cs="Times New Roman"/>
          <w:sz w:val="24"/>
          <w:szCs w:val="24"/>
        </w:rPr>
        <w:t>输入起始号、终止号，系统自动显示数量、吨数、煤票种类，确认信息后点击提交，手动缴销完成</w:t>
      </w:r>
      <w:r>
        <w:rPr>
          <w:rFonts w:ascii="Times New Roman" w:hAnsi="Times New Roman" w:eastAsia="宋体" w:cs="Times New Roman"/>
          <w:sz w:val="24"/>
          <w:szCs w:val="24"/>
        </w:rPr>
        <w:t>。</w:t>
      </w:r>
    </w:p>
    <w:p>
      <w:pPr>
        <w:spacing w:line="360" w:lineRule="auto"/>
      </w:pPr>
      <w:r>
        <w:drawing>
          <wp:inline distT="0" distB="0" distL="0" distR="0">
            <wp:extent cx="6264910" cy="3396615"/>
            <wp:effectExtent l="0" t="0" r="889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1"/>
                    <a:stretch>
                      <a:fillRect/>
                    </a:stretch>
                  </pic:blipFill>
                  <pic:spPr>
                    <a:xfrm>
                      <a:off x="0" y="0"/>
                      <a:ext cx="6264910" cy="3396615"/>
                    </a:xfrm>
                    <a:prstGeom prst="rect">
                      <a:avLst/>
                    </a:prstGeom>
                  </pic:spPr>
                </pic:pic>
              </a:graphicData>
            </a:graphic>
          </wp:inline>
        </w:drawing>
      </w:r>
    </w:p>
    <w:p>
      <w:pPr>
        <w:pStyle w:val="11"/>
        <w:spacing w:line="360" w:lineRule="auto"/>
        <w:jc w:val="center"/>
        <w:rPr>
          <w:rFonts w:ascii="Times New Roman" w:hAnsi="Times New Roman" w:eastAsia="宋体" w:cs="Times New Roman"/>
        </w:rPr>
      </w:pPr>
      <w:r>
        <w:t xml:space="preserve">图 </w:t>
      </w:r>
      <w:r>
        <w:fldChar w:fldCharType="begin"/>
      </w:r>
      <w:r>
        <w:instrText xml:space="preserve"> SEQ 图 \* ARABIC </w:instrText>
      </w:r>
      <w:r>
        <w:fldChar w:fldCharType="separate"/>
      </w:r>
      <w:r>
        <w:t>33</w:t>
      </w:r>
      <w:r>
        <w:fldChar w:fldCharType="end"/>
      </w:r>
      <w:r>
        <w:rPr>
          <w:rFonts w:hint="eastAsia"/>
          <w:lang w:eastAsia="zh-CN"/>
        </w:rPr>
        <w:t>手动缴销</w:t>
      </w:r>
    </w:p>
    <w:p>
      <w:pPr>
        <w:pStyle w:val="2"/>
        <w:pageBreakBefore/>
        <w:numPr>
          <w:ilvl w:val="0"/>
          <w:numId w:val="2"/>
        </w:numPr>
        <w:ind w:left="425" w:leftChars="0" w:hanging="425" w:firstLineChars="0"/>
        <w:rPr>
          <w:rFonts w:hint="eastAsia" w:ascii="Times New Roman" w:hAnsi="Times New Roman" w:cs="Times New Roman"/>
        </w:rPr>
      </w:pPr>
      <w:bookmarkStart w:id="79" w:name="_Toc8221"/>
      <w:bookmarkStart w:id="80" w:name="_Toc481605388"/>
      <w:bookmarkStart w:id="81" w:name="_Toc481605554"/>
      <w:bookmarkStart w:id="82" w:name="_Toc20187"/>
      <w:bookmarkStart w:id="83" w:name="_Toc481605458"/>
      <w:r>
        <w:rPr>
          <w:rFonts w:hint="eastAsia" w:ascii="Times New Roman" w:hAnsi="Times New Roman" w:cs="Times New Roman"/>
        </w:rPr>
        <w:t>监管统计</w:t>
      </w:r>
      <w:bookmarkEnd w:id="79"/>
      <w:bookmarkEnd w:id="80"/>
      <w:bookmarkEnd w:id="81"/>
      <w:bookmarkEnd w:id="82"/>
      <w:bookmarkEnd w:id="83"/>
    </w:p>
    <w:p>
      <w:pPr>
        <w:pStyle w:val="3"/>
        <w:numPr>
          <w:ilvl w:val="1"/>
          <w:numId w:val="2"/>
        </w:numPr>
        <w:bidi w:val="0"/>
        <w:ind w:left="567" w:leftChars="0" w:hanging="567" w:firstLineChars="0"/>
        <w:rPr>
          <w:rFonts w:hint="eastAsia"/>
        </w:rPr>
      </w:pPr>
      <w:bookmarkStart w:id="84" w:name="_Toc481605389"/>
      <w:bookmarkStart w:id="85" w:name="_Toc481605555"/>
      <w:bookmarkStart w:id="86" w:name="_Toc3405"/>
      <w:bookmarkStart w:id="87" w:name="_Toc481605459"/>
      <w:bookmarkStart w:id="88" w:name="_Toc5534"/>
      <w:r>
        <w:rPr>
          <w:rFonts w:hint="eastAsia"/>
        </w:rPr>
        <w:t>机构</w:t>
      </w:r>
      <w:r>
        <w:t>销售</w:t>
      </w:r>
      <w:bookmarkEnd w:id="84"/>
      <w:bookmarkEnd w:id="85"/>
      <w:bookmarkEnd w:id="86"/>
      <w:bookmarkEnd w:id="87"/>
      <w:r>
        <w:rPr>
          <w:rFonts w:hint="eastAsia"/>
        </w:rPr>
        <w:t>统计</w:t>
      </w:r>
      <w:bookmarkEnd w:id="88"/>
    </w:p>
    <w:p>
      <w:pPr>
        <w:spacing w:line="360" w:lineRule="auto"/>
        <w:rPr>
          <w:rFonts w:hint="default" w:ascii="Times New Roman" w:hAnsi="Times New Roman" w:eastAsia="宋体" w:cs="Times New Roman"/>
          <w:b/>
          <w:sz w:val="24"/>
          <w:szCs w:val="24"/>
          <w:lang w:val="en-US" w:eastAsia="zh-CN"/>
        </w:rPr>
      </w:pPr>
      <w:r>
        <w:rPr>
          <w:rFonts w:ascii="Times New Roman" w:hAnsi="Times New Roman" w:eastAsia="宋体" w:cs="Times New Roman"/>
          <w:b/>
          <w:sz w:val="24"/>
          <w:szCs w:val="24"/>
        </w:rPr>
        <w:t>操作角色：</w:t>
      </w:r>
      <w:r>
        <w:rPr>
          <w:rFonts w:hint="eastAsia" w:ascii="Times New Roman" w:hAnsi="Times New Roman" w:eastAsia="宋体" w:cs="Times New Roman"/>
          <w:sz w:val="24"/>
          <w:szCs w:val="24"/>
        </w:rPr>
        <w:t>票管员</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企业销售</w:t>
      </w:r>
    </w:p>
    <w:p>
      <w:pPr>
        <w:spacing w:line="360" w:lineRule="auto"/>
        <w:rPr>
          <w:rFonts w:ascii="Times New Roman" w:hAnsi="Times New Roman" w:eastAsia="宋体" w:cs="Times New Roman"/>
          <w:sz w:val="24"/>
          <w:szCs w:val="24"/>
        </w:rPr>
      </w:pPr>
      <w:r>
        <w:rPr>
          <w:rFonts w:ascii="Times New Roman" w:hAnsi="Times New Roman" w:eastAsia="宋体" w:cs="Times New Roman"/>
          <w:b/>
          <w:sz w:val="24"/>
          <w:szCs w:val="24"/>
        </w:rPr>
        <w:t>业务活动：</w:t>
      </w:r>
      <w:r>
        <w:rPr>
          <w:rFonts w:ascii="Times New Roman" w:hAnsi="Times New Roman" w:eastAsia="宋体" w:cs="Times New Roman"/>
          <w:sz w:val="24"/>
          <w:szCs w:val="24"/>
        </w:rPr>
        <w:t>对</w:t>
      </w:r>
      <w:r>
        <w:rPr>
          <w:rFonts w:hint="eastAsia" w:ascii="Times New Roman" w:hAnsi="Times New Roman" w:eastAsia="宋体" w:cs="Times New Roman"/>
          <w:sz w:val="24"/>
          <w:szCs w:val="24"/>
        </w:rPr>
        <w:t>本机构</w:t>
      </w:r>
      <w:r>
        <w:rPr>
          <w:rFonts w:ascii="Times New Roman" w:hAnsi="Times New Roman" w:eastAsia="宋体" w:cs="Times New Roman"/>
          <w:sz w:val="24"/>
          <w:szCs w:val="24"/>
        </w:rPr>
        <w:t>销售</w:t>
      </w:r>
      <w:r>
        <w:rPr>
          <w:rFonts w:hint="eastAsia" w:ascii="Times New Roman" w:hAnsi="Times New Roman" w:eastAsia="宋体" w:cs="Times New Roman"/>
          <w:sz w:val="24"/>
          <w:szCs w:val="24"/>
        </w:rPr>
        <w:t>信息</w:t>
      </w:r>
      <w:r>
        <w:rPr>
          <w:rFonts w:ascii="Times New Roman" w:hAnsi="Times New Roman" w:eastAsia="宋体" w:cs="Times New Roman"/>
          <w:sz w:val="24"/>
          <w:szCs w:val="24"/>
        </w:rPr>
        <w:t>进行</w:t>
      </w:r>
      <w:r>
        <w:rPr>
          <w:rFonts w:hint="eastAsia" w:ascii="Times New Roman" w:hAnsi="Times New Roman" w:eastAsia="宋体" w:cs="Times New Roman"/>
          <w:sz w:val="24"/>
          <w:szCs w:val="24"/>
        </w:rPr>
        <w:t>汇总</w:t>
      </w:r>
      <w:r>
        <w:rPr>
          <w:rFonts w:ascii="Times New Roman" w:hAnsi="Times New Roman" w:eastAsia="宋体" w:cs="Times New Roman"/>
          <w:sz w:val="24"/>
          <w:szCs w:val="24"/>
        </w:rPr>
        <w:t>统计</w:t>
      </w:r>
    </w:p>
    <w:p>
      <w:p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业务操作说明：</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在左侧导航栏的【</w:t>
      </w:r>
      <w:r>
        <w:rPr>
          <w:rFonts w:hint="eastAsia" w:ascii="Times New Roman" w:hAnsi="Times New Roman" w:eastAsia="宋体" w:cs="Times New Roman"/>
          <w:sz w:val="24"/>
          <w:szCs w:val="24"/>
        </w:rPr>
        <w:t>监管</w:t>
      </w:r>
      <w:r>
        <w:rPr>
          <w:rFonts w:ascii="Times New Roman" w:hAnsi="Times New Roman" w:eastAsia="宋体" w:cs="Times New Roman"/>
          <w:sz w:val="24"/>
          <w:szCs w:val="24"/>
        </w:rPr>
        <w:t>统计】中，点击 【</w:t>
      </w:r>
      <w:r>
        <w:rPr>
          <w:rFonts w:hint="eastAsia" w:ascii="Times New Roman" w:hAnsi="Times New Roman" w:eastAsia="宋体" w:cs="Times New Roman"/>
          <w:sz w:val="24"/>
          <w:szCs w:val="24"/>
        </w:rPr>
        <w:t>机构销售统计</w:t>
      </w:r>
      <w:r>
        <w:rPr>
          <w:rFonts w:ascii="Times New Roman" w:hAnsi="Times New Roman" w:eastAsia="宋体" w:cs="Times New Roman"/>
          <w:sz w:val="24"/>
          <w:szCs w:val="24"/>
        </w:rPr>
        <w:t>】进入</w:t>
      </w:r>
      <w:r>
        <w:rPr>
          <w:rFonts w:hint="eastAsia" w:ascii="Times New Roman" w:hAnsi="Times New Roman" w:eastAsia="宋体" w:cs="Times New Roman"/>
          <w:sz w:val="24"/>
          <w:szCs w:val="24"/>
        </w:rPr>
        <w:t>机构销售统计</w:t>
      </w:r>
      <w:r>
        <w:rPr>
          <w:rFonts w:ascii="Times New Roman" w:hAnsi="Times New Roman" w:eastAsia="宋体" w:cs="Times New Roman"/>
          <w:sz w:val="24"/>
          <w:szCs w:val="24"/>
        </w:rPr>
        <w:t>的操作页面，用户通过时间</w:t>
      </w:r>
      <w:r>
        <w:rPr>
          <w:rFonts w:hint="eastAsia" w:ascii="Times New Roman" w:hAnsi="Times New Roman" w:eastAsia="宋体" w:cs="Times New Roman"/>
          <w:sz w:val="24"/>
          <w:szCs w:val="24"/>
        </w:rPr>
        <w:t>范围及机构名称</w:t>
      </w:r>
      <w:r>
        <w:rPr>
          <w:rFonts w:ascii="Times New Roman" w:hAnsi="Times New Roman" w:eastAsia="宋体" w:cs="Times New Roman"/>
          <w:sz w:val="24"/>
          <w:szCs w:val="24"/>
        </w:rPr>
        <w:t>对</w:t>
      </w:r>
      <w:r>
        <w:rPr>
          <w:rFonts w:hint="eastAsia" w:ascii="Times New Roman" w:hAnsi="Times New Roman" w:eastAsia="宋体" w:cs="Times New Roman"/>
          <w:sz w:val="24"/>
          <w:szCs w:val="24"/>
        </w:rPr>
        <w:t>机构</w:t>
      </w:r>
      <w:r>
        <w:rPr>
          <w:rFonts w:ascii="Times New Roman" w:hAnsi="Times New Roman" w:eastAsia="宋体" w:cs="Times New Roman"/>
          <w:sz w:val="24"/>
          <w:szCs w:val="24"/>
        </w:rPr>
        <w:t>销</w:t>
      </w:r>
      <w:r>
        <w:rPr>
          <w:rFonts w:hint="eastAsia" w:ascii="Times New Roman" w:hAnsi="Times New Roman" w:eastAsia="宋体" w:cs="Times New Roman"/>
          <w:sz w:val="24"/>
          <w:szCs w:val="24"/>
        </w:rPr>
        <w:t>统计汇总</w:t>
      </w:r>
      <w:r>
        <w:rPr>
          <w:rFonts w:ascii="Times New Roman" w:hAnsi="Times New Roman" w:eastAsia="宋体" w:cs="Times New Roman"/>
          <w:sz w:val="24"/>
          <w:szCs w:val="24"/>
        </w:rPr>
        <w:t>信息进行查询，且系统支持导出</w:t>
      </w:r>
      <w:r>
        <w:rPr>
          <w:rFonts w:hint="eastAsia" w:ascii="Times New Roman" w:hAnsi="Times New Roman" w:eastAsia="宋体" w:cs="Times New Roman"/>
          <w:sz w:val="24"/>
          <w:szCs w:val="24"/>
        </w:rPr>
        <w:t>报表数据</w:t>
      </w:r>
      <w:r>
        <w:rPr>
          <w:rFonts w:ascii="Times New Roman" w:hAnsi="Times New Roman" w:eastAsia="宋体" w:cs="Times New Roman"/>
          <w:sz w:val="24"/>
          <w:szCs w:val="24"/>
        </w:rPr>
        <w:t>功能。</w:t>
      </w:r>
    </w:p>
    <w:p>
      <w:pPr>
        <w:spacing w:line="360" w:lineRule="auto"/>
      </w:pPr>
      <w:r>
        <w:drawing>
          <wp:inline distT="0" distB="0" distL="0" distR="0">
            <wp:extent cx="6308725" cy="3396615"/>
            <wp:effectExtent l="0" t="0" r="3175"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2"/>
                    <a:stretch>
                      <a:fillRect/>
                    </a:stretch>
                  </pic:blipFill>
                  <pic:spPr>
                    <a:xfrm>
                      <a:off x="0" y="0"/>
                      <a:ext cx="6308725" cy="3396615"/>
                    </a:xfrm>
                    <a:prstGeom prst="rect">
                      <a:avLst/>
                    </a:prstGeom>
                  </pic:spPr>
                </pic:pic>
              </a:graphicData>
            </a:graphic>
          </wp:inline>
        </w:drawing>
      </w:r>
    </w:p>
    <w:p>
      <w:pPr>
        <w:pStyle w:val="11"/>
        <w:spacing w:line="360" w:lineRule="auto"/>
        <w:jc w:val="center"/>
        <w:rPr>
          <w:rFonts w:hint="eastAsia" w:eastAsiaTheme="minorEastAsia"/>
          <w:lang w:eastAsia="zh-CN"/>
        </w:rPr>
      </w:pPr>
      <w:r>
        <w:t xml:space="preserve">图 </w:t>
      </w:r>
      <w:r>
        <w:fldChar w:fldCharType="begin"/>
      </w:r>
      <w:r>
        <w:instrText xml:space="preserve"> SEQ 图 \* ARABIC </w:instrText>
      </w:r>
      <w:r>
        <w:fldChar w:fldCharType="separate"/>
      </w:r>
      <w:r>
        <w:t>34</w:t>
      </w:r>
      <w:r>
        <w:fldChar w:fldCharType="end"/>
      </w:r>
      <w:r>
        <w:rPr>
          <w:rFonts w:hint="eastAsia"/>
          <w:lang w:eastAsia="zh-CN"/>
        </w:rPr>
        <w:t>机构销售统计</w:t>
      </w:r>
    </w:p>
    <w:p>
      <w:pPr>
        <w:pStyle w:val="3"/>
        <w:numPr>
          <w:ilvl w:val="1"/>
          <w:numId w:val="2"/>
        </w:numPr>
        <w:bidi w:val="0"/>
        <w:ind w:left="567" w:leftChars="0" w:hanging="567" w:firstLineChars="0"/>
      </w:pPr>
      <w:bookmarkStart w:id="89" w:name="_Toc481605556"/>
      <w:bookmarkStart w:id="90" w:name="_Toc481605460"/>
      <w:bookmarkStart w:id="91" w:name="_Toc481605390"/>
      <w:bookmarkStart w:id="92" w:name="_Toc25500"/>
      <w:bookmarkStart w:id="93" w:name="_Toc28389"/>
      <w:r>
        <w:rPr>
          <w:rFonts w:hint="eastAsia"/>
        </w:rPr>
        <w:t>煤种</w:t>
      </w:r>
      <w:r>
        <w:t>销售统计</w:t>
      </w:r>
      <w:bookmarkEnd w:id="89"/>
      <w:bookmarkEnd w:id="90"/>
      <w:bookmarkEnd w:id="91"/>
      <w:bookmarkEnd w:id="92"/>
      <w:bookmarkEnd w:id="93"/>
    </w:p>
    <w:p>
      <w:pPr>
        <w:spacing w:line="360" w:lineRule="auto"/>
        <w:rPr>
          <w:rFonts w:hint="default" w:ascii="Times New Roman" w:hAnsi="Times New Roman" w:eastAsia="宋体" w:cs="Times New Roman"/>
          <w:b/>
          <w:sz w:val="24"/>
          <w:szCs w:val="24"/>
          <w:lang w:val="en-US" w:eastAsia="zh-CN"/>
        </w:rPr>
      </w:pPr>
      <w:r>
        <w:rPr>
          <w:rFonts w:ascii="Times New Roman" w:hAnsi="Times New Roman" w:eastAsia="宋体" w:cs="Times New Roman"/>
          <w:b/>
          <w:sz w:val="24"/>
          <w:szCs w:val="24"/>
        </w:rPr>
        <w:t>操作角色：</w:t>
      </w:r>
      <w:r>
        <w:rPr>
          <w:rFonts w:hint="eastAsia" w:ascii="Times New Roman" w:hAnsi="Times New Roman" w:eastAsia="宋体" w:cs="Times New Roman"/>
          <w:sz w:val="24"/>
          <w:szCs w:val="24"/>
        </w:rPr>
        <w:t>票管员</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企业销售</w:t>
      </w:r>
    </w:p>
    <w:p>
      <w:pPr>
        <w:spacing w:line="360" w:lineRule="auto"/>
        <w:rPr>
          <w:rFonts w:ascii="Times New Roman" w:hAnsi="Times New Roman" w:eastAsia="宋体" w:cs="Times New Roman"/>
          <w:sz w:val="24"/>
          <w:szCs w:val="24"/>
        </w:rPr>
      </w:pPr>
      <w:r>
        <w:rPr>
          <w:rFonts w:ascii="Times New Roman" w:hAnsi="Times New Roman" w:eastAsia="宋体" w:cs="Times New Roman"/>
          <w:b/>
          <w:sz w:val="24"/>
          <w:szCs w:val="24"/>
        </w:rPr>
        <w:t>业务活动：</w:t>
      </w:r>
      <w:r>
        <w:rPr>
          <w:rFonts w:ascii="Times New Roman" w:hAnsi="Times New Roman" w:eastAsia="宋体" w:cs="Times New Roman"/>
          <w:sz w:val="24"/>
          <w:szCs w:val="24"/>
        </w:rPr>
        <w:t>对</w:t>
      </w:r>
      <w:r>
        <w:rPr>
          <w:rFonts w:hint="eastAsia" w:ascii="Times New Roman" w:hAnsi="Times New Roman" w:eastAsia="宋体" w:cs="Times New Roman"/>
          <w:sz w:val="24"/>
          <w:szCs w:val="24"/>
        </w:rPr>
        <w:t>煤种</w:t>
      </w:r>
      <w:r>
        <w:rPr>
          <w:rFonts w:ascii="Times New Roman" w:hAnsi="Times New Roman" w:eastAsia="宋体" w:cs="Times New Roman"/>
          <w:sz w:val="24"/>
          <w:szCs w:val="24"/>
        </w:rPr>
        <w:t>销售信息进行统计汇总</w:t>
      </w:r>
    </w:p>
    <w:p>
      <w:p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业务操作说明：</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在左侧导航栏的【</w:t>
      </w:r>
      <w:r>
        <w:rPr>
          <w:rFonts w:hint="eastAsia" w:ascii="Times New Roman" w:hAnsi="Times New Roman" w:eastAsia="宋体" w:cs="Times New Roman"/>
          <w:sz w:val="24"/>
          <w:szCs w:val="24"/>
        </w:rPr>
        <w:t>监管统计</w:t>
      </w:r>
      <w:r>
        <w:rPr>
          <w:rFonts w:ascii="Times New Roman" w:hAnsi="Times New Roman" w:eastAsia="宋体" w:cs="Times New Roman"/>
          <w:sz w:val="24"/>
          <w:szCs w:val="24"/>
        </w:rPr>
        <w:t>】中，点击 【</w:t>
      </w:r>
      <w:r>
        <w:rPr>
          <w:rFonts w:hint="eastAsia" w:ascii="Times New Roman" w:hAnsi="Times New Roman" w:eastAsia="宋体" w:cs="Times New Roman"/>
          <w:sz w:val="24"/>
          <w:szCs w:val="24"/>
        </w:rPr>
        <w:t>煤种</w:t>
      </w:r>
      <w:r>
        <w:rPr>
          <w:rFonts w:ascii="Times New Roman" w:hAnsi="Times New Roman" w:eastAsia="宋体" w:cs="Times New Roman"/>
          <w:sz w:val="24"/>
          <w:szCs w:val="24"/>
        </w:rPr>
        <w:t>销售统计】进入</w:t>
      </w:r>
      <w:r>
        <w:rPr>
          <w:rFonts w:hint="eastAsia" w:ascii="Times New Roman" w:hAnsi="Times New Roman" w:eastAsia="宋体" w:cs="Times New Roman"/>
          <w:sz w:val="24"/>
          <w:szCs w:val="24"/>
        </w:rPr>
        <w:t>煤种</w:t>
      </w:r>
      <w:r>
        <w:rPr>
          <w:rFonts w:ascii="Times New Roman" w:hAnsi="Times New Roman" w:eastAsia="宋体" w:cs="Times New Roman"/>
          <w:sz w:val="24"/>
          <w:szCs w:val="24"/>
        </w:rPr>
        <w:t>销售统计的操作页面，用户通过时间</w:t>
      </w:r>
      <w:r>
        <w:rPr>
          <w:rFonts w:hint="eastAsia" w:ascii="Times New Roman" w:hAnsi="Times New Roman" w:eastAsia="宋体" w:cs="Times New Roman"/>
          <w:sz w:val="24"/>
          <w:szCs w:val="24"/>
        </w:rPr>
        <w:t>及机构</w:t>
      </w:r>
      <w:r>
        <w:rPr>
          <w:rFonts w:ascii="Times New Roman" w:hAnsi="Times New Roman" w:eastAsia="宋体" w:cs="Times New Roman"/>
          <w:sz w:val="24"/>
          <w:szCs w:val="24"/>
        </w:rPr>
        <w:t>对</w:t>
      </w:r>
      <w:r>
        <w:rPr>
          <w:rFonts w:hint="eastAsia" w:ascii="Times New Roman" w:hAnsi="Times New Roman" w:eastAsia="宋体" w:cs="Times New Roman"/>
          <w:sz w:val="24"/>
          <w:szCs w:val="24"/>
        </w:rPr>
        <w:t>煤种</w:t>
      </w:r>
      <w:r>
        <w:rPr>
          <w:rFonts w:ascii="Times New Roman" w:hAnsi="Times New Roman" w:eastAsia="宋体" w:cs="Times New Roman"/>
          <w:sz w:val="24"/>
          <w:szCs w:val="24"/>
        </w:rPr>
        <w:t>销售信息进行统计查询，且系统支持导出</w:t>
      </w:r>
      <w:r>
        <w:rPr>
          <w:rFonts w:hint="eastAsia" w:ascii="Times New Roman" w:hAnsi="Times New Roman" w:eastAsia="宋体" w:cs="Times New Roman"/>
          <w:sz w:val="24"/>
          <w:szCs w:val="24"/>
        </w:rPr>
        <w:t>报表数据</w:t>
      </w:r>
      <w:r>
        <w:rPr>
          <w:rFonts w:ascii="Times New Roman" w:hAnsi="Times New Roman" w:eastAsia="宋体" w:cs="Times New Roman"/>
          <w:sz w:val="24"/>
          <w:szCs w:val="24"/>
        </w:rPr>
        <w:t>功能。</w:t>
      </w:r>
    </w:p>
    <w:p>
      <w:pPr>
        <w:spacing w:line="360" w:lineRule="auto"/>
      </w:pPr>
      <w:r>
        <w:drawing>
          <wp:inline distT="0" distB="0" distL="0" distR="0">
            <wp:extent cx="6163310" cy="3396615"/>
            <wp:effectExtent l="0" t="0" r="889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3"/>
                    <a:stretch>
                      <a:fillRect/>
                    </a:stretch>
                  </pic:blipFill>
                  <pic:spPr>
                    <a:xfrm>
                      <a:off x="0" y="0"/>
                      <a:ext cx="6163310" cy="3396615"/>
                    </a:xfrm>
                    <a:prstGeom prst="rect">
                      <a:avLst/>
                    </a:prstGeom>
                  </pic:spPr>
                </pic:pic>
              </a:graphicData>
            </a:graphic>
          </wp:inline>
        </w:drawing>
      </w:r>
    </w:p>
    <w:p>
      <w:pPr>
        <w:pStyle w:val="11"/>
        <w:spacing w:line="360" w:lineRule="auto"/>
        <w:jc w:val="center"/>
        <w:rPr>
          <w:rFonts w:ascii="Times New Roman" w:hAnsi="Times New Roman" w:eastAsia="宋体" w:cs="Times New Roman"/>
        </w:rPr>
      </w:pPr>
      <w:r>
        <w:t xml:space="preserve">图 </w:t>
      </w:r>
      <w:r>
        <w:fldChar w:fldCharType="begin"/>
      </w:r>
      <w:r>
        <w:instrText xml:space="preserve"> SEQ 图 \* ARABIC </w:instrText>
      </w:r>
      <w:r>
        <w:fldChar w:fldCharType="separate"/>
      </w:r>
      <w:r>
        <w:t>35</w:t>
      </w:r>
      <w:r>
        <w:fldChar w:fldCharType="end"/>
      </w:r>
      <w:r>
        <w:rPr>
          <w:rFonts w:hint="eastAsia"/>
          <w:lang w:eastAsia="zh-CN"/>
        </w:rPr>
        <w:t>煤种销售统计</w:t>
      </w:r>
    </w:p>
    <w:p>
      <w:pPr>
        <w:pStyle w:val="3"/>
        <w:numPr>
          <w:ilvl w:val="1"/>
          <w:numId w:val="2"/>
        </w:numPr>
        <w:bidi w:val="0"/>
        <w:ind w:left="567" w:leftChars="0" w:hanging="567" w:firstLineChars="0"/>
      </w:pPr>
      <w:bookmarkStart w:id="94" w:name="_Toc31511"/>
      <w:r>
        <w:rPr>
          <w:rFonts w:hint="eastAsia"/>
        </w:rPr>
        <w:t>运往地</w:t>
      </w:r>
      <w:r>
        <w:t>销售统计</w:t>
      </w:r>
      <w:bookmarkEnd w:id="94"/>
    </w:p>
    <w:p>
      <w:pPr>
        <w:spacing w:line="360" w:lineRule="auto"/>
        <w:rPr>
          <w:rFonts w:hint="default" w:ascii="Times New Roman" w:hAnsi="Times New Roman" w:eastAsia="宋体" w:cs="Times New Roman"/>
          <w:b/>
          <w:sz w:val="24"/>
          <w:szCs w:val="24"/>
          <w:lang w:val="en-US" w:eastAsia="zh-CN"/>
        </w:rPr>
      </w:pPr>
      <w:r>
        <w:rPr>
          <w:rFonts w:ascii="Times New Roman" w:hAnsi="Times New Roman" w:eastAsia="宋体" w:cs="Times New Roman"/>
          <w:b/>
          <w:sz w:val="24"/>
          <w:szCs w:val="24"/>
        </w:rPr>
        <w:t>操作角色：</w:t>
      </w:r>
      <w:r>
        <w:rPr>
          <w:rFonts w:hint="eastAsia" w:ascii="Times New Roman" w:hAnsi="Times New Roman" w:eastAsia="宋体" w:cs="Times New Roman"/>
          <w:sz w:val="24"/>
          <w:szCs w:val="24"/>
        </w:rPr>
        <w:t>票管员</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企业销售</w:t>
      </w:r>
    </w:p>
    <w:p>
      <w:pPr>
        <w:spacing w:line="360" w:lineRule="auto"/>
        <w:rPr>
          <w:rFonts w:ascii="Times New Roman" w:hAnsi="Times New Roman" w:eastAsia="宋体" w:cs="Times New Roman"/>
          <w:sz w:val="24"/>
          <w:szCs w:val="24"/>
        </w:rPr>
      </w:pPr>
      <w:r>
        <w:rPr>
          <w:rFonts w:ascii="Times New Roman" w:hAnsi="Times New Roman" w:eastAsia="宋体" w:cs="Times New Roman"/>
          <w:b/>
          <w:sz w:val="24"/>
          <w:szCs w:val="24"/>
        </w:rPr>
        <w:t>业务活动：</w:t>
      </w:r>
      <w:r>
        <w:rPr>
          <w:rFonts w:ascii="Times New Roman" w:hAnsi="Times New Roman" w:eastAsia="宋体" w:cs="Times New Roman"/>
          <w:sz w:val="24"/>
          <w:szCs w:val="24"/>
        </w:rPr>
        <w:t>对</w:t>
      </w:r>
      <w:r>
        <w:rPr>
          <w:rFonts w:hint="eastAsia" w:ascii="Times New Roman" w:hAnsi="Times New Roman" w:eastAsia="宋体" w:cs="Times New Roman"/>
          <w:sz w:val="24"/>
          <w:szCs w:val="24"/>
        </w:rPr>
        <w:t>运往地</w:t>
      </w:r>
      <w:r>
        <w:rPr>
          <w:rFonts w:ascii="Times New Roman" w:hAnsi="Times New Roman" w:eastAsia="宋体" w:cs="Times New Roman"/>
          <w:sz w:val="24"/>
          <w:szCs w:val="24"/>
        </w:rPr>
        <w:t>销售信息进行统计汇总</w:t>
      </w:r>
    </w:p>
    <w:p>
      <w:p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业务操作说明：</w:t>
      </w:r>
    </w:p>
    <w:p>
      <w:pPr>
        <w:spacing w:line="360" w:lineRule="auto"/>
        <w:ind w:firstLine="480" w:firstLineChars="200"/>
        <w:rPr>
          <w:rFonts w:ascii="Times New Roman" w:hAnsi="Times New Roman" w:eastAsia="宋体" w:cs="Times New Roman"/>
        </w:rPr>
      </w:pPr>
      <w:r>
        <w:rPr>
          <w:rFonts w:ascii="Times New Roman" w:hAnsi="Times New Roman" w:eastAsia="宋体" w:cs="Times New Roman"/>
          <w:sz w:val="24"/>
          <w:szCs w:val="24"/>
        </w:rPr>
        <w:t>在左侧导航栏的【</w:t>
      </w:r>
      <w:r>
        <w:rPr>
          <w:rFonts w:hint="eastAsia" w:ascii="Times New Roman" w:hAnsi="Times New Roman" w:eastAsia="宋体" w:cs="Times New Roman"/>
          <w:sz w:val="24"/>
          <w:szCs w:val="24"/>
        </w:rPr>
        <w:t>监管统计</w:t>
      </w:r>
      <w:r>
        <w:rPr>
          <w:rFonts w:ascii="Times New Roman" w:hAnsi="Times New Roman" w:eastAsia="宋体" w:cs="Times New Roman"/>
          <w:sz w:val="24"/>
          <w:szCs w:val="24"/>
        </w:rPr>
        <w:t>】中，点击 【</w:t>
      </w:r>
      <w:r>
        <w:rPr>
          <w:rFonts w:hint="eastAsia" w:ascii="Times New Roman" w:hAnsi="Times New Roman" w:eastAsia="宋体" w:cs="Times New Roman"/>
          <w:sz w:val="24"/>
          <w:szCs w:val="24"/>
        </w:rPr>
        <w:t>运往地</w:t>
      </w:r>
      <w:r>
        <w:rPr>
          <w:rFonts w:ascii="Times New Roman" w:hAnsi="Times New Roman" w:eastAsia="宋体" w:cs="Times New Roman"/>
          <w:sz w:val="24"/>
          <w:szCs w:val="24"/>
        </w:rPr>
        <w:t>销售统计】进入</w:t>
      </w:r>
      <w:r>
        <w:rPr>
          <w:rFonts w:hint="eastAsia" w:ascii="Times New Roman" w:hAnsi="Times New Roman" w:eastAsia="宋体" w:cs="Times New Roman"/>
          <w:sz w:val="24"/>
          <w:szCs w:val="24"/>
        </w:rPr>
        <w:t>运往地</w:t>
      </w:r>
      <w:r>
        <w:rPr>
          <w:rFonts w:ascii="Times New Roman" w:hAnsi="Times New Roman" w:eastAsia="宋体" w:cs="Times New Roman"/>
          <w:sz w:val="24"/>
          <w:szCs w:val="24"/>
        </w:rPr>
        <w:t>销售统计的操作页，用户通过时间</w:t>
      </w:r>
      <w:r>
        <w:rPr>
          <w:rFonts w:hint="eastAsia" w:ascii="Times New Roman" w:hAnsi="Times New Roman" w:eastAsia="宋体" w:cs="Times New Roman"/>
          <w:sz w:val="24"/>
          <w:szCs w:val="24"/>
        </w:rPr>
        <w:t>及运往地</w:t>
      </w:r>
      <w:r>
        <w:rPr>
          <w:rFonts w:ascii="Times New Roman" w:hAnsi="Times New Roman" w:eastAsia="宋体" w:cs="Times New Roman"/>
          <w:sz w:val="24"/>
          <w:szCs w:val="24"/>
        </w:rPr>
        <w:t>对</w:t>
      </w:r>
      <w:r>
        <w:rPr>
          <w:rFonts w:hint="eastAsia" w:ascii="Times New Roman" w:hAnsi="Times New Roman" w:eastAsia="宋体" w:cs="Times New Roman"/>
          <w:sz w:val="24"/>
          <w:szCs w:val="24"/>
        </w:rPr>
        <w:t>煤种</w:t>
      </w:r>
      <w:r>
        <w:rPr>
          <w:rFonts w:ascii="Times New Roman" w:hAnsi="Times New Roman" w:eastAsia="宋体" w:cs="Times New Roman"/>
          <w:sz w:val="24"/>
          <w:szCs w:val="24"/>
        </w:rPr>
        <w:t>销售信息进行统计查询</w:t>
      </w:r>
      <w:r>
        <w:rPr>
          <w:rFonts w:hint="eastAsia" w:ascii="Times New Roman" w:hAnsi="Times New Roman" w:eastAsia="宋体" w:cs="Times New Roman"/>
          <w:sz w:val="24"/>
          <w:szCs w:val="24"/>
        </w:rPr>
        <w:t>。</w:t>
      </w:r>
    </w:p>
    <w:p>
      <w:pPr>
        <w:jc w:val="left"/>
      </w:pPr>
      <w:r>
        <w:drawing>
          <wp:inline distT="0" distB="0" distL="0" distR="0">
            <wp:extent cx="6176010" cy="3396615"/>
            <wp:effectExtent l="0" t="0" r="889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4"/>
                    <a:stretch>
                      <a:fillRect/>
                    </a:stretch>
                  </pic:blipFill>
                  <pic:spPr>
                    <a:xfrm>
                      <a:off x="0" y="0"/>
                      <a:ext cx="6176010" cy="3396615"/>
                    </a:xfrm>
                    <a:prstGeom prst="rect">
                      <a:avLst/>
                    </a:prstGeom>
                  </pic:spPr>
                </pic:pic>
              </a:graphicData>
            </a:graphic>
          </wp:inline>
        </w:drawing>
      </w:r>
    </w:p>
    <w:p>
      <w:pPr>
        <w:pStyle w:val="11"/>
        <w:jc w:val="center"/>
        <w:rPr>
          <w:rFonts w:hint="eastAsia" w:eastAsiaTheme="minorEastAsia"/>
          <w:lang w:eastAsia="zh-CN"/>
        </w:rPr>
      </w:pPr>
      <w:r>
        <w:t xml:space="preserve">图 </w:t>
      </w:r>
      <w:r>
        <w:fldChar w:fldCharType="begin"/>
      </w:r>
      <w:r>
        <w:instrText xml:space="preserve"> SEQ 图 \* ARABIC </w:instrText>
      </w:r>
      <w:r>
        <w:fldChar w:fldCharType="separate"/>
      </w:r>
      <w:r>
        <w:t>36</w:t>
      </w:r>
      <w:r>
        <w:fldChar w:fldCharType="end"/>
      </w:r>
      <w:r>
        <w:rPr>
          <w:rFonts w:hint="eastAsia"/>
          <w:lang w:eastAsia="zh-CN"/>
        </w:rPr>
        <w:t>运往地统计</w:t>
      </w:r>
    </w:p>
    <w:p>
      <w:pPr>
        <w:pStyle w:val="3"/>
        <w:numPr>
          <w:ilvl w:val="1"/>
          <w:numId w:val="2"/>
        </w:numPr>
        <w:bidi w:val="0"/>
        <w:ind w:left="567" w:leftChars="0" w:hanging="567" w:firstLineChars="0"/>
        <w:rPr>
          <w:rFonts w:hint="eastAsia"/>
        </w:rPr>
      </w:pPr>
      <w:bookmarkStart w:id="95" w:name="_Toc18808"/>
      <w:r>
        <w:t>销售</w:t>
      </w:r>
      <w:r>
        <w:rPr>
          <w:rFonts w:hint="eastAsia"/>
        </w:rPr>
        <w:t>明细查询</w:t>
      </w:r>
      <w:bookmarkEnd w:id="95"/>
    </w:p>
    <w:p>
      <w:pPr>
        <w:spacing w:line="360" w:lineRule="auto"/>
        <w:rPr>
          <w:rFonts w:hint="default" w:ascii="Times New Roman" w:hAnsi="Times New Roman" w:eastAsia="宋体" w:cs="Times New Roman"/>
          <w:b/>
          <w:sz w:val="24"/>
          <w:szCs w:val="24"/>
          <w:lang w:val="en-US" w:eastAsia="zh-CN"/>
        </w:rPr>
      </w:pPr>
      <w:r>
        <w:rPr>
          <w:rFonts w:ascii="Times New Roman" w:hAnsi="Times New Roman" w:eastAsia="宋体" w:cs="Times New Roman"/>
          <w:b/>
          <w:sz w:val="24"/>
          <w:szCs w:val="24"/>
        </w:rPr>
        <w:t>操作角色：</w:t>
      </w:r>
      <w:r>
        <w:rPr>
          <w:rFonts w:hint="eastAsia" w:ascii="Times New Roman" w:hAnsi="Times New Roman" w:eastAsia="宋体" w:cs="Times New Roman"/>
          <w:sz w:val="24"/>
          <w:szCs w:val="24"/>
        </w:rPr>
        <w:t>票管员</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企业销售</w:t>
      </w:r>
    </w:p>
    <w:p>
      <w:pPr>
        <w:spacing w:line="360" w:lineRule="auto"/>
        <w:rPr>
          <w:rFonts w:ascii="Times New Roman" w:hAnsi="Times New Roman" w:eastAsia="宋体" w:cs="Times New Roman"/>
          <w:sz w:val="24"/>
          <w:szCs w:val="24"/>
        </w:rPr>
      </w:pPr>
      <w:r>
        <w:rPr>
          <w:rFonts w:ascii="Times New Roman" w:hAnsi="Times New Roman" w:eastAsia="宋体" w:cs="Times New Roman"/>
          <w:b/>
          <w:sz w:val="24"/>
          <w:szCs w:val="24"/>
        </w:rPr>
        <w:t>业务活动：</w:t>
      </w:r>
      <w:r>
        <w:rPr>
          <w:rFonts w:ascii="Times New Roman" w:hAnsi="Times New Roman" w:eastAsia="宋体" w:cs="Times New Roman"/>
          <w:sz w:val="24"/>
          <w:szCs w:val="24"/>
        </w:rPr>
        <w:t>对销售</w:t>
      </w:r>
      <w:r>
        <w:rPr>
          <w:rFonts w:hint="eastAsia" w:ascii="Times New Roman" w:hAnsi="Times New Roman" w:eastAsia="宋体" w:cs="Times New Roman"/>
          <w:sz w:val="24"/>
          <w:szCs w:val="24"/>
        </w:rPr>
        <w:t>明细</w:t>
      </w:r>
      <w:r>
        <w:rPr>
          <w:rFonts w:ascii="Times New Roman" w:hAnsi="Times New Roman" w:eastAsia="宋体" w:cs="Times New Roman"/>
          <w:sz w:val="24"/>
          <w:szCs w:val="24"/>
        </w:rPr>
        <w:t>信息进行统计</w:t>
      </w:r>
      <w:r>
        <w:rPr>
          <w:rFonts w:hint="eastAsia" w:ascii="Times New Roman" w:hAnsi="Times New Roman" w:eastAsia="宋体" w:cs="Times New Roman"/>
          <w:sz w:val="24"/>
          <w:szCs w:val="24"/>
        </w:rPr>
        <w:t>查询</w:t>
      </w:r>
    </w:p>
    <w:p>
      <w:p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业务操作说明：</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在左侧导航栏的【</w:t>
      </w:r>
      <w:r>
        <w:rPr>
          <w:rFonts w:hint="eastAsia" w:ascii="Times New Roman" w:hAnsi="Times New Roman" w:eastAsia="宋体" w:cs="Times New Roman"/>
          <w:sz w:val="24"/>
          <w:szCs w:val="24"/>
        </w:rPr>
        <w:t>监管统计</w:t>
      </w:r>
      <w:r>
        <w:rPr>
          <w:rFonts w:ascii="Times New Roman" w:hAnsi="Times New Roman" w:eastAsia="宋体" w:cs="Times New Roman"/>
          <w:sz w:val="24"/>
          <w:szCs w:val="24"/>
        </w:rPr>
        <w:t>】中，点击 【销售</w:t>
      </w:r>
      <w:r>
        <w:rPr>
          <w:rFonts w:hint="eastAsia" w:ascii="Times New Roman" w:hAnsi="Times New Roman" w:eastAsia="宋体" w:cs="Times New Roman"/>
          <w:sz w:val="24"/>
          <w:szCs w:val="24"/>
        </w:rPr>
        <w:t>明细查询</w:t>
      </w:r>
      <w:r>
        <w:rPr>
          <w:rFonts w:ascii="Times New Roman" w:hAnsi="Times New Roman" w:eastAsia="宋体" w:cs="Times New Roman"/>
          <w:sz w:val="24"/>
          <w:szCs w:val="24"/>
        </w:rPr>
        <w:t>】进入销售</w:t>
      </w:r>
      <w:r>
        <w:rPr>
          <w:rFonts w:hint="eastAsia" w:ascii="Times New Roman" w:hAnsi="Times New Roman" w:eastAsia="宋体" w:cs="Times New Roman"/>
          <w:sz w:val="24"/>
          <w:szCs w:val="24"/>
        </w:rPr>
        <w:t>明细查询</w:t>
      </w:r>
      <w:r>
        <w:rPr>
          <w:rFonts w:ascii="Times New Roman" w:hAnsi="Times New Roman" w:eastAsia="宋体" w:cs="Times New Roman"/>
          <w:sz w:val="24"/>
          <w:szCs w:val="24"/>
        </w:rPr>
        <w:t>的操作页面，用户通过</w:t>
      </w:r>
      <w:r>
        <w:rPr>
          <w:rFonts w:hint="eastAsia" w:ascii="Times New Roman" w:hAnsi="Times New Roman" w:eastAsia="宋体" w:cs="Times New Roman"/>
          <w:sz w:val="24"/>
          <w:szCs w:val="24"/>
        </w:rPr>
        <w:t>煤票号、车牌号、货物类型、运往地、时间范围、机构名称对销售明细</w:t>
      </w:r>
      <w:r>
        <w:rPr>
          <w:rFonts w:ascii="Times New Roman" w:hAnsi="Times New Roman" w:eastAsia="宋体" w:cs="Times New Roman"/>
          <w:sz w:val="24"/>
          <w:szCs w:val="24"/>
        </w:rPr>
        <w:t>信息进行统计查询</w:t>
      </w:r>
      <w:r>
        <w:rPr>
          <w:rFonts w:hint="eastAsia" w:ascii="Times New Roman" w:hAnsi="Times New Roman" w:eastAsia="宋体" w:cs="Times New Roman"/>
          <w:sz w:val="24"/>
          <w:szCs w:val="24"/>
        </w:rPr>
        <w:t>，</w:t>
      </w:r>
      <w:r>
        <w:rPr>
          <w:rFonts w:ascii="Times New Roman" w:hAnsi="Times New Roman" w:eastAsia="宋体" w:cs="Times New Roman"/>
          <w:sz w:val="24"/>
          <w:szCs w:val="24"/>
        </w:rPr>
        <w:t>且系统支持导出</w:t>
      </w:r>
      <w:r>
        <w:rPr>
          <w:rFonts w:hint="eastAsia" w:ascii="Times New Roman" w:hAnsi="Times New Roman" w:eastAsia="宋体" w:cs="Times New Roman"/>
          <w:sz w:val="24"/>
          <w:szCs w:val="24"/>
        </w:rPr>
        <w:t>报表数据</w:t>
      </w:r>
      <w:r>
        <w:rPr>
          <w:rFonts w:ascii="Times New Roman" w:hAnsi="Times New Roman" w:eastAsia="宋体" w:cs="Times New Roman"/>
          <w:sz w:val="24"/>
          <w:szCs w:val="24"/>
        </w:rPr>
        <w:t xml:space="preserve">功能。 </w:t>
      </w:r>
    </w:p>
    <w:p>
      <w:pPr>
        <w:jc w:val="left"/>
      </w:pPr>
      <w:r>
        <w:drawing>
          <wp:inline distT="0" distB="0" distL="0" distR="0">
            <wp:extent cx="6176010" cy="3396615"/>
            <wp:effectExtent l="0" t="0" r="889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5"/>
                    <a:stretch>
                      <a:fillRect/>
                    </a:stretch>
                  </pic:blipFill>
                  <pic:spPr>
                    <a:xfrm>
                      <a:off x="0" y="0"/>
                      <a:ext cx="6176010" cy="3396615"/>
                    </a:xfrm>
                    <a:prstGeom prst="rect">
                      <a:avLst/>
                    </a:prstGeom>
                  </pic:spPr>
                </pic:pic>
              </a:graphicData>
            </a:graphic>
          </wp:inline>
        </w:drawing>
      </w:r>
    </w:p>
    <w:p>
      <w:pPr>
        <w:pStyle w:val="11"/>
        <w:jc w:val="center"/>
        <w:rPr>
          <w:rFonts w:hint="eastAsia" w:eastAsiaTheme="minorEastAsia"/>
          <w:lang w:eastAsia="zh-CN"/>
        </w:rPr>
      </w:pPr>
      <w:r>
        <w:t xml:space="preserve">图 </w:t>
      </w:r>
      <w:r>
        <w:fldChar w:fldCharType="begin"/>
      </w:r>
      <w:r>
        <w:instrText xml:space="preserve"> SEQ 图 \* ARABIC </w:instrText>
      </w:r>
      <w:r>
        <w:fldChar w:fldCharType="separate"/>
      </w:r>
      <w:r>
        <w:t>37</w:t>
      </w:r>
      <w:r>
        <w:fldChar w:fldCharType="end"/>
      </w:r>
      <w:r>
        <w:rPr>
          <w:rFonts w:hint="eastAsia"/>
          <w:lang w:eastAsia="zh-CN"/>
        </w:rPr>
        <w:t>销售明细查询</w:t>
      </w:r>
    </w:p>
    <w:p>
      <w:pPr>
        <w:pStyle w:val="2"/>
        <w:pageBreakBefore/>
        <w:numPr>
          <w:ilvl w:val="0"/>
          <w:numId w:val="2"/>
        </w:numPr>
        <w:ind w:left="425" w:leftChars="0" w:hanging="425" w:firstLineChars="0"/>
        <w:rPr>
          <w:rFonts w:hint="eastAsia" w:ascii="Times New Roman" w:hAnsi="Times New Roman" w:cs="Times New Roman"/>
        </w:rPr>
      </w:pPr>
      <w:bookmarkStart w:id="96" w:name="_Toc481605391"/>
      <w:bookmarkStart w:id="97" w:name="_Toc481605461"/>
      <w:bookmarkStart w:id="98" w:name="_Toc481605557"/>
      <w:bookmarkStart w:id="99" w:name="_Toc18436"/>
      <w:bookmarkStart w:id="100" w:name="_Toc5197"/>
      <w:r>
        <w:rPr>
          <w:rFonts w:hint="eastAsia" w:ascii="Times New Roman" w:hAnsi="Times New Roman" w:cs="Times New Roman"/>
        </w:rPr>
        <w:t>系统</w:t>
      </w:r>
      <w:bookmarkEnd w:id="96"/>
      <w:bookmarkEnd w:id="97"/>
      <w:bookmarkEnd w:id="98"/>
      <w:bookmarkEnd w:id="99"/>
      <w:r>
        <w:rPr>
          <w:rFonts w:hint="eastAsia" w:ascii="Times New Roman" w:hAnsi="Times New Roman" w:cs="Times New Roman"/>
        </w:rPr>
        <w:t>管理</w:t>
      </w:r>
      <w:bookmarkEnd w:id="100"/>
    </w:p>
    <w:p>
      <w:pPr>
        <w:pStyle w:val="3"/>
        <w:numPr>
          <w:ilvl w:val="1"/>
          <w:numId w:val="2"/>
        </w:numPr>
        <w:bidi w:val="0"/>
        <w:ind w:left="567" w:leftChars="0" w:hanging="567" w:firstLineChars="0"/>
        <w:rPr>
          <w:rFonts w:hint="eastAsia"/>
        </w:rPr>
      </w:pPr>
      <w:bookmarkStart w:id="101" w:name="_Toc29844"/>
      <w:r>
        <w:rPr>
          <w:rFonts w:hint="eastAsia"/>
        </w:rPr>
        <w:t>下载</w:t>
      </w:r>
      <w:bookmarkEnd w:id="101"/>
    </w:p>
    <w:p>
      <w:p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操作角色：</w:t>
      </w:r>
      <w:r>
        <w:rPr>
          <w:rFonts w:hint="eastAsia" w:ascii="Times New Roman" w:hAnsi="Times New Roman" w:eastAsia="宋体" w:cs="Times New Roman"/>
          <w:sz w:val="24"/>
          <w:szCs w:val="24"/>
        </w:rPr>
        <w:t>票管员、司磅员</w:t>
      </w:r>
    </w:p>
    <w:p>
      <w:pPr>
        <w:spacing w:line="360" w:lineRule="auto"/>
        <w:rPr>
          <w:rFonts w:hint="eastAsia" w:ascii="Times New Roman" w:hAnsi="Times New Roman" w:eastAsia="宋体" w:cs="Times New Roman"/>
          <w:sz w:val="24"/>
          <w:szCs w:val="24"/>
        </w:rPr>
      </w:pPr>
      <w:r>
        <w:rPr>
          <w:rFonts w:ascii="Times New Roman" w:hAnsi="Times New Roman" w:eastAsia="宋体" w:cs="Times New Roman"/>
          <w:b/>
          <w:sz w:val="24"/>
          <w:szCs w:val="24"/>
        </w:rPr>
        <w:t>业务活动：</w:t>
      </w:r>
      <w:r>
        <w:rPr>
          <w:rFonts w:hint="eastAsia" w:ascii="Times New Roman" w:hAnsi="Times New Roman" w:eastAsia="宋体" w:cs="Times New Roman"/>
          <w:sz w:val="24"/>
          <w:szCs w:val="24"/>
        </w:rPr>
        <w:t>系统工具、问题解决方法、视频讲解</w:t>
      </w:r>
    </w:p>
    <w:p>
      <w:p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业务操作说明：</w:t>
      </w:r>
    </w:p>
    <w:p>
      <w:pPr>
        <w:ind w:firstLine="480" w:firstLineChars="200"/>
        <w:rPr>
          <w:rFonts w:hint="eastAsia" w:ascii="Times New Roman" w:hAnsi="Times New Roman" w:eastAsia="宋体" w:cs="Times New Roman"/>
          <w:sz w:val="24"/>
          <w:szCs w:val="24"/>
        </w:rPr>
      </w:pPr>
      <w:r>
        <w:rPr>
          <w:rFonts w:ascii="Times New Roman" w:hAnsi="Times New Roman" w:eastAsia="宋体" w:cs="Times New Roman"/>
          <w:sz w:val="24"/>
          <w:szCs w:val="24"/>
        </w:rPr>
        <w:t>在左侧导航栏的【</w:t>
      </w:r>
      <w:r>
        <w:rPr>
          <w:rFonts w:hint="eastAsia" w:ascii="Times New Roman" w:hAnsi="Times New Roman" w:eastAsia="宋体" w:cs="Times New Roman"/>
          <w:sz w:val="24"/>
          <w:szCs w:val="24"/>
        </w:rPr>
        <w:t>系统管理</w:t>
      </w:r>
      <w:r>
        <w:rPr>
          <w:rFonts w:ascii="Times New Roman" w:hAnsi="Times New Roman" w:eastAsia="宋体" w:cs="Times New Roman"/>
          <w:sz w:val="24"/>
          <w:szCs w:val="24"/>
        </w:rPr>
        <w:t>】中，点击 【</w:t>
      </w:r>
      <w:r>
        <w:rPr>
          <w:rFonts w:hint="eastAsia" w:ascii="Times New Roman" w:hAnsi="Times New Roman" w:eastAsia="宋体" w:cs="Times New Roman"/>
          <w:sz w:val="24"/>
          <w:szCs w:val="24"/>
        </w:rPr>
        <w:t>下载</w:t>
      </w:r>
      <w:r>
        <w:rPr>
          <w:rFonts w:ascii="Times New Roman" w:hAnsi="Times New Roman" w:eastAsia="宋体" w:cs="Times New Roman"/>
          <w:sz w:val="24"/>
          <w:szCs w:val="24"/>
        </w:rPr>
        <w:t>】进入</w:t>
      </w:r>
      <w:r>
        <w:rPr>
          <w:rFonts w:hint="eastAsia" w:ascii="Times New Roman" w:hAnsi="Times New Roman" w:eastAsia="宋体" w:cs="Times New Roman"/>
          <w:sz w:val="24"/>
          <w:szCs w:val="24"/>
        </w:rPr>
        <w:t>系统工具、问题解决方法、视频讲解等栏目的下载操作下载界面如图5-1所示，用户可根据需要下载对应栏目。</w:t>
      </w:r>
    </w:p>
    <w:p>
      <w:r>
        <w:drawing>
          <wp:inline distT="0" distB="0" distL="0" distR="0">
            <wp:extent cx="6226810" cy="3396615"/>
            <wp:effectExtent l="0" t="0" r="889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6"/>
                    <a:stretch>
                      <a:fillRect/>
                    </a:stretch>
                  </pic:blipFill>
                  <pic:spPr>
                    <a:xfrm>
                      <a:off x="0" y="0"/>
                      <a:ext cx="6226810" cy="3396615"/>
                    </a:xfrm>
                    <a:prstGeom prst="rect">
                      <a:avLst/>
                    </a:prstGeom>
                  </pic:spPr>
                </pic:pic>
              </a:graphicData>
            </a:graphic>
          </wp:inline>
        </w:drawing>
      </w:r>
    </w:p>
    <w:p>
      <w:pPr>
        <w:pStyle w:val="11"/>
        <w:jc w:val="center"/>
        <w:rPr>
          <w:rFonts w:hint="eastAsia"/>
        </w:rPr>
      </w:pPr>
      <w:r>
        <w:t xml:space="preserve">图 </w:t>
      </w:r>
      <w:r>
        <w:fldChar w:fldCharType="begin"/>
      </w:r>
      <w:r>
        <w:instrText xml:space="preserve"> SEQ 图 \* ARABIC </w:instrText>
      </w:r>
      <w:r>
        <w:fldChar w:fldCharType="separate"/>
      </w:r>
      <w:r>
        <w:t>38</w:t>
      </w:r>
      <w:r>
        <w:fldChar w:fldCharType="end"/>
      </w:r>
      <w:r>
        <w:rPr>
          <w:rFonts w:hint="eastAsia"/>
          <w:lang w:eastAsia="zh-CN"/>
        </w:rPr>
        <w:t>下载</w:t>
      </w:r>
    </w:p>
    <w:p>
      <w:pPr>
        <w:pStyle w:val="3"/>
        <w:numPr>
          <w:ilvl w:val="1"/>
          <w:numId w:val="2"/>
        </w:numPr>
        <w:bidi w:val="0"/>
        <w:ind w:left="567" w:leftChars="0" w:hanging="567" w:firstLineChars="0"/>
        <w:rPr>
          <w:rFonts w:hint="eastAsia"/>
        </w:rPr>
      </w:pPr>
      <w:bookmarkStart w:id="102" w:name="_Toc10590"/>
      <w:r>
        <w:rPr>
          <w:rFonts w:hint="eastAsia"/>
        </w:rPr>
        <w:t>公告</w:t>
      </w:r>
      <w:bookmarkEnd w:id="102"/>
    </w:p>
    <w:p>
      <w:p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操作角色：</w:t>
      </w:r>
      <w:r>
        <w:rPr>
          <w:rFonts w:hint="eastAsia" w:ascii="Times New Roman" w:hAnsi="Times New Roman" w:eastAsia="宋体" w:cs="Times New Roman"/>
          <w:sz w:val="24"/>
          <w:szCs w:val="24"/>
        </w:rPr>
        <w:t>票管员、司磅员</w:t>
      </w:r>
    </w:p>
    <w:p>
      <w:pPr>
        <w:spacing w:line="360" w:lineRule="auto"/>
        <w:rPr>
          <w:rFonts w:hint="eastAsia" w:ascii="Times New Roman" w:hAnsi="Times New Roman" w:eastAsia="宋体" w:cs="Times New Roman"/>
          <w:sz w:val="24"/>
          <w:szCs w:val="24"/>
        </w:rPr>
      </w:pPr>
      <w:r>
        <w:rPr>
          <w:rFonts w:ascii="Times New Roman" w:hAnsi="Times New Roman" w:eastAsia="宋体" w:cs="Times New Roman"/>
          <w:b/>
          <w:sz w:val="24"/>
          <w:szCs w:val="24"/>
        </w:rPr>
        <w:t>业务活动：</w:t>
      </w:r>
      <w:r>
        <w:rPr>
          <w:rFonts w:hint="eastAsia" w:ascii="Times New Roman" w:hAnsi="Times New Roman" w:eastAsia="宋体" w:cs="Times New Roman"/>
          <w:sz w:val="24"/>
          <w:szCs w:val="24"/>
        </w:rPr>
        <w:t>公告内容展示</w:t>
      </w:r>
    </w:p>
    <w:p>
      <w:p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业务操作说明：</w:t>
      </w:r>
    </w:p>
    <w:p>
      <w:pPr>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在左侧导航栏的【</w:t>
      </w:r>
      <w:r>
        <w:rPr>
          <w:rFonts w:hint="eastAsia" w:ascii="Times New Roman" w:hAnsi="Times New Roman" w:eastAsia="宋体" w:cs="Times New Roman"/>
          <w:sz w:val="24"/>
          <w:szCs w:val="24"/>
        </w:rPr>
        <w:t>系统管理</w:t>
      </w:r>
      <w:r>
        <w:rPr>
          <w:rFonts w:ascii="Times New Roman" w:hAnsi="Times New Roman" w:eastAsia="宋体" w:cs="Times New Roman"/>
          <w:sz w:val="24"/>
          <w:szCs w:val="24"/>
        </w:rPr>
        <w:t>】中，点击 【</w:t>
      </w:r>
      <w:r>
        <w:rPr>
          <w:rFonts w:hint="eastAsia" w:ascii="Times New Roman" w:hAnsi="Times New Roman" w:eastAsia="宋体" w:cs="Times New Roman"/>
          <w:sz w:val="24"/>
          <w:szCs w:val="24"/>
        </w:rPr>
        <w:t>公告</w:t>
      </w:r>
      <w:r>
        <w:rPr>
          <w:rFonts w:ascii="Times New Roman" w:hAnsi="Times New Roman" w:eastAsia="宋体" w:cs="Times New Roman"/>
          <w:sz w:val="24"/>
          <w:szCs w:val="24"/>
        </w:rPr>
        <w:t>】进入</w:t>
      </w:r>
      <w:r>
        <w:rPr>
          <w:rFonts w:hint="eastAsia" w:ascii="Times New Roman" w:hAnsi="Times New Roman" w:eastAsia="宋体" w:cs="Times New Roman"/>
          <w:sz w:val="24"/>
          <w:szCs w:val="24"/>
        </w:rPr>
        <w:t>公告显示界面，显示最新公告内容。</w:t>
      </w:r>
    </w:p>
    <w:p>
      <w:r>
        <w:drawing>
          <wp:inline distT="0" distB="0" distL="0" distR="0">
            <wp:extent cx="6181725" cy="3396615"/>
            <wp:effectExtent l="0" t="0" r="3175" b="698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7"/>
                    <a:stretch>
                      <a:fillRect/>
                    </a:stretch>
                  </pic:blipFill>
                  <pic:spPr>
                    <a:xfrm>
                      <a:off x="0" y="0"/>
                      <a:ext cx="6181725" cy="3396615"/>
                    </a:xfrm>
                    <a:prstGeom prst="rect">
                      <a:avLst/>
                    </a:prstGeom>
                  </pic:spPr>
                </pic:pic>
              </a:graphicData>
            </a:graphic>
          </wp:inline>
        </w:drawing>
      </w:r>
    </w:p>
    <w:p>
      <w:pPr>
        <w:pStyle w:val="11"/>
        <w:jc w:val="center"/>
        <w:rPr>
          <w:rFonts w:hint="eastAsia" w:eastAsiaTheme="minorEastAsia"/>
          <w:lang w:eastAsia="zh-CN"/>
        </w:rPr>
      </w:pPr>
      <w:r>
        <w:t xml:space="preserve">图 </w:t>
      </w:r>
      <w:r>
        <w:fldChar w:fldCharType="begin"/>
      </w:r>
      <w:r>
        <w:instrText xml:space="preserve"> SEQ 图 \* ARABIC </w:instrText>
      </w:r>
      <w:r>
        <w:fldChar w:fldCharType="separate"/>
      </w:r>
      <w:r>
        <w:t>39</w:t>
      </w:r>
      <w:r>
        <w:fldChar w:fldCharType="end"/>
      </w:r>
      <w:r>
        <w:rPr>
          <w:rFonts w:hint="eastAsia"/>
          <w:lang w:eastAsia="zh-CN"/>
        </w:rPr>
        <w:t>公告</w:t>
      </w:r>
    </w:p>
    <w:p>
      <w:pPr>
        <w:pStyle w:val="3"/>
        <w:numPr>
          <w:ilvl w:val="1"/>
          <w:numId w:val="2"/>
        </w:numPr>
        <w:bidi w:val="0"/>
        <w:ind w:left="567" w:leftChars="0" w:hanging="567" w:firstLineChars="0"/>
        <w:rPr>
          <w:rFonts w:hint="eastAsia"/>
        </w:rPr>
      </w:pPr>
      <w:bookmarkStart w:id="103" w:name="_Toc591"/>
      <w:r>
        <w:rPr>
          <w:rFonts w:hint="eastAsia"/>
        </w:rPr>
        <w:t>煤票打印方式</w:t>
      </w:r>
      <w:bookmarkEnd w:id="103"/>
    </w:p>
    <w:p>
      <w:p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操作角色：</w:t>
      </w:r>
      <w:r>
        <w:rPr>
          <w:rFonts w:hint="eastAsia" w:ascii="Times New Roman" w:hAnsi="Times New Roman" w:eastAsia="宋体" w:cs="Times New Roman"/>
          <w:sz w:val="24"/>
          <w:szCs w:val="24"/>
        </w:rPr>
        <w:t>司磅员</w:t>
      </w:r>
    </w:p>
    <w:p>
      <w:pPr>
        <w:spacing w:line="360" w:lineRule="auto"/>
        <w:rPr>
          <w:rFonts w:hint="eastAsia" w:ascii="Times New Roman" w:hAnsi="Times New Roman" w:eastAsia="宋体" w:cs="Times New Roman"/>
          <w:sz w:val="24"/>
          <w:szCs w:val="24"/>
        </w:rPr>
      </w:pPr>
      <w:r>
        <w:rPr>
          <w:rFonts w:ascii="Times New Roman" w:hAnsi="Times New Roman" w:eastAsia="宋体" w:cs="Times New Roman"/>
          <w:b/>
          <w:sz w:val="24"/>
          <w:szCs w:val="24"/>
        </w:rPr>
        <w:t>业务活动：</w:t>
      </w:r>
      <w:r>
        <w:rPr>
          <w:rFonts w:hint="eastAsia" w:ascii="Times New Roman" w:hAnsi="Times New Roman" w:eastAsia="宋体" w:cs="Times New Roman"/>
          <w:sz w:val="24"/>
          <w:szCs w:val="24"/>
        </w:rPr>
        <w:t>调整煤票打印的方式</w:t>
      </w:r>
    </w:p>
    <w:p>
      <w:p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业务操作说明：</w:t>
      </w:r>
    </w:p>
    <w:p>
      <w:pPr>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在左侧导航栏的【</w:t>
      </w:r>
      <w:r>
        <w:rPr>
          <w:rFonts w:hint="eastAsia" w:ascii="Times New Roman" w:hAnsi="Times New Roman" w:eastAsia="宋体" w:cs="Times New Roman"/>
          <w:sz w:val="24"/>
          <w:szCs w:val="24"/>
        </w:rPr>
        <w:t>系统管理</w:t>
      </w:r>
      <w:r>
        <w:rPr>
          <w:rFonts w:ascii="Times New Roman" w:hAnsi="Times New Roman" w:eastAsia="宋体" w:cs="Times New Roman"/>
          <w:sz w:val="24"/>
          <w:szCs w:val="24"/>
        </w:rPr>
        <w:t>】中，点击 【</w:t>
      </w:r>
      <w:r>
        <w:rPr>
          <w:rFonts w:hint="eastAsia" w:ascii="Times New Roman" w:hAnsi="Times New Roman" w:eastAsia="宋体" w:cs="Times New Roman"/>
          <w:sz w:val="24"/>
          <w:szCs w:val="24"/>
        </w:rPr>
        <w:t>煤票打印方式</w:t>
      </w:r>
      <w:r>
        <w:rPr>
          <w:rFonts w:ascii="Times New Roman" w:hAnsi="Times New Roman" w:eastAsia="宋体" w:cs="Times New Roman"/>
          <w:sz w:val="24"/>
          <w:szCs w:val="24"/>
        </w:rPr>
        <w:t>】</w:t>
      </w:r>
      <w:r>
        <w:rPr>
          <w:rFonts w:hint="eastAsia" w:ascii="Times New Roman" w:hAnsi="Times New Roman" w:eastAsia="宋体" w:cs="Times New Roman"/>
          <w:sz w:val="24"/>
          <w:szCs w:val="24"/>
        </w:rPr>
        <w:t>，</w:t>
      </w:r>
      <w:r>
        <w:rPr>
          <w:rFonts w:ascii="Times New Roman" w:hAnsi="Times New Roman" w:eastAsia="宋体" w:cs="Times New Roman"/>
          <w:sz w:val="24"/>
          <w:szCs w:val="24"/>
        </w:rPr>
        <w:t>进入</w:t>
      </w:r>
      <w:r>
        <w:rPr>
          <w:rFonts w:hint="eastAsia" w:ascii="Times New Roman" w:hAnsi="Times New Roman" w:eastAsia="宋体" w:cs="Times New Roman"/>
          <w:sz w:val="24"/>
          <w:szCs w:val="24"/>
        </w:rPr>
        <w:t>煤票打印方式调整界面，煤票打印方式分为PDF预览打印、系统直接打印，2种方式。用户可根据使用习惯选择煤票的打印方式，其中PDF预览打印方式可上下微调煤票信息在煤票上的打印位置，向上调整数字为负数、向下调整为负数。</w:t>
      </w:r>
    </w:p>
    <w:p>
      <w:r>
        <w:drawing>
          <wp:inline distT="0" distB="0" distL="0" distR="0">
            <wp:extent cx="6219190" cy="3396615"/>
            <wp:effectExtent l="0" t="0" r="3810" b="698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6219190" cy="3396615"/>
                    </a:xfrm>
                    <a:prstGeom prst="rect">
                      <a:avLst/>
                    </a:prstGeom>
                  </pic:spPr>
                </pic:pic>
              </a:graphicData>
            </a:graphic>
          </wp:inline>
        </w:drawing>
      </w:r>
    </w:p>
    <w:p>
      <w:pPr>
        <w:pStyle w:val="11"/>
        <w:jc w:val="center"/>
        <w:rPr>
          <w:rFonts w:hint="eastAsia" w:eastAsiaTheme="minorEastAsia"/>
          <w:lang w:eastAsia="zh-CN"/>
        </w:rPr>
      </w:pPr>
      <w:r>
        <w:t xml:space="preserve">图 </w:t>
      </w:r>
      <w:r>
        <w:fldChar w:fldCharType="begin"/>
      </w:r>
      <w:r>
        <w:instrText xml:space="preserve"> SEQ 图 \* ARABIC </w:instrText>
      </w:r>
      <w:r>
        <w:fldChar w:fldCharType="separate"/>
      </w:r>
      <w:r>
        <w:t>40</w:t>
      </w:r>
      <w:r>
        <w:fldChar w:fldCharType="end"/>
      </w:r>
      <w:r>
        <w:rPr>
          <w:rFonts w:hint="eastAsia"/>
          <w:lang w:eastAsia="zh-CN"/>
        </w:rPr>
        <w:t>煤票打印方式</w:t>
      </w:r>
    </w:p>
    <w:p>
      <w:pPr>
        <w:jc w:val="center"/>
        <w:rPr>
          <w:rFonts w:hint="eastAsia"/>
        </w:rPr>
      </w:pPr>
    </w:p>
    <w:sectPr>
      <w:footerReference r:id="rId3" w:type="default"/>
      <w:pgSz w:w="11906" w:h="16838"/>
      <w:pgMar w:top="1440" w:right="1080" w:bottom="1440" w:left="108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24</w:t>
                </w:r>
                <w:r>
                  <w:rPr>
                    <w:rFonts w:hint="eastAsia"/>
                    <w:sz w:val="18"/>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2B6A32"/>
    <w:multiLevelType w:val="multilevel"/>
    <w:tmpl w:val="9F2B6A32"/>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0747627D"/>
    <w:multiLevelType w:val="multilevel"/>
    <w:tmpl w:val="0747627D"/>
    <w:lvl w:ilvl="0" w:tentative="0">
      <w:start w:val="1"/>
      <w:numFmt w:val="decimal"/>
      <w:pStyle w:val="2"/>
      <w:lvlText w:val="%1"/>
      <w:lvlJc w:val="left"/>
      <w:pPr>
        <w:ind w:left="716" w:hanging="432"/>
      </w:pPr>
    </w:lvl>
    <w:lvl w:ilvl="1" w:tentative="0">
      <w:start w:val="1"/>
      <w:numFmt w:val="decimal"/>
      <w:lvlText w:val="2.%2"/>
      <w:lvlJc w:val="left"/>
      <w:pPr>
        <w:ind w:left="860" w:hanging="576"/>
      </w:pPr>
      <w:rPr>
        <w:rFonts w:hint="eastAsia"/>
      </w:rPr>
    </w:lvl>
    <w:lvl w:ilvl="2" w:tentative="0">
      <w:start w:val="1"/>
      <w:numFmt w:val="decimal"/>
      <w:lvlText w:val="2.1.%3"/>
      <w:lvlJc w:val="left"/>
      <w:pPr>
        <w:ind w:left="1288" w:hanging="720"/>
      </w:pPr>
      <w:rPr>
        <w:rFonts w:hint="eastAsia"/>
      </w:rPr>
    </w:lvl>
    <w:lvl w:ilvl="3" w:tentative="0">
      <w:start w:val="1"/>
      <w:numFmt w:val="decimal"/>
      <w:pStyle w:val="5"/>
      <w:lvlText w:val="%1.%2.%3.%4"/>
      <w:lvlJc w:val="left"/>
      <w:pPr>
        <w:ind w:left="1148" w:hanging="864"/>
      </w:pPr>
    </w:lvl>
    <w:lvl w:ilvl="4" w:tentative="0">
      <w:start w:val="1"/>
      <w:numFmt w:val="decimal"/>
      <w:pStyle w:val="6"/>
      <w:lvlText w:val="%1.%2.%3.%4.%5"/>
      <w:lvlJc w:val="left"/>
      <w:pPr>
        <w:ind w:left="1292" w:hanging="1008"/>
      </w:pPr>
    </w:lvl>
    <w:lvl w:ilvl="5" w:tentative="0">
      <w:start w:val="1"/>
      <w:numFmt w:val="decimal"/>
      <w:pStyle w:val="7"/>
      <w:lvlText w:val="%1.%2.%3.%4.%5.%6"/>
      <w:lvlJc w:val="left"/>
      <w:pPr>
        <w:ind w:left="1436" w:hanging="1152"/>
      </w:pPr>
    </w:lvl>
    <w:lvl w:ilvl="6" w:tentative="0">
      <w:start w:val="1"/>
      <w:numFmt w:val="decimal"/>
      <w:pStyle w:val="8"/>
      <w:lvlText w:val="%1.%2.%3.%4.%5.%6.%7"/>
      <w:lvlJc w:val="left"/>
      <w:pPr>
        <w:ind w:left="1580" w:hanging="1296"/>
      </w:pPr>
    </w:lvl>
    <w:lvl w:ilvl="7" w:tentative="0">
      <w:start w:val="1"/>
      <w:numFmt w:val="decimal"/>
      <w:pStyle w:val="9"/>
      <w:lvlText w:val="%1.%2.%3.%4.%5.%6.%7.%8"/>
      <w:lvlJc w:val="left"/>
      <w:pPr>
        <w:ind w:left="1724" w:hanging="1440"/>
      </w:pPr>
    </w:lvl>
    <w:lvl w:ilvl="8" w:tentative="0">
      <w:start w:val="1"/>
      <w:numFmt w:val="decimal"/>
      <w:pStyle w:val="10"/>
      <w:lvlText w:val="%1.%2.%3.%4.%5.%6.%7.%8.%9"/>
      <w:lvlJc w:val="left"/>
      <w:pPr>
        <w:ind w:left="1868" w:hanging="1584"/>
      </w:pPr>
    </w:lvl>
  </w:abstractNum>
  <w:abstractNum w:abstractNumId="2">
    <w:nsid w:val="535C31F3"/>
    <w:multiLevelType w:val="multilevel"/>
    <w:tmpl w:val="535C31F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540DFDB"/>
    <w:multiLevelType w:val="multilevel"/>
    <w:tmpl w:val="6540DFD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A1A61"/>
    <w:rsid w:val="0000095C"/>
    <w:rsid w:val="000010BA"/>
    <w:rsid w:val="00001D23"/>
    <w:rsid w:val="00001D2C"/>
    <w:rsid w:val="000023F4"/>
    <w:rsid w:val="00002E7E"/>
    <w:rsid w:val="0000315E"/>
    <w:rsid w:val="00003193"/>
    <w:rsid w:val="00003B28"/>
    <w:rsid w:val="0000486E"/>
    <w:rsid w:val="00005E8A"/>
    <w:rsid w:val="00006711"/>
    <w:rsid w:val="00006A2C"/>
    <w:rsid w:val="00011871"/>
    <w:rsid w:val="00012699"/>
    <w:rsid w:val="00013617"/>
    <w:rsid w:val="00013ACD"/>
    <w:rsid w:val="00013B1C"/>
    <w:rsid w:val="00013D70"/>
    <w:rsid w:val="00013FC0"/>
    <w:rsid w:val="0001488C"/>
    <w:rsid w:val="000156BC"/>
    <w:rsid w:val="000163ED"/>
    <w:rsid w:val="000165F7"/>
    <w:rsid w:val="00016FA4"/>
    <w:rsid w:val="0001706A"/>
    <w:rsid w:val="00017389"/>
    <w:rsid w:val="00017837"/>
    <w:rsid w:val="0001794E"/>
    <w:rsid w:val="00017A26"/>
    <w:rsid w:val="00020A43"/>
    <w:rsid w:val="0002183A"/>
    <w:rsid w:val="00021B7C"/>
    <w:rsid w:val="000222A0"/>
    <w:rsid w:val="0002359A"/>
    <w:rsid w:val="00023DA7"/>
    <w:rsid w:val="00024116"/>
    <w:rsid w:val="00025C91"/>
    <w:rsid w:val="000264D8"/>
    <w:rsid w:val="0002684A"/>
    <w:rsid w:val="0002707A"/>
    <w:rsid w:val="00027362"/>
    <w:rsid w:val="000275FA"/>
    <w:rsid w:val="0002797A"/>
    <w:rsid w:val="00027B50"/>
    <w:rsid w:val="00027ED7"/>
    <w:rsid w:val="000301C3"/>
    <w:rsid w:val="000310A9"/>
    <w:rsid w:val="000320AE"/>
    <w:rsid w:val="00032858"/>
    <w:rsid w:val="00032A53"/>
    <w:rsid w:val="00033734"/>
    <w:rsid w:val="0003393A"/>
    <w:rsid w:val="00033CAF"/>
    <w:rsid w:val="00034119"/>
    <w:rsid w:val="00034953"/>
    <w:rsid w:val="00034B44"/>
    <w:rsid w:val="000354B9"/>
    <w:rsid w:val="000368F8"/>
    <w:rsid w:val="00037311"/>
    <w:rsid w:val="0003788D"/>
    <w:rsid w:val="0004041D"/>
    <w:rsid w:val="00040A26"/>
    <w:rsid w:val="00040D62"/>
    <w:rsid w:val="00041381"/>
    <w:rsid w:val="000414AE"/>
    <w:rsid w:val="00041F24"/>
    <w:rsid w:val="00043817"/>
    <w:rsid w:val="000441D3"/>
    <w:rsid w:val="0004491B"/>
    <w:rsid w:val="0004636C"/>
    <w:rsid w:val="000467F8"/>
    <w:rsid w:val="00046A8F"/>
    <w:rsid w:val="00046BFD"/>
    <w:rsid w:val="00046C90"/>
    <w:rsid w:val="00047530"/>
    <w:rsid w:val="0004755E"/>
    <w:rsid w:val="00051642"/>
    <w:rsid w:val="00052518"/>
    <w:rsid w:val="00052D15"/>
    <w:rsid w:val="00052F48"/>
    <w:rsid w:val="00053123"/>
    <w:rsid w:val="0005315E"/>
    <w:rsid w:val="00053C2C"/>
    <w:rsid w:val="00053F23"/>
    <w:rsid w:val="0005466D"/>
    <w:rsid w:val="00054C32"/>
    <w:rsid w:val="00054F3C"/>
    <w:rsid w:val="00055430"/>
    <w:rsid w:val="000554BC"/>
    <w:rsid w:val="00055EEC"/>
    <w:rsid w:val="00056368"/>
    <w:rsid w:val="00057A81"/>
    <w:rsid w:val="00057CB7"/>
    <w:rsid w:val="00057EF8"/>
    <w:rsid w:val="00060138"/>
    <w:rsid w:val="000608B2"/>
    <w:rsid w:val="00060D58"/>
    <w:rsid w:val="00061882"/>
    <w:rsid w:val="00061A03"/>
    <w:rsid w:val="00061D48"/>
    <w:rsid w:val="000626C1"/>
    <w:rsid w:val="00062767"/>
    <w:rsid w:val="000627D0"/>
    <w:rsid w:val="000633F4"/>
    <w:rsid w:val="0006373F"/>
    <w:rsid w:val="00063EF2"/>
    <w:rsid w:val="00063F23"/>
    <w:rsid w:val="0006411F"/>
    <w:rsid w:val="0006483E"/>
    <w:rsid w:val="00064860"/>
    <w:rsid w:val="00065590"/>
    <w:rsid w:val="0006593F"/>
    <w:rsid w:val="00065952"/>
    <w:rsid w:val="00066609"/>
    <w:rsid w:val="00066C18"/>
    <w:rsid w:val="00067DB5"/>
    <w:rsid w:val="0007046D"/>
    <w:rsid w:val="0007058E"/>
    <w:rsid w:val="00070673"/>
    <w:rsid w:val="00070DBE"/>
    <w:rsid w:val="0007132E"/>
    <w:rsid w:val="000718B4"/>
    <w:rsid w:val="00071B5F"/>
    <w:rsid w:val="00072537"/>
    <w:rsid w:val="000726F7"/>
    <w:rsid w:val="00073447"/>
    <w:rsid w:val="00073785"/>
    <w:rsid w:val="00074734"/>
    <w:rsid w:val="00074D5F"/>
    <w:rsid w:val="0007512D"/>
    <w:rsid w:val="00075E20"/>
    <w:rsid w:val="00076BE9"/>
    <w:rsid w:val="000770DE"/>
    <w:rsid w:val="0007718C"/>
    <w:rsid w:val="000772AA"/>
    <w:rsid w:val="00077579"/>
    <w:rsid w:val="00077BE1"/>
    <w:rsid w:val="00077D16"/>
    <w:rsid w:val="00077FDB"/>
    <w:rsid w:val="0008002F"/>
    <w:rsid w:val="00080364"/>
    <w:rsid w:val="000804EF"/>
    <w:rsid w:val="00080662"/>
    <w:rsid w:val="00080840"/>
    <w:rsid w:val="0008088D"/>
    <w:rsid w:val="00081D9C"/>
    <w:rsid w:val="000822F5"/>
    <w:rsid w:val="0008288C"/>
    <w:rsid w:val="00082983"/>
    <w:rsid w:val="00082A14"/>
    <w:rsid w:val="00082A6C"/>
    <w:rsid w:val="00082C7A"/>
    <w:rsid w:val="0008485D"/>
    <w:rsid w:val="00084A74"/>
    <w:rsid w:val="00084C24"/>
    <w:rsid w:val="0008505F"/>
    <w:rsid w:val="00085064"/>
    <w:rsid w:val="000853A7"/>
    <w:rsid w:val="00085BDA"/>
    <w:rsid w:val="00085F44"/>
    <w:rsid w:val="00085FEF"/>
    <w:rsid w:val="00087229"/>
    <w:rsid w:val="0008740C"/>
    <w:rsid w:val="00087BBD"/>
    <w:rsid w:val="00087F31"/>
    <w:rsid w:val="000915ED"/>
    <w:rsid w:val="00091699"/>
    <w:rsid w:val="00092919"/>
    <w:rsid w:val="00092C7F"/>
    <w:rsid w:val="000943E2"/>
    <w:rsid w:val="00094F7D"/>
    <w:rsid w:val="0009557A"/>
    <w:rsid w:val="000979F6"/>
    <w:rsid w:val="00097B88"/>
    <w:rsid w:val="00097C1C"/>
    <w:rsid w:val="000A0131"/>
    <w:rsid w:val="000A08B3"/>
    <w:rsid w:val="000A16E3"/>
    <w:rsid w:val="000A1A61"/>
    <w:rsid w:val="000A208B"/>
    <w:rsid w:val="000A255B"/>
    <w:rsid w:val="000A274E"/>
    <w:rsid w:val="000A2C49"/>
    <w:rsid w:val="000A4404"/>
    <w:rsid w:val="000A4883"/>
    <w:rsid w:val="000A4936"/>
    <w:rsid w:val="000A496C"/>
    <w:rsid w:val="000A4F4B"/>
    <w:rsid w:val="000A55A8"/>
    <w:rsid w:val="000A570C"/>
    <w:rsid w:val="000A7679"/>
    <w:rsid w:val="000B0FEF"/>
    <w:rsid w:val="000B101E"/>
    <w:rsid w:val="000B226B"/>
    <w:rsid w:val="000B3044"/>
    <w:rsid w:val="000B3435"/>
    <w:rsid w:val="000B35CB"/>
    <w:rsid w:val="000B3B61"/>
    <w:rsid w:val="000B3EAB"/>
    <w:rsid w:val="000B4F61"/>
    <w:rsid w:val="000B50D6"/>
    <w:rsid w:val="000B5B88"/>
    <w:rsid w:val="000B7109"/>
    <w:rsid w:val="000B7206"/>
    <w:rsid w:val="000B7C24"/>
    <w:rsid w:val="000C0388"/>
    <w:rsid w:val="000C07CA"/>
    <w:rsid w:val="000C0800"/>
    <w:rsid w:val="000C0D56"/>
    <w:rsid w:val="000C13EF"/>
    <w:rsid w:val="000C2410"/>
    <w:rsid w:val="000C2850"/>
    <w:rsid w:val="000C2F15"/>
    <w:rsid w:val="000C3758"/>
    <w:rsid w:val="000C3D39"/>
    <w:rsid w:val="000C3E68"/>
    <w:rsid w:val="000C4891"/>
    <w:rsid w:val="000C504D"/>
    <w:rsid w:val="000C5655"/>
    <w:rsid w:val="000C57FF"/>
    <w:rsid w:val="000C5F41"/>
    <w:rsid w:val="000C719B"/>
    <w:rsid w:val="000C73D7"/>
    <w:rsid w:val="000C787A"/>
    <w:rsid w:val="000D0B37"/>
    <w:rsid w:val="000D0CFE"/>
    <w:rsid w:val="000D1484"/>
    <w:rsid w:val="000D1D1C"/>
    <w:rsid w:val="000D2241"/>
    <w:rsid w:val="000D2C0A"/>
    <w:rsid w:val="000D2F0E"/>
    <w:rsid w:val="000D3894"/>
    <w:rsid w:val="000D4338"/>
    <w:rsid w:val="000D44B9"/>
    <w:rsid w:val="000D4869"/>
    <w:rsid w:val="000D4940"/>
    <w:rsid w:val="000D56D5"/>
    <w:rsid w:val="000D6553"/>
    <w:rsid w:val="000D6A15"/>
    <w:rsid w:val="000D7387"/>
    <w:rsid w:val="000D73F4"/>
    <w:rsid w:val="000E003C"/>
    <w:rsid w:val="000E0800"/>
    <w:rsid w:val="000E0A00"/>
    <w:rsid w:val="000E0D07"/>
    <w:rsid w:val="000E0E30"/>
    <w:rsid w:val="000E0FEB"/>
    <w:rsid w:val="000E1452"/>
    <w:rsid w:val="000E183A"/>
    <w:rsid w:val="000E1BD2"/>
    <w:rsid w:val="000E1EA0"/>
    <w:rsid w:val="000E23F5"/>
    <w:rsid w:val="000E298A"/>
    <w:rsid w:val="000E2AE9"/>
    <w:rsid w:val="000E35D3"/>
    <w:rsid w:val="000E3789"/>
    <w:rsid w:val="000E3A13"/>
    <w:rsid w:val="000E3AC0"/>
    <w:rsid w:val="000E41D6"/>
    <w:rsid w:val="000E4294"/>
    <w:rsid w:val="000E4921"/>
    <w:rsid w:val="000E4B42"/>
    <w:rsid w:val="000E4D50"/>
    <w:rsid w:val="000E53F6"/>
    <w:rsid w:val="000E578F"/>
    <w:rsid w:val="000E5921"/>
    <w:rsid w:val="000E72BB"/>
    <w:rsid w:val="000E73AC"/>
    <w:rsid w:val="000E7C4C"/>
    <w:rsid w:val="000F0A8C"/>
    <w:rsid w:val="000F0EAF"/>
    <w:rsid w:val="000F1A30"/>
    <w:rsid w:val="000F40CB"/>
    <w:rsid w:val="000F4176"/>
    <w:rsid w:val="000F440E"/>
    <w:rsid w:val="000F606C"/>
    <w:rsid w:val="000F6755"/>
    <w:rsid w:val="000F6EB9"/>
    <w:rsid w:val="001001BF"/>
    <w:rsid w:val="0010067D"/>
    <w:rsid w:val="0010075F"/>
    <w:rsid w:val="0010085B"/>
    <w:rsid w:val="00100ABD"/>
    <w:rsid w:val="0010114D"/>
    <w:rsid w:val="00101459"/>
    <w:rsid w:val="001017E1"/>
    <w:rsid w:val="0010275B"/>
    <w:rsid w:val="00102D1B"/>
    <w:rsid w:val="001032A4"/>
    <w:rsid w:val="001033DA"/>
    <w:rsid w:val="00104746"/>
    <w:rsid w:val="00105803"/>
    <w:rsid w:val="00105B63"/>
    <w:rsid w:val="00106AFA"/>
    <w:rsid w:val="00107A6D"/>
    <w:rsid w:val="00107A86"/>
    <w:rsid w:val="00107D0C"/>
    <w:rsid w:val="00110004"/>
    <w:rsid w:val="001102A7"/>
    <w:rsid w:val="001108A9"/>
    <w:rsid w:val="00111D8D"/>
    <w:rsid w:val="001124BF"/>
    <w:rsid w:val="00113AA3"/>
    <w:rsid w:val="001145F9"/>
    <w:rsid w:val="00114D80"/>
    <w:rsid w:val="001157C7"/>
    <w:rsid w:val="00115821"/>
    <w:rsid w:val="001166A3"/>
    <w:rsid w:val="00116719"/>
    <w:rsid w:val="001167E5"/>
    <w:rsid w:val="00116802"/>
    <w:rsid w:val="00116E95"/>
    <w:rsid w:val="00117691"/>
    <w:rsid w:val="001201B8"/>
    <w:rsid w:val="00121632"/>
    <w:rsid w:val="00121A05"/>
    <w:rsid w:val="00121A6B"/>
    <w:rsid w:val="00121D9A"/>
    <w:rsid w:val="0012297D"/>
    <w:rsid w:val="00122996"/>
    <w:rsid w:val="00122FE7"/>
    <w:rsid w:val="00123651"/>
    <w:rsid w:val="00123782"/>
    <w:rsid w:val="00124319"/>
    <w:rsid w:val="0012478D"/>
    <w:rsid w:val="00125843"/>
    <w:rsid w:val="00125999"/>
    <w:rsid w:val="00125FC5"/>
    <w:rsid w:val="00126011"/>
    <w:rsid w:val="001265CC"/>
    <w:rsid w:val="00126C35"/>
    <w:rsid w:val="001274F6"/>
    <w:rsid w:val="00127786"/>
    <w:rsid w:val="00130B81"/>
    <w:rsid w:val="00130F32"/>
    <w:rsid w:val="00131057"/>
    <w:rsid w:val="0013144E"/>
    <w:rsid w:val="001319E6"/>
    <w:rsid w:val="00131F26"/>
    <w:rsid w:val="0013235D"/>
    <w:rsid w:val="00132E6F"/>
    <w:rsid w:val="00132E8F"/>
    <w:rsid w:val="00134352"/>
    <w:rsid w:val="0013767B"/>
    <w:rsid w:val="00137C57"/>
    <w:rsid w:val="00140766"/>
    <w:rsid w:val="001410D4"/>
    <w:rsid w:val="001418CB"/>
    <w:rsid w:val="00141C16"/>
    <w:rsid w:val="00143412"/>
    <w:rsid w:val="00143413"/>
    <w:rsid w:val="00143D23"/>
    <w:rsid w:val="00144117"/>
    <w:rsid w:val="001460A3"/>
    <w:rsid w:val="00147365"/>
    <w:rsid w:val="00150644"/>
    <w:rsid w:val="001510FF"/>
    <w:rsid w:val="0015146A"/>
    <w:rsid w:val="0015166F"/>
    <w:rsid w:val="001518CE"/>
    <w:rsid w:val="001518E3"/>
    <w:rsid w:val="001518F9"/>
    <w:rsid w:val="00151F4D"/>
    <w:rsid w:val="00151FA2"/>
    <w:rsid w:val="001525CC"/>
    <w:rsid w:val="001531E7"/>
    <w:rsid w:val="00153460"/>
    <w:rsid w:val="00153B72"/>
    <w:rsid w:val="001542CF"/>
    <w:rsid w:val="0015594E"/>
    <w:rsid w:val="001578D3"/>
    <w:rsid w:val="00157C0F"/>
    <w:rsid w:val="00157CD4"/>
    <w:rsid w:val="001606F3"/>
    <w:rsid w:val="00160776"/>
    <w:rsid w:val="0016186E"/>
    <w:rsid w:val="00161DCE"/>
    <w:rsid w:val="00162D1E"/>
    <w:rsid w:val="00163EE3"/>
    <w:rsid w:val="00164373"/>
    <w:rsid w:val="00164B42"/>
    <w:rsid w:val="00164F64"/>
    <w:rsid w:val="0016587B"/>
    <w:rsid w:val="00165E3C"/>
    <w:rsid w:val="0016659D"/>
    <w:rsid w:val="00166CB6"/>
    <w:rsid w:val="00166E26"/>
    <w:rsid w:val="001679F2"/>
    <w:rsid w:val="00167E42"/>
    <w:rsid w:val="00170F2D"/>
    <w:rsid w:val="00171226"/>
    <w:rsid w:val="001717A7"/>
    <w:rsid w:val="00171A62"/>
    <w:rsid w:val="00171BA4"/>
    <w:rsid w:val="00171FB5"/>
    <w:rsid w:val="00172C97"/>
    <w:rsid w:val="00172FF1"/>
    <w:rsid w:val="00173B42"/>
    <w:rsid w:val="00173EB1"/>
    <w:rsid w:val="00174155"/>
    <w:rsid w:val="00174866"/>
    <w:rsid w:val="00174A8D"/>
    <w:rsid w:val="001754D8"/>
    <w:rsid w:val="0017604C"/>
    <w:rsid w:val="0017608C"/>
    <w:rsid w:val="00176479"/>
    <w:rsid w:val="00176685"/>
    <w:rsid w:val="00177142"/>
    <w:rsid w:val="001800F2"/>
    <w:rsid w:val="00180BB4"/>
    <w:rsid w:val="00181440"/>
    <w:rsid w:val="00181C17"/>
    <w:rsid w:val="00182220"/>
    <w:rsid w:val="0018261D"/>
    <w:rsid w:val="00182B31"/>
    <w:rsid w:val="00183015"/>
    <w:rsid w:val="001832D9"/>
    <w:rsid w:val="00183683"/>
    <w:rsid w:val="00183BFD"/>
    <w:rsid w:val="001842E7"/>
    <w:rsid w:val="0018438C"/>
    <w:rsid w:val="001843C2"/>
    <w:rsid w:val="001844AA"/>
    <w:rsid w:val="00184644"/>
    <w:rsid w:val="00184A0A"/>
    <w:rsid w:val="00184DC6"/>
    <w:rsid w:val="00185406"/>
    <w:rsid w:val="001857A1"/>
    <w:rsid w:val="00185E62"/>
    <w:rsid w:val="00186573"/>
    <w:rsid w:val="00186DCB"/>
    <w:rsid w:val="00190477"/>
    <w:rsid w:val="00190C06"/>
    <w:rsid w:val="00190FE1"/>
    <w:rsid w:val="001918F9"/>
    <w:rsid w:val="00191CFE"/>
    <w:rsid w:val="00192B92"/>
    <w:rsid w:val="00194047"/>
    <w:rsid w:val="00194A3C"/>
    <w:rsid w:val="00194E0A"/>
    <w:rsid w:val="00195107"/>
    <w:rsid w:val="00195147"/>
    <w:rsid w:val="00195D9D"/>
    <w:rsid w:val="00196ABE"/>
    <w:rsid w:val="00196EE6"/>
    <w:rsid w:val="001973EC"/>
    <w:rsid w:val="001975A4"/>
    <w:rsid w:val="001975D0"/>
    <w:rsid w:val="00197782"/>
    <w:rsid w:val="0019789E"/>
    <w:rsid w:val="00197F83"/>
    <w:rsid w:val="001A0E16"/>
    <w:rsid w:val="001A1A94"/>
    <w:rsid w:val="001A27F0"/>
    <w:rsid w:val="001A2A42"/>
    <w:rsid w:val="001A5196"/>
    <w:rsid w:val="001A5856"/>
    <w:rsid w:val="001A63AF"/>
    <w:rsid w:val="001A6544"/>
    <w:rsid w:val="001A6745"/>
    <w:rsid w:val="001A6A00"/>
    <w:rsid w:val="001A6C86"/>
    <w:rsid w:val="001A73F6"/>
    <w:rsid w:val="001A782B"/>
    <w:rsid w:val="001A7B67"/>
    <w:rsid w:val="001A7BC4"/>
    <w:rsid w:val="001A7BCF"/>
    <w:rsid w:val="001B257D"/>
    <w:rsid w:val="001B28CB"/>
    <w:rsid w:val="001B2E66"/>
    <w:rsid w:val="001B34AF"/>
    <w:rsid w:val="001B3686"/>
    <w:rsid w:val="001B36E2"/>
    <w:rsid w:val="001B3DFA"/>
    <w:rsid w:val="001B3E94"/>
    <w:rsid w:val="001B496B"/>
    <w:rsid w:val="001B4A3C"/>
    <w:rsid w:val="001B5CEE"/>
    <w:rsid w:val="001B655B"/>
    <w:rsid w:val="001B686D"/>
    <w:rsid w:val="001B7272"/>
    <w:rsid w:val="001B76DC"/>
    <w:rsid w:val="001C0055"/>
    <w:rsid w:val="001C06C3"/>
    <w:rsid w:val="001C1292"/>
    <w:rsid w:val="001C1637"/>
    <w:rsid w:val="001C22B0"/>
    <w:rsid w:val="001C3C30"/>
    <w:rsid w:val="001C3E00"/>
    <w:rsid w:val="001C4BDB"/>
    <w:rsid w:val="001C54AE"/>
    <w:rsid w:val="001C592D"/>
    <w:rsid w:val="001C630F"/>
    <w:rsid w:val="001C656E"/>
    <w:rsid w:val="001C7216"/>
    <w:rsid w:val="001C7530"/>
    <w:rsid w:val="001C78A1"/>
    <w:rsid w:val="001C7EBC"/>
    <w:rsid w:val="001D0637"/>
    <w:rsid w:val="001D0C2A"/>
    <w:rsid w:val="001D1361"/>
    <w:rsid w:val="001D13BA"/>
    <w:rsid w:val="001D1724"/>
    <w:rsid w:val="001D18B6"/>
    <w:rsid w:val="001D190C"/>
    <w:rsid w:val="001D2894"/>
    <w:rsid w:val="001D2DE1"/>
    <w:rsid w:val="001D3770"/>
    <w:rsid w:val="001D3B8C"/>
    <w:rsid w:val="001D598B"/>
    <w:rsid w:val="001D5C7F"/>
    <w:rsid w:val="001D61E2"/>
    <w:rsid w:val="001D62E7"/>
    <w:rsid w:val="001D6342"/>
    <w:rsid w:val="001D64E9"/>
    <w:rsid w:val="001D65D4"/>
    <w:rsid w:val="001D666F"/>
    <w:rsid w:val="001D755C"/>
    <w:rsid w:val="001D7A97"/>
    <w:rsid w:val="001D7B3A"/>
    <w:rsid w:val="001D7CC6"/>
    <w:rsid w:val="001E0A92"/>
    <w:rsid w:val="001E1176"/>
    <w:rsid w:val="001E1E33"/>
    <w:rsid w:val="001E21C5"/>
    <w:rsid w:val="001E2772"/>
    <w:rsid w:val="001E32F7"/>
    <w:rsid w:val="001E37DA"/>
    <w:rsid w:val="001E37F0"/>
    <w:rsid w:val="001E452A"/>
    <w:rsid w:val="001E4CCC"/>
    <w:rsid w:val="001E5248"/>
    <w:rsid w:val="001E5CA2"/>
    <w:rsid w:val="001E7103"/>
    <w:rsid w:val="001E7E9A"/>
    <w:rsid w:val="001F0173"/>
    <w:rsid w:val="001F0466"/>
    <w:rsid w:val="001F06A2"/>
    <w:rsid w:val="001F1A16"/>
    <w:rsid w:val="001F1FD1"/>
    <w:rsid w:val="001F3ABE"/>
    <w:rsid w:val="001F4450"/>
    <w:rsid w:val="001F4B7C"/>
    <w:rsid w:val="001F5113"/>
    <w:rsid w:val="001F54C1"/>
    <w:rsid w:val="001F5B18"/>
    <w:rsid w:val="001F6CE6"/>
    <w:rsid w:val="001F70DD"/>
    <w:rsid w:val="001F7632"/>
    <w:rsid w:val="001F76C8"/>
    <w:rsid w:val="001F7B09"/>
    <w:rsid w:val="001F7B56"/>
    <w:rsid w:val="00200033"/>
    <w:rsid w:val="002004A6"/>
    <w:rsid w:val="00200538"/>
    <w:rsid w:val="00200786"/>
    <w:rsid w:val="00201311"/>
    <w:rsid w:val="00201812"/>
    <w:rsid w:val="002018CD"/>
    <w:rsid w:val="0020232A"/>
    <w:rsid w:val="00202617"/>
    <w:rsid w:val="0020331F"/>
    <w:rsid w:val="00203605"/>
    <w:rsid w:val="00203A1C"/>
    <w:rsid w:val="00203EF8"/>
    <w:rsid w:val="002053AD"/>
    <w:rsid w:val="0020575E"/>
    <w:rsid w:val="00206010"/>
    <w:rsid w:val="00206431"/>
    <w:rsid w:val="00206C35"/>
    <w:rsid w:val="00207C9B"/>
    <w:rsid w:val="00210EAA"/>
    <w:rsid w:val="00210F61"/>
    <w:rsid w:val="002116A5"/>
    <w:rsid w:val="00211B51"/>
    <w:rsid w:val="002121B9"/>
    <w:rsid w:val="00213852"/>
    <w:rsid w:val="00213A43"/>
    <w:rsid w:val="00213AA3"/>
    <w:rsid w:val="002143C3"/>
    <w:rsid w:val="00215422"/>
    <w:rsid w:val="00215F18"/>
    <w:rsid w:val="002165FE"/>
    <w:rsid w:val="00216656"/>
    <w:rsid w:val="00216D53"/>
    <w:rsid w:val="00216FDC"/>
    <w:rsid w:val="00217A5D"/>
    <w:rsid w:val="002207E3"/>
    <w:rsid w:val="00221643"/>
    <w:rsid w:val="00221685"/>
    <w:rsid w:val="00222738"/>
    <w:rsid w:val="00222871"/>
    <w:rsid w:val="00223528"/>
    <w:rsid w:val="0022362A"/>
    <w:rsid w:val="00223C60"/>
    <w:rsid w:val="0022409D"/>
    <w:rsid w:val="002251A3"/>
    <w:rsid w:val="00225A0D"/>
    <w:rsid w:val="00225E65"/>
    <w:rsid w:val="00225F66"/>
    <w:rsid w:val="00226816"/>
    <w:rsid w:val="00230115"/>
    <w:rsid w:val="002311E7"/>
    <w:rsid w:val="00231EC0"/>
    <w:rsid w:val="002322C1"/>
    <w:rsid w:val="00232677"/>
    <w:rsid w:val="00233383"/>
    <w:rsid w:val="00234BDD"/>
    <w:rsid w:val="0023526B"/>
    <w:rsid w:val="0023571E"/>
    <w:rsid w:val="002361A6"/>
    <w:rsid w:val="0024052A"/>
    <w:rsid w:val="0024071F"/>
    <w:rsid w:val="0024082D"/>
    <w:rsid w:val="00241F3F"/>
    <w:rsid w:val="002423C1"/>
    <w:rsid w:val="00242DEB"/>
    <w:rsid w:val="0024308B"/>
    <w:rsid w:val="002433BA"/>
    <w:rsid w:val="00244CBB"/>
    <w:rsid w:val="002456AC"/>
    <w:rsid w:val="00245D97"/>
    <w:rsid w:val="00245F33"/>
    <w:rsid w:val="00245FA3"/>
    <w:rsid w:val="002467BF"/>
    <w:rsid w:val="00247654"/>
    <w:rsid w:val="00247659"/>
    <w:rsid w:val="00250761"/>
    <w:rsid w:val="0025128B"/>
    <w:rsid w:val="002530F6"/>
    <w:rsid w:val="00253E89"/>
    <w:rsid w:val="00253F25"/>
    <w:rsid w:val="00254884"/>
    <w:rsid w:val="00254C5A"/>
    <w:rsid w:val="00254ECE"/>
    <w:rsid w:val="0025511C"/>
    <w:rsid w:val="00255427"/>
    <w:rsid w:val="00255D20"/>
    <w:rsid w:val="00256D3F"/>
    <w:rsid w:val="002576D3"/>
    <w:rsid w:val="00257704"/>
    <w:rsid w:val="00257EAB"/>
    <w:rsid w:val="002607DB"/>
    <w:rsid w:val="00260E16"/>
    <w:rsid w:val="00261EDB"/>
    <w:rsid w:val="00261FAA"/>
    <w:rsid w:val="00262582"/>
    <w:rsid w:val="002625E3"/>
    <w:rsid w:val="00262846"/>
    <w:rsid w:val="00262983"/>
    <w:rsid w:val="002631CE"/>
    <w:rsid w:val="00263B07"/>
    <w:rsid w:val="00263C5B"/>
    <w:rsid w:val="002640D0"/>
    <w:rsid w:val="00264A8E"/>
    <w:rsid w:val="002652C4"/>
    <w:rsid w:val="0026555C"/>
    <w:rsid w:val="002659A8"/>
    <w:rsid w:val="00266818"/>
    <w:rsid w:val="00266AE4"/>
    <w:rsid w:val="00267E8D"/>
    <w:rsid w:val="00271163"/>
    <w:rsid w:val="00271583"/>
    <w:rsid w:val="002722C9"/>
    <w:rsid w:val="002727BD"/>
    <w:rsid w:val="002728D3"/>
    <w:rsid w:val="00272921"/>
    <w:rsid w:val="002732E9"/>
    <w:rsid w:val="0027378E"/>
    <w:rsid w:val="00273C2A"/>
    <w:rsid w:val="00273D2D"/>
    <w:rsid w:val="00274193"/>
    <w:rsid w:val="00274A0E"/>
    <w:rsid w:val="00274D72"/>
    <w:rsid w:val="002752BB"/>
    <w:rsid w:val="002756B6"/>
    <w:rsid w:val="00277470"/>
    <w:rsid w:val="002777C6"/>
    <w:rsid w:val="00277B22"/>
    <w:rsid w:val="00277CF7"/>
    <w:rsid w:val="00280652"/>
    <w:rsid w:val="0028140A"/>
    <w:rsid w:val="002823EE"/>
    <w:rsid w:val="002831BC"/>
    <w:rsid w:val="00284A17"/>
    <w:rsid w:val="00285BC6"/>
    <w:rsid w:val="00286A6B"/>
    <w:rsid w:val="00286A7C"/>
    <w:rsid w:val="0028741B"/>
    <w:rsid w:val="00287939"/>
    <w:rsid w:val="0029012E"/>
    <w:rsid w:val="002910A8"/>
    <w:rsid w:val="002911A4"/>
    <w:rsid w:val="0029217E"/>
    <w:rsid w:val="0029239A"/>
    <w:rsid w:val="00292B7A"/>
    <w:rsid w:val="00292CCC"/>
    <w:rsid w:val="00292F2B"/>
    <w:rsid w:val="0029346D"/>
    <w:rsid w:val="00293A85"/>
    <w:rsid w:val="00293E6B"/>
    <w:rsid w:val="002948F9"/>
    <w:rsid w:val="002956A4"/>
    <w:rsid w:val="00295B65"/>
    <w:rsid w:val="00296A34"/>
    <w:rsid w:val="00296DD2"/>
    <w:rsid w:val="002A0493"/>
    <w:rsid w:val="002A0523"/>
    <w:rsid w:val="002A05C4"/>
    <w:rsid w:val="002A067C"/>
    <w:rsid w:val="002A0902"/>
    <w:rsid w:val="002A195B"/>
    <w:rsid w:val="002A1FE8"/>
    <w:rsid w:val="002A24C5"/>
    <w:rsid w:val="002A2A36"/>
    <w:rsid w:val="002A2FA9"/>
    <w:rsid w:val="002A38F7"/>
    <w:rsid w:val="002A51CE"/>
    <w:rsid w:val="002A5862"/>
    <w:rsid w:val="002B015D"/>
    <w:rsid w:val="002B04EA"/>
    <w:rsid w:val="002B068B"/>
    <w:rsid w:val="002B06C6"/>
    <w:rsid w:val="002B21A7"/>
    <w:rsid w:val="002B230D"/>
    <w:rsid w:val="002B2429"/>
    <w:rsid w:val="002B2A00"/>
    <w:rsid w:val="002B31FC"/>
    <w:rsid w:val="002B400E"/>
    <w:rsid w:val="002B508F"/>
    <w:rsid w:val="002B5404"/>
    <w:rsid w:val="002B58F2"/>
    <w:rsid w:val="002B600D"/>
    <w:rsid w:val="002B64F3"/>
    <w:rsid w:val="002B6D7B"/>
    <w:rsid w:val="002B71C3"/>
    <w:rsid w:val="002B721D"/>
    <w:rsid w:val="002B7E3C"/>
    <w:rsid w:val="002C075D"/>
    <w:rsid w:val="002C17AD"/>
    <w:rsid w:val="002C1A42"/>
    <w:rsid w:val="002C2380"/>
    <w:rsid w:val="002C3150"/>
    <w:rsid w:val="002C32B4"/>
    <w:rsid w:val="002C39BE"/>
    <w:rsid w:val="002C3B23"/>
    <w:rsid w:val="002C3C25"/>
    <w:rsid w:val="002C4638"/>
    <w:rsid w:val="002C599E"/>
    <w:rsid w:val="002C5E69"/>
    <w:rsid w:val="002C5F58"/>
    <w:rsid w:val="002C6383"/>
    <w:rsid w:val="002C6C49"/>
    <w:rsid w:val="002C70DA"/>
    <w:rsid w:val="002C7178"/>
    <w:rsid w:val="002C75F1"/>
    <w:rsid w:val="002D0038"/>
    <w:rsid w:val="002D033F"/>
    <w:rsid w:val="002D0D1E"/>
    <w:rsid w:val="002D1F89"/>
    <w:rsid w:val="002D23DF"/>
    <w:rsid w:val="002D242A"/>
    <w:rsid w:val="002D33CE"/>
    <w:rsid w:val="002D36E1"/>
    <w:rsid w:val="002D48B8"/>
    <w:rsid w:val="002D48E2"/>
    <w:rsid w:val="002D493A"/>
    <w:rsid w:val="002D50DC"/>
    <w:rsid w:val="002D526D"/>
    <w:rsid w:val="002D53F6"/>
    <w:rsid w:val="002D6D80"/>
    <w:rsid w:val="002E23D8"/>
    <w:rsid w:val="002E26F2"/>
    <w:rsid w:val="002E2E19"/>
    <w:rsid w:val="002E4640"/>
    <w:rsid w:val="002E4BA1"/>
    <w:rsid w:val="002E4D93"/>
    <w:rsid w:val="002E4F25"/>
    <w:rsid w:val="002E728E"/>
    <w:rsid w:val="002E7BE6"/>
    <w:rsid w:val="002F0D85"/>
    <w:rsid w:val="002F1437"/>
    <w:rsid w:val="002F17AA"/>
    <w:rsid w:val="002F19CD"/>
    <w:rsid w:val="002F25F8"/>
    <w:rsid w:val="002F2D77"/>
    <w:rsid w:val="002F3897"/>
    <w:rsid w:val="002F4946"/>
    <w:rsid w:val="002F4AE3"/>
    <w:rsid w:val="002F4CB9"/>
    <w:rsid w:val="002F5F8A"/>
    <w:rsid w:val="002F7F24"/>
    <w:rsid w:val="003002DB"/>
    <w:rsid w:val="003006EE"/>
    <w:rsid w:val="00302237"/>
    <w:rsid w:val="00302921"/>
    <w:rsid w:val="003029F7"/>
    <w:rsid w:val="003031CF"/>
    <w:rsid w:val="003034C5"/>
    <w:rsid w:val="00303564"/>
    <w:rsid w:val="00304463"/>
    <w:rsid w:val="003044A2"/>
    <w:rsid w:val="00304B1D"/>
    <w:rsid w:val="003055D3"/>
    <w:rsid w:val="003056FF"/>
    <w:rsid w:val="00306588"/>
    <w:rsid w:val="00306883"/>
    <w:rsid w:val="00306AED"/>
    <w:rsid w:val="003075DE"/>
    <w:rsid w:val="003079C9"/>
    <w:rsid w:val="00307DC3"/>
    <w:rsid w:val="003100AF"/>
    <w:rsid w:val="00310ECF"/>
    <w:rsid w:val="00311E22"/>
    <w:rsid w:val="003129C0"/>
    <w:rsid w:val="00312C29"/>
    <w:rsid w:val="00313405"/>
    <w:rsid w:val="0031386F"/>
    <w:rsid w:val="003150BD"/>
    <w:rsid w:val="0031526A"/>
    <w:rsid w:val="003153C3"/>
    <w:rsid w:val="003154EE"/>
    <w:rsid w:val="00315A5C"/>
    <w:rsid w:val="00315F88"/>
    <w:rsid w:val="00316A7A"/>
    <w:rsid w:val="00316C72"/>
    <w:rsid w:val="00317517"/>
    <w:rsid w:val="00317784"/>
    <w:rsid w:val="0032020B"/>
    <w:rsid w:val="00320E46"/>
    <w:rsid w:val="00321569"/>
    <w:rsid w:val="003223A8"/>
    <w:rsid w:val="00323016"/>
    <w:rsid w:val="003237B4"/>
    <w:rsid w:val="00323F5E"/>
    <w:rsid w:val="00324923"/>
    <w:rsid w:val="00324E91"/>
    <w:rsid w:val="0032688B"/>
    <w:rsid w:val="00327C12"/>
    <w:rsid w:val="003303DF"/>
    <w:rsid w:val="00331081"/>
    <w:rsid w:val="0033117B"/>
    <w:rsid w:val="00331620"/>
    <w:rsid w:val="0033174D"/>
    <w:rsid w:val="00332A8B"/>
    <w:rsid w:val="00332B13"/>
    <w:rsid w:val="00334673"/>
    <w:rsid w:val="00335483"/>
    <w:rsid w:val="003358AE"/>
    <w:rsid w:val="00335A20"/>
    <w:rsid w:val="003361A8"/>
    <w:rsid w:val="00337C9D"/>
    <w:rsid w:val="00340588"/>
    <w:rsid w:val="00340B39"/>
    <w:rsid w:val="00340E51"/>
    <w:rsid w:val="00341F17"/>
    <w:rsid w:val="00342492"/>
    <w:rsid w:val="0034351C"/>
    <w:rsid w:val="0034354E"/>
    <w:rsid w:val="00343783"/>
    <w:rsid w:val="00344963"/>
    <w:rsid w:val="00345CBF"/>
    <w:rsid w:val="00345DA4"/>
    <w:rsid w:val="00345E0F"/>
    <w:rsid w:val="0034632D"/>
    <w:rsid w:val="003464B2"/>
    <w:rsid w:val="003465BB"/>
    <w:rsid w:val="0034675E"/>
    <w:rsid w:val="00346A2B"/>
    <w:rsid w:val="00346AF9"/>
    <w:rsid w:val="00346B08"/>
    <w:rsid w:val="00347D5F"/>
    <w:rsid w:val="00350504"/>
    <w:rsid w:val="00350D7B"/>
    <w:rsid w:val="003510A5"/>
    <w:rsid w:val="003514B3"/>
    <w:rsid w:val="003518A2"/>
    <w:rsid w:val="00351A42"/>
    <w:rsid w:val="00351A97"/>
    <w:rsid w:val="0035228F"/>
    <w:rsid w:val="003526F5"/>
    <w:rsid w:val="00352C25"/>
    <w:rsid w:val="00352EA2"/>
    <w:rsid w:val="00352EBF"/>
    <w:rsid w:val="00353061"/>
    <w:rsid w:val="00353D32"/>
    <w:rsid w:val="00354279"/>
    <w:rsid w:val="00354596"/>
    <w:rsid w:val="00354B2F"/>
    <w:rsid w:val="00354E1C"/>
    <w:rsid w:val="00355109"/>
    <w:rsid w:val="00355542"/>
    <w:rsid w:val="00355CD2"/>
    <w:rsid w:val="00356B0E"/>
    <w:rsid w:val="00356C6A"/>
    <w:rsid w:val="00357315"/>
    <w:rsid w:val="003575E5"/>
    <w:rsid w:val="00360613"/>
    <w:rsid w:val="00360CD2"/>
    <w:rsid w:val="00360D51"/>
    <w:rsid w:val="003612D1"/>
    <w:rsid w:val="00361CD3"/>
    <w:rsid w:val="003620DC"/>
    <w:rsid w:val="00362118"/>
    <w:rsid w:val="00363197"/>
    <w:rsid w:val="00365083"/>
    <w:rsid w:val="003654CC"/>
    <w:rsid w:val="00365C04"/>
    <w:rsid w:val="00365F22"/>
    <w:rsid w:val="003666A8"/>
    <w:rsid w:val="00366E1B"/>
    <w:rsid w:val="003674A8"/>
    <w:rsid w:val="003674ED"/>
    <w:rsid w:val="0036753F"/>
    <w:rsid w:val="00367AD1"/>
    <w:rsid w:val="00370113"/>
    <w:rsid w:val="003702E0"/>
    <w:rsid w:val="003707B7"/>
    <w:rsid w:val="00370D5F"/>
    <w:rsid w:val="00371E39"/>
    <w:rsid w:val="003725A8"/>
    <w:rsid w:val="003728FF"/>
    <w:rsid w:val="00372CAB"/>
    <w:rsid w:val="00374A92"/>
    <w:rsid w:val="00374AFB"/>
    <w:rsid w:val="00374D5B"/>
    <w:rsid w:val="00375DA8"/>
    <w:rsid w:val="00375DED"/>
    <w:rsid w:val="003767C3"/>
    <w:rsid w:val="00376B0A"/>
    <w:rsid w:val="00377184"/>
    <w:rsid w:val="00377968"/>
    <w:rsid w:val="00377AFA"/>
    <w:rsid w:val="00380195"/>
    <w:rsid w:val="003815A4"/>
    <w:rsid w:val="003817E2"/>
    <w:rsid w:val="00381A18"/>
    <w:rsid w:val="003825DA"/>
    <w:rsid w:val="0038264E"/>
    <w:rsid w:val="00382C62"/>
    <w:rsid w:val="00383AA9"/>
    <w:rsid w:val="003849B9"/>
    <w:rsid w:val="00384E2D"/>
    <w:rsid w:val="0038560A"/>
    <w:rsid w:val="003859E7"/>
    <w:rsid w:val="00385BCC"/>
    <w:rsid w:val="00385E0D"/>
    <w:rsid w:val="003873E2"/>
    <w:rsid w:val="00387F15"/>
    <w:rsid w:val="00390577"/>
    <w:rsid w:val="00390936"/>
    <w:rsid w:val="00390A5B"/>
    <w:rsid w:val="00390F4D"/>
    <w:rsid w:val="00391BCB"/>
    <w:rsid w:val="003959B9"/>
    <w:rsid w:val="0039601F"/>
    <w:rsid w:val="0039710B"/>
    <w:rsid w:val="00397740"/>
    <w:rsid w:val="00397BAD"/>
    <w:rsid w:val="003A0123"/>
    <w:rsid w:val="003A0801"/>
    <w:rsid w:val="003A0C02"/>
    <w:rsid w:val="003A1043"/>
    <w:rsid w:val="003A2FD1"/>
    <w:rsid w:val="003A37C8"/>
    <w:rsid w:val="003A3C28"/>
    <w:rsid w:val="003A4C08"/>
    <w:rsid w:val="003A5155"/>
    <w:rsid w:val="003A5C39"/>
    <w:rsid w:val="003A5D47"/>
    <w:rsid w:val="003A6061"/>
    <w:rsid w:val="003A6273"/>
    <w:rsid w:val="003A643D"/>
    <w:rsid w:val="003A7403"/>
    <w:rsid w:val="003A774B"/>
    <w:rsid w:val="003B0C5B"/>
    <w:rsid w:val="003B0E2D"/>
    <w:rsid w:val="003B1066"/>
    <w:rsid w:val="003B1429"/>
    <w:rsid w:val="003B19D6"/>
    <w:rsid w:val="003B2818"/>
    <w:rsid w:val="003B2C6E"/>
    <w:rsid w:val="003B3548"/>
    <w:rsid w:val="003B36D4"/>
    <w:rsid w:val="003B388E"/>
    <w:rsid w:val="003B4067"/>
    <w:rsid w:val="003B4CCF"/>
    <w:rsid w:val="003B5601"/>
    <w:rsid w:val="003B5B33"/>
    <w:rsid w:val="003B616A"/>
    <w:rsid w:val="003B6C4F"/>
    <w:rsid w:val="003B78D6"/>
    <w:rsid w:val="003C07A5"/>
    <w:rsid w:val="003C0D62"/>
    <w:rsid w:val="003C13F5"/>
    <w:rsid w:val="003C150B"/>
    <w:rsid w:val="003C17ED"/>
    <w:rsid w:val="003C223C"/>
    <w:rsid w:val="003C2C58"/>
    <w:rsid w:val="003C305D"/>
    <w:rsid w:val="003C5743"/>
    <w:rsid w:val="003C732E"/>
    <w:rsid w:val="003C7B5E"/>
    <w:rsid w:val="003D019E"/>
    <w:rsid w:val="003D044E"/>
    <w:rsid w:val="003D0788"/>
    <w:rsid w:val="003D0F45"/>
    <w:rsid w:val="003D153C"/>
    <w:rsid w:val="003D2227"/>
    <w:rsid w:val="003D23A7"/>
    <w:rsid w:val="003D3126"/>
    <w:rsid w:val="003D3FEC"/>
    <w:rsid w:val="003D41F6"/>
    <w:rsid w:val="003D45EA"/>
    <w:rsid w:val="003D468B"/>
    <w:rsid w:val="003D4F0D"/>
    <w:rsid w:val="003D5AD8"/>
    <w:rsid w:val="003D62F2"/>
    <w:rsid w:val="003D68FA"/>
    <w:rsid w:val="003D6EFD"/>
    <w:rsid w:val="003D74D6"/>
    <w:rsid w:val="003D79EA"/>
    <w:rsid w:val="003D79F2"/>
    <w:rsid w:val="003D7A51"/>
    <w:rsid w:val="003D7F75"/>
    <w:rsid w:val="003E0415"/>
    <w:rsid w:val="003E0445"/>
    <w:rsid w:val="003E1127"/>
    <w:rsid w:val="003E13D8"/>
    <w:rsid w:val="003E20F1"/>
    <w:rsid w:val="003E24DE"/>
    <w:rsid w:val="003E2DCA"/>
    <w:rsid w:val="003E3633"/>
    <w:rsid w:val="003E38F3"/>
    <w:rsid w:val="003E3C34"/>
    <w:rsid w:val="003E4D23"/>
    <w:rsid w:val="003E5106"/>
    <w:rsid w:val="003E5DF5"/>
    <w:rsid w:val="003E6105"/>
    <w:rsid w:val="003E62C2"/>
    <w:rsid w:val="003F02C3"/>
    <w:rsid w:val="003F05C7"/>
    <w:rsid w:val="003F0F63"/>
    <w:rsid w:val="003F14B9"/>
    <w:rsid w:val="003F16D9"/>
    <w:rsid w:val="003F3436"/>
    <w:rsid w:val="003F3F3D"/>
    <w:rsid w:val="003F40FB"/>
    <w:rsid w:val="003F4C29"/>
    <w:rsid w:val="003F5592"/>
    <w:rsid w:val="003F5EBB"/>
    <w:rsid w:val="003F63AF"/>
    <w:rsid w:val="003F6C78"/>
    <w:rsid w:val="003F6C9E"/>
    <w:rsid w:val="003F6CFE"/>
    <w:rsid w:val="003F7CC1"/>
    <w:rsid w:val="004006D9"/>
    <w:rsid w:val="00400873"/>
    <w:rsid w:val="00400EC1"/>
    <w:rsid w:val="004018DF"/>
    <w:rsid w:val="00402038"/>
    <w:rsid w:val="004020D4"/>
    <w:rsid w:val="004024E8"/>
    <w:rsid w:val="00403D33"/>
    <w:rsid w:val="00403E15"/>
    <w:rsid w:val="004053D5"/>
    <w:rsid w:val="00405C7F"/>
    <w:rsid w:val="00406E6A"/>
    <w:rsid w:val="0040726D"/>
    <w:rsid w:val="00410AC3"/>
    <w:rsid w:val="00410D6C"/>
    <w:rsid w:val="00411908"/>
    <w:rsid w:val="00411BDA"/>
    <w:rsid w:val="004122D6"/>
    <w:rsid w:val="004123BC"/>
    <w:rsid w:val="004126C1"/>
    <w:rsid w:val="00412CDD"/>
    <w:rsid w:val="0041314A"/>
    <w:rsid w:val="00413C3B"/>
    <w:rsid w:val="004146FD"/>
    <w:rsid w:val="0041499C"/>
    <w:rsid w:val="00415B15"/>
    <w:rsid w:val="004161F9"/>
    <w:rsid w:val="00416F74"/>
    <w:rsid w:val="00420455"/>
    <w:rsid w:val="00420F9E"/>
    <w:rsid w:val="00421022"/>
    <w:rsid w:val="0042130D"/>
    <w:rsid w:val="0042238B"/>
    <w:rsid w:val="0042275D"/>
    <w:rsid w:val="004228B0"/>
    <w:rsid w:val="0042291D"/>
    <w:rsid w:val="00422A86"/>
    <w:rsid w:val="00423B83"/>
    <w:rsid w:val="00423B8E"/>
    <w:rsid w:val="00423FF2"/>
    <w:rsid w:val="004244F1"/>
    <w:rsid w:val="004246AA"/>
    <w:rsid w:val="0042485A"/>
    <w:rsid w:val="00424CB8"/>
    <w:rsid w:val="00424D4F"/>
    <w:rsid w:val="00425BC7"/>
    <w:rsid w:val="00426190"/>
    <w:rsid w:val="00426CFB"/>
    <w:rsid w:val="00426F79"/>
    <w:rsid w:val="00427159"/>
    <w:rsid w:val="00427E9D"/>
    <w:rsid w:val="00427FFD"/>
    <w:rsid w:val="004301A7"/>
    <w:rsid w:val="00431961"/>
    <w:rsid w:val="00431D89"/>
    <w:rsid w:val="0043215A"/>
    <w:rsid w:val="0043264D"/>
    <w:rsid w:val="00432DCE"/>
    <w:rsid w:val="00432E72"/>
    <w:rsid w:val="0043348D"/>
    <w:rsid w:val="00433F4B"/>
    <w:rsid w:val="00434AAC"/>
    <w:rsid w:val="0043587F"/>
    <w:rsid w:val="0043590F"/>
    <w:rsid w:val="0043603A"/>
    <w:rsid w:val="004376F3"/>
    <w:rsid w:val="004379B3"/>
    <w:rsid w:val="00437B1A"/>
    <w:rsid w:val="0044002F"/>
    <w:rsid w:val="00440582"/>
    <w:rsid w:val="0044064A"/>
    <w:rsid w:val="00440AB6"/>
    <w:rsid w:val="00440C79"/>
    <w:rsid w:val="00440EEC"/>
    <w:rsid w:val="0044137F"/>
    <w:rsid w:val="00441568"/>
    <w:rsid w:val="00441DD4"/>
    <w:rsid w:val="004420B3"/>
    <w:rsid w:val="00442331"/>
    <w:rsid w:val="004423F2"/>
    <w:rsid w:val="00442845"/>
    <w:rsid w:val="00442CB3"/>
    <w:rsid w:val="004443BC"/>
    <w:rsid w:val="00444C30"/>
    <w:rsid w:val="00444EC1"/>
    <w:rsid w:val="00445894"/>
    <w:rsid w:val="00446333"/>
    <w:rsid w:val="00446536"/>
    <w:rsid w:val="00446A44"/>
    <w:rsid w:val="00446ABA"/>
    <w:rsid w:val="00446CAD"/>
    <w:rsid w:val="0045032E"/>
    <w:rsid w:val="00451B21"/>
    <w:rsid w:val="00451B36"/>
    <w:rsid w:val="004529B1"/>
    <w:rsid w:val="00453486"/>
    <w:rsid w:val="004536A7"/>
    <w:rsid w:val="004538B4"/>
    <w:rsid w:val="00453CCA"/>
    <w:rsid w:val="00454599"/>
    <w:rsid w:val="00454601"/>
    <w:rsid w:val="00455125"/>
    <w:rsid w:val="004556A7"/>
    <w:rsid w:val="00455ECF"/>
    <w:rsid w:val="00456A38"/>
    <w:rsid w:val="00457EEF"/>
    <w:rsid w:val="00460059"/>
    <w:rsid w:val="00460D3B"/>
    <w:rsid w:val="00461188"/>
    <w:rsid w:val="00461DD6"/>
    <w:rsid w:val="00461F4F"/>
    <w:rsid w:val="00462968"/>
    <w:rsid w:val="004636C3"/>
    <w:rsid w:val="004636C5"/>
    <w:rsid w:val="00463F17"/>
    <w:rsid w:val="004641D7"/>
    <w:rsid w:val="0046435E"/>
    <w:rsid w:val="004646F7"/>
    <w:rsid w:val="0046481B"/>
    <w:rsid w:val="00465E4B"/>
    <w:rsid w:val="00466387"/>
    <w:rsid w:val="0046683F"/>
    <w:rsid w:val="00467677"/>
    <w:rsid w:val="00467D0B"/>
    <w:rsid w:val="00470D4A"/>
    <w:rsid w:val="00471012"/>
    <w:rsid w:val="0047110F"/>
    <w:rsid w:val="004714DC"/>
    <w:rsid w:val="004718A7"/>
    <w:rsid w:val="00471B0E"/>
    <w:rsid w:val="00471C89"/>
    <w:rsid w:val="00471DF2"/>
    <w:rsid w:val="004723DC"/>
    <w:rsid w:val="00472D8E"/>
    <w:rsid w:val="004736B2"/>
    <w:rsid w:val="00473BB4"/>
    <w:rsid w:val="004740E0"/>
    <w:rsid w:val="00474159"/>
    <w:rsid w:val="004746C9"/>
    <w:rsid w:val="004748D5"/>
    <w:rsid w:val="00477523"/>
    <w:rsid w:val="004806FC"/>
    <w:rsid w:val="0048099C"/>
    <w:rsid w:val="00480A91"/>
    <w:rsid w:val="00480D42"/>
    <w:rsid w:val="00481E3E"/>
    <w:rsid w:val="00482302"/>
    <w:rsid w:val="00482AD5"/>
    <w:rsid w:val="00482E5C"/>
    <w:rsid w:val="00484FF0"/>
    <w:rsid w:val="00485025"/>
    <w:rsid w:val="00485887"/>
    <w:rsid w:val="00485D7F"/>
    <w:rsid w:val="00485F5A"/>
    <w:rsid w:val="004866DB"/>
    <w:rsid w:val="00486A08"/>
    <w:rsid w:val="00487064"/>
    <w:rsid w:val="004875A1"/>
    <w:rsid w:val="00487F22"/>
    <w:rsid w:val="00490F44"/>
    <w:rsid w:val="004910E1"/>
    <w:rsid w:val="004910F5"/>
    <w:rsid w:val="004920B6"/>
    <w:rsid w:val="0049288B"/>
    <w:rsid w:val="00492F1C"/>
    <w:rsid w:val="004930C3"/>
    <w:rsid w:val="0049316F"/>
    <w:rsid w:val="00493277"/>
    <w:rsid w:val="004933A8"/>
    <w:rsid w:val="0049439E"/>
    <w:rsid w:val="004949E0"/>
    <w:rsid w:val="00494A5A"/>
    <w:rsid w:val="00494D48"/>
    <w:rsid w:val="00494E2E"/>
    <w:rsid w:val="00494FF4"/>
    <w:rsid w:val="004951E7"/>
    <w:rsid w:val="00495AC4"/>
    <w:rsid w:val="00495C1D"/>
    <w:rsid w:val="00495E75"/>
    <w:rsid w:val="00495FFD"/>
    <w:rsid w:val="0049604F"/>
    <w:rsid w:val="0049646F"/>
    <w:rsid w:val="0049675C"/>
    <w:rsid w:val="00496CE4"/>
    <w:rsid w:val="004A031A"/>
    <w:rsid w:val="004A0F36"/>
    <w:rsid w:val="004A11D7"/>
    <w:rsid w:val="004A14BC"/>
    <w:rsid w:val="004A15D4"/>
    <w:rsid w:val="004A1C65"/>
    <w:rsid w:val="004A1E7A"/>
    <w:rsid w:val="004A315E"/>
    <w:rsid w:val="004A34B7"/>
    <w:rsid w:val="004A36F5"/>
    <w:rsid w:val="004A39AB"/>
    <w:rsid w:val="004A4287"/>
    <w:rsid w:val="004A4BA7"/>
    <w:rsid w:val="004A4F99"/>
    <w:rsid w:val="004A58E6"/>
    <w:rsid w:val="004A5DC9"/>
    <w:rsid w:val="004A5DFA"/>
    <w:rsid w:val="004A5E6F"/>
    <w:rsid w:val="004A61B1"/>
    <w:rsid w:val="004A6338"/>
    <w:rsid w:val="004A6E30"/>
    <w:rsid w:val="004A7359"/>
    <w:rsid w:val="004A77C9"/>
    <w:rsid w:val="004B0B99"/>
    <w:rsid w:val="004B0D00"/>
    <w:rsid w:val="004B1219"/>
    <w:rsid w:val="004B1FB4"/>
    <w:rsid w:val="004B2896"/>
    <w:rsid w:val="004B2B46"/>
    <w:rsid w:val="004B4119"/>
    <w:rsid w:val="004B45E6"/>
    <w:rsid w:val="004B48FC"/>
    <w:rsid w:val="004B54E2"/>
    <w:rsid w:val="004B5AC4"/>
    <w:rsid w:val="004B6534"/>
    <w:rsid w:val="004B6595"/>
    <w:rsid w:val="004B763E"/>
    <w:rsid w:val="004B7704"/>
    <w:rsid w:val="004B7B5F"/>
    <w:rsid w:val="004C1089"/>
    <w:rsid w:val="004C118A"/>
    <w:rsid w:val="004C1387"/>
    <w:rsid w:val="004C16A2"/>
    <w:rsid w:val="004C1D7D"/>
    <w:rsid w:val="004C2897"/>
    <w:rsid w:val="004C2D06"/>
    <w:rsid w:val="004C3816"/>
    <w:rsid w:val="004C3C7C"/>
    <w:rsid w:val="004C3F77"/>
    <w:rsid w:val="004C4DED"/>
    <w:rsid w:val="004C5878"/>
    <w:rsid w:val="004C624B"/>
    <w:rsid w:val="004C7721"/>
    <w:rsid w:val="004D06A4"/>
    <w:rsid w:val="004D08ED"/>
    <w:rsid w:val="004D0995"/>
    <w:rsid w:val="004D0EFC"/>
    <w:rsid w:val="004D159C"/>
    <w:rsid w:val="004D1A3F"/>
    <w:rsid w:val="004D22DD"/>
    <w:rsid w:val="004D2380"/>
    <w:rsid w:val="004D3C1E"/>
    <w:rsid w:val="004D3C8D"/>
    <w:rsid w:val="004D3ECB"/>
    <w:rsid w:val="004D420B"/>
    <w:rsid w:val="004D4EC7"/>
    <w:rsid w:val="004D503C"/>
    <w:rsid w:val="004D52B5"/>
    <w:rsid w:val="004D57FA"/>
    <w:rsid w:val="004D6F56"/>
    <w:rsid w:val="004D7465"/>
    <w:rsid w:val="004D7CFB"/>
    <w:rsid w:val="004E07C3"/>
    <w:rsid w:val="004E07C7"/>
    <w:rsid w:val="004E0ECB"/>
    <w:rsid w:val="004E1BF7"/>
    <w:rsid w:val="004E1DF6"/>
    <w:rsid w:val="004E2E2E"/>
    <w:rsid w:val="004E322D"/>
    <w:rsid w:val="004E4FF3"/>
    <w:rsid w:val="004E60AD"/>
    <w:rsid w:val="004E6448"/>
    <w:rsid w:val="004E6504"/>
    <w:rsid w:val="004E6798"/>
    <w:rsid w:val="004E69B9"/>
    <w:rsid w:val="004E6DCF"/>
    <w:rsid w:val="004F01A9"/>
    <w:rsid w:val="004F0886"/>
    <w:rsid w:val="004F0BF8"/>
    <w:rsid w:val="004F1758"/>
    <w:rsid w:val="004F1D26"/>
    <w:rsid w:val="004F1F98"/>
    <w:rsid w:val="004F1FD2"/>
    <w:rsid w:val="004F2572"/>
    <w:rsid w:val="004F2D5C"/>
    <w:rsid w:val="004F3190"/>
    <w:rsid w:val="004F5228"/>
    <w:rsid w:val="004F6345"/>
    <w:rsid w:val="004F65F7"/>
    <w:rsid w:val="004F728B"/>
    <w:rsid w:val="004F7A2D"/>
    <w:rsid w:val="004F7E58"/>
    <w:rsid w:val="00500146"/>
    <w:rsid w:val="0050083F"/>
    <w:rsid w:val="00501079"/>
    <w:rsid w:val="00502E1E"/>
    <w:rsid w:val="005035F2"/>
    <w:rsid w:val="005038D8"/>
    <w:rsid w:val="00503F46"/>
    <w:rsid w:val="00504A41"/>
    <w:rsid w:val="00505D7F"/>
    <w:rsid w:val="00505D95"/>
    <w:rsid w:val="00506104"/>
    <w:rsid w:val="0050699E"/>
    <w:rsid w:val="005069A7"/>
    <w:rsid w:val="00506AC2"/>
    <w:rsid w:val="00506F14"/>
    <w:rsid w:val="00507386"/>
    <w:rsid w:val="0050754B"/>
    <w:rsid w:val="0051001E"/>
    <w:rsid w:val="00511ED0"/>
    <w:rsid w:val="005141CB"/>
    <w:rsid w:val="00514900"/>
    <w:rsid w:val="00514937"/>
    <w:rsid w:val="0051530B"/>
    <w:rsid w:val="00516AC3"/>
    <w:rsid w:val="00516CD6"/>
    <w:rsid w:val="00516F2D"/>
    <w:rsid w:val="005171D0"/>
    <w:rsid w:val="00517B03"/>
    <w:rsid w:val="00520E6F"/>
    <w:rsid w:val="0052149A"/>
    <w:rsid w:val="005228A0"/>
    <w:rsid w:val="00523254"/>
    <w:rsid w:val="005235D7"/>
    <w:rsid w:val="00523685"/>
    <w:rsid w:val="005236FF"/>
    <w:rsid w:val="00526675"/>
    <w:rsid w:val="00526BC6"/>
    <w:rsid w:val="005276CE"/>
    <w:rsid w:val="00527B37"/>
    <w:rsid w:val="00531938"/>
    <w:rsid w:val="00531FA9"/>
    <w:rsid w:val="00532B4D"/>
    <w:rsid w:val="0053327E"/>
    <w:rsid w:val="0053328E"/>
    <w:rsid w:val="00533771"/>
    <w:rsid w:val="00534211"/>
    <w:rsid w:val="005352C8"/>
    <w:rsid w:val="00535320"/>
    <w:rsid w:val="005358FF"/>
    <w:rsid w:val="00535D6E"/>
    <w:rsid w:val="00537D6D"/>
    <w:rsid w:val="00540052"/>
    <w:rsid w:val="00540CAD"/>
    <w:rsid w:val="00542B8D"/>
    <w:rsid w:val="005442DB"/>
    <w:rsid w:val="00544349"/>
    <w:rsid w:val="0054441E"/>
    <w:rsid w:val="0054511D"/>
    <w:rsid w:val="00545A2F"/>
    <w:rsid w:val="00545E8C"/>
    <w:rsid w:val="0054671C"/>
    <w:rsid w:val="00547B2A"/>
    <w:rsid w:val="00547B79"/>
    <w:rsid w:val="00550A91"/>
    <w:rsid w:val="00550DB4"/>
    <w:rsid w:val="005522F9"/>
    <w:rsid w:val="00553C0A"/>
    <w:rsid w:val="0055420B"/>
    <w:rsid w:val="00554C17"/>
    <w:rsid w:val="005550AB"/>
    <w:rsid w:val="005550BD"/>
    <w:rsid w:val="00555803"/>
    <w:rsid w:val="0055584D"/>
    <w:rsid w:val="00556D2D"/>
    <w:rsid w:val="00557A8E"/>
    <w:rsid w:val="00560343"/>
    <w:rsid w:val="00560984"/>
    <w:rsid w:val="00560E11"/>
    <w:rsid w:val="00561050"/>
    <w:rsid w:val="0056143F"/>
    <w:rsid w:val="005615A3"/>
    <w:rsid w:val="00561DAD"/>
    <w:rsid w:val="00562858"/>
    <w:rsid w:val="00563757"/>
    <w:rsid w:val="005651DE"/>
    <w:rsid w:val="00565AA4"/>
    <w:rsid w:val="00565B9C"/>
    <w:rsid w:val="0056601D"/>
    <w:rsid w:val="005660D6"/>
    <w:rsid w:val="00566DC6"/>
    <w:rsid w:val="00567491"/>
    <w:rsid w:val="005679B1"/>
    <w:rsid w:val="005700AE"/>
    <w:rsid w:val="005713D3"/>
    <w:rsid w:val="00571B7F"/>
    <w:rsid w:val="00572ED3"/>
    <w:rsid w:val="00573C8A"/>
    <w:rsid w:val="00573DD3"/>
    <w:rsid w:val="00573EF8"/>
    <w:rsid w:val="005740FD"/>
    <w:rsid w:val="00574832"/>
    <w:rsid w:val="00575587"/>
    <w:rsid w:val="00576C3C"/>
    <w:rsid w:val="00577811"/>
    <w:rsid w:val="00580392"/>
    <w:rsid w:val="005805AC"/>
    <w:rsid w:val="00580897"/>
    <w:rsid w:val="00580926"/>
    <w:rsid w:val="00581F51"/>
    <w:rsid w:val="00582739"/>
    <w:rsid w:val="00582DE6"/>
    <w:rsid w:val="00583B60"/>
    <w:rsid w:val="0058413A"/>
    <w:rsid w:val="005852E5"/>
    <w:rsid w:val="0058639F"/>
    <w:rsid w:val="00586DC2"/>
    <w:rsid w:val="00586F8A"/>
    <w:rsid w:val="0058721F"/>
    <w:rsid w:val="0058743F"/>
    <w:rsid w:val="005878EF"/>
    <w:rsid w:val="00587C34"/>
    <w:rsid w:val="00590B44"/>
    <w:rsid w:val="00591102"/>
    <w:rsid w:val="0059319D"/>
    <w:rsid w:val="00593207"/>
    <w:rsid w:val="0059354A"/>
    <w:rsid w:val="0059396D"/>
    <w:rsid w:val="00593C9C"/>
    <w:rsid w:val="00594DFF"/>
    <w:rsid w:val="00595AEE"/>
    <w:rsid w:val="00596174"/>
    <w:rsid w:val="005962ED"/>
    <w:rsid w:val="0059667C"/>
    <w:rsid w:val="00596BC5"/>
    <w:rsid w:val="00596EF0"/>
    <w:rsid w:val="00597271"/>
    <w:rsid w:val="00597C63"/>
    <w:rsid w:val="00597C9B"/>
    <w:rsid w:val="005A007F"/>
    <w:rsid w:val="005A040C"/>
    <w:rsid w:val="005A06E5"/>
    <w:rsid w:val="005A1179"/>
    <w:rsid w:val="005A2C24"/>
    <w:rsid w:val="005A340D"/>
    <w:rsid w:val="005A3CB0"/>
    <w:rsid w:val="005A4044"/>
    <w:rsid w:val="005A5295"/>
    <w:rsid w:val="005A5A38"/>
    <w:rsid w:val="005A5A61"/>
    <w:rsid w:val="005A6AB8"/>
    <w:rsid w:val="005A6D10"/>
    <w:rsid w:val="005A6D49"/>
    <w:rsid w:val="005A6DAF"/>
    <w:rsid w:val="005A769D"/>
    <w:rsid w:val="005A7DBC"/>
    <w:rsid w:val="005B09BC"/>
    <w:rsid w:val="005B0AF7"/>
    <w:rsid w:val="005B0EC3"/>
    <w:rsid w:val="005B1260"/>
    <w:rsid w:val="005B133B"/>
    <w:rsid w:val="005B41D8"/>
    <w:rsid w:val="005B425D"/>
    <w:rsid w:val="005B429A"/>
    <w:rsid w:val="005B4793"/>
    <w:rsid w:val="005B5623"/>
    <w:rsid w:val="005B57F1"/>
    <w:rsid w:val="005B6359"/>
    <w:rsid w:val="005B70B5"/>
    <w:rsid w:val="005B7974"/>
    <w:rsid w:val="005B7AFD"/>
    <w:rsid w:val="005C03EC"/>
    <w:rsid w:val="005C089F"/>
    <w:rsid w:val="005C0F58"/>
    <w:rsid w:val="005C1ABF"/>
    <w:rsid w:val="005C1B1B"/>
    <w:rsid w:val="005C2046"/>
    <w:rsid w:val="005C2D08"/>
    <w:rsid w:val="005C2F09"/>
    <w:rsid w:val="005C3C64"/>
    <w:rsid w:val="005C3EF6"/>
    <w:rsid w:val="005C4264"/>
    <w:rsid w:val="005C42A9"/>
    <w:rsid w:val="005C49B5"/>
    <w:rsid w:val="005C501D"/>
    <w:rsid w:val="005C5ADD"/>
    <w:rsid w:val="005C723B"/>
    <w:rsid w:val="005D04A1"/>
    <w:rsid w:val="005D149E"/>
    <w:rsid w:val="005D30EC"/>
    <w:rsid w:val="005D3D26"/>
    <w:rsid w:val="005D4354"/>
    <w:rsid w:val="005D4B26"/>
    <w:rsid w:val="005D55A8"/>
    <w:rsid w:val="005D579D"/>
    <w:rsid w:val="005D5DCA"/>
    <w:rsid w:val="005D73E1"/>
    <w:rsid w:val="005D780B"/>
    <w:rsid w:val="005E0925"/>
    <w:rsid w:val="005E0B56"/>
    <w:rsid w:val="005E0CB9"/>
    <w:rsid w:val="005E1468"/>
    <w:rsid w:val="005E1758"/>
    <w:rsid w:val="005E17E9"/>
    <w:rsid w:val="005E1C6E"/>
    <w:rsid w:val="005E2E4B"/>
    <w:rsid w:val="005E3525"/>
    <w:rsid w:val="005E3D66"/>
    <w:rsid w:val="005E4342"/>
    <w:rsid w:val="005E43CD"/>
    <w:rsid w:val="005E43D7"/>
    <w:rsid w:val="005E4730"/>
    <w:rsid w:val="005E5AD2"/>
    <w:rsid w:val="005E64D0"/>
    <w:rsid w:val="005E6989"/>
    <w:rsid w:val="005E70EA"/>
    <w:rsid w:val="005E7179"/>
    <w:rsid w:val="005E76E6"/>
    <w:rsid w:val="005E7726"/>
    <w:rsid w:val="005E7852"/>
    <w:rsid w:val="005F05C8"/>
    <w:rsid w:val="005F0B14"/>
    <w:rsid w:val="005F1542"/>
    <w:rsid w:val="005F2432"/>
    <w:rsid w:val="005F2966"/>
    <w:rsid w:val="005F2F3D"/>
    <w:rsid w:val="005F3990"/>
    <w:rsid w:val="005F4273"/>
    <w:rsid w:val="005F44FC"/>
    <w:rsid w:val="005F46A3"/>
    <w:rsid w:val="005F60FF"/>
    <w:rsid w:val="005F6362"/>
    <w:rsid w:val="005F6420"/>
    <w:rsid w:val="005F67A7"/>
    <w:rsid w:val="005F6A9D"/>
    <w:rsid w:val="005F7054"/>
    <w:rsid w:val="005F793A"/>
    <w:rsid w:val="006012E9"/>
    <w:rsid w:val="0060157D"/>
    <w:rsid w:val="006015F8"/>
    <w:rsid w:val="00601B26"/>
    <w:rsid w:val="00601BF0"/>
    <w:rsid w:val="0060279E"/>
    <w:rsid w:val="00602AAE"/>
    <w:rsid w:val="00603773"/>
    <w:rsid w:val="00603851"/>
    <w:rsid w:val="00603E73"/>
    <w:rsid w:val="006053DF"/>
    <w:rsid w:val="00605B8D"/>
    <w:rsid w:val="00605D93"/>
    <w:rsid w:val="0060779B"/>
    <w:rsid w:val="0061140B"/>
    <w:rsid w:val="00613254"/>
    <w:rsid w:val="006137F0"/>
    <w:rsid w:val="0061388C"/>
    <w:rsid w:val="00616E87"/>
    <w:rsid w:val="00616FD6"/>
    <w:rsid w:val="006175D6"/>
    <w:rsid w:val="006178E6"/>
    <w:rsid w:val="00620227"/>
    <w:rsid w:val="006206CB"/>
    <w:rsid w:val="00620A5A"/>
    <w:rsid w:val="00620B43"/>
    <w:rsid w:val="00620CF9"/>
    <w:rsid w:val="00620F66"/>
    <w:rsid w:val="00621D6F"/>
    <w:rsid w:val="006228D0"/>
    <w:rsid w:val="00622915"/>
    <w:rsid w:val="0062403C"/>
    <w:rsid w:val="006244C5"/>
    <w:rsid w:val="00624DAE"/>
    <w:rsid w:val="00625782"/>
    <w:rsid w:val="00626253"/>
    <w:rsid w:val="00626883"/>
    <w:rsid w:val="00627588"/>
    <w:rsid w:val="00627C99"/>
    <w:rsid w:val="00627FF7"/>
    <w:rsid w:val="0063049B"/>
    <w:rsid w:val="00630EB8"/>
    <w:rsid w:val="00631476"/>
    <w:rsid w:val="0063197D"/>
    <w:rsid w:val="00631AB3"/>
    <w:rsid w:val="00632665"/>
    <w:rsid w:val="00633719"/>
    <w:rsid w:val="00633DEF"/>
    <w:rsid w:val="0063438A"/>
    <w:rsid w:val="006344ED"/>
    <w:rsid w:val="00635504"/>
    <w:rsid w:val="006359DB"/>
    <w:rsid w:val="00635DB4"/>
    <w:rsid w:val="006365F7"/>
    <w:rsid w:val="0063675A"/>
    <w:rsid w:val="0063761D"/>
    <w:rsid w:val="00637E70"/>
    <w:rsid w:val="00640AF2"/>
    <w:rsid w:val="00640C44"/>
    <w:rsid w:val="006410B6"/>
    <w:rsid w:val="00641A7D"/>
    <w:rsid w:val="00641F71"/>
    <w:rsid w:val="006427FF"/>
    <w:rsid w:val="00642C31"/>
    <w:rsid w:val="006434D2"/>
    <w:rsid w:val="0064555A"/>
    <w:rsid w:val="00645603"/>
    <w:rsid w:val="006456E8"/>
    <w:rsid w:val="00645861"/>
    <w:rsid w:val="0064625A"/>
    <w:rsid w:val="00646754"/>
    <w:rsid w:val="00646811"/>
    <w:rsid w:val="00650824"/>
    <w:rsid w:val="006513C4"/>
    <w:rsid w:val="006513C7"/>
    <w:rsid w:val="00651D89"/>
    <w:rsid w:val="00651F6C"/>
    <w:rsid w:val="00652E48"/>
    <w:rsid w:val="00652EA6"/>
    <w:rsid w:val="00653388"/>
    <w:rsid w:val="00655DD6"/>
    <w:rsid w:val="0065634D"/>
    <w:rsid w:val="00656693"/>
    <w:rsid w:val="0065681C"/>
    <w:rsid w:val="00657937"/>
    <w:rsid w:val="006604E2"/>
    <w:rsid w:val="00660FF9"/>
    <w:rsid w:val="0066108C"/>
    <w:rsid w:val="00661A6D"/>
    <w:rsid w:val="0066251C"/>
    <w:rsid w:val="00662BF6"/>
    <w:rsid w:val="00662C1E"/>
    <w:rsid w:val="00662E88"/>
    <w:rsid w:val="00662E97"/>
    <w:rsid w:val="0066378D"/>
    <w:rsid w:val="00663A62"/>
    <w:rsid w:val="00664D10"/>
    <w:rsid w:val="00665377"/>
    <w:rsid w:val="006666DF"/>
    <w:rsid w:val="006667C0"/>
    <w:rsid w:val="006668E0"/>
    <w:rsid w:val="00666DE6"/>
    <w:rsid w:val="006675AA"/>
    <w:rsid w:val="00667913"/>
    <w:rsid w:val="006679B5"/>
    <w:rsid w:val="00670A0B"/>
    <w:rsid w:val="006713D2"/>
    <w:rsid w:val="006719A2"/>
    <w:rsid w:val="0067329B"/>
    <w:rsid w:val="00673A38"/>
    <w:rsid w:val="00673C98"/>
    <w:rsid w:val="00676772"/>
    <w:rsid w:val="00676AEC"/>
    <w:rsid w:val="00677687"/>
    <w:rsid w:val="00677E7E"/>
    <w:rsid w:val="00680BA8"/>
    <w:rsid w:val="0068150A"/>
    <w:rsid w:val="00681B31"/>
    <w:rsid w:val="0068231C"/>
    <w:rsid w:val="00682A14"/>
    <w:rsid w:val="006831B2"/>
    <w:rsid w:val="00683C24"/>
    <w:rsid w:val="00683DF4"/>
    <w:rsid w:val="006846CF"/>
    <w:rsid w:val="00685FA3"/>
    <w:rsid w:val="00686349"/>
    <w:rsid w:val="006875EC"/>
    <w:rsid w:val="00687A6C"/>
    <w:rsid w:val="00687C44"/>
    <w:rsid w:val="00690422"/>
    <w:rsid w:val="00690AE6"/>
    <w:rsid w:val="0069130C"/>
    <w:rsid w:val="00691BD3"/>
    <w:rsid w:val="00691E22"/>
    <w:rsid w:val="0069212F"/>
    <w:rsid w:val="006924C0"/>
    <w:rsid w:val="00692CEB"/>
    <w:rsid w:val="00692DCD"/>
    <w:rsid w:val="006931B1"/>
    <w:rsid w:val="00694D9E"/>
    <w:rsid w:val="00695B8C"/>
    <w:rsid w:val="00696210"/>
    <w:rsid w:val="00697337"/>
    <w:rsid w:val="00697DFF"/>
    <w:rsid w:val="006A08A5"/>
    <w:rsid w:val="006A2D22"/>
    <w:rsid w:val="006A4CC6"/>
    <w:rsid w:val="006A6592"/>
    <w:rsid w:val="006A735F"/>
    <w:rsid w:val="006A7705"/>
    <w:rsid w:val="006A7C0F"/>
    <w:rsid w:val="006B183E"/>
    <w:rsid w:val="006B1D0D"/>
    <w:rsid w:val="006B2AB5"/>
    <w:rsid w:val="006B3C27"/>
    <w:rsid w:val="006B477A"/>
    <w:rsid w:val="006B5A83"/>
    <w:rsid w:val="006B6334"/>
    <w:rsid w:val="006B6535"/>
    <w:rsid w:val="006B677F"/>
    <w:rsid w:val="006B712D"/>
    <w:rsid w:val="006B7D54"/>
    <w:rsid w:val="006C091F"/>
    <w:rsid w:val="006C0C52"/>
    <w:rsid w:val="006C13A6"/>
    <w:rsid w:val="006C19F4"/>
    <w:rsid w:val="006C2D05"/>
    <w:rsid w:val="006C38DF"/>
    <w:rsid w:val="006C498F"/>
    <w:rsid w:val="006C5E43"/>
    <w:rsid w:val="006C5F9D"/>
    <w:rsid w:val="006C66CD"/>
    <w:rsid w:val="006C6CB6"/>
    <w:rsid w:val="006C6D3C"/>
    <w:rsid w:val="006C7D64"/>
    <w:rsid w:val="006C7D97"/>
    <w:rsid w:val="006C7F53"/>
    <w:rsid w:val="006D06CE"/>
    <w:rsid w:val="006D0841"/>
    <w:rsid w:val="006D182E"/>
    <w:rsid w:val="006D1A18"/>
    <w:rsid w:val="006D1E9D"/>
    <w:rsid w:val="006D35D7"/>
    <w:rsid w:val="006D3B59"/>
    <w:rsid w:val="006D3C3B"/>
    <w:rsid w:val="006D43BF"/>
    <w:rsid w:val="006D4724"/>
    <w:rsid w:val="006D4DC6"/>
    <w:rsid w:val="006D52D0"/>
    <w:rsid w:val="006D562F"/>
    <w:rsid w:val="006D56CD"/>
    <w:rsid w:val="006D5B92"/>
    <w:rsid w:val="006D68FE"/>
    <w:rsid w:val="006D69B1"/>
    <w:rsid w:val="006D6AFB"/>
    <w:rsid w:val="006D6D6F"/>
    <w:rsid w:val="006D7170"/>
    <w:rsid w:val="006D7383"/>
    <w:rsid w:val="006E0E96"/>
    <w:rsid w:val="006E1D89"/>
    <w:rsid w:val="006E1FDF"/>
    <w:rsid w:val="006E30FE"/>
    <w:rsid w:val="006E33D0"/>
    <w:rsid w:val="006E3585"/>
    <w:rsid w:val="006E3659"/>
    <w:rsid w:val="006E4AA4"/>
    <w:rsid w:val="006E5CB3"/>
    <w:rsid w:val="006E6249"/>
    <w:rsid w:val="006E700D"/>
    <w:rsid w:val="006E763F"/>
    <w:rsid w:val="006F1328"/>
    <w:rsid w:val="006F1F89"/>
    <w:rsid w:val="006F2446"/>
    <w:rsid w:val="006F2731"/>
    <w:rsid w:val="006F2E9C"/>
    <w:rsid w:val="006F437D"/>
    <w:rsid w:val="006F463B"/>
    <w:rsid w:val="006F46E0"/>
    <w:rsid w:val="006F4946"/>
    <w:rsid w:val="006F5CE9"/>
    <w:rsid w:val="006F5F21"/>
    <w:rsid w:val="006F62FB"/>
    <w:rsid w:val="006F667E"/>
    <w:rsid w:val="006F6DEE"/>
    <w:rsid w:val="006F748F"/>
    <w:rsid w:val="006F7FC1"/>
    <w:rsid w:val="007000EE"/>
    <w:rsid w:val="00700556"/>
    <w:rsid w:val="00701BC0"/>
    <w:rsid w:val="00701DBB"/>
    <w:rsid w:val="0070210E"/>
    <w:rsid w:val="00702372"/>
    <w:rsid w:val="00703535"/>
    <w:rsid w:val="00703C2C"/>
    <w:rsid w:val="00704055"/>
    <w:rsid w:val="007042C0"/>
    <w:rsid w:val="00704609"/>
    <w:rsid w:val="00704827"/>
    <w:rsid w:val="00704D74"/>
    <w:rsid w:val="0070510D"/>
    <w:rsid w:val="00705A86"/>
    <w:rsid w:val="00706092"/>
    <w:rsid w:val="0070623A"/>
    <w:rsid w:val="007065AC"/>
    <w:rsid w:val="00706F92"/>
    <w:rsid w:val="0070799B"/>
    <w:rsid w:val="00707FAB"/>
    <w:rsid w:val="00711637"/>
    <w:rsid w:val="00711985"/>
    <w:rsid w:val="007129E3"/>
    <w:rsid w:val="00714E42"/>
    <w:rsid w:val="00714FC5"/>
    <w:rsid w:val="00715088"/>
    <w:rsid w:val="007157FA"/>
    <w:rsid w:val="00716084"/>
    <w:rsid w:val="00716243"/>
    <w:rsid w:val="00716EE6"/>
    <w:rsid w:val="0071727C"/>
    <w:rsid w:val="0072110A"/>
    <w:rsid w:val="0072131F"/>
    <w:rsid w:val="00721784"/>
    <w:rsid w:val="00721841"/>
    <w:rsid w:val="007219E1"/>
    <w:rsid w:val="007222EF"/>
    <w:rsid w:val="00723668"/>
    <w:rsid w:val="00724932"/>
    <w:rsid w:val="00724EA1"/>
    <w:rsid w:val="0072611E"/>
    <w:rsid w:val="007262FE"/>
    <w:rsid w:val="007264A3"/>
    <w:rsid w:val="00726604"/>
    <w:rsid w:val="00727AA3"/>
    <w:rsid w:val="00727AA4"/>
    <w:rsid w:val="00727C46"/>
    <w:rsid w:val="00730E60"/>
    <w:rsid w:val="00731385"/>
    <w:rsid w:val="0073188F"/>
    <w:rsid w:val="007319F0"/>
    <w:rsid w:val="00732110"/>
    <w:rsid w:val="007327F9"/>
    <w:rsid w:val="0073291F"/>
    <w:rsid w:val="007329EB"/>
    <w:rsid w:val="007332D9"/>
    <w:rsid w:val="007345C1"/>
    <w:rsid w:val="00734A9F"/>
    <w:rsid w:val="00735446"/>
    <w:rsid w:val="0073584B"/>
    <w:rsid w:val="00735A7A"/>
    <w:rsid w:val="007362F2"/>
    <w:rsid w:val="00737505"/>
    <w:rsid w:val="0073789F"/>
    <w:rsid w:val="0074039C"/>
    <w:rsid w:val="00740422"/>
    <w:rsid w:val="00740A8E"/>
    <w:rsid w:val="00740B57"/>
    <w:rsid w:val="007417B4"/>
    <w:rsid w:val="0074326F"/>
    <w:rsid w:val="00743462"/>
    <w:rsid w:val="007439B6"/>
    <w:rsid w:val="0074465E"/>
    <w:rsid w:val="00744808"/>
    <w:rsid w:val="00744CB2"/>
    <w:rsid w:val="00745115"/>
    <w:rsid w:val="00745FE9"/>
    <w:rsid w:val="0074604B"/>
    <w:rsid w:val="0074656C"/>
    <w:rsid w:val="007469F2"/>
    <w:rsid w:val="007470F8"/>
    <w:rsid w:val="007506E6"/>
    <w:rsid w:val="00751766"/>
    <w:rsid w:val="007526A8"/>
    <w:rsid w:val="007537B0"/>
    <w:rsid w:val="007544AC"/>
    <w:rsid w:val="00754661"/>
    <w:rsid w:val="00754F07"/>
    <w:rsid w:val="00755777"/>
    <w:rsid w:val="00755B94"/>
    <w:rsid w:val="00755BA0"/>
    <w:rsid w:val="00755CBE"/>
    <w:rsid w:val="00756101"/>
    <w:rsid w:val="00756426"/>
    <w:rsid w:val="007564EC"/>
    <w:rsid w:val="00756520"/>
    <w:rsid w:val="007578F8"/>
    <w:rsid w:val="00757BE2"/>
    <w:rsid w:val="007600AE"/>
    <w:rsid w:val="00760F14"/>
    <w:rsid w:val="007616A2"/>
    <w:rsid w:val="0076319E"/>
    <w:rsid w:val="007634C1"/>
    <w:rsid w:val="00763FE6"/>
    <w:rsid w:val="00764002"/>
    <w:rsid w:val="007642B7"/>
    <w:rsid w:val="00764A0F"/>
    <w:rsid w:val="00764CC5"/>
    <w:rsid w:val="007653BA"/>
    <w:rsid w:val="00765C39"/>
    <w:rsid w:val="007662DA"/>
    <w:rsid w:val="00766848"/>
    <w:rsid w:val="0076684E"/>
    <w:rsid w:val="00766A0B"/>
    <w:rsid w:val="00766B85"/>
    <w:rsid w:val="00767680"/>
    <w:rsid w:val="00767E40"/>
    <w:rsid w:val="00767F93"/>
    <w:rsid w:val="00770BA4"/>
    <w:rsid w:val="007716C7"/>
    <w:rsid w:val="00771839"/>
    <w:rsid w:val="007735C9"/>
    <w:rsid w:val="00775B52"/>
    <w:rsid w:val="00776113"/>
    <w:rsid w:val="007764FD"/>
    <w:rsid w:val="007765A0"/>
    <w:rsid w:val="00777CD6"/>
    <w:rsid w:val="00777D4D"/>
    <w:rsid w:val="00777F8E"/>
    <w:rsid w:val="007804F3"/>
    <w:rsid w:val="00780A36"/>
    <w:rsid w:val="00780B4A"/>
    <w:rsid w:val="00781342"/>
    <w:rsid w:val="00781F77"/>
    <w:rsid w:val="007825B4"/>
    <w:rsid w:val="00784626"/>
    <w:rsid w:val="00784747"/>
    <w:rsid w:val="00784887"/>
    <w:rsid w:val="00784AB3"/>
    <w:rsid w:val="00785241"/>
    <w:rsid w:val="007852C2"/>
    <w:rsid w:val="007868D8"/>
    <w:rsid w:val="007876BF"/>
    <w:rsid w:val="00787A6D"/>
    <w:rsid w:val="00787CB6"/>
    <w:rsid w:val="00790814"/>
    <w:rsid w:val="00790C10"/>
    <w:rsid w:val="00790CE7"/>
    <w:rsid w:val="007911E5"/>
    <w:rsid w:val="00791857"/>
    <w:rsid w:val="007919FA"/>
    <w:rsid w:val="00791DC3"/>
    <w:rsid w:val="00792344"/>
    <w:rsid w:val="00792A64"/>
    <w:rsid w:val="00792AE9"/>
    <w:rsid w:val="00792BA0"/>
    <w:rsid w:val="00794020"/>
    <w:rsid w:val="00794043"/>
    <w:rsid w:val="00795855"/>
    <w:rsid w:val="0079587B"/>
    <w:rsid w:val="007958DC"/>
    <w:rsid w:val="007959EA"/>
    <w:rsid w:val="00795FD1"/>
    <w:rsid w:val="00796744"/>
    <w:rsid w:val="00796FA7"/>
    <w:rsid w:val="00797174"/>
    <w:rsid w:val="007977BD"/>
    <w:rsid w:val="007A1234"/>
    <w:rsid w:val="007A1C26"/>
    <w:rsid w:val="007A29AA"/>
    <w:rsid w:val="007A316D"/>
    <w:rsid w:val="007A35F9"/>
    <w:rsid w:val="007A36B2"/>
    <w:rsid w:val="007A3C21"/>
    <w:rsid w:val="007A3C34"/>
    <w:rsid w:val="007A40FD"/>
    <w:rsid w:val="007A450A"/>
    <w:rsid w:val="007A51B2"/>
    <w:rsid w:val="007A586B"/>
    <w:rsid w:val="007A7291"/>
    <w:rsid w:val="007A7441"/>
    <w:rsid w:val="007A75B3"/>
    <w:rsid w:val="007A75FA"/>
    <w:rsid w:val="007B0685"/>
    <w:rsid w:val="007B0740"/>
    <w:rsid w:val="007B0F90"/>
    <w:rsid w:val="007B107C"/>
    <w:rsid w:val="007B13C6"/>
    <w:rsid w:val="007B2CD4"/>
    <w:rsid w:val="007B3AE4"/>
    <w:rsid w:val="007B404B"/>
    <w:rsid w:val="007B42AA"/>
    <w:rsid w:val="007B468D"/>
    <w:rsid w:val="007B4FE7"/>
    <w:rsid w:val="007B50CF"/>
    <w:rsid w:val="007B5174"/>
    <w:rsid w:val="007B5CEA"/>
    <w:rsid w:val="007B5F14"/>
    <w:rsid w:val="007B613A"/>
    <w:rsid w:val="007B791B"/>
    <w:rsid w:val="007C0BE9"/>
    <w:rsid w:val="007C0ED6"/>
    <w:rsid w:val="007C164D"/>
    <w:rsid w:val="007C1751"/>
    <w:rsid w:val="007C1D4C"/>
    <w:rsid w:val="007C1E18"/>
    <w:rsid w:val="007C20D0"/>
    <w:rsid w:val="007C2FA2"/>
    <w:rsid w:val="007C30AF"/>
    <w:rsid w:val="007C31CE"/>
    <w:rsid w:val="007C3DA2"/>
    <w:rsid w:val="007C42FF"/>
    <w:rsid w:val="007C4E02"/>
    <w:rsid w:val="007C55E7"/>
    <w:rsid w:val="007C5F5F"/>
    <w:rsid w:val="007C68C6"/>
    <w:rsid w:val="007C774A"/>
    <w:rsid w:val="007C778C"/>
    <w:rsid w:val="007D01E6"/>
    <w:rsid w:val="007D111D"/>
    <w:rsid w:val="007D16DA"/>
    <w:rsid w:val="007D1A66"/>
    <w:rsid w:val="007D2C9B"/>
    <w:rsid w:val="007D2E6B"/>
    <w:rsid w:val="007D4244"/>
    <w:rsid w:val="007D4480"/>
    <w:rsid w:val="007D4492"/>
    <w:rsid w:val="007D5131"/>
    <w:rsid w:val="007D54BB"/>
    <w:rsid w:val="007D6362"/>
    <w:rsid w:val="007D71CB"/>
    <w:rsid w:val="007D77C4"/>
    <w:rsid w:val="007D7EEB"/>
    <w:rsid w:val="007E1472"/>
    <w:rsid w:val="007E1CC5"/>
    <w:rsid w:val="007E1E79"/>
    <w:rsid w:val="007E2ACE"/>
    <w:rsid w:val="007E2F20"/>
    <w:rsid w:val="007E3CDA"/>
    <w:rsid w:val="007E3E10"/>
    <w:rsid w:val="007E50B5"/>
    <w:rsid w:val="007E5325"/>
    <w:rsid w:val="007E697B"/>
    <w:rsid w:val="007E6C5F"/>
    <w:rsid w:val="007E6CF9"/>
    <w:rsid w:val="007F0003"/>
    <w:rsid w:val="007F0543"/>
    <w:rsid w:val="007F054E"/>
    <w:rsid w:val="007F0789"/>
    <w:rsid w:val="007F12BA"/>
    <w:rsid w:val="007F21A6"/>
    <w:rsid w:val="007F255E"/>
    <w:rsid w:val="007F2761"/>
    <w:rsid w:val="007F36F2"/>
    <w:rsid w:val="007F3D08"/>
    <w:rsid w:val="007F4ED7"/>
    <w:rsid w:val="007F58C5"/>
    <w:rsid w:val="007F6B99"/>
    <w:rsid w:val="007F76C6"/>
    <w:rsid w:val="007F7E57"/>
    <w:rsid w:val="00800033"/>
    <w:rsid w:val="008000DD"/>
    <w:rsid w:val="00800DCF"/>
    <w:rsid w:val="0080107F"/>
    <w:rsid w:val="00801D14"/>
    <w:rsid w:val="0080211A"/>
    <w:rsid w:val="00802A1C"/>
    <w:rsid w:val="00803150"/>
    <w:rsid w:val="008031A9"/>
    <w:rsid w:val="008032E7"/>
    <w:rsid w:val="00803716"/>
    <w:rsid w:val="0080388F"/>
    <w:rsid w:val="0080389E"/>
    <w:rsid w:val="008040B2"/>
    <w:rsid w:val="00804416"/>
    <w:rsid w:val="00804ABD"/>
    <w:rsid w:val="00805736"/>
    <w:rsid w:val="00805F67"/>
    <w:rsid w:val="008070B8"/>
    <w:rsid w:val="008071FB"/>
    <w:rsid w:val="00807681"/>
    <w:rsid w:val="008113B8"/>
    <w:rsid w:val="00811628"/>
    <w:rsid w:val="00813415"/>
    <w:rsid w:val="008135F3"/>
    <w:rsid w:val="00814FFF"/>
    <w:rsid w:val="00816005"/>
    <w:rsid w:val="0081600A"/>
    <w:rsid w:val="00820234"/>
    <w:rsid w:val="00820E1F"/>
    <w:rsid w:val="00820E72"/>
    <w:rsid w:val="00821000"/>
    <w:rsid w:val="00821C5B"/>
    <w:rsid w:val="00822C03"/>
    <w:rsid w:val="00822FF0"/>
    <w:rsid w:val="00823517"/>
    <w:rsid w:val="00824023"/>
    <w:rsid w:val="008254A3"/>
    <w:rsid w:val="00825D88"/>
    <w:rsid w:val="0082760B"/>
    <w:rsid w:val="00827D49"/>
    <w:rsid w:val="0083015C"/>
    <w:rsid w:val="00830595"/>
    <w:rsid w:val="00830C6C"/>
    <w:rsid w:val="00830D3C"/>
    <w:rsid w:val="00832F75"/>
    <w:rsid w:val="00833CA1"/>
    <w:rsid w:val="008351C5"/>
    <w:rsid w:val="00835A9A"/>
    <w:rsid w:val="00835BDC"/>
    <w:rsid w:val="00835D48"/>
    <w:rsid w:val="00835F7D"/>
    <w:rsid w:val="0083614B"/>
    <w:rsid w:val="00836CC4"/>
    <w:rsid w:val="008371F3"/>
    <w:rsid w:val="008377A6"/>
    <w:rsid w:val="00837A96"/>
    <w:rsid w:val="00837CC8"/>
    <w:rsid w:val="0084170F"/>
    <w:rsid w:val="00841D31"/>
    <w:rsid w:val="0084203D"/>
    <w:rsid w:val="00842338"/>
    <w:rsid w:val="008427BB"/>
    <w:rsid w:val="00844362"/>
    <w:rsid w:val="00844453"/>
    <w:rsid w:val="00844460"/>
    <w:rsid w:val="008448C5"/>
    <w:rsid w:val="008453E2"/>
    <w:rsid w:val="008457C3"/>
    <w:rsid w:val="008464B4"/>
    <w:rsid w:val="00846908"/>
    <w:rsid w:val="00846C91"/>
    <w:rsid w:val="00846EBA"/>
    <w:rsid w:val="00847A80"/>
    <w:rsid w:val="008503B1"/>
    <w:rsid w:val="008512AC"/>
    <w:rsid w:val="0085182B"/>
    <w:rsid w:val="00852B53"/>
    <w:rsid w:val="00852EDA"/>
    <w:rsid w:val="00853DAE"/>
    <w:rsid w:val="00854332"/>
    <w:rsid w:val="00854531"/>
    <w:rsid w:val="00855896"/>
    <w:rsid w:val="008564E8"/>
    <w:rsid w:val="0085687E"/>
    <w:rsid w:val="008568C7"/>
    <w:rsid w:val="00856AD4"/>
    <w:rsid w:val="008573D0"/>
    <w:rsid w:val="0085748A"/>
    <w:rsid w:val="0085785B"/>
    <w:rsid w:val="00857AE5"/>
    <w:rsid w:val="00860408"/>
    <w:rsid w:val="0086104C"/>
    <w:rsid w:val="0086166C"/>
    <w:rsid w:val="00861773"/>
    <w:rsid w:val="0086184F"/>
    <w:rsid w:val="0086191F"/>
    <w:rsid w:val="00861A89"/>
    <w:rsid w:val="00862376"/>
    <w:rsid w:val="008625FF"/>
    <w:rsid w:val="0086396F"/>
    <w:rsid w:val="00863A93"/>
    <w:rsid w:val="008640DD"/>
    <w:rsid w:val="0087021F"/>
    <w:rsid w:val="008703DE"/>
    <w:rsid w:val="00870405"/>
    <w:rsid w:val="00870E99"/>
    <w:rsid w:val="008711F3"/>
    <w:rsid w:val="00871794"/>
    <w:rsid w:val="00871C9E"/>
    <w:rsid w:val="008723FD"/>
    <w:rsid w:val="00872486"/>
    <w:rsid w:val="00872993"/>
    <w:rsid w:val="00872E82"/>
    <w:rsid w:val="008735B3"/>
    <w:rsid w:val="00874CD6"/>
    <w:rsid w:val="00874FD0"/>
    <w:rsid w:val="00875646"/>
    <w:rsid w:val="00875B9B"/>
    <w:rsid w:val="00875EE8"/>
    <w:rsid w:val="0087682D"/>
    <w:rsid w:val="00876A6B"/>
    <w:rsid w:val="00877737"/>
    <w:rsid w:val="00877995"/>
    <w:rsid w:val="0088005F"/>
    <w:rsid w:val="0088012B"/>
    <w:rsid w:val="0088098B"/>
    <w:rsid w:val="008809B1"/>
    <w:rsid w:val="0088151E"/>
    <w:rsid w:val="0088171C"/>
    <w:rsid w:val="00881A5D"/>
    <w:rsid w:val="00881CED"/>
    <w:rsid w:val="0088241C"/>
    <w:rsid w:val="00882599"/>
    <w:rsid w:val="008839E1"/>
    <w:rsid w:val="008843B1"/>
    <w:rsid w:val="0088479B"/>
    <w:rsid w:val="008858C1"/>
    <w:rsid w:val="00885945"/>
    <w:rsid w:val="00885B25"/>
    <w:rsid w:val="00885CA1"/>
    <w:rsid w:val="00885D35"/>
    <w:rsid w:val="00886947"/>
    <w:rsid w:val="008869CF"/>
    <w:rsid w:val="008877DB"/>
    <w:rsid w:val="00887B8E"/>
    <w:rsid w:val="00890A7B"/>
    <w:rsid w:val="00891285"/>
    <w:rsid w:val="0089146A"/>
    <w:rsid w:val="008917E1"/>
    <w:rsid w:val="00892566"/>
    <w:rsid w:val="00892F08"/>
    <w:rsid w:val="008932E0"/>
    <w:rsid w:val="008935E4"/>
    <w:rsid w:val="008949EA"/>
    <w:rsid w:val="0089512F"/>
    <w:rsid w:val="00895662"/>
    <w:rsid w:val="008967FC"/>
    <w:rsid w:val="00897D7B"/>
    <w:rsid w:val="008A0EFD"/>
    <w:rsid w:val="008A0F3E"/>
    <w:rsid w:val="008A342D"/>
    <w:rsid w:val="008A42AD"/>
    <w:rsid w:val="008A5316"/>
    <w:rsid w:val="008A598A"/>
    <w:rsid w:val="008A60AA"/>
    <w:rsid w:val="008A643F"/>
    <w:rsid w:val="008A6997"/>
    <w:rsid w:val="008A6B1B"/>
    <w:rsid w:val="008A79A8"/>
    <w:rsid w:val="008A7FE1"/>
    <w:rsid w:val="008B03D2"/>
    <w:rsid w:val="008B0DBE"/>
    <w:rsid w:val="008B1E86"/>
    <w:rsid w:val="008B54D6"/>
    <w:rsid w:val="008B607E"/>
    <w:rsid w:val="008B6A05"/>
    <w:rsid w:val="008B6F5B"/>
    <w:rsid w:val="008B7011"/>
    <w:rsid w:val="008C00BE"/>
    <w:rsid w:val="008C0CF2"/>
    <w:rsid w:val="008C106B"/>
    <w:rsid w:val="008C1249"/>
    <w:rsid w:val="008C157E"/>
    <w:rsid w:val="008C1A3A"/>
    <w:rsid w:val="008C2124"/>
    <w:rsid w:val="008C2147"/>
    <w:rsid w:val="008C277A"/>
    <w:rsid w:val="008C3326"/>
    <w:rsid w:val="008C34BD"/>
    <w:rsid w:val="008C550D"/>
    <w:rsid w:val="008C5FFF"/>
    <w:rsid w:val="008C6700"/>
    <w:rsid w:val="008C6776"/>
    <w:rsid w:val="008C756A"/>
    <w:rsid w:val="008C7E69"/>
    <w:rsid w:val="008C7EA0"/>
    <w:rsid w:val="008D0E7E"/>
    <w:rsid w:val="008D13EE"/>
    <w:rsid w:val="008D161D"/>
    <w:rsid w:val="008D1814"/>
    <w:rsid w:val="008D203C"/>
    <w:rsid w:val="008D22BF"/>
    <w:rsid w:val="008D2951"/>
    <w:rsid w:val="008D3FB6"/>
    <w:rsid w:val="008D42E3"/>
    <w:rsid w:val="008D4B4B"/>
    <w:rsid w:val="008D4CA8"/>
    <w:rsid w:val="008D4CF5"/>
    <w:rsid w:val="008D524E"/>
    <w:rsid w:val="008D59EC"/>
    <w:rsid w:val="008D5B3C"/>
    <w:rsid w:val="008D6132"/>
    <w:rsid w:val="008D62D8"/>
    <w:rsid w:val="008D645A"/>
    <w:rsid w:val="008D6F00"/>
    <w:rsid w:val="008D7543"/>
    <w:rsid w:val="008D794D"/>
    <w:rsid w:val="008E0042"/>
    <w:rsid w:val="008E0BB0"/>
    <w:rsid w:val="008E1D55"/>
    <w:rsid w:val="008E4075"/>
    <w:rsid w:val="008E5275"/>
    <w:rsid w:val="008E578E"/>
    <w:rsid w:val="008E6E70"/>
    <w:rsid w:val="008F08A7"/>
    <w:rsid w:val="008F122D"/>
    <w:rsid w:val="008F1640"/>
    <w:rsid w:val="008F1A7A"/>
    <w:rsid w:val="008F1A82"/>
    <w:rsid w:val="008F2A6F"/>
    <w:rsid w:val="008F2BAD"/>
    <w:rsid w:val="008F2E03"/>
    <w:rsid w:val="008F3CBC"/>
    <w:rsid w:val="008F411A"/>
    <w:rsid w:val="008F44F8"/>
    <w:rsid w:val="008F4802"/>
    <w:rsid w:val="008F4A0C"/>
    <w:rsid w:val="008F54AF"/>
    <w:rsid w:val="008F55B1"/>
    <w:rsid w:val="008F58AD"/>
    <w:rsid w:val="008F6990"/>
    <w:rsid w:val="008F7304"/>
    <w:rsid w:val="008F7544"/>
    <w:rsid w:val="008F7FF5"/>
    <w:rsid w:val="00900ECA"/>
    <w:rsid w:val="00901128"/>
    <w:rsid w:val="009012E7"/>
    <w:rsid w:val="00901EA1"/>
    <w:rsid w:val="009033B8"/>
    <w:rsid w:val="00903626"/>
    <w:rsid w:val="00903BCA"/>
    <w:rsid w:val="0090464F"/>
    <w:rsid w:val="009047CA"/>
    <w:rsid w:val="00904C40"/>
    <w:rsid w:val="00904C9D"/>
    <w:rsid w:val="009050D1"/>
    <w:rsid w:val="00906994"/>
    <w:rsid w:val="00906C16"/>
    <w:rsid w:val="00906C55"/>
    <w:rsid w:val="00906EFF"/>
    <w:rsid w:val="009073AE"/>
    <w:rsid w:val="0090747B"/>
    <w:rsid w:val="00907D19"/>
    <w:rsid w:val="009100C3"/>
    <w:rsid w:val="009104DC"/>
    <w:rsid w:val="0091086F"/>
    <w:rsid w:val="009118F6"/>
    <w:rsid w:val="00911E82"/>
    <w:rsid w:val="009122BD"/>
    <w:rsid w:val="009123FC"/>
    <w:rsid w:val="00912723"/>
    <w:rsid w:val="00913320"/>
    <w:rsid w:val="009138FC"/>
    <w:rsid w:val="00913D2D"/>
    <w:rsid w:val="009147C5"/>
    <w:rsid w:val="00914919"/>
    <w:rsid w:val="00915187"/>
    <w:rsid w:val="009151AA"/>
    <w:rsid w:val="00915267"/>
    <w:rsid w:val="00915BB1"/>
    <w:rsid w:val="00916332"/>
    <w:rsid w:val="009168E8"/>
    <w:rsid w:val="00917993"/>
    <w:rsid w:val="00917EA0"/>
    <w:rsid w:val="00920E7C"/>
    <w:rsid w:val="009210AD"/>
    <w:rsid w:val="0092204F"/>
    <w:rsid w:val="009222A1"/>
    <w:rsid w:val="009230B4"/>
    <w:rsid w:val="00923270"/>
    <w:rsid w:val="00923770"/>
    <w:rsid w:val="00924417"/>
    <w:rsid w:val="009247A6"/>
    <w:rsid w:val="00924F39"/>
    <w:rsid w:val="00925632"/>
    <w:rsid w:val="00925A7F"/>
    <w:rsid w:val="00925AF2"/>
    <w:rsid w:val="009264C0"/>
    <w:rsid w:val="00926504"/>
    <w:rsid w:val="00926998"/>
    <w:rsid w:val="00926A17"/>
    <w:rsid w:val="00926F51"/>
    <w:rsid w:val="00926F99"/>
    <w:rsid w:val="00927852"/>
    <w:rsid w:val="009301E5"/>
    <w:rsid w:val="009302E5"/>
    <w:rsid w:val="00931188"/>
    <w:rsid w:val="009318B8"/>
    <w:rsid w:val="00931F1A"/>
    <w:rsid w:val="009320B2"/>
    <w:rsid w:val="00932262"/>
    <w:rsid w:val="009325A5"/>
    <w:rsid w:val="00932852"/>
    <w:rsid w:val="00932ECE"/>
    <w:rsid w:val="00933A8C"/>
    <w:rsid w:val="0093448F"/>
    <w:rsid w:val="00934A9B"/>
    <w:rsid w:val="009352FA"/>
    <w:rsid w:val="00935919"/>
    <w:rsid w:val="00936C95"/>
    <w:rsid w:val="0093709C"/>
    <w:rsid w:val="00937C76"/>
    <w:rsid w:val="00937E0D"/>
    <w:rsid w:val="0094102A"/>
    <w:rsid w:val="0094301C"/>
    <w:rsid w:val="00943A0C"/>
    <w:rsid w:val="00943BE6"/>
    <w:rsid w:val="00943F9C"/>
    <w:rsid w:val="00944043"/>
    <w:rsid w:val="009441E3"/>
    <w:rsid w:val="009443EF"/>
    <w:rsid w:val="00945345"/>
    <w:rsid w:val="00945B01"/>
    <w:rsid w:val="00945B5D"/>
    <w:rsid w:val="00945F28"/>
    <w:rsid w:val="0094614B"/>
    <w:rsid w:val="0094644E"/>
    <w:rsid w:val="00947516"/>
    <w:rsid w:val="00951DDC"/>
    <w:rsid w:val="009522CC"/>
    <w:rsid w:val="009525E5"/>
    <w:rsid w:val="00952ED3"/>
    <w:rsid w:val="00953397"/>
    <w:rsid w:val="009534C0"/>
    <w:rsid w:val="00953F1A"/>
    <w:rsid w:val="00955662"/>
    <w:rsid w:val="00955A64"/>
    <w:rsid w:val="00956224"/>
    <w:rsid w:val="00956C78"/>
    <w:rsid w:val="00956D9E"/>
    <w:rsid w:val="00956FE9"/>
    <w:rsid w:val="00957675"/>
    <w:rsid w:val="00957D09"/>
    <w:rsid w:val="00957E46"/>
    <w:rsid w:val="00957FA1"/>
    <w:rsid w:val="00960939"/>
    <w:rsid w:val="00960C08"/>
    <w:rsid w:val="0096117E"/>
    <w:rsid w:val="0096256A"/>
    <w:rsid w:val="00962B53"/>
    <w:rsid w:val="009631D4"/>
    <w:rsid w:val="0096354E"/>
    <w:rsid w:val="009635EC"/>
    <w:rsid w:val="00964BBD"/>
    <w:rsid w:val="00965A7F"/>
    <w:rsid w:val="00965B90"/>
    <w:rsid w:val="00965D94"/>
    <w:rsid w:val="00966012"/>
    <w:rsid w:val="00966131"/>
    <w:rsid w:val="0096625C"/>
    <w:rsid w:val="009669CE"/>
    <w:rsid w:val="00966E55"/>
    <w:rsid w:val="009672C6"/>
    <w:rsid w:val="009675E0"/>
    <w:rsid w:val="00967E6D"/>
    <w:rsid w:val="00970C09"/>
    <w:rsid w:val="00971AC0"/>
    <w:rsid w:val="00971AF9"/>
    <w:rsid w:val="00971B68"/>
    <w:rsid w:val="00972E09"/>
    <w:rsid w:val="0097365F"/>
    <w:rsid w:val="0097388B"/>
    <w:rsid w:val="00973C19"/>
    <w:rsid w:val="00973D59"/>
    <w:rsid w:val="00973FFD"/>
    <w:rsid w:val="00974109"/>
    <w:rsid w:val="009746A7"/>
    <w:rsid w:val="00975387"/>
    <w:rsid w:val="00975FBC"/>
    <w:rsid w:val="0097660B"/>
    <w:rsid w:val="0097714E"/>
    <w:rsid w:val="00977567"/>
    <w:rsid w:val="0097776C"/>
    <w:rsid w:val="00977C55"/>
    <w:rsid w:val="0098027F"/>
    <w:rsid w:val="0098035E"/>
    <w:rsid w:val="009803B3"/>
    <w:rsid w:val="009813C1"/>
    <w:rsid w:val="009813EB"/>
    <w:rsid w:val="009826B3"/>
    <w:rsid w:val="00982C33"/>
    <w:rsid w:val="00983B39"/>
    <w:rsid w:val="00983B72"/>
    <w:rsid w:val="00983E4E"/>
    <w:rsid w:val="0098481F"/>
    <w:rsid w:val="00984ED8"/>
    <w:rsid w:val="00984FA6"/>
    <w:rsid w:val="00984FD1"/>
    <w:rsid w:val="00985638"/>
    <w:rsid w:val="009859A9"/>
    <w:rsid w:val="00986489"/>
    <w:rsid w:val="0098653E"/>
    <w:rsid w:val="009873C0"/>
    <w:rsid w:val="009874BA"/>
    <w:rsid w:val="00987DC0"/>
    <w:rsid w:val="00987EB0"/>
    <w:rsid w:val="00987F42"/>
    <w:rsid w:val="009904F2"/>
    <w:rsid w:val="00990676"/>
    <w:rsid w:val="00990AA9"/>
    <w:rsid w:val="00990FB5"/>
    <w:rsid w:val="00991058"/>
    <w:rsid w:val="0099214C"/>
    <w:rsid w:val="00992FFE"/>
    <w:rsid w:val="00993453"/>
    <w:rsid w:val="009940C8"/>
    <w:rsid w:val="009942C5"/>
    <w:rsid w:val="00994C4E"/>
    <w:rsid w:val="009955B9"/>
    <w:rsid w:val="00997DC4"/>
    <w:rsid w:val="009A009F"/>
    <w:rsid w:val="009A2153"/>
    <w:rsid w:val="009A21CD"/>
    <w:rsid w:val="009A34FF"/>
    <w:rsid w:val="009A39FD"/>
    <w:rsid w:val="009A3A89"/>
    <w:rsid w:val="009A3DB1"/>
    <w:rsid w:val="009A46E4"/>
    <w:rsid w:val="009A55FF"/>
    <w:rsid w:val="009A5938"/>
    <w:rsid w:val="009A5AC6"/>
    <w:rsid w:val="009A5E91"/>
    <w:rsid w:val="009A6012"/>
    <w:rsid w:val="009A644A"/>
    <w:rsid w:val="009A67D9"/>
    <w:rsid w:val="009A709C"/>
    <w:rsid w:val="009B0120"/>
    <w:rsid w:val="009B01A3"/>
    <w:rsid w:val="009B0CD7"/>
    <w:rsid w:val="009B1040"/>
    <w:rsid w:val="009B17C5"/>
    <w:rsid w:val="009B1DE4"/>
    <w:rsid w:val="009B1E58"/>
    <w:rsid w:val="009B240E"/>
    <w:rsid w:val="009B3022"/>
    <w:rsid w:val="009B34BE"/>
    <w:rsid w:val="009B34D1"/>
    <w:rsid w:val="009B387D"/>
    <w:rsid w:val="009B45EE"/>
    <w:rsid w:val="009B5D12"/>
    <w:rsid w:val="009B5E4F"/>
    <w:rsid w:val="009B603E"/>
    <w:rsid w:val="009B6DD5"/>
    <w:rsid w:val="009B71D4"/>
    <w:rsid w:val="009B784B"/>
    <w:rsid w:val="009B7A4F"/>
    <w:rsid w:val="009B7C1B"/>
    <w:rsid w:val="009B7EAC"/>
    <w:rsid w:val="009C0CAF"/>
    <w:rsid w:val="009C0EEF"/>
    <w:rsid w:val="009C1D97"/>
    <w:rsid w:val="009C29D1"/>
    <w:rsid w:val="009C2ACC"/>
    <w:rsid w:val="009C2CDE"/>
    <w:rsid w:val="009C363E"/>
    <w:rsid w:val="009C3921"/>
    <w:rsid w:val="009C4D0D"/>
    <w:rsid w:val="009C529D"/>
    <w:rsid w:val="009C7FC2"/>
    <w:rsid w:val="009D06AB"/>
    <w:rsid w:val="009D0BE9"/>
    <w:rsid w:val="009D0DC7"/>
    <w:rsid w:val="009D135D"/>
    <w:rsid w:val="009D1836"/>
    <w:rsid w:val="009D2BC8"/>
    <w:rsid w:val="009D2C3B"/>
    <w:rsid w:val="009D46E6"/>
    <w:rsid w:val="009D4B6C"/>
    <w:rsid w:val="009D5278"/>
    <w:rsid w:val="009D594C"/>
    <w:rsid w:val="009D632D"/>
    <w:rsid w:val="009D65F4"/>
    <w:rsid w:val="009D686A"/>
    <w:rsid w:val="009D6BA0"/>
    <w:rsid w:val="009E1353"/>
    <w:rsid w:val="009E28C6"/>
    <w:rsid w:val="009E2DEE"/>
    <w:rsid w:val="009E406B"/>
    <w:rsid w:val="009E43FC"/>
    <w:rsid w:val="009E4C2F"/>
    <w:rsid w:val="009E6936"/>
    <w:rsid w:val="009E6E47"/>
    <w:rsid w:val="009E7709"/>
    <w:rsid w:val="009F040B"/>
    <w:rsid w:val="009F0C21"/>
    <w:rsid w:val="009F1303"/>
    <w:rsid w:val="009F1491"/>
    <w:rsid w:val="009F153D"/>
    <w:rsid w:val="009F2FD7"/>
    <w:rsid w:val="009F3768"/>
    <w:rsid w:val="009F3B80"/>
    <w:rsid w:val="009F3E74"/>
    <w:rsid w:val="009F4087"/>
    <w:rsid w:val="009F4323"/>
    <w:rsid w:val="009F435A"/>
    <w:rsid w:val="009F449C"/>
    <w:rsid w:val="009F45D7"/>
    <w:rsid w:val="009F4E67"/>
    <w:rsid w:val="009F54D8"/>
    <w:rsid w:val="009F58DD"/>
    <w:rsid w:val="009F5FDF"/>
    <w:rsid w:val="009F6187"/>
    <w:rsid w:val="009F640C"/>
    <w:rsid w:val="009F6416"/>
    <w:rsid w:val="009F64B6"/>
    <w:rsid w:val="009F692C"/>
    <w:rsid w:val="009F7426"/>
    <w:rsid w:val="009F777B"/>
    <w:rsid w:val="009F7E46"/>
    <w:rsid w:val="00A00D7D"/>
    <w:rsid w:val="00A01572"/>
    <w:rsid w:val="00A01728"/>
    <w:rsid w:val="00A0185D"/>
    <w:rsid w:val="00A01D6F"/>
    <w:rsid w:val="00A029BC"/>
    <w:rsid w:val="00A03442"/>
    <w:rsid w:val="00A03CC3"/>
    <w:rsid w:val="00A04348"/>
    <w:rsid w:val="00A04760"/>
    <w:rsid w:val="00A050E9"/>
    <w:rsid w:val="00A060B0"/>
    <w:rsid w:val="00A061EC"/>
    <w:rsid w:val="00A06E58"/>
    <w:rsid w:val="00A07A20"/>
    <w:rsid w:val="00A10057"/>
    <w:rsid w:val="00A1125F"/>
    <w:rsid w:val="00A116D7"/>
    <w:rsid w:val="00A116E1"/>
    <w:rsid w:val="00A1249B"/>
    <w:rsid w:val="00A12F3C"/>
    <w:rsid w:val="00A13D85"/>
    <w:rsid w:val="00A1478B"/>
    <w:rsid w:val="00A149CF"/>
    <w:rsid w:val="00A14C94"/>
    <w:rsid w:val="00A15B3D"/>
    <w:rsid w:val="00A15D17"/>
    <w:rsid w:val="00A15EC7"/>
    <w:rsid w:val="00A17CF6"/>
    <w:rsid w:val="00A20DCC"/>
    <w:rsid w:val="00A2124F"/>
    <w:rsid w:val="00A21289"/>
    <w:rsid w:val="00A2185B"/>
    <w:rsid w:val="00A22D72"/>
    <w:rsid w:val="00A22FB8"/>
    <w:rsid w:val="00A230B3"/>
    <w:rsid w:val="00A2383F"/>
    <w:rsid w:val="00A246F1"/>
    <w:rsid w:val="00A250A4"/>
    <w:rsid w:val="00A25DD2"/>
    <w:rsid w:val="00A2659B"/>
    <w:rsid w:val="00A2677B"/>
    <w:rsid w:val="00A26F6A"/>
    <w:rsid w:val="00A27553"/>
    <w:rsid w:val="00A27BDB"/>
    <w:rsid w:val="00A30E38"/>
    <w:rsid w:val="00A31ABA"/>
    <w:rsid w:val="00A3227D"/>
    <w:rsid w:val="00A329F6"/>
    <w:rsid w:val="00A32A3B"/>
    <w:rsid w:val="00A32DCC"/>
    <w:rsid w:val="00A32F43"/>
    <w:rsid w:val="00A33ECF"/>
    <w:rsid w:val="00A341FD"/>
    <w:rsid w:val="00A34359"/>
    <w:rsid w:val="00A359D4"/>
    <w:rsid w:val="00A35C01"/>
    <w:rsid w:val="00A367AA"/>
    <w:rsid w:val="00A3694D"/>
    <w:rsid w:val="00A36A10"/>
    <w:rsid w:val="00A37126"/>
    <w:rsid w:val="00A37233"/>
    <w:rsid w:val="00A376F0"/>
    <w:rsid w:val="00A37926"/>
    <w:rsid w:val="00A37F1F"/>
    <w:rsid w:val="00A42E31"/>
    <w:rsid w:val="00A43443"/>
    <w:rsid w:val="00A44FEE"/>
    <w:rsid w:val="00A45107"/>
    <w:rsid w:val="00A45188"/>
    <w:rsid w:val="00A45BEF"/>
    <w:rsid w:val="00A46F19"/>
    <w:rsid w:val="00A47EBA"/>
    <w:rsid w:val="00A501E3"/>
    <w:rsid w:val="00A506F9"/>
    <w:rsid w:val="00A50AA9"/>
    <w:rsid w:val="00A512AE"/>
    <w:rsid w:val="00A518A3"/>
    <w:rsid w:val="00A52641"/>
    <w:rsid w:val="00A52B00"/>
    <w:rsid w:val="00A52E1D"/>
    <w:rsid w:val="00A533E3"/>
    <w:rsid w:val="00A53477"/>
    <w:rsid w:val="00A5391C"/>
    <w:rsid w:val="00A53DCC"/>
    <w:rsid w:val="00A5461F"/>
    <w:rsid w:val="00A54792"/>
    <w:rsid w:val="00A5499D"/>
    <w:rsid w:val="00A5568F"/>
    <w:rsid w:val="00A55A37"/>
    <w:rsid w:val="00A56101"/>
    <w:rsid w:val="00A579AC"/>
    <w:rsid w:val="00A57C8B"/>
    <w:rsid w:val="00A60CEF"/>
    <w:rsid w:val="00A61415"/>
    <w:rsid w:val="00A61D30"/>
    <w:rsid w:val="00A6204F"/>
    <w:rsid w:val="00A621B2"/>
    <w:rsid w:val="00A62E7C"/>
    <w:rsid w:val="00A63402"/>
    <w:rsid w:val="00A63A63"/>
    <w:rsid w:val="00A63C24"/>
    <w:rsid w:val="00A651B0"/>
    <w:rsid w:val="00A6576B"/>
    <w:rsid w:val="00A65B71"/>
    <w:rsid w:val="00A65B79"/>
    <w:rsid w:val="00A65DD5"/>
    <w:rsid w:val="00A67D48"/>
    <w:rsid w:val="00A70064"/>
    <w:rsid w:val="00A7042C"/>
    <w:rsid w:val="00A7053A"/>
    <w:rsid w:val="00A705E1"/>
    <w:rsid w:val="00A71487"/>
    <w:rsid w:val="00A71840"/>
    <w:rsid w:val="00A72068"/>
    <w:rsid w:val="00A730A1"/>
    <w:rsid w:val="00A7353C"/>
    <w:rsid w:val="00A74113"/>
    <w:rsid w:val="00A7459D"/>
    <w:rsid w:val="00A74E28"/>
    <w:rsid w:val="00A750A0"/>
    <w:rsid w:val="00A75E4B"/>
    <w:rsid w:val="00A75E5A"/>
    <w:rsid w:val="00A75E9B"/>
    <w:rsid w:val="00A76893"/>
    <w:rsid w:val="00A76A76"/>
    <w:rsid w:val="00A76C78"/>
    <w:rsid w:val="00A772B3"/>
    <w:rsid w:val="00A80F60"/>
    <w:rsid w:val="00A81022"/>
    <w:rsid w:val="00A8114E"/>
    <w:rsid w:val="00A81CB5"/>
    <w:rsid w:val="00A82975"/>
    <w:rsid w:val="00A83109"/>
    <w:rsid w:val="00A83360"/>
    <w:rsid w:val="00A84174"/>
    <w:rsid w:val="00A854E5"/>
    <w:rsid w:val="00A86374"/>
    <w:rsid w:val="00A869AB"/>
    <w:rsid w:val="00A86FC3"/>
    <w:rsid w:val="00A873B1"/>
    <w:rsid w:val="00A87F3F"/>
    <w:rsid w:val="00A9027E"/>
    <w:rsid w:val="00A912D9"/>
    <w:rsid w:val="00A9207B"/>
    <w:rsid w:val="00A923B2"/>
    <w:rsid w:val="00A92717"/>
    <w:rsid w:val="00A9342D"/>
    <w:rsid w:val="00A94783"/>
    <w:rsid w:val="00A94AA4"/>
    <w:rsid w:val="00A951D9"/>
    <w:rsid w:val="00A95642"/>
    <w:rsid w:val="00A956AC"/>
    <w:rsid w:val="00A95F2D"/>
    <w:rsid w:val="00A9624D"/>
    <w:rsid w:val="00A96505"/>
    <w:rsid w:val="00A96A1B"/>
    <w:rsid w:val="00A97321"/>
    <w:rsid w:val="00A97513"/>
    <w:rsid w:val="00A97E44"/>
    <w:rsid w:val="00AA01D1"/>
    <w:rsid w:val="00AA03C4"/>
    <w:rsid w:val="00AA0996"/>
    <w:rsid w:val="00AA09E9"/>
    <w:rsid w:val="00AA123A"/>
    <w:rsid w:val="00AA2001"/>
    <w:rsid w:val="00AA2C25"/>
    <w:rsid w:val="00AA3503"/>
    <w:rsid w:val="00AA3562"/>
    <w:rsid w:val="00AA5097"/>
    <w:rsid w:val="00AA50AA"/>
    <w:rsid w:val="00AA6147"/>
    <w:rsid w:val="00AA62B7"/>
    <w:rsid w:val="00AA661D"/>
    <w:rsid w:val="00AA795A"/>
    <w:rsid w:val="00AB04E8"/>
    <w:rsid w:val="00AB1348"/>
    <w:rsid w:val="00AB1A3F"/>
    <w:rsid w:val="00AB1B3B"/>
    <w:rsid w:val="00AB2325"/>
    <w:rsid w:val="00AB2CDC"/>
    <w:rsid w:val="00AB363F"/>
    <w:rsid w:val="00AB39DD"/>
    <w:rsid w:val="00AB4BF5"/>
    <w:rsid w:val="00AB5782"/>
    <w:rsid w:val="00AB6852"/>
    <w:rsid w:val="00AB7121"/>
    <w:rsid w:val="00AB75AB"/>
    <w:rsid w:val="00AB772A"/>
    <w:rsid w:val="00AB7BC5"/>
    <w:rsid w:val="00AC051F"/>
    <w:rsid w:val="00AC07FE"/>
    <w:rsid w:val="00AC0833"/>
    <w:rsid w:val="00AC164A"/>
    <w:rsid w:val="00AC176B"/>
    <w:rsid w:val="00AC2142"/>
    <w:rsid w:val="00AC354C"/>
    <w:rsid w:val="00AC3D29"/>
    <w:rsid w:val="00AC3F81"/>
    <w:rsid w:val="00AC44F5"/>
    <w:rsid w:val="00AC5492"/>
    <w:rsid w:val="00AC555C"/>
    <w:rsid w:val="00AC57C4"/>
    <w:rsid w:val="00AC6416"/>
    <w:rsid w:val="00AC7D2B"/>
    <w:rsid w:val="00AC7F17"/>
    <w:rsid w:val="00AD02AC"/>
    <w:rsid w:val="00AD066E"/>
    <w:rsid w:val="00AD09EF"/>
    <w:rsid w:val="00AD0B3D"/>
    <w:rsid w:val="00AD0B50"/>
    <w:rsid w:val="00AD1C55"/>
    <w:rsid w:val="00AD3693"/>
    <w:rsid w:val="00AD3C1C"/>
    <w:rsid w:val="00AD4651"/>
    <w:rsid w:val="00AD497B"/>
    <w:rsid w:val="00AD49C2"/>
    <w:rsid w:val="00AD5C1B"/>
    <w:rsid w:val="00AD60FD"/>
    <w:rsid w:val="00AD6386"/>
    <w:rsid w:val="00AD670B"/>
    <w:rsid w:val="00AD6843"/>
    <w:rsid w:val="00AD7A45"/>
    <w:rsid w:val="00AD7F87"/>
    <w:rsid w:val="00AE082D"/>
    <w:rsid w:val="00AE09CF"/>
    <w:rsid w:val="00AE0D62"/>
    <w:rsid w:val="00AE199C"/>
    <w:rsid w:val="00AE1F46"/>
    <w:rsid w:val="00AE25C0"/>
    <w:rsid w:val="00AE2681"/>
    <w:rsid w:val="00AE42BB"/>
    <w:rsid w:val="00AE42DB"/>
    <w:rsid w:val="00AE4329"/>
    <w:rsid w:val="00AE4745"/>
    <w:rsid w:val="00AE4E77"/>
    <w:rsid w:val="00AE6472"/>
    <w:rsid w:val="00AE6567"/>
    <w:rsid w:val="00AE73E4"/>
    <w:rsid w:val="00AE75B4"/>
    <w:rsid w:val="00AF063E"/>
    <w:rsid w:val="00AF0A9C"/>
    <w:rsid w:val="00AF1173"/>
    <w:rsid w:val="00AF133A"/>
    <w:rsid w:val="00AF14DA"/>
    <w:rsid w:val="00AF230A"/>
    <w:rsid w:val="00AF2A00"/>
    <w:rsid w:val="00AF2EF7"/>
    <w:rsid w:val="00AF3737"/>
    <w:rsid w:val="00AF41CB"/>
    <w:rsid w:val="00AF4410"/>
    <w:rsid w:val="00AF4D5B"/>
    <w:rsid w:val="00AF5119"/>
    <w:rsid w:val="00AF5175"/>
    <w:rsid w:val="00AF52FF"/>
    <w:rsid w:val="00AF55DA"/>
    <w:rsid w:val="00AF6A99"/>
    <w:rsid w:val="00AF6B5C"/>
    <w:rsid w:val="00AF7C8C"/>
    <w:rsid w:val="00AF7FF3"/>
    <w:rsid w:val="00B00943"/>
    <w:rsid w:val="00B0150C"/>
    <w:rsid w:val="00B01CC1"/>
    <w:rsid w:val="00B025DD"/>
    <w:rsid w:val="00B02B72"/>
    <w:rsid w:val="00B0461C"/>
    <w:rsid w:val="00B051D7"/>
    <w:rsid w:val="00B05E77"/>
    <w:rsid w:val="00B06613"/>
    <w:rsid w:val="00B066DF"/>
    <w:rsid w:val="00B06973"/>
    <w:rsid w:val="00B06D98"/>
    <w:rsid w:val="00B06E60"/>
    <w:rsid w:val="00B073CF"/>
    <w:rsid w:val="00B07703"/>
    <w:rsid w:val="00B07ADC"/>
    <w:rsid w:val="00B1034A"/>
    <w:rsid w:val="00B10E32"/>
    <w:rsid w:val="00B116D4"/>
    <w:rsid w:val="00B1182E"/>
    <w:rsid w:val="00B11A40"/>
    <w:rsid w:val="00B11DA6"/>
    <w:rsid w:val="00B11F2A"/>
    <w:rsid w:val="00B12467"/>
    <w:rsid w:val="00B126ED"/>
    <w:rsid w:val="00B16D8B"/>
    <w:rsid w:val="00B176C5"/>
    <w:rsid w:val="00B17ACB"/>
    <w:rsid w:val="00B20434"/>
    <w:rsid w:val="00B205A0"/>
    <w:rsid w:val="00B20CD0"/>
    <w:rsid w:val="00B20E07"/>
    <w:rsid w:val="00B20E36"/>
    <w:rsid w:val="00B21011"/>
    <w:rsid w:val="00B2114E"/>
    <w:rsid w:val="00B21294"/>
    <w:rsid w:val="00B2168B"/>
    <w:rsid w:val="00B220D9"/>
    <w:rsid w:val="00B22120"/>
    <w:rsid w:val="00B221ED"/>
    <w:rsid w:val="00B22337"/>
    <w:rsid w:val="00B231AE"/>
    <w:rsid w:val="00B2400D"/>
    <w:rsid w:val="00B2549D"/>
    <w:rsid w:val="00B25B4D"/>
    <w:rsid w:val="00B25EBE"/>
    <w:rsid w:val="00B26594"/>
    <w:rsid w:val="00B26856"/>
    <w:rsid w:val="00B277E7"/>
    <w:rsid w:val="00B2790C"/>
    <w:rsid w:val="00B27B06"/>
    <w:rsid w:val="00B302FE"/>
    <w:rsid w:val="00B30A3D"/>
    <w:rsid w:val="00B320AA"/>
    <w:rsid w:val="00B335C1"/>
    <w:rsid w:val="00B345F0"/>
    <w:rsid w:val="00B3599E"/>
    <w:rsid w:val="00B35AA6"/>
    <w:rsid w:val="00B35EAB"/>
    <w:rsid w:val="00B36215"/>
    <w:rsid w:val="00B36C16"/>
    <w:rsid w:val="00B37A5E"/>
    <w:rsid w:val="00B40068"/>
    <w:rsid w:val="00B40365"/>
    <w:rsid w:val="00B4049D"/>
    <w:rsid w:val="00B418B2"/>
    <w:rsid w:val="00B41C71"/>
    <w:rsid w:val="00B42765"/>
    <w:rsid w:val="00B43AC0"/>
    <w:rsid w:val="00B44994"/>
    <w:rsid w:val="00B46208"/>
    <w:rsid w:val="00B462A6"/>
    <w:rsid w:val="00B469A9"/>
    <w:rsid w:val="00B5057A"/>
    <w:rsid w:val="00B515F5"/>
    <w:rsid w:val="00B5164F"/>
    <w:rsid w:val="00B51BC5"/>
    <w:rsid w:val="00B51C2A"/>
    <w:rsid w:val="00B52305"/>
    <w:rsid w:val="00B52F13"/>
    <w:rsid w:val="00B54003"/>
    <w:rsid w:val="00B54ED2"/>
    <w:rsid w:val="00B560A1"/>
    <w:rsid w:val="00B563E0"/>
    <w:rsid w:val="00B57DD1"/>
    <w:rsid w:val="00B608E1"/>
    <w:rsid w:val="00B60DF5"/>
    <w:rsid w:val="00B611F9"/>
    <w:rsid w:val="00B617BC"/>
    <w:rsid w:val="00B61C02"/>
    <w:rsid w:val="00B61CEF"/>
    <w:rsid w:val="00B61E09"/>
    <w:rsid w:val="00B628FD"/>
    <w:rsid w:val="00B6473A"/>
    <w:rsid w:val="00B65011"/>
    <w:rsid w:val="00B65679"/>
    <w:rsid w:val="00B65975"/>
    <w:rsid w:val="00B6641E"/>
    <w:rsid w:val="00B66679"/>
    <w:rsid w:val="00B678AE"/>
    <w:rsid w:val="00B709BE"/>
    <w:rsid w:val="00B70BC9"/>
    <w:rsid w:val="00B714BA"/>
    <w:rsid w:val="00B71E49"/>
    <w:rsid w:val="00B72003"/>
    <w:rsid w:val="00B72297"/>
    <w:rsid w:val="00B722F3"/>
    <w:rsid w:val="00B72E08"/>
    <w:rsid w:val="00B738A2"/>
    <w:rsid w:val="00B74993"/>
    <w:rsid w:val="00B7595B"/>
    <w:rsid w:val="00B7756C"/>
    <w:rsid w:val="00B775EF"/>
    <w:rsid w:val="00B776E2"/>
    <w:rsid w:val="00B8075C"/>
    <w:rsid w:val="00B8103A"/>
    <w:rsid w:val="00B81131"/>
    <w:rsid w:val="00B813F9"/>
    <w:rsid w:val="00B82B91"/>
    <w:rsid w:val="00B83126"/>
    <w:rsid w:val="00B83199"/>
    <w:rsid w:val="00B838C2"/>
    <w:rsid w:val="00B83B98"/>
    <w:rsid w:val="00B8410A"/>
    <w:rsid w:val="00B84963"/>
    <w:rsid w:val="00B85519"/>
    <w:rsid w:val="00B8751E"/>
    <w:rsid w:val="00B87BBB"/>
    <w:rsid w:val="00B87E70"/>
    <w:rsid w:val="00B87E8D"/>
    <w:rsid w:val="00B90C2F"/>
    <w:rsid w:val="00B91933"/>
    <w:rsid w:val="00B92115"/>
    <w:rsid w:val="00B92687"/>
    <w:rsid w:val="00B935F8"/>
    <w:rsid w:val="00B937D0"/>
    <w:rsid w:val="00B93823"/>
    <w:rsid w:val="00B93F22"/>
    <w:rsid w:val="00B95079"/>
    <w:rsid w:val="00B953D0"/>
    <w:rsid w:val="00B95772"/>
    <w:rsid w:val="00B959EB"/>
    <w:rsid w:val="00B95F8A"/>
    <w:rsid w:val="00B966D1"/>
    <w:rsid w:val="00B9712B"/>
    <w:rsid w:val="00B97610"/>
    <w:rsid w:val="00B97F09"/>
    <w:rsid w:val="00BA0215"/>
    <w:rsid w:val="00BA067A"/>
    <w:rsid w:val="00BA09E6"/>
    <w:rsid w:val="00BA0A39"/>
    <w:rsid w:val="00BA0C7F"/>
    <w:rsid w:val="00BA1BB4"/>
    <w:rsid w:val="00BA3BCB"/>
    <w:rsid w:val="00BA3E59"/>
    <w:rsid w:val="00BA5524"/>
    <w:rsid w:val="00BA66C8"/>
    <w:rsid w:val="00BA6931"/>
    <w:rsid w:val="00BA6C23"/>
    <w:rsid w:val="00BA6F9D"/>
    <w:rsid w:val="00BA6FC7"/>
    <w:rsid w:val="00BA7DCE"/>
    <w:rsid w:val="00BB0649"/>
    <w:rsid w:val="00BB0726"/>
    <w:rsid w:val="00BB0C81"/>
    <w:rsid w:val="00BB10AF"/>
    <w:rsid w:val="00BB1475"/>
    <w:rsid w:val="00BB1640"/>
    <w:rsid w:val="00BB1B4A"/>
    <w:rsid w:val="00BB2181"/>
    <w:rsid w:val="00BB2E5B"/>
    <w:rsid w:val="00BB361F"/>
    <w:rsid w:val="00BB3F2E"/>
    <w:rsid w:val="00BB4E7B"/>
    <w:rsid w:val="00BB50D6"/>
    <w:rsid w:val="00BB5154"/>
    <w:rsid w:val="00BB539C"/>
    <w:rsid w:val="00BB62E6"/>
    <w:rsid w:val="00BC0475"/>
    <w:rsid w:val="00BC1BDD"/>
    <w:rsid w:val="00BC1FA5"/>
    <w:rsid w:val="00BC22B4"/>
    <w:rsid w:val="00BC324B"/>
    <w:rsid w:val="00BC4E28"/>
    <w:rsid w:val="00BC5187"/>
    <w:rsid w:val="00BC56EF"/>
    <w:rsid w:val="00BC5FE2"/>
    <w:rsid w:val="00BC6537"/>
    <w:rsid w:val="00BC6737"/>
    <w:rsid w:val="00BC746C"/>
    <w:rsid w:val="00BC7A7B"/>
    <w:rsid w:val="00BC7CB3"/>
    <w:rsid w:val="00BD01E8"/>
    <w:rsid w:val="00BD02E5"/>
    <w:rsid w:val="00BD0AA5"/>
    <w:rsid w:val="00BD0BA8"/>
    <w:rsid w:val="00BD182E"/>
    <w:rsid w:val="00BD1B5E"/>
    <w:rsid w:val="00BD2974"/>
    <w:rsid w:val="00BD2BAE"/>
    <w:rsid w:val="00BD3395"/>
    <w:rsid w:val="00BD3468"/>
    <w:rsid w:val="00BD3CA8"/>
    <w:rsid w:val="00BD4336"/>
    <w:rsid w:val="00BD4779"/>
    <w:rsid w:val="00BD4CEA"/>
    <w:rsid w:val="00BD59B5"/>
    <w:rsid w:val="00BD5C2F"/>
    <w:rsid w:val="00BD783E"/>
    <w:rsid w:val="00BD7B0B"/>
    <w:rsid w:val="00BE072F"/>
    <w:rsid w:val="00BE1253"/>
    <w:rsid w:val="00BE1923"/>
    <w:rsid w:val="00BE225C"/>
    <w:rsid w:val="00BE2405"/>
    <w:rsid w:val="00BE3282"/>
    <w:rsid w:val="00BE3535"/>
    <w:rsid w:val="00BE38B4"/>
    <w:rsid w:val="00BE5066"/>
    <w:rsid w:val="00BE52F4"/>
    <w:rsid w:val="00BE55FB"/>
    <w:rsid w:val="00BE63EF"/>
    <w:rsid w:val="00BE6B92"/>
    <w:rsid w:val="00BE6F7A"/>
    <w:rsid w:val="00BE711C"/>
    <w:rsid w:val="00BE7389"/>
    <w:rsid w:val="00BE7DD9"/>
    <w:rsid w:val="00BF0846"/>
    <w:rsid w:val="00BF0A88"/>
    <w:rsid w:val="00BF0CE9"/>
    <w:rsid w:val="00BF20B0"/>
    <w:rsid w:val="00BF2612"/>
    <w:rsid w:val="00BF2FF6"/>
    <w:rsid w:val="00BF3CA9"/>
    <w:rsid w:val="00BF4CDD"/>
    <w:rsid w:val="00BF4D42"/>
    <w:rsid w:val="00BF4D86"/>
    <w:rsid w:val="00BF582D"/>
    <w:rsid w:val="00BF589A"/>
    <w:rsid w:val="00BF6392"/>
    <w:rsid w:val="00BF700C"/>
    <w:rsid w:val="00BF7335"/>
    <w:rsid w:val="00BF7C71"/>
    <w:rsid w:val="00C007E6"/>
    <w:rsid w:val="00C00E1F"/>
    <w:rsid w:val="00C00E80"/>
    <w:rsid w:val="00C01149"/>
    <w:rsid w:val="00C01257"/>
    <w:rsid w:val="00C01E4A"/>
    <w:rsid w:val="00C01E63"/>
    <w:rsid w:val="00C029B1"/>
    <w:rsid w:val="00C02E86"/>
    <w:rsid w:val="00C046F0"/>
    <w:rsid w:val="00C04D21"/>
    <w:rsid w:val="00C04F55"/>
    <w:rsid w:val="00C05629"/>
    <w:rsid w:val="00C0574A"/>
    <w:rsid w:val="00C05AF3"/>
    <w:rsid w:val="00C07550"/>
    <w:rsid w:val="00C107B5"/>
    <w:rsid w:val="00C118DA"/>
    <w:rsid w:val="00C12960"/>
    <w:rsid w:val="00C12F9D"/>
    <w:rsid w:val="00C138C0"/>
    <w:rsid w:val="00C142BD"/>
    <w:rsid w:val="00C1478C"/>
    <w:rsid w:val="00C14B24"/>
    <w:rsid w:val="00C14C83"/>
    <w:rsid w:val="00C14E52"/>
    <w:rsid w:val="00C15258"/>
    <w:rsid w:val="00C16284"/>
    <w:rsid w:val="00C16E0B"/>
    <w:rsid w:val="00C1701D"/>
    <w:rsid w:val="00C178D4"/>
    <w:rsid w:val="00C20425"/>
    <w:rsid w:val="00C20EA4"/>
    <w:rsid w:val="00C214CD"/>
    <w:rsid w:val="00C233BA"/>
    <w:rsid w:val="00C23B06"/>
    <w:rsid w:val="00C23E41"/>
    <w:rsid w:val="00C24C7D"/>
    <w:rsid w:val="00C24F17"/>
    <w:rsid w:val="00C26667"/>
    <w:rsid w:val="00C27023"/>
    <w:rsid w:val="00C2732B"/>
    <w:rsid w:val="00C278DC"/>
    <w:rsid w:val="00C27FF6"/>
    <w:rsid w:val="00C30350"/>
    <w:rsid w:val="00C30374"/>
    <w:rsid w:val="00C306D4"/>
    <w:rsid w:val="00C310FF"/>
    <w:rsid w:val="00C31239"/>
    <w:rsid w:val="00C31882"/>
    <w:rsid w:val="00C31AA8"/>
    <w:rsid w:val="00C31C47"/>
    <w:rsid w:val="00C31D5D"/>
    <w:rsid w:val="00C31E64"/>
    <w:rsid w:val="00C322E5"/>
    <w:rsid w:val="00C3259B"/>
    <w:rsid w:val="00C32636"/>
    <w:rsid w:val="00C328BD"/>
    <w:rsid w:val="00C3316F"/>
    <w:rsid w:val="00C33250"/>
    <w:rsid w:val="00C33C78"/>
    <w:rsid w:val="00C3442B"/>
    <w:rsid w:val="00C3467A"/>
    <w:rsid w:val="00C34DB9"/>
    <w:rsid w:val="00C35A27"/>
    <w:rsid w:val="00C367DA"/>
    <w:rsid w:val="00C36AE1"/>
    <w:rsid w:val="00C40486"/>
    <w:rsid w:val="00C406C8"/>
    <w:rsid w:val="00C40E2D"/>
    <w:rsid w:val="00C41198"/>
    <w:rsid w:val="00C4134F"/>
    <w:rsid w:val="00C41755"/>
    <w:rsid w:val="00C41CCB"/>
    <w:rsid w:val="00C438EA"/>
    <w:rsid w:val="00C43D00"/>
    <w:rsid w:val="00C44641"/>
    <w:rsid w:val="00C453DC"/>
    <w:rsid w:val="00C465B1"/>
    <w:rsid w:val="00C4674B"/>
    <w:rsid w:val="00C47062"/>
    <w:rsid w:val="00C50379"/>
    <w:rsid w:val="00C50D4C"/>
    <w:rsid w:val="00C51020"/>
    <w:rsid w:val="00C518D4"/>
    <w:rsid w:val="00C51BFD"/>
    <w:rsid w:val="00C52279"/>
    <w:rsid w:val="00C5236F"/>
    <w:rsid w:val="00C53224"/>
    <w:rsid w:val="00C53994"/>
    <w:rsid w:val="00C53A0A"/>
    <w:rsid w:val="00C543BE"/>
    <w:rsid w:val="00C54411"/>
    <w:rsid w:val="00C551AB"/>
    <w:rsid w:val="00C551DF"/>
    <w:rsid w:val="00C5575F"/>
    <w:rsid w:val="00C55A9E"/>
    <w:rsid w:val="00C55B07"/>
    <w:rsid w:val="00C5602A"/>
    <w:rsid w:val="00C571F2"/>
    <w:rsid w:val="00C601E3"/>
    <w:rsid w:val="00C61391"/>
    <w:rsid w:val="00C613B2"/>
    <w:rsid w:val="00C61614"/>
    <w:rsid w:val="00C61E31"/>
    <w:rsid w:val="00C6243E"/>
    <w:rsid w:val="00C628D7"/>
    <w:rsid w:val="00C63116"/>
    <w:rsid w:val="00C63DB6"/>
    <w:rsid w:val="00C6434B"/>
    <w:rsid w:val="00C65F8A"/>
    <w:rsid w:val="00C66830"/>
    <w:rsid w:val="00C67275"/>
    <w:rsid w:val="00C67BE5"/>
    <w:rsid w:val="00C70320"/>
    <w:rsid w:val="00C7063D"/>
    <w:rsid w:val="00C7088E"/>
    <w:rsid w:val="00C71023"/>
    <w:rsid w:val="00C71811"/>
    <w:rsid w:val="00C718E4"/>
    <w:rsid w:val="00C71948"/>
    <w:rsid w:val="00C730F0"/>
    <w:rsid w:val="00C7338B"/>
    <w:rsid w:val="00C7366D"/>
    <w:rsid w:val="00C736AE"/>
    <w:rsid w:val="00C736B7"/>
    <w:rsid w:val="00C74394"/>
    <w:rsid w:val="00C75DEA"/>
    <w:rsid w:val="00C7681E"/>
    <w:rsid w:val="00C76FCC"/>
    <w:rsid w:val="00C77F3E"/>
    <w:rsid w:val="00C817BB"/>
    <w:rsid w:val="00C826EB"/>
    <w:rsid w:val="00C838B5"/>
    <w:rsid w:val="00C83D34"/>
    <w:rsid w:val="00C84651"/>
    <w:rsid w:val="00C846B0"/>
    <w:rsid w:val="00C847AA"/>
    <w:rsid w:val="00C84807"/>
    <w:rsid w:val="00C84845"/>
    <w:rsid w:val="00C852FE"/>
    <w:rsid w:val="00C85DF8"/>
    <w:rsid w:val="00C86F0E"/>
    <w:rsid w:val="00C8714A"/>
    <w:rsid w:val="00C87208"/>
    <w:rsid w:val="00C877B3"/>
    <w:rsid w:val="00C87D82"/>
    <w:rsid w:val="00C90010"/>
    <w:rsid w:val="00C90A7A"/>
    <w:rsid w:val="00C90AC9"/>
    <w:rsid w:val="00C91110"/>
    <w:rsid w:val="00C9129C"/>
    <w:rsid w:val="00C914D2"/>
    <w:rsid w:val="00C91C70"/>
    <w:rsid w:val="00C91EB6"/>
    <w:rsid w:val="00C93827"/>
    <w:rsid w:val="00C94A37"/>
    <w:rsid w:val="00C950BA"/>
    <w:rsid w:val="00C956EA"/>
    <w:rsid w:val="00C95D28"/>
    <w:rsid w:val="00C96CC3"/>
    <w:rsid w:val="00C96F6F"/>
    <w:rsid w:val="00C973BD"/>
    <w:rsid w:val="00C9785F"/>
    <w:rsid w:val="00CA00C7"/>
    <w:rsid w:val="00CA036B"/>
    <w:rsid w:val="00CA0428"/>
    <w:rsid w:val="00CA0BF3"/>
    <w:rsid w:val="00CA0D56"/>
    <w:rsid w:val="00CA22C4"/>
    <w:rsid w:val="00CA2312"/>
    <w:rsid w:val="00CA2571"/>
    <w:rsid w:val="00CA2E01"/>
    <w:rsid w:val="00CA3520"/>
    <w:rsid w:val="00CA3588"/>
    <w:rsid w:val="00CA3622"/>
    <w:rsid w:val="00CA3A37"/>
    <w:rsid w:val="00CA3A70"/>
    <w:rsid w:val="00CA3B20"/>
    <w:rsid w:val="00CA3F65"/>
    <w:rsid w:val="00CA42F8"/>
    <w:rsid w:val="00CA4C6E"/>
    <w:rsid w:val="00CA544F"/>
    <w:rsid w:val="00CA55B7"/>
    <w:rsid w:val="00CA6906"/>
    <w:rsid w:val="00CA7116"/>
    <w:rsid w:val="00CA7410"/>
    <w:rsid w:val="00CB1586"/>
    <w:rsid w:val="00CB1724"/>
    <w:rsid w:val="00CB1EA4"/>
    <w:rsid w:val="00CB26EC"/>
    <w:rsid w:val="00CB28F8"/>
    <w:rsid w:val="00CB2DB2"/>
    <w:rsid w:val="00CB32D3"/>
    <w:rsid w:val="00CB3606"/>
    <w:rsid w:val="00CB4432"/>
    <w:rsid w:val="00CB44CB"/>
    <w:rsid w:val="00CB450E"/>
    <w:rsid w:val="00CB5081"/>
    <w:rsid w:val="00CB525E"/>
    <w:rsid w:val="00CB569F"/>
    <w:rsid w:val="00CB61B1"/>
    <w:rsid w:val="00CB75EE"/>
    <w:rsid w:val="00CC1C32"/>
    <w:rsid w:val="00CC21C5"/>
    <w:rsid w:val="00CC228E"/>
    <w:rsid w:val="00CC23CF"/>
    <w:rsid w:val="00CC3305"/>
    <w:rsid w:val="00CC3B23"/>
    <w:rsid w:val="00CC3BA2"/>
    <w:rsid w:val="00CC530C"/>
    <w:rsid w:val="00CC55FE"/>
    <w:rsid w:val="00CC6A0E"/>
    <w:rsid w:val="00CC70CA"/>
    <w:rsid w:val="00CC7862"/>
    <w:rsid w:val="00CC7A33"/>
    <w:rsid w:val="00CD04D5"/>
    <w:rsid w:val="00CD086A"/>
    <w:rsid w:val="00CD17F9"/>
    <w:rsid w:val="00CD1860"/>
    <w:rsid w:val="00CD1B6D"/>
    <w:rsid w:val="00CD1E49"/>
    <w:rsid w:val="00CD2DD2"/>
    <w:rsid w:val="00CD33D8"/>
    <w:rsid w:val="00CD3596"/>
    <w:rsid w:val="00CD3A13"/>
    <w:rsid w:val="00CD4689"/>
    <w:rsid w:val="00CD479A"/>
    <w:rsid w:val="00CD519C"/>
    <w:rsid w:val="00CD539F"/>
    <w:rsid w:val="00CD53C9"/>
    <w:rsid w:val="00CD5438"/>
    <w:rsid w:val="00CD616C"/>
    <w:rsid w:val="00CD6D4B"/>
    <w:rsid w:val="00CD6FDF"/>
    <w:rsid w:val="00CD7B08"/>
    <w:rsid w:val="00CE0ACB"/>
    <w:rsid w:val="00CE0FA1"/>
    <w:rsid w:val="00CE11A9"/>
    <w:rsid w:val="00CE1645"/>
    <w:rsid w:val="00CE257F"/>
    <w:rsid w:val="00CE25CA"/>
    <w:rsid w:val="00CE311F"/>
    <w:rsid w:val="00CE34B1"/>
    <w:rsid w:val="00CE3A87"/>
    <w:rsid w:val="00CE43F9"/>
    <w:rsid w:val="00CE4B40"/>
    <w:rsid w:val="00CE514A"/>
    <w:rsid w:val="00CE5E24"/>
    <w:rsid w:val="00CE5F5C"/>
    <w:rsid w:val="00CE684B"/>
    <w:rsid w:val="00CE6B83"/>
    <w:rsid w:val="00CE7E4A"/>
    <w:rsid w:val="00CF0721"/>
    <w:rsid w:val="00CF0F1B"/>
    <w:rsid w:val="00CF1721"/>
    <w:rsid w:val="00CF1A9B"/>
    <w:rsid w:val="00CF1F65"/>
    <w:rsid w:val="00CF2493"/>
    <w:rsid w:val="00CF31F3"/>
    <w:rsid w:val="00CF349D"/>
    <w:rsid w:val="00CF36FD"/>
    <w:rsid w:val="00CF3A13"/>
    <w:rsid w:val="00CF426C"/>
    <w:rsid w:val="00CF5352"/>
    <w:rsid w:val="00CF5DF4"/>
    <w:rsid w:val="00CF5EB5"/>
    <w:rsid w:val="00CF60BD"/>
    <w:rsid w:val="00CF6256"/>
    <w:rsid w:val="00CF67DD"/>
    <w:rsid w:val="00CF6AEE"/>
    <w:rsid w:val="00D00B2C"/>
    <w:rsid w:val="00D015DC"/>
    <w:rsid w:val="00D026DB"/>
    <w:rsid w:val="00D02E03"/>
    <w:rsid w:val="00D04361"/>
    <w:rsid w:val="00D04B76"/>
    <w:rsid w:val="00D04D9D"/>
    <w:rsid w:val="00D05683"/>
    <w:rsid w:val="00D05795"/>
    <w:rsid w:val="00D06BBC"/>
    <w:rsid w:val="00D06CBC"/>
    <w:rsid w:val="00D0763D"/>
    <w:rsid w:val="00D07CD9"/>
    <w:rsid w:val="00D07D6F"/>
    <w:rsid w:val="00D1041A"/>
    <w:rsid w:val="00D11D3D"/>
    <w:rsid w:val="00D14B61"/>
    <w:rsid w:val="00D14D8F"/>
    <w:rsid w:val="00D160AC"/>
    <w:rsid w:val="00D167F3"/>
    <w:rsid w:val="00D169F6"/>
    <w:rsid w:val="00D17217"/>
    <w:rsid w:val="00D17B44"/>
    <w:rsid w:val="00D17EDA"/>
    <w:rsid w:val="00D2160A"/>
    <w:rsid w:val="00D217C7"/>
    <w:rsid w:val="00D222AF"/>
    <w:rsid w:val="00D22726"/>
    <w:rsid w:val="00D22E64"/>
    <w:rsid w:val="00D2310F"/>
    <w:rsid w:val="00D2457F"/>
    <w:rsid w:val="00D2569F"/>
    <w:rsid w:val="00D2649A"/>
    <w:rsid w:val="00D26580"/>
    <w:rsid w:val="00D302FF"/>
    <w:rsid w:val="00D30742"/>
    <w:rsid w:val="00D30B9D"/>
    <w:rsid w:val="00D30FF4"/>
    <w:rsid w:val="00D31181"/>
    <w:rsid w:val="00D3165A"/>
    <w:rsid w:val="00D318B8"/>
    <w:rsid w:val="00D31BC9"/>
    <w:rsid w:val="00D325B6"/>
    <w:rsid w:val="00D32846"/>
    <w:rsid w:val="00D3369B"/>
    <w:rsid w:val="00D33E90"/>
    <w:rsid w:val="00D3440D"/>
    <w:rsid w:val="00D344DA"/>
    <w:rsid w:val="00D3462C"/>
    <w:rsid w:val="00D349A0"/>
    <w:rsid w:val="00D35447"/>
    <w:rsid w:val="00D36106"/>
    <w:rsid w:val="00D36639"/>
    <w:rsid w:val="00D36998"/>
    <w:rsid w:val="00D37023"/>
    <w:rsid w:val="00D3726B"/>
    <w:rsid w:val="00D3785E"/>
    <w:rsid w:val="00D37B68"/>
    <w:rsid w:val="00D41673"/>
    <w:rsid w:val="00D423D6"/>
    <w:rsid w:val="00D42B36"/>
    <w:rsid w:val="00D43454"/>
    <w:rsid w:val="00D43769"/>
    <w:rsid w:val="00D43F91"/>
    <w:rsid w:val="00D44510"/>
    <w:rsid w:val="00D447AD"/>
    <w:rsid w:val="00D449AC"/>
    <w:rsid w:val="00D45086"/>
    <w:rsid w:val="00D458D3"/>
    <w:rsid w:val="00D45C42"/>
    <w:rsid w:val="00D46922"/>
    <w:rsid w:val="00D46D6E"/>
    <w:rsid w:val="00D471B5"/>
    <w:rsid w:val="00D51648"/>
    <w:rsid w:val="00D518B6"/>
    <w:rsid w:val="00D51DB9"/>
    <w:rsid w:val="00D51ECD"/>
    <w:rsid w:val="00D525E4"/>
    <w:rsid w:val="00D54139"/>
    <w:rsid w:val="00D5481D"/>
    <w:rsid w:val="00D54F85"/>
    <w:rsid w:val="00D556D1"/>
    <w:rsid w:val="00D5673D"/>
    <w:rsid w:val="00D57708"/>
    <w:rsid w:val="00D5787F"/>
    <w:rsid w:val="00D57889"/>
    <w:rsid w:val="00D60870"/>
    <w:rsid w:val="00D60B24"/>
    <w:rsid w:val="00D613F1"/>
    <w:rsid w:val="00D61794"/>
    <w:rsid w:val="00D61A6D"/>
    <w:rsid w:val="00D6298E"/>
    <w:rsid w:val="00D62A5E"/>
    <w:rsid w:val="00D62C54"/>
    <w:rsid w:val="00D62CB0"/>
    <w:rsid w:val="00D6383D"/>
    <w:rsid w:val="00D6479D"/>
    <w:rsid w:val="00D65294"/>
    <w:rsid w:val="00D65D45"/>
    <w:rsid w:val="00D65DDA"/>
    <w:rsid w:val="00D6642C"/>
    <w:rsid w:val="00D66E3F"/>
    <w:rsid w:val="00D67C26"/>
    <w:rsid w:val="00D7137F"/>
    <w:rsid w:val="00D71743"/>
    <w:rsid w:val="00D71C63"/>
    <w:rsid w:val="00D7269F"/>
    <w:rsid w:val="00D72948"/>
    <w:rsid w:val="00D72F3E"/>
    <w:rsid w:val="00D73838"/>
    <w:rsid w:val="00D73857"/>
    <w:rsid w:val="00D74153"/>
    <w:rsid w:val="00D75637"/>
    <w:rsid w:val="00D75EBC"/>
    <w:rsid w:val="00D76A18"/>
    <w:rsid w:val="00D77BAB"/>
    <w:rsid w:val="00D77FDD"/>
    <w:rsid w:val="00D81042"/>
    <w:rsid w:val="00D81560"/>
    <w:rsid w:val="00D817A4"/>
    <w:rsid w:val="00D8201A"/>
    <w:rsid w:val="00D82998"/>
    <w:rsid w:val="00D82B93"/>
    <w:rsid w:val="00D82BAC"/>
    <w:rsid w:val="00D840EF"/>
    <w:rsid w:val="00D85417"/>
    <w:rsid w:val="00D8559F"/>
    <w:rsid w:val="00D86636"/>
    <w:rsid w:val="00D86D13"/>
    <w:rsid w:val="00D8741B"/>
    <w:rsid w:val="00D90C31"/>
    <w:rsid w:val="00D90C4F"/>
    <w:rsid w:val="00D92745"/>
    <w:rsid w:val="00D92CD3"/>
    <w:rsid w:val="00D936E7"/>
    <w:rsid w:val="00D93CBD"/>
    <w:rsid w:val="00D950AC"/>
    <w:rsid w:val="00D953BC"/>
    <w:rsid w:val="00D95438"/>
    <w:rsid w:val="00D9570A"/>
    <w:rsid w:val="00D9571B"/>
    <w:rsid w:val="00D960B2"/>
    <w:rsid w:val="00D96132"/>
    <w:rsid w:val="00D967AB"/>
    <w:rsid w:val="00D96AB5"/>
    <w:rsid w:val="00D96C5F"/>
    <w:rsid w:val="00D97B67"/>
    <w:rsid w:val="00D97C74"/>
    <w:rsid w:val="00D97EA9"/>
    <w:rsid w:val="00DA0D5A"/>
    <w:rsid w:val="00DA0E1D"/>
    <w:rsid w:val="00DA12A0"/>
    <w:rsid w:val="00DA14DC"/>
    <w:rsid w:val="00DA1626"/>
    <w:rsid w:val="00DA175D"/>
    <w:rsid w:val="00DA1AA2"/>
    <w:rsid w:val="00DA1C5F"/>
    <w:rsid w:val="00DA3509"/>
    <w:rsid w:val="00DA3633"/>
    <w:rsid w:val="00DA3E28"/>
    <w:rsid w:val="00DA4008"/>
    <w:rsid w:val="00DA43B3"/>
    <w:rsid w:val="00DA4DF2"/>
    <w:rsid w:val="00DA5152"/>
    <w:rsid w:val="00DA58A7"/>
    <w:rsid w:val="00DA6E6D"/>
    <w:rsid w:val="00DA7C0F"/>
    <w:rsid w:val="00DB0167"/>
    <w:rsid w:val="00DB0A62"/>
    <w:rsid w:val="00DB1DEB"/>
    <w:rsid w:val="00DB229F"/>
    <w:rsid w:val="00DB2A34"/>
    <w:rsid w:val="00DB2EFB"/>
    <w:rsid w:val="00DB2F2A"/>
    <w:rsid w:val="00DB323A"/>
    <w:rsid w:val="00DB4045"/>
    <w:rsid w:val="00DB4194"/>
    <w:rsid w:val="00DB503D"/>
    <w:rsid w:val="00DB51DF"/>
    <w:rsid w:val="00DB5244"/>
    <w:rsid w:val="00DB55AA"/>
    <w:rsid w:val="00DB56FC"/>
    <w:rsid w:val="00DB5975"/>
    <w:rsid w:val="00DB5AC9"/>
    <w:rsid w:val="00DB61C4"/>
    <w:rsid w:val="00DB63A4"/>
    <w:rsid w:val="00DB7C42"/>
    <w:rsid w:val="00DC0B3E"/>
    <w:rsid w:val="00DC25B6"/>
    <w:rsid w:val="00DC289B"/>
    <w:rsid w:val="00DC34AE"/>
    <w:rsid w:val="00DC375F"/>
    <w:rsid w:val="00DC42D7"/>
    <w:rsid w:val="00DC48D5"/>
    <w:rsid w:val="00DC4DA0"/>
    <w:rsid w:val="00DC537E"/>
    <w:rsid w:val="00DC6012"/>
    <w:rsid w:val="00DC6B71"/>
    <w:rsid w:val="00DC6FB6"/>
    <w:rsid w:val="00DC70C6"/>
    <w:rsid w:val="00DC7C07"/>
    <w:rsid w:val="00DC7C10"/>
    <w:rsid w:val="00DD0462"/>
    <w:rsid w:val="00DD0594"/>
    <w:rsid w:val="00DD1DC9"/>
    <w:rsid w:val="00DD20A3"/>
    <w:rsid w:val="00DD22D1"/>
    <w:rsid w:val="00DD29B2"/>
    <w:rsid w:val="00DD2DEA"/>
    <w:rsid w:val="00DD2E3A"/>
    <w:rsid w:val="00DD2E55"/>
    <w:rsid w:val="00DD37CC"/>
    <w:rsid w:val="00DD4B9A"/>
    <w:rsid w:val="00DD55A2"/>
    <w:rsid w:val="00DD581D"/>
    <w:rsid w:val="00DD6A8B"/>
    <w:rsid w:val="00DD72C8"/>
    <w:rsid w:val="00DD73DE"/>
    <w:rsid w:val="00DD7AA8"/>
    <w:rsid w:val="00DE05C0"/>
    <w:rsid w:val="00DE0A04"/>
    <w:rsid w:val="00DE0DEC"/>
    <w:rsid w:val="00DE0E72"/>
    <w:rsid w:val="00DE1000"/>
    <w:rsid w:val="00DE129A"/>
    <w:rsid w:val="00DE132F"/>
    <w:rsid w:val="00DE13BF"/>
    <w:rsid w:val="00DE1597"/>
    <w:rsid w:val="00DE195C"/>
    <w:rsid w:val="00DE201E"/>
    <w:rsid w:val="00DE3B2B"/>
    <w:rsid w:val="00DE3EBC"/>
    <w:rsid w:val="00DE64DB"/>
    <w:rsid w:val="00DE6FD7"/>
    <w:rsid w:val="00DE712D"/>
    <w:rsid w:val="00DE73C6"/>
    <w:rsid w:val="00DE74BF"/>
    <w:rsid w:val="00DE78C5"/>
    <w:rsid w:val="00DE7C16"/>
    <w:rsid w:val="00DF0941"/>
    <w:rsid w:val="00DF0981"/>
    <w:rsid w:val="00DF11B6"/>
    <w:rsid w:val="00DF134F"/>
    <w:rsid w:val="00DF3894"/>
    <w:rsid w:val="00DF3957"/>
    <w:rsid w:val="00DF4EE6"/>
    <w:rsid w:val="00DF5BD4"/>
    <w:rsid w:val="00DF6332"/>
    <w:rsid w:val="00DF6720"/>
    <w:rsid w:val="00DF6A0A"/>
    <w:rsid w:val="00DF7744"/>
    <w:rsid w:val="00DF7789"/>
    <w:rsid w:val="00DF7DDE"/>
    <w:rsid w:val="00E0175A"/>
    <w:rsid w:val="00E01805"/>
    <w:rsid w:val="00E02517"/>
    <w:rsid w:val="00E02626"/>
    <w:rsid w:val="00E0378C"/>
    <w:rsid w:val="00E03E01"/>
    <w:rsid w:val="00E03E30"/>
    <w:rsid w:val="00E04AAB"/>
    <w:rsid w:val="00E067D5"/>
    <w:rsid w:val="00E06DB9"/>
    <w:rsid w:val="00E07967"/>
    <w:rsid w:val="00E07C3F"/>
    <w:rsid w:val="00E07D0A"/>
    <w:rsid w:val="00E07ECB"/>
    <w:rsid w:val="00E07EE4"/>
    <w:rsid w:val="00E101EE"/>
    <w:rsid w:val="00E10594"/>
    <w:rsid w:val="00E1174D"/>
    <w:rsid w:val="00E11EB8"/>
    <w:rsid w:val="00E12343"/>
    <w:rsid w:val="00E1312E"/>
    <w:rsid w:val="00E1323B"/>
    <w:rsid w:val="00E13EB7"/>
    <w:rsid w:val="00E1447E"/>
    <w:rsid w:val="00E14F55"/>
    <w:rsid w:val="00E15AD9"/>
    <w:rsid w:val="00E15B87"/>
    <w:rsid w:val="00E15CE4"/>
    <w:rsid w:val="00E15E3E"/>
    <w:rsid w:val="00E16112"/>
    <w:rsid w:val="00E16762"/>
    <w:rsid w:val="00E17220"/>
    <w:rsid w:val="00E17543"/>
    <w:rsid w:val="00E17B6B"/>
    <w:rsid w:val="00E21378"/>
    <w:rsid w:val="00E226E3"/>
    <w:rsid w:val="00E228E6"/>
    <w:rsid w:val="00E22C75"/>
    <w:rsid w:val="00E22F9B"/>
    <w:rsid w:val="00E23045"/>
    <w:rsid w:val="00E23C53"/>
    <w:rsid w:val="00E24C28"/>
    <w:rsid w:val="00E24C9A"/>
    <w:rsid w:val="00E251B0"/>
    <w:rsid w:val="00E25472"/>
    <w:rsid w:val="00E25F83"/>
    <w:rsid w:val="00E26B71"/>
    <w:rsid w:val="00E26E43"/>
    <w:rsid w:val="00E26F68"/>
    <w:rsid w:val="00E301E5"/>
    <w:rsid w:val="00E302D8"/>
    <w:rsid w:val="00E313D7"/>
    <w:rsid w:val="00E31434"/>
    <w:rsid w:val="00E31A87"/>
    <w:rsid w:val="00E32388"/>
    <w:rsid w:val="00E326FC"/>
    <w:rsid w:val="00E3282C"/>
    <w:rsid w:val="00E33ABF"/>
    <w:rsid w:val="00E33EDA"/>
    <w:rsid w:val="00E343B5"/>
    <w:rsid w:val="00E34EE4"/>
    <w:rsid w:val="00E3518E"/>
    <w:rsid w:val="00E35310"/>
    <w:rsid w:val="00E357EF"/>
    <w:rsid w:val="00E35870"/>
    <w:rsid w:val="00E35E66"/>
    <w:rsid w:val="00E35EF6"/>
    <w:rsid w:val="00E365B7"/>
    <w:rsid w:val="00E36837"/>
    <w:rsid w:val="00E371C6"/>
    <w:rsid w:val="00E37CDA"/>
    <w:rsid w:val="00E40A12"/>
    <w:rsid w:val="00E40FC1"/>
    <w:rsid w:val="00E42347"/>
    <w:rsid w:val="00E4278B"/>
    <w:rsid w:val="00E435F7"/>
    <w:rsid w:val="00E43864"/>
    <w:rsid w:val="00E43D57"/>
    <w:rsid w:val="00E43E72"/>
    <w:rsid w:val="00E452CB"/>
    <w:rsid w:val="00E4531D"/>
    <w:rsid w:val="00E456C7"/>
    <w:rsid w:val="00E45E50"/>
    <w:rsid w:val="00E465F8"/>
    <w:rsid w:val="00E507C8"/>
    <w:rsid w:val="00E508C8"/>
    <w:rsid w:val="00E5110C"/>
    <w:rsid w:val="00E52172"/>
    <w:rsid w:val="00E5251B"/>
    <w:rsid w:val="00E52693"/>
    <w:rsid w:val="00E52826"/>
    <w:rsid w:val="00E5285E"/>
    <w:rsid w:val="00E528CB"/>
    <w:rsid w:val="00E528F1"/>
    <w:rsid w:val="00E52DDD"/>
    <w:rsid w:val="00E52ED1"/>
    <w:rsid w:val="00E537EC"/>
    <w:rsid w:val="00E53D27"/>
    <w:rsid w:val="00E54089"/>
    <w:rsid w:val="00E55157"/>
    <w:rsid w:val="00E552C8"/>
    <w:rsid w:val="00E5607A"/>
    <w:rsid w:val="00E5694C"/>
    <w:rsid w:val="00E572CE"/>
    <w:rsid w:val="00E576AF"/>
    <w:rsid w:val="00E57B2A"/>
    <w:rsid w:val="00E601ED"/>
    <w:rsid w:val="00E605A6"/>
    <w:rsid w:val="00E624E1"/>
    <w:rsid w:val="00E62B45"/>
    <w:rsid w:val="00E62D67"/>
    <w:rsid w:val="00E62D9A"/>
    <w:rsid w:val="00E632D8"/>
    <w:rsid w:val="00E632D9"/>
    <w:rsid w:val="00E64445"/>
    <w:rsid w:val="00E64D30"/>
    <w:rsid w:val="00E64D73"/>
    <w:rsid w:val="00E64EF1"/>
    <w:rsid w:val="00E65046"/>
    <w:rsid w:val="00E652AB"/>
    <w:rsid w:val="00E6554B"/>
    <w:rsid w:val="00E6587C"/>
    <w:rsid w:val="00E65C9D"/>
    <w:rsid w:val="00E6677E"/>
    <w:rsid w:val="00E672E9"/>
    <w:rsid w:val="00E679BC"/>
    <w:rsid w:val="00E67B11"/>
    <w:rsid w:val="00E712D8"/>
    <w:rsid w:val="00E726A9"/>
    <w:rsid w:val="00E72E74"/>
    <w:rsid w:val="00E7324E"/>
    <w:rsid w:val="00E73EFC"/>
    <w:rsid w:val="00E742AF"/>
    <w:rsid w:val="00E744DA"/>
    <w:rsid w:val="00E75587"/>
    <w:rsid w:val="00E7590C"/>
    <w:rsid w:val="00E75F29"/>
    <w:rsid w:val="00E76C2D"/>
    <w:rsid w:val="00E76FC9"/>
    <w:rsid w:val="00E7711E"/>
    <w:rsid w:val="00E771EE"/>
    <w:rsid w:val="00E80E60"/>
    <w:rsid w:val="00E82C66"/>
    <w:rsid w:val="00E83434"/>
    <w:rsid w:val="00E84694"/>
    <w:rsid w:val="00E850AE"/>
    <w:rsid w:val="00E858B7"/>
    <w:rsid w:val="00E86C98"/>
    <w:rsid w:val="00E86CAC"/>
    <w:rsid w:val="00E86E92"/>
    <w:rsid w:val="00E87521"/>
    <w:rsid w:val="00E8798C"/>
    <w:rsid w:val="00E87FA7"/>
    <w:rsid w:val="00E87FB6"/>
    <w:rsid w:val="00E9022E"/>
    <w:rsid w:val="00E9075A"/>
    <w:rsid w:val="00E91B3B"/>
    <w:rsid w:val="00E92B2C"/>
    <w:rsid w:val="00E9500D"/>
    <w:rsid w:val="00E96594"/>
    <w:rsid w:val="00E968E3"/>
    <w:rsid w:val="00E96D00"/>
    <w:rsid w:val="00E96D94"/>
    <w:rsid w:val="00E96EF0"/>
    <w:rsid w:val="00E974E1"/>
    <w:rsid w:val="00E9768C"/>
    <w:rsid w:val="00EA11E6"/>
    <w:rsid w:val="00EA12AA"/>
    <w:rsid w:val="00EA1725"/>
    <w:rsid w:val="00EA2B0B"/>
    <w:rsid w:val="00EA2B21"/>
    <w:rsid w:val="00EA3246"/>
    <w:rsid w:val="00EA38AD"/>
    <w:rsid w:val="00EA3D72"/>
    <w:rsid w:val="00EA404B"/>
    <w:rsid w:val="00EA48EE"/>
    <w:rsid w:val="00EA49E5"/>
    <w:rsid w:val="00EA4E24"/>
    <w:rsid w:val="00EA7E92"/>
    <w:rsid w:val="00EB1B31"/>
    <w:rsid w:val="00EB1BF4"/>
    <w:rsid w:val="00EB3282"/>
    <w:rsid w:val="00EB32D1"/>
    <w:rsid w:val="00EB3348"/>
    <w:rsid w:val="00EB37B6"/>
    <w:rsid w:val="00EB46C4"/>
    <w:rsid w:val="00EB4735"/>
    <w:rsid w:val="00EB4819"/>
    <w:rsid w:val="00EB4A9B"/>
    <w:rsid w:val="00EB5D8D"/>
    <w:rsid w:val="00EB627D"/>
    <w:rsid w:val="00EB69F9"/>
    <w:rsid w:val="00EB6E05"/>
    <w:rsid w:val="00EB7013"/>
    <w:rsid w:val="00EB7209"/>
    <w:rsid w:val="00EC25C8"/>
    <w:rsid w:val="00EC2AB1"/>
    <w:rsid w:val="00EC2B25"/>
    <w:rsid w:val="00EC3473"/>
    <w:rsid w:val="00EC367E"/>
    <w:rsid w:val="00EC3912"/>
    <w:rsid w:val="00EC57D7"/>
    <w:rsid w:val="00EC5856"/>
    <w:rsid w:val="00EC5C08"/>
    <w:rsid w:val="00EC77FA"/>
    <w:rsid w:val="00EC7ADD"/>
    <w:rsid w:val="00EC7BB2"/>
    <w:rsid w:val="00ED159D"/>
    <w:rsid w:val="00ED1774"/>
    <w:rsid w:val="00ED18BF"/>
    <w:rsid w:val="00ED204B"/>
    <w:rsid w:val="00ED2322"/>
    <w:rsid w:val="00ED3094"/>
    <w:rsid w:val="00ED367E"/>
    <w:rsid w:val="00ED3969"/>
    <w:rsid w:val="00ED3BFE"/>
    <w:rsid w:val="00ED46AB"/>
    <w:rsid w:val="00ED4A24"/>
    <w:rsid w:val="00ED5957"/>
    <w:rsid w:val="00ED5A1D"/>
    <w:rsid w:val="00ED5E8A"/>
    <w:rsid w:val="00ED6009"/>
    <w:rsid w:val="00ED6725"/>
    <w:rsid w:val="00ED67D2"/>
    <w:rsid w:val="00ED6D64"/>
    <w:rsid w:val="00ED71F7"/>
    <w:rsid w:val="00ED7389"/>
    <w:rsid w:val="00ED7AC4"/>
    <w:rsid w:val="00ED7BCC"/>
    <w:rsid w:val="00EE09CF"/>
    <w:rsid w:val="00EE0F41"/>
    <w:rsid w:val="00EE15FC"/>
    <w:rsid w:val="00EE276D"/>
    <w:rsid w:val="00EE277C"/>
    <w:rsid w:val="00EE3129"/>
    <w:rsid w:val="00EE31A2"/>
    <w:rsid w:val="00EE3A45"/>
    <w:rsid w:val="00EE41D0"/>
    <w:rsid w:val="00EE4464"/>
    <w:rsid w:val="00EE5AD2"/>
    <w:rsid w:val="00EE5EC4"/>
    <w:rsid w:val="00EE68B2"/>
    <w:rsid w:val="00EE6CDF"/>
    <w:rsid w:val="00EE75D8"/>
    <w:rsid w:val="00EE7744"/>
    <w:rsid w:val="00EF0B39"/>
    <w:rsid w:val="00EF12E1"/>
    <w:rsid w:val="00EF1F8D"/>
    <w:rsid w:val="00EF206B"/>
    <w:rsid w:val="00EF2379"/>
    <w:rsid w:val="00EF2E77"/>
    <w:rsid w:val="00EF2F60"/>
    <w:rsid w:val="00EF3091"/>
    <w:rsid w:val="00EF3E1D"/>
    <w:rsid w:val="00EF5383"/>
    <w:rsid w:val="00EF780F"/>
    <w:rsid w:val="00EF7C13"/>
    <w:rsid w:val="00F0008B"/>
    <w:rsid w:val="00F00CAC"/>
    <w:rsid w:val="00F01181"/>
    <w:rsid w:val="00F01EA9"/>
    <w:rsid w:val="00F021B0"/>
    <w:rsid w:val="00F02A69"/>
    <w:rsid w:val="00F02D1C"/>
    <w:rsid w:val="00F03211"/>
    <w:rsid w:val="00F03DE7"/>
    <w:rsid w:val="00F03E7D"/>
    <w:rsid w:val="00F04125"/>
    <w:rsid w:val="00F04296"/>
    <w:rsid w:val="00F05FCD"/>
    <w:rsid w:val="00F06FFF"/>
    <w:rsid w:val="00F07281"/>
    <w:rsid w:val="00F104B3"/>
    <w:rsid w:val="00F10AEA"/>
    <w:rsid w:val="00F10F8C"/>
    <w:rsid w:val="00F11C19"/>
    <w:rsid w:val="00F1237A"/>
    <w:rsid w:val="00F12EB7"/>
    <w:rsid w:val="00F12EC9"/>
    <w:rsid w:val="00F13329"/>
    <w:rsid w:val="00F13EF7"/>
    <w:rsid w:val="00F15888"/>
    <w:rsid w:val="00F15ACB"/>
    <w:rsid w:val="00F15EA2"/>
    <w:rsid w:val="00F1609F"/>
    <w:rsid w:val="00F16C64"/>
    <w:rsid w:val="00F17A91"/>
    <w:rsid w:val="00F20AC3"/>
    <w:rsid w:val="00F21941"/>
    <w:rsid w:val="00F21D17"/>
    <w:rsid w:val="00F221A4"/>
    <w:rsid w:val="00F221E8"/>
    <w:rsid w:val="00F226CA"/>
    <w:rsid w:val="00F22A46"/>
    <w:rsid w:val="00F23159"/>
    <w:rsid w:val="00F23C86"/>
    <w:rsid w:val="00F24978"/>
    <w:rsid w:val="00F25029"/>
    <w:rsid w:val="00F25BAE"/>
    <w:rsid w:val="00F26382"/>
    <w:rsid w:val="00F27F70"/>
    <w:rsid w:val="00F3020D"/>
    <w:rsid w:val="00F30972"/>
    <w:rsid w:val="00F30A01"/>
    <w:rsid w:val="00F30D06"/>
    <w:rsid w:val="00F3140F"/>
    <w:rsid w:val="00F31C66"/>
    <w:rsid w:val="00F31CD9"/>
    <w:rsid w:val="00F32CF1"/>
    <w:rsid w:val="00F33154"/>
    <w:rsid w:val="00F33C74"/>
    <w:rsid w:val="00F33E8A"/>
    <w:rsid w:val="00F3419B"/>
    <w:rsid w:val="00F34E67"/>
    <w:rsid w:val="00F3610F"/>
    <w:rsid w:val="00F36633"/>
    <w:rsid w:val="00F36642"/>
    <w:rsid w:val="00F36916"/>
    <w:rsid w:val="00F36B90"/>
    <w:rsid w:val="00F37099"/>
    <w:rsid w:val="00F374CD"/>
    <w:rsid w:val="00F40CB5"/>
    <w:rsid w:val="00F4102F"/>
    <w:rsid w:val="00F412A5"/>
    <w:rsid w:val="00F41BAD"/>
    <w:rsid w:val="00F41C17"/>
    <w:rsid w:val="00F42280"/>
    <w:rsid w:val="00F42434"/>
    <w:rsid w:val="00F42473"/>
    <w:rsid w:val="00F4290D"/>
    <w:rsid w:val="00F429A2"/>
    <w:rsid w:val="00F429E2"/>
    <w:rsid w:val="00F436D1"/>
    <w:rsid w:val="00F4514B"/>
    <w:rsid w:val="00F46144"/>
    <w:rsid w:val="00F461A2"/>
    <w:rsid w:val="00F4629F"/>
    <w:rsid w:val="00F475AC"/>
    <w:rsid w:val="00F479F2"/>
    <w:rsid w:val="00F50285"/>
    <w:rsid w:val="00F5065C"/>
    <w:rsid w:val="00F50C6B"/>
    <w:rsid w:val="00F50FEE"/>
    <w:rsid w:val="00F51BCA"/>
    <w:rsid w:val="00F51D63"/>
    <w:rsid w:val="00F5214E"/>
    <w:rsid w:val="00F524AE"/>
    <w:rsid w:val="00F52A24"/>
    <w:rsid w:val="00F52E67"/>
    <w:rsid w:val="00F53391"/>
    <w:rsid w:val="00F54D1D"/>
    <w:rsid w:val="00F557AA"/>
    <w:rsid w:val="00F55874"/>
    <w:rsid w:val="00F5645A"/>
    <w:rsid w:val="00F567FE"/>
    <w:rsid w:val="00F56B53"/>
    <w:rsid w:val="00F6013E"/>
    <w:rsid w:val="00F604CF"/>
    <w:rsid w:val="00F611CD"/>
    <w:rsid w:val="00F62090"/>
    <w:rsid w:val="00F62755"/>
    <w:rsid w:val="00F62BBE"/>
    <w:rsid w:val="00F62FB4"/>
    <w:rsid w:val="00F630CE"/>
    <w:rsid w:val="00F630DB"/>
    <w:rsid w:val="00F636AF"/>
    <w:rsid w:val="00F652B3"/>
    <w:rsid w:val="00F65B7A"/>
    <w:rsid w:val="00F66D96"/>
    <w:rsid w:val="00F670A8"/>
    <w:rsid w:val="00F673B0"/>
    <w:rsid w:val="00F67432"/>
    <w:rsid w:val="00F7038C"/>
    <w:rsid w:val="00F70BCD"/>
    <w:rsid w:val="00F71D86"/>
    <w:rsid w:val="00F724A4"/>
    <w:rsid w:val="00F73787"/>
    <w:rsid w:val="00F73D25"/>
    <w:rsid w:val="00F772F5"/>
    <w:rsid w:val="00F8021D"/>
    <w:rsid w:val="00F80CA8"/>
    <w:rsid w:val="00F81153"/>
    <w:rsid w:val="00F81268"/>
    <w:rsid w:val="00F812C5"/>
    <w:rsid w:val="00F81F5D"/>
    <w:rsid w:val="00F83936"/>
    <w:rsid w:val="00F8394E"/>
    <w:rsid w:val="00F84602"/>
    <w:rsid w:val="00F852B4"/>
    <w:rsid w:val="00F8548E"/>
    <w:rsid w:val="00F8628B"/>
    <w:rsid w:val="00F869D8"/>
    <w:rsid w:val="00F86B25"/>
    <w:rsid w:val="00F87486"/>
    <w:rsid w:val="00F876E2"/>
    <w:rsid w:val="00F8781B"/>
    <w:rsid w:val="00F87CB2"/>
    <w:rsid w:val="00F903B1"/>
    <w:rsid w:val="00F90442"/>
    <w:rsid w:val="00F90454"/>
    <w:rsid w:val="00F906CC"/>
    <w:rsid w:val="00F926E2"/>
    <w:rsid w:val="00F92B1C"/>
    <w:rsid w:val="00F92F06"/>
    <w:rsid w:val="00F935E0"/>
    <w:rsid w:val="00F94318"/>
    <w:rsid w:val="00F9557F"/>
    <w:rsid w:val="00F95C37"/>
    <w:rsid w:val="00FA22E4"/>
    <w:rsid w:val="00FA2D97"/>
    <w:rsid w:val="00FA396C"/>
    <w:rsid w:val="00FA41FF"/>
    <w:rsid w:val="00FA4919"/>
    <w:rsid w:val="00FA4FDA"/>
    <w:rsid w:val="00FA533A"/>
    <w:rsid w:val="00FA55FA"/>
    <w:rsid w:val="00FA5684"/>
    <w:rsid w:val="00FA58EC"/>
    <w:rsid w:val="00FA61DD"/>
    <w:rsid w:val="00FA64C5"/>
    <w:rsid w:val="00FA78EC"/>
    <w:rsid w:val="00FB0948"/>
    <w:rsid w:val="00FB0CB0"/>
    <w:rsid w:val="00FB0D53"/>
    <w:rsid w:val="00FB0FA0"/>
    <w:rsid w:val="00FB1B5B"/>
    <w:rsid w:val="00FB1DEE"/>
    <w:rsid w:val="00FB23FC"/>
    <w:rsid w:val="00FB26CD"/>
    <w:rsid w:val="00FB285E"/>
    <w:rsid w:val="00FB2AD4"/>
    <w:rsid w:val="00FB2C00"/>
    <w:rsid w:val="00FB2EE3"/>
    <w:rsid w:val="00FB2FCF"/>
    <w:rsid w:val="00FB33A8"/>
    <w:rsid w:val="00FB42B5"/>
    <w:rsid w:val="00FB4830"/>
    <w:rsid w:val="00FB4FF5"/>
    <w:rsid w:val="00FB541B"/>
    <w:rsid w:val="00FB5464"/>
    <w:rsid w:val="00FB5906"/>
    <w:rsid w:val="00FB78B3"/>
    <w:rsid w:val="00FB78BB"/>
    <w:rsid w:val="00FC1117"/>
    <w:rsid w:val="00FC2955"/>
    <w:rsid w:val="00FC2C48"/>
    <w:rsid w:val="00FC2EA9"/>
    <w:rsid w:val="00FC3055"/>
    <w:rsid w:val="00FC3C41"/>
    <w:rsid w:val="00FC4063"/>
    <w:rsid w:val="00FC4D65"/>
    <w:rsid w:val="00FC4E33"/>
    <w:rsid w:val="00FC5232"/>
    <w:rsid w:val="00FC5256"/>
    <w:rsid w:val="00FC5AC2"/>
    <w:rsid w:val="00FC5C5E"/>
    <w:rsid w:val="00FC5E37"/>
    <w:rsid w:val="00FC6022"/>
    <w:rsid w:val="00FC7C1B"/>
    <w:rsid w:val="00FD09CF"/>
    <w:rsid w:val="00FD1DB1"/>
    <w:rsid w:val="00FD2556"/>
    <w:rsid w:val="00FD2F66"/>
    <w:rsid w:val="00FD3B4D"/>
    <w:rsid w:val="00FD41D1"/>
    <w:rsid w:val="00FD48B6"/>
    <w:rsid w:val="00FD4B7C"/>
    <w:rsid w:val="00FD58EF"/>
    <w:rsid w:val="00FD5F6A"/>
    <w:rsid w:val="00FD67F8"/>
    <w:rsid w:val="00FD694C"/>
    <w:rsid w:val="00FD7805"/>
    <w:rsid w:val="00FD7F30"/>
    <w:rsid w:val="00FD7F70"/>
    <w:rsid w:val="00FE0BB0"/>
    <w:rsid w:val="00FE0BD3"/>
    <w:rsid w:val="00FE21CA"/>
    <w:rsid w:val="00FE2552"/>
    <w:rsid w:val="00FE2604"/>
    <w:rsid w:val="00FE3C1B"/>
    <w:rsid w:val="00FE3E42"/>
    <w:rsid w:val="00FE4C6F"/>
    <w:rsid w:val="00FE55DA"/>
    <w:rsid w:val="00FE57FE"/>
    <w:rsid w:val="00FE581A"/>
    <w:rsid w:val="00FE5C44"/>
    <w:rsid w:val="00FE5CB0"/>
    <w:rsid w:val="00FE6299"/>
    <w:rsid w:val="00FE6853"/>
    <w:rsid w:val="00FE6E60"/>
    <w:rsid w:val="00FE6F63"/>
    <w:rsid w:val="00FE7151"/>
    <w:rsid w:val="00FE76A4"/>
    <w:rsid w:val="00FE7A08"/>
    <w:rsid w:val="00FE7F61"/>
    <w:rsid w:val="00FF08CD"/>
    <w:rsid w:val="00FF184B"/>
    <w:rsid w:val="00FF1A17"/>
    <w:rsid w:val="00FF2C6B"/>
    <w:rsid w:val="00FF2D20"/>
    <w:rsid w:val="00FF33F3"/>
    <w:rsid w:val="00FF4166"/>
    <w:rsid w:val="00FF4569"/>
    <w:rsid w:val="00FF4B18"/>
    <w:rsid w:val="00FF4BB9"/>
    <w:rsid w:val="00FF5D16"/>
    <w:rsid w:val="00FF7C25"/>
    <w:rsid w:val="00FF7FD3"/>
    <w:rsid w:val="01BC4744"/>
    <w:rsid w:val="02754313"/>
    <w:rsid w:val="03572E29"/>
    <w:rsid w:val="048A692E"/>
    <w:rsid w:val="04B47424"/>
    <w:rsid w:val="05F44187"/>
    <w:rsid w:val="074C7DB1"/>
    <w:rsid w:val="07AE18E7"/>
    <w:rsid w:val="07B37030"/>
    <w:rsid w:val="08234A1B"/>
    <w:rsid w:val="087B4942"/>
    <w:rsid w:val="08D8123A"/>
    <w:rsid w:val="0907036B"/>
    <w:rsid w:val="0937072D"/>
    <w:rsid w:val="096830C1"/>
    <w:rsid w:val="09B65705"/>
    <w:rsid w:val="09C508AE"/>
    <w:rsid w:val="0A0C6B3A"/>
    <w:rsid w:val="0A8F7E99"/>
    <w:rsid w:val="0AA21D8F"/>
    <w:rsid w:val="0ABD48C5"/>
    <w:rsid w:val="0AE9430D"/>
    <w:rsid w:val="0B481229"/>
    <w:rsid w:val="0D293EE9"/>
    <w:rsid w:val="0EE6407E"/>
    <w:rsid w:val="0F086269"/>
    <w:rsid w:val="0F127139"/>
    <w:rsid w:val="0FEB15EE"/>
    <w:rsid w:val="102F140D"/>
    <w:rsid w:val="105857F8"/>
    <w:rsid w:val="10C9207C"/>
    <w:rsid w:val="116548E0"/>
    <w:rsid w:val="119C5E6A"/>
    <w:rsid w:val="11AC5902"/>
    <w:rsid w:val="126F1C94"/>
    <w:rsid w:val="12F20118"/>
    <w:rsid w:val="13A1791A"/>
    <w:rsid w:val="153A33B5"/>
    <w:rsid w:val="157522BE"/>
    <w:rsid w:val="15DA17E6"/>
    <w:rsid w:val="161B47AE"/>
    <w:rsid w:val="16B26DF3"/>
    <w:rsid w:val="17114895"/>
    <w:rsid w:val="184D07BB"/>
    <w:rsid w:val="19EF0A35"/>
    <w:rsid w:val="1A6A0450"/>
    <w:rsid w:val="1BBE4661"/>
    <w:rsid w:val="1C4643DD"/>
    <w:rsid w:val="1CEF0236"/>
    <w:rsid w:val="1D5363E1"/>
    <w:rsid w:val="1D610344"/>
    <w:rsid w:val="1E2039B0"/>
    <w:rsid w:val="1E8630AD"/>
    <w:rsid w:val="1F01782E"/>
    <w:rsid w:val="20DB43F8"/>
    <w:rsid w:val="22442469"/>
    <w:rsid w:val="229B543A"/>
    <w:rsid w:val="231273DA"/>
    <w:rsid w:val="23CA3ACA"/>
    <w:rsid w:val="23FD79BF"/>
    <w:rsid w:val="24800596"/>
    <w:rsid w:val="24DD57E9"/>
    <w:rsid w:val="25A17B77"/>
    <w:rsid w:val="26CC7B07"/>
    <w:rsid w:val="26D30132"/>
    <w:rsid w:val="27092F4D"/>
    <w:rsid w:val="270C740E"/>
    <w:rsid w:val="27E26124"/>
    <w:rsid w:val="27EE5D7C"/>
    <w:rsid w:val="27F37BDE"/>
    <w:rsid w:val="28BE698E"/>
    <w:rsid w:val="2934275B"/>
    <w:rsid w:val="29AC0F8A"/>
    <w:rsid w:val="2A360F62"/>
    <w:rsid w:val="2A4B7EB3"/>
    <w:rsid w:val="2A5B1400"/>
    <w:rsid w:val="2A7C0BE4"/>
    <w:rsid w:val="2AD0155C"/>
    <w:rsid w:val="2AE852E6"/>
    <w:rsid w:val="2B2A7E99"/>
    <w:rsid w:val="2C446F9C"/>
    <w:rsid w:val="2D146E54"/>
    <w:rsid w:val="2D9D1B3D"/>
    <w:rsid w:val="2E0214D4"/>
    <w:rsid w:val="2E3C7A70"/>
    <w:rsid w:val="2E491A56"/>
    <w:rsid w:val="2EE84B80"/>
    <w:rsid w:val="30943892"/>
    <w:rsid w:val="3104766E"/>
    <w:rsid w:val="31683BEE"/>
    <w:rsid w:val="318B5C63"/>
    <w:rsid w:val="31D80594"/>
    <w:rsid w:val="31EC181B"/>
    <w:rsid w:val="32237433"/>
    <w:rsid w:val="32EA02B1"/>
    <w:rsid w:val="32F45E42"/>
    <w:rsid w:val="33470EC7"/>
    <w:rsid w:val="337A3A23"/>
    <w:rsid w:val="33872E86"/>
    <w:rsid w:val="339168AC"/>
    <w:rsid w:val="339E3A0E"/>
    <w:rsid w:val="33E20C8B"/>
    <w:rsid w:val="34301849"/>
    <w:rsid w:val="36604D51"/>
    <w:rsid w:val="36E7627B"/>
    <w:rsid w:val="38817ED1"/>
    <w:rsid w:val="38F35856"/>
    <w:rsid w:val="394D264F"/>
    <w:rsid w:val="39510388"/>
    <w:rsid w:val="3A640181"/>
    <w:rsid w:val="3A97147E"/>
    <w:rsid w:val="3B081E8C"/>
    <w:rsid w:val="3BB750FA"/>
    <w:rsid w:val="3BF015AD"/>
    <w:rsid w:val="3C0F1C19"/>
    <w:rsid w:val="3C7E7E1B"/>
    <w:rsid w:val="3C917F7B"/>
    <w:rsid w:val="3D0E7DA9"/>
    <w:rsid w:val="40677B31"/>
    <w:rsid w:val="409E2414"/>
    <w:rsid w:val="41937A60"/>
    <w:rsid w:val="41EC3241"/>
    <w:rsid w:val="425B1B5A"/>
    <w:rsid w:val="42BF36B7"/>
    <w:rsid w:val="42EC57D5"/>
    <w:rsid w:val="432546E3"/>
    <w:rsid w:val="43456A3A"/>
    <w:rsid w:val="4370206D"/>
    <w:rsid w:val="43A028D2"/>
    <w:rsid w:val="43B45B2B"/>
    <w:rsid w:val="44CC6872"/>
    <w:rsid w:val="45BD0D75"/>
    <w:rsid w:val="465A41DE"/>
    <w:rsid w:val="473E0DB5"/>
    <w:rsid w:val="475827A3"/>
    <w:rsid w:val="47F55C38"/>
    <w:rsid w:val="48083878"/>
    <w:rsid w:val="482E4397"/>
    <w:rsid w:val="486C69F4"/>
    <w:rsid w:val="494A50C8"/>
    <w:rsid w:val="49815074"/>
    <w:rsid w:val="4A1A1031"/>
    <w:rsid w:val="4A590E84"/>
    <w:rsid w:val="4ADF35EA"/>
    <w:rsid w:val="4BCE06BE"/>
    <w:rsid w:val="4D41610E"/>
    <w:rsid w:val="4DCB3544"/>
    <w:rsid w:val="4E4A5697"/>
    <w:rsid w:val="4F5177B1"/>
    <w:rsid w:val="4FCF1321"/>
    <w:rsid w:val="517841E8"/>
    <w:rsid w:val="51D46BB6"/>
    <w:rsid w:val="51F075DB"/>
    <w:rsid w:val="522E7349"/>
    <w:rsid w:val="534D73E6"/>
    <w:rsid w:val="53560D64"/>
    <w:rsid w:val="541208DD"/>
    <w:rsid w:val="544E081D"/>
    <w:rsid w:val="54612B8A"/>
    <w:rsid w:val="551C005B"/>
    <w:rsid w:val="557A097C"/>
    <w:rsid w:val="55C17AE8"/>
    <w:rsid w:val="55D24D26"/>
    <w:rsid w:val="55EC7F04"/>
    <w:rsid w:val="5653183A"/>
    <w:rsid w:val="567437FC"/>
    <w:rsid w:val="57686D1C"/>
    <w:rsid w:val="578C7658"/>
    <w:rsid w:val="580E75F1"/>
    <w:rsid w:val="588D028C"/>
    <w:rsid w:val="58AD41AE"/>
    <w:rsid w:val="598A61FC"/>
    <w:rsid w:val="5A2519F8"/>
    <w:rsid w:val="5A73272D"/>
    <w:rsid w:val="5A9A2BD6"/>
    <w:rsid w:val="5AED2343"/>
    <w:rsid w:val="5B4173FA"/>
    <w:rsid w:val="5BBA28D9"/>
    <w:rsid w:val="5C017D05"/>
    <w:rsid w:val="5D955B09"/>
    <w:rsid w:val="5E1E2F22"/>
    <w:rsid w:val="5EA264D7"/>
    <w:rsid w:val="5ECB427C"/>
    <w:rsid w:val="5FCE770B"/>
    <w:rsid w:val="5FD77313"/>
    <w:rsid w:val="600577C6"/>
    <w:rsid w:val="608857EA"/>
    <w:rsid w:val="613B11FF"/>
    <w:rsid w:val="614206BE"/>
    <w:rsid w:val="6195355B"/>
    <w:rsid w:val="6234647E"/>
    <w:rsid w:val="64A90212"/>
    <w:rsid w:val="64D23C06"/>
    <w:rsid w:val="660B5E03"/>
    <w:rsid w:val="67046D0E"/>
    <w:rsid w:val="67B004D1"/>
    <w:rsid w:val="67FB1EF5"/>
    <w:rsid w:val="682721C9"/>
    <w:rsid w:val="682B01A0"/>
    <w:rsid w:val="6862341F"/>
    <w:rsid w:val="69800B78"/>
    <w:rsid w:val="6A13681E"/>
    <w:rsid w:val="6A480B66"/>
    <w:rsid w:val="6A5E1B30"/>
    <w:rsid w:val="6B3140E9"/>
    <w:rsid w:val="6B354190"/>
    <w:rsid w:val="6BD5066C"/>
    <w:rsid w:val="6CB0555A"/>
    <w:rsid w:val="6CCC3835"/>
    <w:rsid w:val="6D045AEA"/>
    <w:rsid w:val="6D57365D"/>
    <w:rsid w:val="6D7D5E1E"/>
    <w:rsid w:val="6E84436C"/>
    <w:rsid w:val="6EEB4612"/>
    <w:rsid w:val="6F4516A2"/>
    <w:rsid w:val="6F5C0349"/>
    <w:rsid w:val="6FA0724A"/>
    <w:rsid w:val="70AE101C"/>
    <w:rsid w:val="70D668CA"/>
    <w:rsid w:val="726144C1"/>
    <w:rsid w:val="73074ECA"/>
    <w:rsid w:val="74C97CF1"/>
    <w:rsid w:val="75440836"/>
    <w:rsid w:val="761F19A0"/>
    <w:rsid w:val="76F2447B"/>
    <w:rsid w:val="7900327E"/>
    <w:rsid w:val="794329B1"/>
    <w:rsid w:val="79E959E8"/>
    <w:rsid w:val="7AB675FF"/>
    <w:rsid w:val="7ACB6C25"/>
    <w:rsid w:val="7B0C08BB"/>
    <w:rsid w:val="7D29061C"/>
    <w:rsid w:val="7D5365BF"/>
    <w:rsid w:val="7E792814"/>
    <w:rsid w:val="7F5C10D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styleId="2">
    <w:name w:val="heading 1"/>
    <w:basedOn w:val="1"/>
    <w:next w:val="1"/>
    <w:link w:val="35"/>
    <w:qFormat/>
    <w:uiPriority w:val="9"/>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1"/>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34"/>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37"/>
    <w:unhideWhenUsed/>
    <w:qFormat/>
    <w:uiPriority w:val="9"/>
    <w:pPr>
      <w:keepNext/>
      <w:keepLines/>
      <w:numPr>
        <w:ilvl w:val="6"/>
        <w:numId w:val="1"/>
      </w:numPr>
      <w:spacing w:before="240" w:after="64" w:line="320" w:lineRule="auto"/>
      <w:outlineLvl w:val="6"/>
    </w:pPr>
    <w:rPr>
      <w:b/>
      <w:bCs/>
      <w:sz w:val="24"/>
      <w:szCs w:val="24"/>
    </w:rPr>
  </w:style>
  <w:style w:type="paragraph" w:styleId="9">
    <w:name w:val="heading 8"/>
    <w:basedOn w:val="1"/>
    <w:next w:val="1"/>
    <w:link w:val="38"/>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0"/>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rPr>
  </w:style>
  <w:style w:type="character" w:default="1" w:styleId="23">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semiHidden/>
    <w:unhideWhenUsed/>
    <w:qFormat/>
    <w:uiPriority w:val="35"/>
    <w:rPr>
      <w:rFonts w:ascii="Arial" w:hAnsi="Arial" w:eastAsia="黑体"/>
      <w:sz w:val="20"/>
    </w:rPr>
  </w:style>
  <w:style w:type="paragraph" w:styleId="12">
    <w:name w:val="Document Map"/>
    <w:basedOn w:val="1"/>
    <w:link w:val="28"/>
    <w:unhideWhenUsed/>
    <w:qFormat/>
    <w:uiPriority w:val="99"/>
    <w:rPr>
      <w:rFonts w:ascii="宋体" w:eastAsia="宋体"/>
      <w:sz w:val="18"/>
      <w:szCs w:val="18"/>
    </w:rPr>
  </w:style>
  <w:style w:type="paragraph" w:styleId="13">
    <w:name w:val="toc 3"/>
    <w:basedOn w:val="1"/>
    <w:next w:val="1"/>
    <w:unhideWhenUsed/>
    <w:qFormat/>
    <w:uiPriority w:val="39"/>
    <w:pPr>
      <w:widowControl/>
      <w:spacing w:after="100" w:line="276" w:lineRule="auto"/>
      <w:ind w:left="440"/>
      <w:jc w:val="left"/>
    </w:pPr>
    <w:rPr>
      <w:kern w:val="0"/>
      <w:sz w:val="22"/>
      <w:szCs w:val="22"/>
    </w:rPr>
  </w:style>
  <w:style w:type="paragraph" w:styleId="14">
    <w:name w:val="Balloon Text"/>
    <w:basedOn w:val="1"/>
    <w:link w:val="36"/>
    <w:unhideWhenUsed/>
    <w:qFormat/>
    <w:uiPriority w:val="99"/>
    <w:rPr>
      <w:sz w:val="18"/>
      <w:szCs w:val="18"/>
    </w:rPr>
  </w:style>
  <w:style w:type="paragraph" w:styleId="15">
    <w:name w:val="footer"/>
    <w:basedOn w:val="1"/>
    <w:link w:val="26"/>
    <w:unhideWhenUsed/>
    <w:qFormat/>
    <w:uiPriority w:val="99"/>
    <w:pPr>
      <w:tabs>
        <w:tab w:val="center" w:pos="4153"/>
        <w:tab w:val="right" w:pos="8306"/>
      </w:tabs>
      <w:snapToGrid w:val="0"/>
      <w:jc w:val="left"/>
    </w:pPr>
    <w:rPr>
      <w:sz w:val="18"/>
      <w:szCs w:val="18"/>
    </w:rPr>
  </w:style>
  <w:style w:type="paragraph" w:styleId="16">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rPr>
      <w:rFonts w:ascii="Calibri" w:hAnsi="Calibri" w:eastAsia="宋体" w:cs="Calibri"/>
      <w:szCs w:val="20"/>
    </w:rPr>
  </w:style>
  <w:style w:type="paragraph" w:styleId="18">
    <w:name w:val="Subtitle"/>
    <w:basedOn w:val="1"/>
    <w:next w:val="1"/>
    <w:link w:val="33"/>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paragraph" w:styleId="19">
    <w:name w:val="toc 2"/>
    <w:basedOn w:val="1"/>
    <w:next w:val="1"/>
    <w:unhideWhenUsed/>
    <w:qFormat/>
    <w:uiPriority w:val="39"/>
    <w:pPr>
      <w:ind w:left="420" w:leftChars="200"/>
    </w:pPr>
    <w:rPr>
      <w:rFonts w:ascii="Calibri" w:hAnsi="Calibri" w:eastAsia="宋体" w:cs="Calibri"/>
      <w:szCs w:val="20"/>
    </w:rPr>
  </w:style>
  <w:style w:type="paragraph" w:styleId="20">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1">
    <w:name w:val="Title"/>
    <w:basedOn w:val="1"/>
    <w:next w:val="1"/>
    <w:link w:val="32"/>
    <w:qFormat/>
    <w:uiPriority w:val="10"/>
    <w:pPr>
      <w:spacing w:before="240" w:after="60"/>
      <w:jc w:val="center"/>
      <w:outlineLvl w:val="0"/>
    </w:pPr>
    <w:rPr>
      <w:rFonts w:eastAsia="宋体" w:asciiTheme="majorHAnsi" w:hAnsiTheme="majorHAnsi" w:cstheme="majorBidi"/>
      <w:b/>
      <w:bCs/>
      <w:sz w:val="32"/>
      <w:szCs w:val="32"/>
    </w:rPr>
  </w:style>
  <w:style w:type="character" w:styleId="24">
    <w:name w:val="Hyperlink"/>
    <w:basedOn w:val="23"/>
    <w:unhideWhenUsed/>
    <w:qFormat/>
    <w:uiPriority w:val="99"/>
    <w:rPr>
      <w:color w:val="0000FF" w:themeColor="hyperlink"/>
      <w:u w:val="single"/>
    </w:rPr>
  </w:style>
  <w:style w:type="character" w:customStyle="1" w:styleId="25">
    <w:name w:val="页眉 字符"/>
    <w:basedOn w:val="23"/>
    <w:link w:val="16"/>
    <w:qFormat/>
    <w:uiPriority w:val="99"/>
    <w:rPr>
      <w:sz w:val="18"/>
      <w:szCs w:val="18"/>
    </w:rPr>
  </w:style>
  <w:style w:type="character" w:customStyle="1" w:styleId="26">
    <w:name w:val="页脚 字符"/>
    <w:basedOn w:val="23"/>
    <w:link w:val="15"/>
    <w:qFormat/>
    <w:uiPriority w:val="99"/>
    <w:rPr>
      <w:sz w:val="18"/>
      <w:szCs w:val="18"/>
    </w:rPr>
  </w:style>
  <w:style w:type="character" w:customStyle="1" w:styleId="27">
    <w:name w:val="标题 2 字符"/>
    <w:basedOn w:val="23"/>
    <w:link w:val="3"/>
    <w:qFormat/>
    <w:uiPriority w:val="9"/>
    <w:rPr>
      <w:rFonts w:asciiTheme="majorHAnsi" w:hAnsiTheme="majorHAnsi" w:eastAsiaTheme="majorEastAsia" w:cstheme="majorBidi"/>
      <w:b/>
      <w:bCs/>
      <w:sz w:val="32"/>
      <w:szCs w:val="32"/>
    </w:rPr>
  </w:style>
  <w:style w:type="character" w:customStyle="1" w:styleId="28">
    <w:name w:val="文档结构图 字符"/>
    <w:basedOn w:val="23"/>
    <w:link w:val="12"/>
    <w:semiHidden/>
    <w:qFormat/>
    <w:uiPriority w:val="99"/>
    <w:rPr>
      <w:rFonts w:ascii="宋体" w:eastAsia="宋体"/>
      <w:sz w:val="18"/>
      <w:szCs w:val="18"/>
    </w:rPr>
  </w:style>
  <w:style w:type="character" w:customStyle="1" w:styleId="29">
    <w:name w:val="标题 3 字符"/>
    <w:basedOn w:val="23"/>
    <w:link w:val="4"/>
    <w:qFormat/>
    <w:uiPriority w:val="9"/>
    <w:rPr>
      <w:b/>
      <w:bCs/>
      <w:sz w:val="32"/>
      <w:szCs w:val="32"/>
    </w:rPr>
  </w:style>
  <w:style w:type="character" w:customStyle="1" w:styleId="30">
    <w:name w:val="标题 4 字符"/>
    <w:basedOn w:val="23"/>
    <w:link w:val="5"/>
    <w:qFormat/>
    <w:uiPriority w:val="9"/>
    <w:rPr>
      <w:rFonts w:asciiTheme="majorHAnsi" w:hAnsiTheme="majorHAnsi" w:eastAsiaTheme="majorEastAsia" w:cstheme="majorBidi"/>
      <w:b/>
      <w:bCs/>
      <w:sz w:val="28"/>
      <w:szCs w:val="28"/>
    </w:rPr>
  </w:style>
  <w:style w:type="character" w:customStyle="1" w:styleId="31">
    <w:name w:val="标题 5 字符"/>
    <w:basedOn w:val="23"/>
    <w:link w:val="6"/>
    <w:qFormat/>
    <w:uiPriority w:val="9"/>
    <w:rPr>
      <w:b/>
      <w:bCs/>
      <w:sz w:val="28"/>
      <w:szCs w:val="28"/>
    </w:rPr>
  </w:style>
  <w:style w:type="character" w:customStyle="1" w:styleId="32">
    <w:name w:val="标题 字符"/>
    <w:basedOn w:val="23"/>
    <w:link w:val="21"/>
    <w:qFormat/>
    <w:uiPriority w:val="10"/>
    <w:rPr>
      <w:rFonts w:eastAsia="宋体" w:asciiTheme="majorHAnsi" w:hAnsiTheme="majorHAnsi" w:cstheme="majorBidi"/>
      <w:b/>
      <w:bCs/>
      <w:sz w:val="32"/>
      <w:szCs w:val="32"/>
    </w:rPr>
  </w:style>
  <w:style w:type="character" w:customStyle="1" w:styleId="33">
    <w:name w:val="副标题 字符"/>
    <w:basedOn w:val="23"/>
    <w:link w:val="18"/>
    <w:qFormat/>
    <w:uiPriority w:val="11"/>
    <w:rPr>
      <w:rFonts w:eastAsia="宋体" w:asciiTheme="majorHAnsi" w:hAnsiTheme="majorHAnsi" w:cstheme="majorBidi"/>
      <w:b/>
      <w:bCs/>
      <w:kern w:val="28"/>
      <w:sz w:val="32"/>
      <w:szCs w:val="32"/>
    </w:rPr>
  </w:style>
  <w:style w:type="character" w:customStyle="1" w:styleId="34">
    <w:name w:val="标题 6 字符"/>
    <w:basedOn w:val="23"/>
    <w:link w:val="7"/>
    <w:qFormat/>
    <w:uiPriority w:val="9"/>
    <w:rPr>
      <w:rFonts w:asciiTheme="majorHAnsi" w:hAnsiTheme="majorHAnsi" w:eastAsiaTheme="majorEastAsia" w:cstheme="majorBidi"/>
      <w:b/>
      <w:bCs/>
      <w:sz w:val="24"/>
      <w:szCs w:val="24"/>
    </w:rPr>
  </w:style>
  <w:style w:type="character" w:customStyle="1" w:styleId="35">
    <w:name w:val="标题 1 字符"/>
    <w:basedOn w:val="23"/>
    <w:link w:val="2"/>
    <w:qFormat/>
    <w:uiPriority w:val="9"/>
    <w:rPr>
      <w:b/>
      <w:bCs/>
      <w:kern w:val="44"/>
      <w:sz w:val="44"/>
      <w:szCs w:val="44"/>
    </w:rPr>
  </w:style>
  <w:style w:type="character" w:customStyle="1" w:styleId="36">
    <w:name w:val="批注框文本 字符"/>
    <w:basedOn w:val="23"/>
    <w:link w:val="14"/>
    <w:semiHidden/>
    <w:qFormat/>
    <w:uiPriority w:val="99"/>
    <w:rPr>
      <w:sz w:val="18"/>
      <w:szCs w:val="18"/>
    </w:rPr>
  </w:style>
  <w:style w:type="character" w:customStyle="1" w:styleId="37">
    <w:name w:val="标题 7 字符"/>
    <w:basedOn w:val="23"/>
    <w:link w:val="8"/>
    <w:qFormat/>
    <w:uiPriority w:val="9"/>
    <w:rPr>
      <w:b/>
      <w:bCs/>
      <w:sz w:val="24"/>
      <w:szCs w:val="24"/>
    </w:rPr>
  </w:style>
  <w:style w:type="character" w:customStyle="1" w:styleId="38">
    <w:name w:val="标题 8 字符"/>
    <w:basedOn w:val="23"/>
    <w:link w:val="9"/>
    <w:qFormat/>
    <w:uiPriority w:val="9"/>
    <w:rPr>
      <w:rFonts w:asciiTheme="majorHAnsi" w:hAnsiTheme="majorHAnsi" w:eastAsiaTheme="majorEastAsia" w:cstheme="majorBidi"/>
      <w:sz w:val="24"/>
      <w:szCs w:val="24"/>
    </w:rPr>
  </w:style>
  <w:style w:type="paragraph" w:customStyle="1" w:styleId="39">
    <w:name w:val="HD正文1"/>
    <w:basedOn w:val="1"/>
    <w:qFormat/>
    <w:uiPriority w:val="0"/>
    <w:pPr>
      <w:spacing w:line="440" w:lineRule="atLeast"/>
      <w:ind w:firstLine="540"/>
    </w:pPr>
    <w:rPr>
      <w:rFonts w:ascii="Times New Roman" w:hAnsi="Times New Roman" w:eastAsia="宋体" w:cs="Times New Roman"/>
      <w:sz w:val="24"/>
      <w:szCs w:val="20"/>
    </w:rPr>
  </w:style>
  <w:style w:type="character" w:customStyle="1" w:styleId="40">
    <w:name w:val="标题 9 字符"/>
    <w:basedOn w:val="23"/>
    <w:link w:val="10"/>
    <w:semiHidden/>
    <w:qFormat/>
    <w:uiPriority w:val="9"/>
    <w:rPr>
      <w:rFonts w:asciiTheme="majorHAnsi" w:hAnsiTheme="majorHAnsi" w:eastAsiaTheme="majorEastAsia" w:cstheme="majorBidi"/>
    </w:rPr>
  </w:style>
  <w:style w:type="paragraph" w:customStyle="1" w:styleId="41">
    <w:name w:val="列出段落1"/>
    <w:basedOn w:val="1"/>
    <w:qFormat/>
    <w:uiPriority w:val="34"/>
    <w:pPr>
      <w:ind w:firstLine="420" w:firstLineChars="200"/>
    </w:pPr>
  </w:style>
  <w:style w:type="paragraph" w:customStyle="1" w:styleId="42">
    <w:name w:val="TOC 标题1"/>
    <w:basedOn w:val="2"/>
    <w:next w:val="1"/>
    <w:unhideWhenUsed/>
    <w:qFormat/>
    <w:uiPriority w:val="39"/>
    <w:pPr>
      <w:widowControl/>
      <w:numPr>
        <w:numId w:val="0"/>
      </w:numPr>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customStyle="1" w:styleId="43">
    <w:name w:val="TOC Heading"/>
    <w:basedOn w:val="2"/>
    <w:next w:val="1"/>
    <w:unhideWhenUsed/>
    <w:qFormat/>
    <w:uiPriority w:val="39"/>
    <w:pPr>
      <w:widowControl/>
      <w:numPr>
        <w:numId w:val="0"/>
      </w:numPr>
      <w:spacing w:before="240" w:after="0" w:line="259" w:lineRule="auto"/>
      <w:jc w:val="left"/>
      <w:outlineLvl w:val="9"/>
    </w:pPr>
    <w:rPr>
      <w:rFonts w:asciiTheme="majorHAnsi" w:hAnsiTheme="majorHAnsi" w:eastAsiaTheme="majorEastAsia" w:cstheme="majorBidi"/>
      <w:b w:val="0"/>
      <w:bCs w:val="0"/>
      <w:color w:val="366091" w:themeColor="accent1" w:themeShade="BF"/>
      <w:kern w:val="0"/>
      <w:sz w:val="32"/>
      <w:szCs w:val="32"/>
    </w:rPr>
  </w:style>
  <w:style w:type="paragraph" w:styleId="44">
    <w:name w:val="List Paragraph"/>
    <w:basedOn w:val="1"/>
    <w:qFormat/>
    <w:uiPriority w:val="99"/>
    <w:pPr>
      <w:ind w:firstLine="420" w:firstLineChars="200"/>
    </w:pPr>
  </w:style>
  <w:style w:type="paragraph" w:customStyle="1" w:styleId="45">
    <w:name w:val="WPSOffice手动目录 1"/>
    <w:uiPriority w:val="0"/>
    <w:pPr>
      <w:ind w:leftChars="0"/>
    </w:pPr>
    <w:rPr>
      <w:rFonts w:asciiTheme="minorHAnsi" w:hAnsiTheme="minorHAnsi" w:eastAsiaTheme="minorEastAsia" w:cstheme="minorBidi"/>
      <w:sz w:val="20"/>
      <w:szCs w:val="20"/>
    </w:rPr>
  </w:style>
  <w:style w:type="paragraph" w:customStyle="1" w:styleId="46">
    <w:name w:val="WPSOffice手动目录 2"/>
    <w:uiPriority w:val="0"/>
    <w:pPr>
      <w:ind w:leftChars="200"/>
    </w:pPr>
    <w:rPr>
      <w:rFonts w:asciiTheme="minorHAnsi" w:hAnsiTheme="minorHAnsi" w:eastAsiaTheme="minorEastAsia" w:cstheme="minorBidi"/>
      <w:sz w:val="20"/>
      <w:szCs w:val="20"/>
    </w:rPr>
  </w:style>
  <w:style w:type="paragraph" w:customStyle="1" w:styleId="47">
    <w:name w:val="WPSOffice手动目录 3"/>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image" Target="media/image1.png"/><Relationship Id="rId49" Type="http://schemas.openxmlformats.org/officeDocument/2006/relationships/customXml" Target="../customXml/item1.xml"/><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maya</Company>
  <Pages>33</Pages>
  <Words>966</Words>
  <Characters>5507</Characters>
  <Lines>45</Lines>
  <Paragraphs>12</Paragraphs>
  <TotalTime>4</TotalTime>
  <ScaleCrop>false</ScaleCrop>
  <LinksUpToDate>false</LinksUpToDate>
  <CharactersWithSpaces>6461</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2016-02-01T16:04:00Z</dcterms:created>
  <dc:creator>zhaogang</dc:creator>
  <cp:lastModifiedBy>Administrator</cp:lastModifiedBy>
  <cp:lastPrinted>2016-08-20T20:51:00Z</cp:lastPrinted>
  <dcterms:modified xsi:type="dcterms:W3CDTF">2021-06-03T07:57:14Z</dcterms:modified>
  <cp:revision>4114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D715C20549A144418D9565DD323AAB4F</vt:lpwstr>
  </property>
</Properties>
</file>