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河北阮鸿WeLink支持服务使用指南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等线" w:hAnsi="等线" w:eastAsia="等线" w:cs="等线"/>
          <w:sz w:val="24"/>
          <w:szCs w:val="32"/>
          <w:lang w:val="en-US" w:eastAsia="zh-CN"/>
        </w:rPr>
      </w:pPr>
      <w:r>
        <w:rPr>
          <w:rFonts w:hint="eastAsia" w:ascii="等线" w:hAnsi="等线" w:eastAsia="等线" w:cs="等线"/>
          <w:sz w:val="24"/>
          <w:szCs w:val="32"/>
          <w:lang w:val="en-US" w:eastAsia="zh-CN"/>
        </w:rPr>
        <w:t>我们通过专业服务指导客户使用华为云WeLink产品，交付方式为远程/人工。客户在购买该服务后，一年时间内在WeLink上产生的咨询问题都由河北阮鸿为您提供回复。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等线" w:hAnsi="等线" w:eastAsia="等线" w:cs="等线"/>
          <w:sz w:val="24"/>
          <w:szCs w:val="32"/>
          <w:lang w:val="en-US" w:eastAsia="zh-CN"/>
        </w:rPr>
      </w:pPr>
      <w:bookmarkStart w:id="0" w:name="_GoBack"/>
      <w:r>
        <w:rPr>
          <w:rFonts w:hint="eastAsia" w:ascii="等线" w:hAnsi="等线" w:eastAsia="等线" w:cs="等线"/>
          <w:sz w:val="24"/>
          <w:szCs w:val="32"/>
          <w:lang w:val="en-US" w:eastAsia="zh-CN"/>
        </w:rPr>
        <w:drawing>
          <wp:inline distT="0" distB="0" distL="114300" distR="114300">
            <wp:extent cx="5273040" cy="4729480"/>
            <wp:effectExtent l="0" t="0" r="10160" b="7620"/>
            <wp:docPr id="1" name="图片 1" descr="C:\Users\HW\Desktop\云市场welink用_A1C8.png云市场welink用_A1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HW\Desktop\云市场welink用_A1C8.png云市场welink用_A1C8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72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B18C6"/>
    <w:rsid w:val="0C694024"/>
    <w:rsid w:val="4EE707EA"/>
    <w:rsid w:val="51EB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2021-09-14T07:06:00Z</dcterms:created>
  <dc:creator>bonjour</dc:creator>
  <cp:lastModifiedBy>bonjour</cp:lastModifiedBy>
  <dcterms:modified xsi:type="dcterms:W3CDTF">2021-09-17T03:37:19Z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96CBC3A947644305B805BFDFFAD46A78</vt:lpwstr>
  </property>
</Properties>
</file>