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bCs/>
          <w:color w:val="auto"/>
          <w:sz w:val="32"/>
          <w:szCs w:val="32"/>
          <w:shd w:val="clear" w:color="auto" w:fill="FFFFFF"/>
          <w:lang w:eastAsia="zh-CN"/>
        </w:rPr>
      </w:pPr>
      <w:r>
        <w:rPr>
          <w:rFonts w:hint="eastAsia" w:ascii="宋体" w:hAnsi="宋体" w:eastAsia="宋体" w:cs="宋体"/>
          <w:b/>
          <w:bCs/>
          <w:color w:val="auto"/>
          <w:sz w:val="32"/>
          <w:szCs w:val="32"/>
          <w:shd w:val="clear" w:color="auto" w:fill="FFFFFF"/>
          <w:lang w:eastAsia="zh-CN"/>
        </w:rPr>
        <w:t>智慧社区平台介绍</w:t>
      </w:r>
    </w:p>
    <w:p>
      <w:pPr>
        <w:spacing w:line="480" w:lineRule="auto"/>
        <w:ind w:firstLine="420" w:firstLineChars="200"/>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公司积极响应国家建设雄安新区的号召，为了以后能够服务好雄安新区智慧社区建设，公司基于区块链技术自主研发的智慧社区平台，目前已经在北京、廊坊、唐山等多个地区多个项目进行应用，得到了客户的广泛好评，争取未来能够为雄安新区智慧社区建设添砖加瓦！</w:t>
      </w:r>
    </w:p>
    <w:p>
      <w:pPr>
        <w:spacing w:line="360" w:lineRule="auto"/>
        <w:ind w:firstLine="420" w:firstLineChars="200"/>
        <w:rPr>
          <w:rFonts w:hint="eastAsia" w:ascii="宋体" w:hAnsi="宋体" w:eastAsia="宋体" w:cs="宋体"/>
          <w:color w:val="auto"/>
          <w:szCs w:val="21"/>
          <w:shd w:val="clear" w:color="auto" w:fill="FFFFFF"/>
          <w:lang w:val="en-US" w:eastAsia="zh-CN"/>
        </w:rPr>
      </w:pPr>
    </w:p>
    <w:p>
      <w:pPr>
        <w:spacing w:line="400" w:lineRule="exact"/>
        <w:rPr>
          <w:rFonts w:hint="eastAsia" w:ascii="宋体" w:hAnsi="宋体" w:eastAsia="宋体" w:cs="宋体"/>
          <w:sz w:val="36"/>
          <w:szCs w:val="44"/>
          <w:lang w:eastAsia="zh-CN"/>
        </w:rPr>
      </w:pPr>
      <w:r>
        <w:rPr>
          <w:rFonts w:hint="eastAsia" w:ascii="宋体" w:hAnsi="宋体" w:eastAsia="宋体" w:cs="宋体"/>
          <w:b/>
          <w:color w:val="C00000"/>
          <w:sz w:val="24"/>
          <w:lang w:eastAsia="zh-CN"/>
        </w:rPr>
        <w:t>一</w:t>
      </w:r>
      <w:r>
        <w:rPr>
          <w:rFonts w:hint="eastAsia" w:ascii="宋体" w:hAnsi="宋体" w:eastAsia="宋体" w:cs="宋体"/>
          <w:b/>
          <w:color w:val="C00000"/>
          <w:sz w:val="24"/>
        </w:rPr>
        <w:t>、</w:t>
      </w:r>
      <w:r>
        <w:rPr>
          <w:rFonts w:hint="eastAsia" w:ascii="宋体" w:hAnsi="宋体" w:eastAsia="宋体" w:cs="宋体"/>
          <w:b/>
          <w:color w:val="C00000"/>
          <w:sz w:val="24"/>
          <w:lang w:eastAsia="zh-CN"/>
        </w:rPr>
        <w:t>智慧社区</w:t>
      </w:r>
      <w:r>
        <w:rPr>
          <w:rFonts w:hint="eastAsia" w:ascii="宋体" w:hAnsi="宋体" w:eastAsia="宋体" w:cs="宋体"/>
          <w:b/>
          <w:color w:val="C00000"/>
          <w:sz w:val="24"/>
        </w:rPr>
        <w:t>产品介绍</w:t>
      </w:r>
    </w:p>
    <w:p>
      <w:pPr>
        <w:pStyle w:val="5"/>
        <w:numPr>
          <w:ilvl w:val="0"/>
          <w:numId w:val="1"/>
        </w:numPr>
        <w:bidi w:val="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基础数据</w:t>
      </w:r>
    </w:p>
    <w:p>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46370" cy="2773045"/>
            <wp:effectExtent l="0" t="0" r="11430" b="8255"/>
            <wp:docPr id="47109"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图片 1" descr="C:\Users\Administrator\Desktop\图片1.png图片1"/>
                    <pic:cNvPicPr>
                      <a:picLocks noChangeAspect="1"/>
                    </pic:cNvPicPr>
                  </pic:nvPicPr>
                  <pic:blipFill>
                    <a:blip r:embed="rId5"/>
                    <a:stretch>
                      <a:fillRect/>
                    </a:stretch>
                  </pic:blipFill>
                  <pic:spPr>
                    <a:xfrm>
                      <a:off x="0" y="0"/>
                      <a:ext cx="5246370" cy="2773045"/>
                    </a:xfrm>
                    <a:prstGeom prst="rect">
                      <a:avLst/>
                    </a:prstGeom>
                    <a:noFill/>
                    <a:ln w="9525">
                      <a:noFill/>
                    </a:ln>
                  </pic:spPr>
                </pic:pic>
              </a:graphicData>
            </a:graphic>
          </wp:inline>
        </w:drawing>
      </w:r>
    </w:p>
    <w:p>
      <w:pPr>
        <w:spacing w:line="360" w:lineRule="auto"/>
        <w:rPr>
          <w:rFonts w:hint="eastAsia" w:ascii="宋体" w:hAnsi="宋体" w:eastAsia="宋体" w:cs="宋体"/>
          <w:lang w:val="en-US" w:eastAsia="zh-CN"/>
        </w:rPr>
      </w:pPr>
      <w:r>
        <w:rPr>
          <w:rFonts w:hint="eastAsia" w:ascii="宋体" w:hAnsi="宋体" w:eastAsia="宋体" w:cs="宋体"/>
          <w:lang w:val="en-US" w:eastAsia="zh-CN"/>
        </w:rPr>
        <w:t>1.1</w:t>
      </w:r>
      <w:r>
        <w:rPr>
          <w:rFonts w:hint="eastAsia" w:ascii="宋体" w:hAnsi="宋体" w:eastAsia="宋体" w:cs="宋体"/>
          <w:lang w:val="en-US" w:eastAsia="zh-CN"/>
        </w:rPr>
        <w:t>全面的社区资源管理</w:t>
      </w:r>
    </w:p>
    <w:p>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社区的</w:t>
      </w:r>
      <w:r>
        <w:rPr>
          <w:rFonts w:hint="eastAsia" w:ascii="宋体" w:hAnsi="宋体" w:eastAsia="宋体" w:cs="宋体"/>
          <w:lang w:val="en-US" w:eastAsia="zh-CN"/>
        </w:rPr>
        <w:t>区域信息、项目信息、楼栋信息、单元信息、房产信息、房产结构调整、楼宇公区信息、户外公区信息、公建配套、车场信息、车区信息、车位信息、其他资源</w:t>
      </w:r>
      <w:r>
        <w:rPr>
          <w:rFonts w:hint="eastAsia" w:ascii="宋体" w:hAnsi="宋体" w:eastAsia="宋体" w:cs="宋体"/>
          <w:lang w:val="en-US" w:eastAsia="zh-CN"/>
        </w:rPr>
        <w:t>的管理</w:t>
      </w:r>
    </w:p>
    <w:p>
      <w:pPr>
        <w:spacing w:line="360" w:lineRule="auto"/>
        <w:rPr>
          <w:rFonts w:hint="eastAsia" w:ascii="宋体" w:hAnsi="宋体" w:eastAsia="宋体" w:cs="宋体"/>
          <w:lang w:val="en-US" w:eastAsia="zh-CN"/>
        </w:rPr>
      </w:pPr>
      <w:r>
        <w:rPr>
          <w:rFonts w:hint="eastAsia" w:ascii="宋体" w:hAnsi="宋体" w:eastAsia="宋体" w:cs="宋体"/>
          <w:lang w:val="en-US" w:eastAsia="zh-CN"/>
        </w:rPr>
        <w:t>1.2角色权限管理</w:t>
      </w:r>
    </w:p>
    <w:p>
      <w:pPr>
        <w:spacing w:line="360" w:lineRule="auto"/>
        <w:rPr>
          <w:rFonts w:hint="eastAsia" w:ascii="宋体" w:hAnsi="宋体" w:eastAsia="宋体" w:cs="宋体"/>
          <w:lang w:val="en-US" w:eastAsia="zh-CN"/>
        </w:rPr>
      </w:pPr>
      <w:r>
        <w:rPr>
          <w:rFonts w:hint="eastAsia" w:ascii="宋体" w:hAnsi="宋体" w:eastAsia="宋体" w:cs="宋体"/>
          <w:lang w:val="en-US" w:eastAsia="zh-CN"/>
        </w:rPr>
        <w:t xml:space="preserve">  不同的职位，不同操作员登录系统，根据权限不同，看到的内容不同，精细化分工协作</w:t>
      </w:r>
    </w:p>
    <w:p>
      <w:pPr>
        <w:spacing w:line="360" w:lineRule="auto"/>
        <w:rPr>
          <w:rFonts w:hint="eastAsia" w:ascii="宋体" w:hAnsi="宋体" w:eastAsia="宋体" w:cs="宋体"/>
          <w:lang w:val="en-US" w:eastAsia="zh-CN"/>
        </w:rPr>
      </w:pPr>
      <w:r>
        <w:rPr>
          <w:rFonts w:hint="eastAsia" w:ascii="宋体" w:hAnsi="宋体" w:eastAsia="宋体" w:cs="宋体"/>
          <w:lang w:val="en-US" w:eastAsia="zh-CN"/>
        </w:rPr>
        <w:t>根据不同角色设定权限，操作员只需按需配置权限组即可。</w:t>
      </w:r>
    </w:p>
    <w:p>
      <w:pPr>
        <w:pStyle w:val="5"/>
        <w:numPr>
          <w:ilvl w:val="0"/>
          <w:numId w:val="1"/>
        </w:numPr>
        <w:bidi w:val="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财务收费</w:t>
      </w:r>
    </w:p>
    <w:p>
      <w:pPr>
        <w:rPr>
          <w:rFonts w:hint="eastAsia" w:ascii="宋体" w:hAnsi="宋体" w:eastAsia="宋体" w:cs="宋体"/>
          <w:lang w:val="en-US" w:eastAsia="zh-CN"/>
        </w:rPr>
      </w:pPr>
    </w:p>
    <w:p>
      <w:p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98440" cy="3280410"/>
            <wp:effectExtent l="12700" t="12700" r="22860" b="215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98440" cy="3280410"/>
                    </a:xfrm>
                    <a:prstGeom prst="rect">
                      <a:avLst/>
                    </a:prstGeom>
                    <a:noFill/>
                    <a:ln w="12700" cmpd="sng">
                      <a:solidFill>
                        <a:schemeClr val="accent1">
                          <a:shade val="50000"/>
                        </a:schemeClr>
                      </a:solidFill>
                      <a:prstDash val="solid"/>
                    </a:ln>
                  </pic:spPr>
                </pic:pic>
              </a:graphicData>
            </a:graphic>
          </wp:inline>
        </w:drawing>
      </w:r>
      <w:r>
        <w:rPr>
          <w:rFonts w:hint="eastAsia" w:ascii="宋体" w:hAnsi="宋体" w:eastAsia="宋体" w:cs="宋体"/>
          <w:b/>
          <w:bCs/>
          <w:lang w:val="en-US" w:eastAsia="zh-CN"/>
        </w:rPr>
        <w:t>全面收费管理系统</w:t>
      </w:r>
    </w:p>
    <w:p>
      <w:pPr>
        <w:numPr>
          <w:ilvl w:val="0"/>
          <w:numId w:val="2"/>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物业费租金水电费公摊押金单个批量快速收取</w:t>
      </w:r>
    </w:p>
    <w:p>
      <w:pPr>
        <w:numPr>
          <w:ilvl w:val="0"/>
          <w:numId w:val="2"/>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可视化灵活设置各种复杂公摊收费标准计算公式</w:t>
      </w:r>
    </w:p>
    <w:p>
      <w:pPr>
        <w:numPr>
          <w:ilvl w:val="0"/>
          <w:numId w:val="2"/>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应收、实收、未收一览无遗，所有操作有痕迹</w:t>
      </w:r>
    </w:p>
    <w:p>
      <w:pPr>
        <w:numPr>
          <w:ilvl w:val="0"/>
          <w:numId w:val="2"/>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国内独家汇总表明细表多级穿透式统计查询技术</w:t>
      </w:r>
    </w:p>
    <w:p>
      <w:pPr>
        <w:numPr>
          <w:ilvl w:val="0"/>
          <w:numId w:val="2"/>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定期自动欠费应缴预警并以短信微信推送给客户</w:t>
      </w:r>
    </w:p>
    <w:p>
      <w:pPr>
        <w:numPr>
          <w:ilvl w:val="0"/>
          <w:numId w:val="2"/>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物业费租金水电公摊费押金快速收取</w:t>
      </w:r>
    </w:p>
    <w:p>
      <w:pPr>
        <w:numPr>
          <w:ilvl w:val="0"/>
          <w:numId w:val="2"/>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收费项设置、收费公式设置、违约金标准设置、房产收费项设置、车辆月保费设置、银行托收设置、房产信息查询灵活的收费设置、适配于各种收费场景。</w:t>
      </w:r>
    </w:p>
    <w:p>
      <w:pPr>
        <w:rPr>
          <w:rFonts w:hint="eastAsia" w:ascii="宋体" w:hAnsi="宋体" w:eastAsia="宋体" w:cs="宋体"/>
          <w:lang w:val="en-US" w:eastAsia="zh-CN"/>
        </w:rPr>
      </w:pPr>
    </w:p>
    <w:p>
      <w:pPr>
        <w:pStyle w:val="5"/>
        <w:numPr>
          <w:ilvl w:val="0"/>
          <w:numId w:val="1"/>
        </w:numPr>
        <w:bidi w:val="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客户服务</w:t>
      </w:r>
    </w:p>
    <w:p>
      <w:pPr>
        <w:rPr>
          <w:rFonts w:hint="eastAsia" w:ascii="宋体" w:hAnsi="宋体" w:eastAsia="宋体" w:cs="宋体"/>
        </w:rPr>
      </w:pPr>
      <w:r>
        <w:rPr>
          <w:rFonts w:hint="eastAsia" w:ascii="宋体" w:hAnsi="宋体" w:eastAsia="宋体" w:cs="宋体"/>
        </w:rPr>
        <w:drawing>
          <wp:inline distT="0" distB="0" distL="114300" distR="114300">
            <wp:extent cx="5683885" cy="3623310"/>
            <wp:effectExtent l="0" t="0" r="12065" b="15240"/>
            <wp:docPr id="63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图片 1"/>
                    <pic:cNvPicPr>
                      <a:picLocks noChangeAspect="1"/>
                    </pic:cNvPicPr>
                  </pic:nvPicPr>
                  <pic:blipFill>
                    <a:blip r:embed="rId7"/>
                    <a:stretch>
                      <a:fillRect/>
                    </a:stretch>
                  </pic:blipFill>
                  <pic:spPr>
                    <a:xfrm>
                      <a:off x="0" y="0"/>
                      <a:ext cx="5683885" cy="3623310"/>
                    </a:xfrm>
                    <a:prstGeom prst="rect">
                      <a:avLst/>
                    </a:prstGeom>
                    <a:noFill/>
                    <a:ln w="9525">
                      <a:noFill/>
                    </a:ln>
                  </pic:spPr>
                </pic:pic>
              </a:graphicData>
            </a:graphic>
          </wp:inline>
        </w:drawing>
      </w:r>
    </w:p>
    <w:p>
      <w:pPr>
        <w:numPr>
          <w:ilvl w:val="0"/>
          <w:numId w:val="3"/>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以客服总台为导向即时响应服务诉求</w:t>
      </w:r>
    </w:p>
    <w:p>
      <w:pPr>
        <w:numPr>
          <w:ilvl w:val="0"/>
          <w:numId w:val="3"/>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统一调度逐级提醒</w:t>
      </w:r>
    </w:p>
    <w:p>
      <w:pPr>
        <w:numPr>
          <w:ilvl w:val="0"/>
          <w:numId w:val="3"/>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来电即弹出客户以往欠缴费信息、报事报修投诉进度</w:t>
      </w:r>
    </w:p>
    <w:p>
      <w:pPr>
        <w:numPr>
          <w:ilvl w:val="0"/>
          <w:numId w:val="3"/>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业主客户端APP（幸福亿家）与物业端APP（亿家通）数据实时互联互通</w:t>
      </w:r>
    </w:p>
    <w:p>
      <w:pPr>
        <w:numPr>
          <w:ilvl w:val="0"/>
          <w:numId w:val="3"/>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客服流程个性化定制自动派单、统一调度掌上工单处理、待办提醒</w:t>
      </w:r>
    </w:p>
    <w:p>
      <w:pPr>
        <w:numPr>
          <w:ilvl w:val="0"/>
          <w:numId w:val="3"/>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全流程跟踪管控、客户呼叫中心</w:t>
      </w:r>
    </w:p>
    <w:p>
      <w:pPr>
        <w:numPr>
          <w:ilvl w:val="0"/>
          <w:numId w:val="3"/>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客户服务管理 ： 我的待办、我的已办、报事管理、工单管理、督办详情、地产报事</w:t>
      </w:r>
    </w:p>
    <w:p>
      <w:pPr>
        <w:numPr>
          <w:ilvl w:val="0"/>
          <w:numId w:val="0"/>
        </w:numPr>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413375" cy="2451735"/>
            <wp:effectExtent l="0" t="0" r="1587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413375" cy="2451735"/>
                    </a:xfrm>
                    <a:prstGeom prst="rect">
                      <a:avLst/>
                    </a:prstGeom>
                    <a:noFill/>
                    <a:ln>
                      <a:noFill/>
                    </a:ln>
                  </pic:spPr>
                </pic:pic>
              </a:graphicData>
            </a:graphic>
          </wp:inline>
        </w:drawing>
      </w:r>
    </w:p>
    <w:p>
      <w:pPr>
        <w:jc w:val="center"/>
        <w:rPr>
          <w:rFonts w:hint="eastAsia" w:ascii="宋体" w:hAnsi="宋体" w:eastAsia="宋体" w:cs="宋体"/>
          <w:lang w:val="en-US" w:eastAsia="zh-CN"/>
        </w:rPr>
      </w:pPr>
      <w:r>
        <w:rPr>
          <w:rFonts w:hint="eastAsia" w:ascii="宋体" w:hAnsi="宋体" w:eastAsia="宋体" w:cs="宋体"/>
          <w:lang w:val="en-US" w:eastAsia="zh-CN"/>
        </w:rPr>
        <w:t>客户服务系统----APP端</w:t>
      </w:r>
    </w:p>
    <w:p>
      <w:pPr>
        <w:pStyle w:val="5"/>
        <w:numPr>
          <w:ilvl w:val="0"/>
          <w:numId w:val="1"/>
        </w:numPr>
        <w:bidi w:val="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巡检巡查</w:t>
      </w:r>
    </w:p>
    <w:p>
      <w:pPr>
        <w:rPr>
          <w:rFonts w:hint="eastAsia" w:ascii="宋体" w:hAnsi="宋体" w:eastAsia="宋体" w:cs="宋体"/>
        </w:rPr>
      </w:pPr>
      <w:r>
        <w:rPr>
          <w:rFonts w:hint="eastAsia" w:ascii="宋体" w:hAnsi="宋体" w:eastAsia="宋体" w:cs="宋体"/>
        </w:rPr>
        <w:drawing>
          <wp:inline distT="0" distB="0" distL="114300" distR="114300">
            <wp:extent cx="5881370" cy="2816225"/>
            <wp:effectExtent l="0" t="0" r="508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881370" cy="2816225"/>
                    </a:xfrm>
                    <a:prstGeom prst="rect">
                      <a:avLst/>
                    </a:prstGeom>
                    <a:noFill/>
                    <a:ln>
                      <a:noFill/>
                    </a:ln>
                  </pic:spPr>
                </pic:pic>
              </a:graphicData>
            </a:graphic>
          </wp:inline>
        </w:drawing>
      </w:r>
    </w:p>
    <w:p>
      <w:pPr>
        <w:numPr>
          <w:ilvl w:val="0"/>
          <w:numId w:val="4"/>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巡检项设置</w:t>
      </w:r>
    </w:p>
    <w:p>
      <w:pPr>
        <w:numPr>
          <w:ilvl w:val="0"/>
          <w:numId w:val="4"/>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巡检类型设置</w:t>
      </w:r>
    </w:p>
    <w:p>
      <w:pPr>
        <w:numPr>
          <w:ilvl w:val="0"/>
          <w:numId w:val="4"/>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例行任务设置</w:t>
      </w:r>
    </w:p>
    <w:p>
      <w:pPr>
        <w:numPr>
          <w:ilvl w:val="0"/>
          <w:numId w:val="4"/>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任务管理</w:t>
      </w:r>
    </w:p>
    <w:p>
      <w:pPr>
        <w:numPr>
          <w:ilvl w:val="0"/>
          <w:numId w:val="4"/>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巡检统计</w:t>
      </w:r>
    </w:p>
    <w:p>
      <w:pPr>
        <w:numPr>
          <w:ilvl w:val="0"/>
          <w:numId w:val="0"/>
        </w:numPr>
        <w:ind w:leftChars="0"/>
        <w:rPr>
          <w:rFonts w:hint="eastAsia" w:ascii="宋体" w:hAnsi="宋体" w:eastAsia="宋体" w:cs="宋体"/>
        </w:rPr>
      </w:pPr>
      <w:r>
        <w:rPr>
          <w:rFonts w:hint="eastAsia" w:ascii="宋体" w:hAnsi="宋体" w:eastAsia="宋体" w:cs="宋体"/>
        </w:rPr>
        <w:drawing>
          <wp:inline distT="0" distB="0" distL="114300" distR="114300">
            <wp:extent cx="2143125" cy="3275330"/>
            <wp:effectExtent l="12700" t="12700" r="15875" b="26670"/>
            <wp:docPr id="72710" name="图片 7"/>
            <wp:cNvGraphicFramePr/>
            <a:graphic xmlns:a="http://schemas.openxmlformats.org/drawingml/2006/main">
              <a:graphicData uri="http://schemas.openxmlformats.org/drawingml/2006/picture">
                <pic:pic xmlns:pic="http://schemas.openxmlformats.org/drawingml/2006/picture">
                  <pic:nvPicPr>
                    <pic:cNvPr id="72710" name="图片 7"/>
                    <pic:cNvPicPr/>
                  </pic:nvPicPr>
                  <pic:blipFill>
                    <a:blip r:embed="rId10"/>
                    <a:stretch>
                      <a:fillRect/>
                    </a:stretch>
                  </pic:blipFill>
                  <pic:spPr>
                    <a:xfrm>
                      <a:off x="0" y="0"/>
                      <a:ext cx="2143125" cy="3275330"/>
                    </a:xfrm>
                    <a:prstGeom prst="rect">
                      <a:avLst/>
                    </a:prstGeom>
                    <a:noFill/>
                    <a:ln w="12700" cmpd="sng">
                      <a:solidFill>
                        <a:schemeClr val="accent1">
                          <a:shade val="50000"/>
                        </a:schemeClr>
                      </a:solidFill>
                      <a:prstDash val="solid"/>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2141855" cy="3275965"/>
            <wp:effectExtent l="12700" t="12700" r="17145" b="26035"/>
            <wp:docPr id="72711" name="图片 1" descr="c47405bfcc87d6c15daf97835696d72"/>
            <wp:cNvGraphicFramePr/>
            <a:graphic xmlns:a="http://schemas.openxmlformats.org/drawingml/2006/main">
              <a:graphicData uri="http://schemas.openxmlformats.org/drawingml/2006/picture">
                <pic:pic xmlns:pic="http://schemas.openxmlformats.org/drawingml/2006/picture">
                  <pic:nvPicPr>
                    <pic:cNvPr id="72711" name="图片 1" descr="c47405bfcc87d6c15daf97835696d72"/>
                    <pic:cNvPicPr/>
                  </pic:nvPicPr>
                  <pic:blipFill>
                    <a:blip r:embed="rId11"/>
                    <a:stretch>
                      <a:fillRect/>
                    </a:stretch>
                  </pic:blipFill>
                  <pic:spPr>
                    <a:xfrm>
                      <a:off x="0" y="0"/>
                      <a:ext cx="2141855" cy="3275965"/>
                    </a:xfrm>
                    <a:prstGeom prst="rect">
                      <a:avLst/>
                    </a:prstGeom>
                    <a:noFill/>
                    <a:ln w="12700" cmpd="sng">
                      <a:solidFill>
                        <a:schemeClr val="accent1">
                          <a:shade val="50000"/>
                        </a:schemeClr>
                      </a:solidFill>
                      <a:prstDash val="solid"/>
                    </a:ln>
                  </pic:spPr>
                </pic:pic>
              </a:graphicData>
            </a:graphic>
          </wp:inline>
        </w:drawing>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 xml:space="preserve">            </w:t>
      </w:r>
    </w:p>
    <w:p>
      <w:pPr>
        <w:numPr>
          <w:ilvl w:val="0"/>
          <w:numId w:val="0"/>
        </w:numPr>
        <w:ind w:leftChars="0"/>
        <w:jc w:val="center"/>
        <w:rPr>
          <w:rFonts w:hint="eastAsia" w:ascii="宋体" w:hAnsi="宋体" w:eastAsia="宋体" w:cs="宋体"/>
          <w:lang w:val="en-US" w:eastAsia="zh-CN"/>
        </w:rPr>
      </w:pPr>
      <w:r>
        <w:rPr>
          <w:rFonts w:hint="eastAsia" w:ascii="宋体" w:hAnsi="宋体" w:eastAsia="宋体" w:cs="宋体"/>
          <w:lang w:val="en-US" w:eastAsia="zh-CN"/>
        </w:rPr>
        <w:t>巡检巡查---- 物业端APP</w:t>
      </w:r>
    </w:p>
    <w:p>
      <w:pPr>
        <w:pStyle w:val="5"/>
        <w:numPr>
          <w:ilvl w:val="0"/>
          <w:numId w:val="1"/>
        </w:numPr>
        <w:bidi w:val="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设备管理</w:t>
      </w:r>
    </w:p>
    <w:p>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幸福亿家智能硬件数据系统基于互联网应用场景开发，通过将现有的硬件进行加装芯片模块或改造核心部件方式使其具备连接互联网的能力，打破各个硬件的信息孤岛，再将硬件动作数据进行加工分析最终发挥其最大价值。</w:t>
      </w:r>
    </w:p>
    <w:p>
      <w:pPr>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6221730" cy="2969260"/>
            <wp:effectExtent l="0" t="0" r="7620" b="2540"/>
            <wp:docPr id="79876" name="图片 1" descr="C:\Users\Administrator\Desktop\未标题-5.jpg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图片 1" descr="C:\Users\Administrator\Desktop\未标题-5.jpg未标题-5"/>
                    <pic:cNvPicPr>
                      <a:picLocks noChangeAspect="1"/>
                    </pic:cNvPicPr>
                  </pic:nvPicPr>
                  <pic:blipFill>
                    <a:blip r:embed="rId12"/>
                    <a:stretch>
                      <a:fillRect/>
                    </a:stretch>
                  </pic:blipFill>
                  <pic:spPr>
                    <a:xfrm>
                      <a:off x="0" y="0"/>
                      <a:ext cx="6221730" cy="2969260"/>
                    </a:xfrm>
                    <a:prstGeom prst="rect">
                      <a:avLst/>
                    </a:prstGeom>
                    <a:noFill/>
                    <a:ln w="9525">
                      <a:noFill/>
                    </a:ln>
                  </pic:spPr>
                </pic:pic>
              </a:graphicData>
            </a:graphic>
          </wp:inline>
        </w:drawing>
      </w:r>
    </w:p>
    <w:p>
      <w:pPr>
        <w:pStyle w:val="5"/>
        <w:numPr>
          <w:ilvl w:val="0"/>
          <w:numId w:val="1"/>
        </w:numPr>
        <w:bidi w:val="0"/>
        <w:rPr>
          <w:rFonts w:hint="eastAsia" w:ascii="宋体" w:hAnsi="宋体" w:eastAsia="宋体" w:cs="宋体"/>
          <w:lang w:val="en-US" w:eastAsia="zh-CN"/>
        </w:rPr>
      </w:pPr>
      <w:r>
        <w:rPr>
          <w:rFonts w:hint="eastAsia" w:ascii="宋体" w:hAnsi="宋体" w:eastAsia="宋体" w:cs="宋体"/>
          <w:lang w:val="en-US" w:eastAsia="zh-CN"/>
        </w:rPr>
        <w:t>亿家云（COS社区商业运营系统)</w:t>
      </w:r>
    </w:p>
    <w:p>
      <w:pPr>
        <w:rPr>
          <w:rFonts w:hint="eastAsia" w:ascii="宋体" w:hAnsi="宋体" w:eastAsia="宋体" w:cs="宋体"/>
          <w:lang w:val="en-US" w:eastAsia="zh-CN"/>
        </w:rPr>
      </w:pPr>
      <w:r>
        <w:rPr>
          <w:rFonts w:hint="eastAsia" w:ascii="宋体" w:hAnsi="宋体" w:eastAsia="宋体" w:cs="宋体"/>
        </w:rPr>
        <w:drawing>
          <wp:inline distT="0" distB="0" distL="114300" distR="114300">
            <wp:extent cx="6315075" cy="3068955"/>
            <wp:effectExtent l="0" t="0" r="9525" b="17145"/>
            <wp:docPr id="768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图片 3"/>
                    <pic:cNvPicPr>
                      <a:picLocks noChangeAspect="1"/>
                    </pic:cNvPicPr>
                  </pic:nvPicPr>
                  <pic:blipFill>
                    <a:blip r:embed="rId13"/>
                    <a:stretch>
                      <a:fillRect/>
                    </a:stretch>
                  </pic:blipFill>
                  <pic:spPr>
                    <a:xfrm>
                      <a:off x="0" y="0"/>
                      <a:ext cx="6315075" cy="3068955"/>
                    </a:xfrm>
                    <a:prstGeom prst="rect">
                      <a:avLst/>
                    </a:prstGeom>
                    <a:noFill/>
                    <a:ln w="9525">
                      <a:noFill/>
                    </a:ln>
                  </pic:spPr>
                </pic:pic>
              </a:graphicData>
            </a:graphic>
          </wp:inline>
        </w:drawing>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亿家云社区商业运营平台是基于多商家多店铺底层业务开发电商平台，广泛适用于O2O、B2C、C2C和C2M等商业模式，与智慧物管工作平台数据互联互通。</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与智能硬件数据平台无缝对接实时互联。</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商家管理：对商家认证审核等基本信息管理</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产品管理：对平台产品的结算比例、产品规格详情进行实时管理</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资金管理：对平台资金的待结算、已结算、退款、保证金、用户储值资金进行管理</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订单管理：管理待付款、已付款待服务、待配送、已核销的订单</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营销管理：优惠卷、积分、支付有礼、随机红包等营销活动管理</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数据分析：实时对平台和产品的PV/UV等多纬度的分析</w:t>
      </w:r>
    </w:p>
    <w:p>
      <w:pPr>
        <w:numPr>
          <w:ilvl w:val="0"/>
          <w:numId w:val="5"/>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评价管理：好评中评差评</w:t>
      </w:r>
    </w:p>
    <w:p>
      <w:pPr>
        <w:pStyle w:val="5"/>
        <w:numPr>
          <w:ilvl w:val="0"/>
          <w:numId w:val="1"/>
        </w:numPr>
        <w:bidi w:val="0"/>
        <w:rPr>
          <w:rFonts w:hint="eastAsia" w:ascii="宋体" w:hAnsi="宋体" w:eastAsia="宋体" w:cs="宋体"/>
          <w:lang w:val="en-US" w:eastAsia="zh-CN"/>
        </w:rPr>
      </w:pPr>
      <w:r>
        <w:rPr>
          <w:rFonts w:hint="eastAsia" w:ascii="宋体" w:hAnsi="宋体" w:eastAsia="宋体" w:cs="宋体"/>
        </w:rPr>
        <w:drawing>
          <wp:anchor distT="0" distB="0" distL="114300" distR="114300" simplePos="0" relativeHeight="251659264" behindDoc="1" locked="0" layoutInCell="1" allowOverlap="1">
            <wp:simplePos x="0" y="0"/>
            <wp:positionH relativeFrom="column">
              <wp:posOffset>3333750</wp:posOffset>
            </wp:positionH>
            <wp:positionV relativeFrom="paragraph">
              <wp:posOffset>173355</wp:posOffset>
            </wp:positionV>
            <wp:extent cx="2040255" cy="3238500"/>
            <wp:effectExtent l="12700" t="12700" r="23495" b="25400"/>
            <wp:wrapNone/>
            <wp:docPr id="90150" name="图片 1"/>
            <wp:cNvGraphicFramePr/>
            <a:graphic xmlns:a="http://schemas.openxmlformats.org/drawingml/2006/main">
              <a:graphicData uri="http://schemas.openxmlformats.org/drawingml/2006/picture">
                <pic:pic xmlns:pic="http://schemas.openxmlformats.org/drawingml/2006/picture">
                  <pic:nvPicPr>
                    <pic:cNvPr id="90150" name="图片 1"/>
                    <pic:cNvPicPr/>
                  </pic:nvPicPr>
                  <pic:blipFill>
                    <a:blip r:embed="rId14"/>
                    <a:stretch>
                      <a:fillRect/>
                    </a:stretch>
                  </pic:blipFill>
                  <pic:spPr>
                    <a:xfrm>
                      <a:off x="0" y="0"/>
                      <a:ext cx="2040255" cy="3238500"/>
                    </a:xfrm>
                    <a:prstGeom prst="rect">
                      <a:avLst/>
                    </a:prstGeom>
                    <a:noFill/>
                    <a:ln w="12700" cmpd="sng">
                      <a:solidFill>
                        <a:schemeClr val="accent1">
                          <a:shade val="50000"/>
                        </a:schemeClr>
                      </a:solidFill>
                      <a:prstDash val="solid"/>
                    </a:ln>
                  </pic:spPr>
                </pic:pic>
              </a:graphicData>
            </a:graphic>
          </wp:anchor>
        </w:drawing>
      </w:r>
      <w:r>
        <w:rPr>
          <w:rFonts w:hint="eastAsia" w:ascii="宋体" w:hAnsi="宋体" w:eastAsia="宋体" w:cs="宋体"/>
          <w:lang w:val="en-US" w:eastAsia="zh-CN"/>
        </w:rPr>
        <w:t>亿家通（物业APP)</w:t>
      </w:r>
    </w:p>
    <w:p>
      <w:pPr>
        <w:rPr>
          <w:rFonts w:hint="eastAsia" w:ascii="宋体" w:hAnsi="宋体" w:eastAsia="宋体" w:cs="宋体"/>
          <w:lang w:val="en-US" w:eastAsia="zh-CN"/>
        </w:rPr>
      </w:pP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建立内部员工全覆盖的移动智能物管工作平台</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移动接收企业公告、红头文件、当日待办事务</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移动企业制度、岗位技能、行业知识学习讨论平台</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移动请示报告、付款申请、采购申请等工作流审批</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移动报事报修工单指派、处理、办结形成闭环</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移动扫码收费、欠费催缴、待收提醒，提高人效</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移动抄表、设施设备巡检维保、仓库物料领用</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移动采购出入库申请、移动库存与资产扫码盘点</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移动现场品质核查、整改通知、第三方服务打分</w:t>
      </w:r>
    </w:p>
    <w:p>
      <w:pPr>
        <w:numPr>
          <w:ilvl w:val="0"/>
          <w:numId w:val="6"/>
        </w:numPr>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移动安保巡逻检查、移动考勤、移动查看工资表</w:t>
      </w:r>
    </w:p>
    <w:p>
      <w:pPr>
        <w:rPr>
          <w:rFonts w:hint="eastAsia" w:ascii="宋体" w:hAnsi="宋体" w:eastAsia="宋体" w:cs="宋体"/>
          <w:lang w:val="en-US" w:eastAsia="zh-CN"/>
        </w:rPr>
      </w:pPr>
    </w:p>
    <w:p>
      <w:pPr>
        <w:bidi w:val="0"/>
        <w:rPr>
          <w:rFonts w:hint="eastAsia" w:ascii="宋体" w:hAnsi="宋体" w:eastAsia="宋体" w:cs="宋体"/>
          <w:lang w:val="en-US" w:eastAsia="zh-CN"/>
        </w:rPr>
      </w:pPr>
    </w:p>
    <w:p>
      <w:pPr>
        <w:numPr>
          <w:ilvl w:val="0"/>
          <w:numId w:val="1"/>
        </w:numPr>
        <w:bidi w:val="0"/>
        <w:ind w:left="0" w:leftChars="0" w:firstLine="0" w:firstLineChars="0"/>
        <w:rPr>
          <w:rFonts w:hint="eastAsia" w:ascii="宋体" w:hAnsi="宋体" w:eastAsia="宋体" w:cs="宋体"/>
          <w:b/>
          <w:kern w:val="2"/>
          <w:sz w:val="28"/>
          <w:szCs w:val="24"/>
          <w:lang w:val="en-US" w:eastAsia="zh-CN" w:bidi="ar-SA"/>
        </w:rPr>
      </w:pPr>
      <w:r>
        <w:rPr>
          <w:rFonts w:hint="eastAsia" w:ascii="宋体" w:hAnsi="宋体" w:eastAsia="宋体" w:cs="宋体"/>
          <w:b/>
          <w:kern w:val="2"/>
          <w:sz w:val="28"/>
          <w:szCs w:val="24"/>
          <w:lang w:val="en-US" w:eastAsia="zh-CN" w:bidi="ar-SA"/>
        </w:rPr>
        <w:t>幸福亿家（业务APP）</w:t>
      </w:r>
    </w:p>
    <w:p>
      <w:pPr>
        <w:numPr>
          <w:ilvl w:val="0"/>
          <w:numId w:val="0"/>
        </w:numPr>
        <w:bidi w:val="0"/>
        <w:ind w:leftChars="0"/>
        <w:rPr>
          <w:rFonts w:hint="eastAsia" w:ascii="宋体" w:hAnsi="宋体" w:eastAsia="宋体" w:cs="宋体"/>
          <w:b/>
          <w:kern w:val="2"/>
          <w:sz w:val="28"/>
          <w:szCs w:val="24"/>
          <w:lang w:val="en-US" w:eastAsia="zh-CN" w:bidi="ar-SA"/>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-247650</wp:posOffset>
            </wp:positionH>
            <wp:positionV relativeFrom="paragraph">
              <wp:posOffset>35560</wp:posOffset>
            </wp:positionV>
            <wp:extent cx="2202180" cy="3328035"/>
            <wp:effectExtent l="12700" t="12700" r="13970" b="31115"/>
            <wp:wrapSquare wrapText="bothSides"/>
            <wp:docPr id="92192" name="图片 3"/>
            <wp:cNvGraphicFramePr/>
            <a:graphic xmlns:a="http://schemas.openxmlformats.org/drawingml/2006/main">
              <a:graphicData uri="http://schemas.openxmlformats.org/drawingml/2006/picture">
                <pic:pic xmlns:pic="http://schemas.openxmlformats.org/drawingml/2006/picture">
                  <pic:nvPicPr>
                    <pic:cNvPr id="92192" name="图片 3"/>
                    <pic:cNvPicPr/>
                  </pic:nvPicPr>
                  <pic:blipFill>
                    <a:blip r:embed="rId15"/>
                    <a:stretch>
                      <a:fillRect/>
                    </a:stretch>
                  </pic:blipFill>
                  <pic:spPr>
                    <a:xfrm>
                      <a:off x="0" y="0"/>
                      <a:ext cx="2202180" cy="3328035"/>
                    </a:xfrm>
                    <a:prstGeom prst="rect">
                      <a:avLst/>
                    </a:prstGeom>
                    <a:noFill/>
                    <a:ln w="12700" cmpd="sng">
                      <a:solidFill>
                        <a:schemeClr val="accent1">
                          <a:shade val="50000"/>
                        </a:schemeClr>
                      </a:solidFill>
                      <a:prstDash val="solid"/>
                    </a:ln>
                  </pic:spPr>
                </pic:pic>
              </a:graphicData>
            </a:graphic>
          </wp:anchor>
        </w:drawing>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面向业主、客户的门户移动应用并与内部系统互联</w:t>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业主移动接收物业通知、意见反馈、呼叫物业</w:t>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重大事项移动投票表决、社区活动报名、问卷调查</w:t>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在线缴纳各种费用、实时欠费催缴提醒</w:t>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业主移动报事报修、实时掌握处理进度并在线评价</w:t>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新房移动交房、业主移动验房、移动装修申请</w:t>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打造各种增值服务平台，整合周边商家资源</w:t>
      </w:r>
    </w:p>
    <w:p>
      <w:pPr>
        <w:numPr>
          <w:ilvl w:val="0"/>
          <w:numId w:val="7"/>
        </w:numPr>
        <w:bidi w:val="0"/>
        <w:spacing w:line="360" w:lineRule="auto"/>
        <w:ind w:left="420" w:leftChars="0" w:hanging="420" w:firstLineChars="0"/>
        <w:rPr>
          <w:rFonts w:hint="eastAsia" w:ascii="宋体" w:hAnsi="宋体" w:eastAsia="宋体" w:cs="宋体"/>
          <w:lang w:val="en-US" w:eastAsia="zh-CN"/>
        </w:rPr>
      </w:pPr>
      <w:r>
        <w:rPr>
          <w:rFonts w:hint="eastAsia" w:ascii="宋体" w:hAnsi="宋体" w:eastAsia="宋体" w:cs="宋体"/>
          <w:lang w:val="en-US" w:eastAsia="zh-CN"/>
        </w:rPr>
        <w:t>打造电商运营平台，整合城市电商企业</w: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numPr>
          <w:ilvl w:val="0"/>
          <w:numId w:val="0"/>
        </w:numPr>
        <w:spacing w:line="400" w:lineRule="exact"/>
        <w:rPr>
          <w:rFonts w:hint="eastAsia"/>
          <w:b/>
          <w:color w:val="C00000"/>
          <w:sz w:val="24"/>
        </w:rPr>
      </w:pPr>
      <w:r>
        <w:rPr>
          <w:rFonts w:hint="eastAsia"/>
          <w:b/>
          <w:color w:val="C00000"/>
          <w:sz w:val="24"/>
          <w:lang w:val="en-US" w:eastAsia="zh-CN"/>
        </w:rPr>
        <w:t>二、</w:t>
      </w:r>
      <w:r>
        <w:rPr>
          <w:rFonts w:hint="eastAsia"/>
          <w:b/>
          <w:color w:val="C00000"/>
          <w:sz w:val="24"/>
        </w:rPr>
        <w:t>产品优势</w:t>
      </w:r>
    </w:p>
    <w:p>
      <w:pPr>
        <w:spacing w:line="360" w:lineRule="auto"/>
        <w:rPr>
          <w:b/>
        </w:rPr>
      </w:pPr>
      <w:r>
        <w:rPr>
          <w:rFonts w:hint="eastAsia"/>
          <w:b/>
        </w:rPr>
        <w:t>1、超低门槛</w:t>
      </w:r>
    </w:p>
    <w:p>
      <w:pPr>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物业服务公司不需要自行开发、部署和维护智慧社区平台，使用“幸福亿家”智慧社区管理平台即可快速、低成本地进行数字化转型升级。产品支持单机部署、局域网部署、客户私有云、天翼云等多种应用组网方式。</w:t>
      </w:r>
    </w:p>
    <w:p>
      <w:pPr>
        <w:numPr>
          <w:ilvl w:val="0"/>
          <w:numId w:val="8"/>
        </w:numPr>
        <w:spacing w:line="360" w:lineRule="auto"/>
        <w:rPr>
          <w:rFonts w:hint="eastAsia" w:ascii="宋体" w:hAnsi="宋体" w:eastAsia="宋体" w:cs="宋体"/>
          <w:b/>
        </w:rPr>
      </w:pPr>
      <w:r>
        <w:rPr>
          <w:rFonts w:hint="eastAsia" w:ascii="宋体" w:hAnsi="宋体" w:eastAsia="宋体" w:cs="宋体"/>
          <w:b/>
        </w:rPr>
        <w:t>功能全面</w:t>
      </w:r>
    </w:p>
    <w:p>
      <w:pPr>
        <w:spacing w:line="360" w:lineRule="auto"/>
        <w:ind w:firstLine="420" w:firstLineChars="200"/>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功能涉及资源管理、计费收费、客户服务、工程管理、安保消防、绿化保洁、移动办公、商业运营、智能物联网、大数据分析等十大应用场景。每个场景的功能满足物业复杂的管理需求，比如财务计费支持电梯费阶梯价、每个房间不同的计费周期，客服流程支持语音播报、督办、增援、改派等等。</w:t>
      </w:r>
    </w:p>
    <w:p>
      <w:pPr>
        <w:numPr>
          <w:ilvl w:val="0"/>
          <w:numId w:val="8"/>
        </w:numPr>
        <w:tabs>
          <w:tab w:val="left" w:pos="281"/>
        </w:tabs>
        <w:spacing w:line="360" w:lineRule="auto"/>
        <w:rPr>
          <w:rFonts w:hint="eastAsia" w:ascii="宋体" w:hAnsi="宋体" w:eastAsia="宋体" w:cs="宋体"/>
          <w:b/>
        </w:rPr>
      </w:pPr>
      <w:r>
        <w:rPr>
          <w:rFonts w:hint="eastAsia" w:ascii="宋体" w:hAnsi="宋体" w:eastAsia="宋体" w:cs="宋体"/>
          <w:b/>
        </w:rPr>
        <w:t>支持定制</w:t>
      </w:r>
    </w:p>
    <w:p>
      <w:pPr>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平台预留多种软硬件外部接口，支持对接用友金蝶财务系统、门禁系统、停车场系统、监控系统、设备监控等外部系统或设备，支持功能定制和二次开发。</w:t>
      </w:r>
    </w:p>
    <w:p>
      <w:pPr>
        <w:spacing w:line="360" w:lineRule="auto"/>
        <w:ind w:firstLine="420" w:firstLineChars="200"/>
        <w:rPr>
          <w:rFonts w:hint="eastAsia" w:ascii="宋体" w:hAnsi="宋体" w:eastAsia="宋体" w:cs="宋体"/>
          <w:color w:val="555555"/>
          <w:szCs w:val="21"/>
          <w:shd w:val="clear" w:color="auto" w:fill="FFFFFF"/>
        </w:rPr>
      </w:pPr>
    </w:p>
    <w:p>
      <w:pPr>
        <w:numPr>
          <w:ilvl w:val="0"/>
          <w:numId w:val="0"/>
        </w:numPr>
        <w:spacing w:line="360" w:lineRule="auto"/>
        <w:rPr>
          <w:rFonts w:hint="eastAsia" w:ascii="宋体" w:hAnsi="宋体" w:eastAsia="宋体" w:cs="宋体"/>
          <w:b/>
          <w:color w:val="C00000"/>
          <w:sz w:val="24"/>
        </w:rPr>
      </w:pPr>
      <w:r>
        <w:rPr>
          <w:rFonts w:hint="eastAsia" w:ascii="宋体" w:hAnsi="宋体" w:eastAsia="宋体" w:cs="宋体"/>
          <w:b/>
          <w:color w:val="C00000"/>
          <w:sz w:val="24"/>
          <w:lang w:eastAsia="zh-CN"/>
        </w:rPr>
        <w:t>三、</w:t>
      </w:r>
      <w:r>
        <w:rPr>
          <w:rFonts w:hint="eastAsia" w:ascii="宋体" w:hAnsi="宋体" w:eastAsia="宋体" w:cs="宋体"/>
          <w:b/>
          <w:color w:val="C00000"/>
          <w:sz w:val="24"/>
        </w:rPr>
        <w:t>为</w:t>
      </w:r>
      <w:r>
        <w:rPr>
          <w:rFonts w:hint="eastAsia" w:ascii="宋体" w:hAnsi="宋体" w:eastAsia="宋体" w:cs="宋体"/>
          <w:b/>
          <w:color w:val="C00000"/>
          <w:sz w:val="24"/>
          <w:lang w:eastAsia="zh-CN"/>
        </w:rPr>
        <w:t>社区管理</w:t>
      </w:r>
      <w:r>
        <w:rPr>
          <w:rFonts w:hint="eastAsia" w:ascii="宋体" w:hAnsi="宋体" w:eastAsia="宋体" w:cs="宋体"/>
          <w:b/>
          <w:color w:val="C00000"/>
          <w:sz w:val="24"/>
        </w:rPr>
        <w:t>解决以下问题</w:t>
      </w:r>
    </w:p>
    <w:p>
      <w:pPr>
        <w:numPr>
          <w:ilvl w:val="0"/>
          <w:numId w:val="0"/>
        </w:numPr>
        <w:spacing w:line="360" w:lineRule="auto"/>
        <w:rPr>
          <w:rFonts w:hint="eastAsia" w:ascii="宋体" w:hAnsi="宋体" w:eastAsia="宋体" w:cs="宋体"/>
          <w:b/>
          <w:color w:val="C00000"/>
          <w:sz w:val="24"/>
        </w:rPr>
      </w:pPr>
    </w:p>
    <w:p>
      <w:pPr>
        <w:spacing w:line="360" w:lineRule="auto"/>
        <w:rPr>
          <w:rFonts w:hint="eastAsia" w:ascii="宋体" w:hAnsi="宋体" w:eastAsia="宋体" w:cs="宋体"/>
          <w:color w:val="555555"/>
          <w:szCs w:val="21"/>
          <w:shd w:val="clear" w:color="auto" w:fill="FFFFFF"/>
        </w:rPr>
      </w:pPr>
      <w:r>
        <w:rPr>
          <w:rFonts w:hint="eastAsia" w:ascii="宋体" w:hAnsi="宋体" w:eastAsia="宋体" w:cs="宋体"/>
          <w:color w:val="555555"/>
          <w:szCs w:val="21"/>
          <w:shd w:val="clear" w:color="auto" w:fill="FFFFFF"/>
        </w:rPr>
        <w:t>1</w:t>
      </w:r>
      <w:r>
        <w:rPr>
          <w:rFonts w:hint="eastAsia" w:ascii="宋体" w:hAnsi="宋体" w:eastAsia="宋体" w:cs="宋体"/>
          <w:b/>
        </w:rPr>
        <w:t>、收费困难</w:t>
      </w:r>
    </w:p>
    <w:p>
      <w:pPr>
        <w:spacing w:line="360" w:lineRule="auto"/>
        <w:ind w:firstLine="420" w:firstLineChars="200"/>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居民对物业费存在质疑，出现逾期缴费或拒绝缴费，收费困难重重。</w:t>
      </w:r>
    </w:p>
    <w:p>
      <w:pPr>
        <w:spacing w:line="360" w:lineRule="auto"/>
        <w:rPr>
          <w:rFonts w:hint="eastAsia" w:ascii="宋体" w:hAnsi="宋体" w:eastAsia="宋体" w:cs="宋体"/>
          <w:b/>
          <w:color w:val="auto"/>
        </w:rPr>
      </w:pPr>
      <w:r>
        <w:rPr>
          <w:rFonts w:hint="eastAsia" w:ascii="宋体" w:hAnsi="宋体" w:eastAsia="宋体" w:cs="宋体"/>
          <w:b/>
          <w:color w:val="auto"/>
        </w:rPr>
        <w:t>2、服务不全面</w:t>
      </w:r>
    </w:p>
    <w:p>
      <w:pPr>
        <w:spacing w:line="360" w:lineRule="auto"/>
        <w:ind w:firstLine="420" w:firstLineChars="200"/>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服务体系不健全、不灵活，无法满足业主各异的需求，服务水平亟待改善。</w:t>
      </w:r>
    </w:p>
    <w:p>
      <w:pPr>
        <w:spacing w:line="360" w:lineRule="auto"/>
        <w:rPr>
          <w:rFonts w:hint="eastAsia" w:ascii="宋体" w:hAnsi="宋体" w:eastAsia="宋体" w:cs="宋体"/>
          <w:b/>
          <w:color w:val="auto"/>
        </w:rPr>
      </w:pPr>
      <w:r>
        <w:rPr>
          <w:rFonts w:hint="eastAsia" w:ascii="宋体" w:hAnsi="宋体" w:eastAsia="宋体" w:cs="宋体"/>
          <w:b/>
          <w:color w:val="auto"/>
        </w:rPr>
        <w:t>3、管理难度大</w:t>
      </w:r>
    </w:p>
    <w:p>
      <w:pPr>
        <w:spacing w:line="360" w:lineRule="auto"/>
        <w:ind w:firstLine="420" w:firstLineChars="200"/>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工程、客服、保洁等人员工作难监管，效率难提升，更无法保证服务质量。</w:t>
      </w:r>
    </w:p>
    <w:p>
      <w:pPr>
        <w:spacing w:line="360" w:lineRule="auto"/>
        <w:rPr>
          <w:rFonts w:hint="eastAsia" w:ascii="宋体" w:hAnsi="宋体" w:eastAsia="宋体" w:cs="宋体"/>
          <w:b/>
          <w:color w:val="auto"/>
        </w:rPr>
      </w:pPr>
      <w:r>
        <w:rPr>
          <w:rFonts w:hint="eastAsia" w:ascii="宋体" w:hAnsi="宋体" w:eastAsia="宋体" w:cs="宋体"/>
          <w:b/>
          <w:color w:val="auto"/>
          <w:lang w:val="en-US" w:eastAsia="zh-CN"/>
        </w:rPr>
        <w:t>4、</w:t>
      </w:r>
      <w:r>
        <w:rPr>
          <w:rFonts w:hint="eastAsia" w:ascii="宋体" w:hAnsi="宋体" w:eastAsia="宋体" w:cs="宋体"/>
          <w:b/>
          <w:color w:val="auto"/>
        </w:rPr>
        <w:t>增收困难</w:t>
      </w:r>
    </w:p>
    <w:p>
      <w:pPr>
        <w:spacing w:line="360" w:lineRule="auto"/>
        <w:ind w:firstLine="420" w:firstLineChars="200"/>
        <w:rPr>
          <w:rFonts w:hint="eastAsia"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作为典型的劳动密集型行业，物业收入单一，经营成本高，无多元增收途径。</w:t>
      </w:r>
    </w:p>
    <w:p>
      <w:pPr>
        <w:bidi w:val="0"/>
        <w:spacing w:line="360" w:lineRule="auto"/>
        <w:rPr>
          <w:rFonts w:hint="eastAsia" w:ascii="宋体" w:hAnsi="宋体" w:eastAsia="宋体" w:cs="宋体"/>
          <w:lang w:val="en-US" w:eastAsia="zh-CN"/>
        </w:rPr>
      </w:pPr>
      <w:bookmarkStart w:id="0" w:name="_GoBack"/>
      <w:bookmarkEnd w:id="0"/>
    </w:p>
    <w:sectPr>
      <w:headerReference r:id="rId3" w:type="default"/>
      <w:pgSz w:w="11906" w:h="16838"/>
      <w:pgMar w:top="1440" w:right="1800" w:bottom="144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eastAsiaTheme="minorEastAsia"/>
        <w:lang w:eastAsia="zh-CN"/>
      </w:rPr>
      <w:drawing>
        <wp:inline distT="0" distB="0" distL="114300" distR="114300">
          <wp:extent cx="1530350" cy="362585"/>
          <wp:effectExtent l="0" t="0" r="12700" b="184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
                  <a:stretch>
                    <a:fillRect/>
                  </a:stretch>
                </pic:blipFill>
                <pic:spPr>
                  <a:xfrm>
                    <a:off x="0" y="0"/>
                    <a:ext cx="1530350" cy="3625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96DC1"/>
    <w:multiLevelType w:val="singleLevel"/>
    <w:tmpl w:val="86E96DC1"/>
    <w:lvl w:ilvl="0" w:tentative="0">
      <w:start w:val="1"/>
      <w:numFmt w:val="decimal"/>
      <w:lvlText w:val="%1."/>
      <w:lvlJc w:val="left"/>
      <w:pPr>
        <w:tabs>
          <w:tab w:val="left" w:pos="312"/>
        </w:tabs>
      </w:pPr>
    </w:lvl>
  </w:abstractNum>
  <w:abstractNum w:abstractNumId="1">
    <w:nsid w:val="A86D1779"/>
    <w:multiLevelType w:val="singleLevel"/>
    <w:tmpl w:val="A86D1779"/>
    <w:lvl w:ilvl="0" w:tentative="0">
      <w:start w:val="2"/>
      <w:numFmt w:val="decimal"/>
      <w:suff w:val="space"/>
      <w:lvlText w:val="%1、"/>
      <w:lvlJc w:val="left"/>
    </w:lvl>
  </w:abstractNum>
  <w:abstractNum w:abstractNumId="2">
    <w:nsid w:val="AD5A7FDE"/>
    <w:multiLevelType w:val="singleLevel"/>
    <w:tmpl w:val="AD5A7FDE"/>
    <w:lvl w:ilvl="0" w:tentative="0">
      <w:start w:val="1"/>
      <w:numFmt w:val="bullet"/>
      <w:lvlText w:val=""/>
      <w:lvlJc w:val="left"/>
      <w:pPr>
        <w:ind w:left="420" w:hanging="420"/>
      </w:pPr>
      <w:rPr>
        <w:rFonts w:hint="default" w:ascii="Wingdings" w:hAnsi="Wingdings"/>
      </w:rPr>
    </w:lvl>
  </w:abstractNum>
  <w:abstractNum w:abstractNumId="3">
    <w:nsid w:val="CA4CAE51"/>
    <w:multiLevelType w:val="singleLevel"/>
    <w:tmpl w:val="CA4CAE51"/>
    <w:lvl w:ilvl="0" w:tentative="0">
      <w:start w:val="1"/>
      <w:numFmt w:val="bullet"/>
      <w:lvlText w:val=""/>
      <w:lvlJc w:val="left"/>
      <w:pPr>
        <w:ind w:left="420" w:hanging="420"/>
      </w:pPr>
      <w:rPr>
        <w:rFonts w:hint="default" w:ascii="Wingdings" w:hAnsi="Wingdings"/>
      </w:rPr>
    </w:lvl>
  </w:abstractNum>
  <w:abstractNum w:abstractNumId="4">
    <w:nsid w:val="CC7438B1"/>
    <w:multiLevelType w:val="singleLevel"/>
    <w:tmpl w:val="CC7438B1"/>
    <w:lvl w:ilvl="0" w:tentative="0">
      <w:start w:val="1"/>
      <w:numFmt w:val="bullet"/>
      <w:lvlText w:val=""/>
      <w:lvlJc w:val="left"/>
      <w:pPr>
        <w:ind w:left="420" w:hanging="420"/>
      </w:pPr>
      <w:rPr>
        <w:rFonts w:hint="default" w:ascii="Wingdings" w:hAnsi="Wingdings"/>
      </w:rPr>
    </w:lvl>
  </w:abstractNum>
  <w:abstractNum w:abstractNumId="5">
    <w:nsid w:val="EF690197"/>
    <w:multiLevelType w:val="singleLevel"/>
    <w:tmpl w:val="EF690197"/>
    <w:lvl w:ilvl="0" w:tentative="0">
      <w:start w:val="1"/>
      <w:numFmt w:val="bullet"/>
      <w:lvlText w:val=""/>
      <w:lvlJc w:val="left"/>
      <w:pPr>
        <w:ind w:left="420" w:hanging="420"/>
      </w:pPr>
      <w:rPr>
        <w:rFonts w:hint="default" w:ascii="Wingdings" w:hAnsi="Wingdings"/>
      </w:rPr>
    </w:lvl>
  </w:abstractNum>
  <w:abstractNum w:abstractNumId="6">
    <w:nsid w:val="1597849A"/>
    <w:multiLevelType w:val="singleLevel"/>
    <w:tmpl w:val="1597849A"/>
    <w:lvl w:ilvl="0" w:tentative="0">
      <w:start w:val="1"/>
      <w:numFmt w:val="bullet"/>
      <w:lvlText w:val=""/>
      <w:lvlJc w:val="left"/>
      <w:pPr>
        <w:ind w:left="420" w:hanging="420"/>
      </w:pPr>
      <w:rPr>
        <w:rFonts w:hint="default" w:ascii="Wingdings" w:hAnsi="Wingdings"/>
      </w:rPr>
    </w:lvl>
  </w:abstractNum>
  <w:abstractNum w:abstractNumId="7">
    <w:nsid w:val="7AED921F"/>
    <w:multiLevelType w:val="singleLevel"/>
    <w:tmpl w:val="7AED921F"/>
    <w:lvl w:ilvl="0" w:tentative="0">
      <w:start w:val="1"/>
      <w:numFmt w:val="bullet"/>
      <w:lvlText w:val=""/>
      <w:lvlJc w:val="left"/>
      <w:pPr>
        <w:ind w:left="420" w:hanging="420"/>
      </w:pPr>
      <w:rPr>
        <w:rFonts w:hint="default" w:ascii="Wingdings" w:hAnsi="Wingdings"/>
      </w:rPr>
    </w:lvl>
  </w:abstractNum>
  <w:num w:numId="1">
    <w:abstractNumId w:val="0"/>
  </w:num>
  <w:num w:numId="2">
    <w:abstractNumId w:val="7"/>
  </w:num>
  <w:num w:numId="3">
    <w:abstractNumId w:val="2"/>
  </w:num>
  <w:num w:numId="4">
    <w:abstractNumId w:val="6"/>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6AA6BB2"/>
    <w:rsid w:val="079D6797"/>
    <w:rsid w:val="07C01F34"/>
    <w:rsid w:val="11610469"/>
    <w:rsid w:val="170C637E"/>
    <w:rsid w:val="20767E4E"/>
    <w:rsid w:val="25C24F8E"/>
    <w:rsid w:val="345E0E50"/>
    <w:rsid w:val="42AB113F"/>
    <w:rsid w:val="43B442F8"/>
    <w:rsid w:val="51CC47CF"/>
    <w:rsid w:val="52CA3883"/>
    <w:rsid w:val="53613583"/>
    <w:rsid w:val="607976B0"/>
    <w:rsid w:val="61520DB1"/>
    <w:rsid w:val="74A5218D"/>
    <w:rsid w:val="7DCD4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20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幻想家</dc:creator>
  <cp:lastModifiedBy>幻想家</cp:lastModifiedBy>
  <dcterms:modified xsi:type="dcterms:W3CDTF">2021-07-15T10:33:24Z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4C61F8B145AA4BD1A515D2A7E14D2DCF</vt:lpwstr>
  </property>
</Properties>
</file>