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Pr>
        <w:jc w:val="center"/>
        <w:rPr>
          <w:rFonts w:ascii="黑体" w:hAnsi="黑体" w:eastAsia="黑体"/>
          <w:b/>
          <w:bCs/>
          <w:sz w:val="48"/>
          <w:szCs w:val="48"/>
        </w:rPr>
      </w:pPr>
      <w:r>
        <w:rPr>
          <w:rFonts w:hint="eastAsia" w:ascii="黑体" w:hAnsi="黑体" w:eastAsia="黑体"/>
          <w:b/>
          <w:bCs/>
          <w:sz w:val="48"/>
          <w:szCs w:val="48"/>
        </w:rPr>
        <w:t>云集数据库审计系统</w:t>
      </w:r>
    </w:p>
    <w:p>
      <w:pPr>
        <w:jc w:val="center"/>
        <w:rPr>
          <w:rFonts w:ascii="黑体" w:hAnsi="黑体" w:eastAsia="黑体"/>
          <w:b/>
          <w:bCs/>
          <w:sz w:val="32"/>
          <w:szCs w:val="32"/>
        </w:rPr>
      </w:pPr>
      <w:r>
        <w:rPr>
          <w:rFonts w:hint="eastAsia" w:ascii="黑体" w:hAnsi="黑体" w:eastAsia="黑体"/>
          <w:b/>
          <w:bCs/>
          <w:sz w:val="32"/>
          <w:szCs w:val="32"/>
        </w:rPr>
        <w:t>用户手册</w:t>
      </w:r>
    </w:p>
    <w:p/>
    <w:p/>
    <w:p/>
    <w:p/>
    <w:p/>
    <w:p/>
    <w:p/>
    <w:p/>
    <w:p/>
    <w:p/>
    <w:p/>
    <w:p/>
    <w:p/>
    <w:p>
      <w:pPr>
        <w:rPr>
          <w:sz w:val="30"/>
          <w:szCs w:val="30"/>
        </w:rPr>
      </w:pPr>
    </w:p>
    <w:p>
      <w:pPr>
        <w:jc w:val="center"/>
        <w:rPr>
          <w:rFonts w:ascii="黑体" w:hAnsi="黑体" w:eastAsia="黑体"/>
          <w:sz w:val="30"/>
          <w:szCs w:val="30"/>
        </w:rPr>
      </w:pPr>
      <w:r>
        <w:rPr>
          <w:rFonts w:hint="eastAsia" w:ascii="黑体" w:hAnsi="黑体" w:eastAsia="黑体"/>
          <w:sz w:val="30"/>
          <w:szCs w:val="30"/>
        </w:rPr>
        <w:t>北京云集至科技</w:t>
      </w:r>
      <w:r>
        <w:rPr>
          <w:rFonts w:ascii="黑体" w:hAnsi="黑体" w:eastAsia="黑体"/>
          <w:sz w:val="30"/>
          <w:szCs w:val="30"/>
        </w:rPr>
        <w:t>有限公司</w:t>
      </w:r>
    </w:p>
    <w:p/>
    <w:p/>
    <w:p/>
    <w:p>
      <w:pPr>
        <w:widowControl/>
        <w:jc w:val="left"/>
      </w:pPr>
      <w:r>
        <w:br w:type="page"/>
      </w:r>
    </w:p>
    <w:p>
      <w:pPr>
        <w:pStyle w:val="17"/>
      </w:pPr>
    </w:p>
    <w:p>
      <w:pPr>
        <w:pStyle w:val="17"/>
        <w:rPr>
          <w:sz w:val="32"/>
          <w:szCs w:val="32"/>
        </w:rPr>
      </w:pPr>
      <w:r>
        <w:rPr>
          <w:rFonts w:hint="eastAsia"/>
          <w:sz w:val="32"/>
          <w:szCs w:val="32"/>
        </w:rPr>
        <w:t>目录</w:t>
      </w:r>
    </w:p>
    <w:p>
      <w:pPr>
        <w:pStyle w:val="17"/>
        <w:tabs>
          <w:tab w:val="right" w:leader="dot" w:pos="8306"/>
          <w:tab w:val="clear" w:pos="420"/>
          <w:tab w:val="clear" w:pos="8296"/>
        </w:tabs>
      </w:pPr>
      <w:r>
        <w:fldChar w:fldCharType="begin"/>
      </w:r>
      <w:r>
        <w:instrText xml:space="preserve"> TOC \o "1-3" \h \z \u </w:instrText>
      </w:r>
      <w:r>
        <w:fldChar w:fldCharType="separate"/>
      </w:r>
      <w:r>
        <w:fldChar w:fldCharType="begin"/>
      </w:r>
      <w:r>
        <w:instrText xml:space="preserve"> HYPERLINK \l _Toc29075 </w:instrText>
      </w:r>
      <w:r>
        <w:fldChar w:fldCharType="separate"/>
      </w:r>
      <w:r>
        <w:rPr>
          <w:rFonts w:hint="eastAsia"/>
        </w:rPr>
        <w:t>1. 引言</w:t>
      </w:r>
      <w:r>
        <w:tab/>
      </w:r>
      <w:r>
        <w:fldChar w:fldCharType="begin"/>
      </w:r>
      <w:r>
        <w:instrText xml:space="preserve"> PAGEREF _Toc29075 \h </w:instrText>
      </w:r>
      <w:r>
        <w:fldChar w:fldCharType="separate"/>
      </w:r>
      <w:r>
        <w:t>2</w:t>
      </w:r>
      <w:r>
        <w:fldChar w:fldCharType="end"/>
      </w:r>
      <w:r>
        <w:fldChar w:fldCharType="end"/>
      </w:r>
    </w:p>
    <w:p>
      <w:pPr>
        <w:pStyle w:val="18"/>
        <w:tabs>
          <w:tab w:val="right" w:leader="dot" w:pos="8306"/>
        </w:tabs>
      </w:pPr>
      <w:r>
        <w:fldChar w:fldCharType="begin"/>
      </w:r>
      <w:r>
        <w:instrText xml:space="preserve"> HYPERLINK \l _Toc25304 </w:instrText>
      </w:r>
      <w:r>
        <w:fldChar w:fldCharType="separate"/>
      </w:r>
      <w:r>
        <w:rPr>
          <w:rFonts w:hint="eastAsia"/>
        </w:rPr>
        <w:t>1.1. 术语和缩写</w:t>
      </w:r>
      <w:r>
        <w:tab/>
      </w:r>
      <w:r>
        <w:fldChar w:fldCharType="begin"/>
      </w:r>
      <w:r>
        <w:instrText xml:space="preserve"> PAGEREF _Toc25304 \h </w:instrText>
      </w:r>
      <w:r>
        <w:fldChar w:fldCharType="separate"/>
      </w:r>
      <w:r>
        <w:t>2</w:t>
      </w:r>
      <w:r>
        <w:fldChar w:fldCharType="end"/>
      </w:r>
      <w:r>
        <w:fldChar w:fldCharType="end"/>
      </w:r>
    </w:p>
    <w:p>
      <w:pPr>
        <w:pStyle w:val="17"/>
        <w:tabs>
          <w:tab w:val="right" w:leader="dot" w:pos="8306"/>
          <w:tab w:val="clear" w:pos="420"/>
          <w:tab w:val="clear" w:pos="8296"/>
        </w:tabs>
      </w:pPr>
      <w:r>
        <w:fldChar w:fldCharType="begin"/>
      </w:r>
      <w:r>
        <w:instrText xml:space="preserve"> HYPERLINK \l _Toc25373 </w:instrText>
      </w:r>
      <w:r>
        <w:fldChar w:fldCharType="separate"/>
      </w:r>
      <w:r>
        <w:rPr>
          <w:rFonts w:hint="eastAsia"/>
        </w:rPr>
        <w:t>2. 产品简介</w:t>
      </w:r>
      <w:r>
        <w:tab/>
      </w:r>
      <w:r>
        <w:fldChar w:fldCharType="begin"/>
      </w:r>
      <w:r>
        <w:instrText xml:space="preserve"> PAGEREF _Toc25373 \h </w:instrText>
      </w:r>
      <w:r>
        <w:fldChar w:fldCharType="separate"/>
      </w:r>
      <w:r>
        <w:t>4</w:t>
      </w:r>
      <w:r>
        <w:fldChar w:fldCharType="end"/>
      </w:r>
      <w:r>
        <w:fldChar w:fldCharType="end"/>
      </w:r>
    </w:p>
    <w:p>
      <w:pPr>
        <w:pStyle w:val="18"/>
        <w:tabs>
          <w:tab w:val="right" w:leader="dot" w:pos="8306"/>
        </w:tabs>
      </w:pPr>
      <w:r>
        <w:fldChar w:fldCharType="begin"/>
      </w:r>
      <w:r>
        <w:instrText xml:space="preserve"> HYPERLINK \l _Toc17159 </w:instrText>
      </w:r>
      <w:r>
        <w:fldChar w:fldCharType="separate"/>
      </w:r>
      <w:r>
        <w:rPr>
          <w:rFonts w:hint="eastAsia"/>
        </w:rPr>
        <w:t>2.1. 产品背景</w:t>
      </w:r>
      <w:r>
        <w:tab/>
      </w:r>
      <w:r>
        <w:fldChar w:fldCharType="begin"/>
      </w:r>
      <w:r>
        <w:instrText xml:space="preserve"> PAGEREF _Toc17159 \h </w:instrText>
      </w:r>
      <w:r>
        <w:fldChar w:fldCharType="separate"/>
      </w:r>
      <w:r>
        <w:t>4</w:t>
      </w:r>
      <w:r>
        <w:fldChar w:fldCharType="end"/>
      </w:r>
      <w:r>
        <w:fldChar w:fldCharType="end"/>
      </w:r>
    </w:p>
    <w:p>
      <w:pPr>
        <w:pStyle w:val="18"/>
        <w:tabs>
          <w:tab w:val="right" w:leader="dot" w:pos="8306"/>
        </w:tabs>
      </w:pPr>
      <w:r>
        <w:fldChar w:fldCharType="begin"/>
      </w:r>
      <w:r>
        <w:instrText xml:space="preserve"> HYPERLINK \l _Toc10831 </w:instrText>
      </w:r>
      <w:r>
        <w:fldChar w:fldCharType="separate"/>
      </w:r>
      <w:r>
        <w:rPr>
          <w:rFonts w:hint="eastAsia"/>
        </w:rPr>
        <w:t>2.2. 产品特点</w:t>
      </w:r>
      <w:r>
        <w:tab/>
      </w:r>
      <w:r>
        <w:fldChar w:fldCharType="begin"/>
      </w:r>
      <w:r>
        <w:instrText xml:space="preserve"> PAGEREF _Toc10831 \h </w:instrText>
      </w:r>
      <w:r>
        <w:fldChar w:fldCharType="separate"/>
      </w:r>
      <w:r>
        <w:t>5</w:t>
      </w:r>
      <w:r>
        <w:fldChar w:fldCharType="end"/>
      </w:r>
      <w:r>
        <w:fldChar w:fldCharType="end"/>
      </w:r>
    </w:p>
    <w:p>
      <w:pPr>
        <w:pStyle w:val="18"/>
        <w:tabs>
          <w:tab w:val="right" w:leader="dot" w:pos="8306"/>
        </w:tabs>
      </w:pPr>
      <w:r>
        <w:fldChar w:fldCharType="begin"/>
      </w:r>
      <w:r>
        <w:instrText xml:space="preserve"> HYPERLINK \l _Toc9170 </w:instrText>
      </w:r>
      <w:r>
        <w:fldChar w:fldCharType="separate"/>
      </w:r>
      <w:r>
        <w:rPr>
          <w:rFonts w:hint="eastAsia"/>
        </w:rPr>
        <w:t>2.3. 产品功能</w:t>
      </w:r>
      <w:r>
        <w:tab/>
      </w:r>
      <w:r>
        <w:fldChar w:fldCharType="begin"/>
      </w:r>
      <w:r>
        <w:instrText xml:space="preserve"> PAGEREF _Toc9170 \h </w:instrText>
      </w:r>
      <w:r>
        <w:fldChar w:fldCharType="separate"/>
      </w:r>
      <w:r>
        <w:t>5</w:t>
      </w:r>
      <w:r>
        <w:fldChar w:fldCharType="end"/>
      </w:r>
      <w:r>
        <w:fldChar w:fldCharType="end"/>
      </w:r>
    </w:p>
    <w:p>
      <w:pPr>
        <w:pStyle w:val="17"/>
        <w:tabs>
          <w:tab w:val="right" w:leader="dot" w:pos="8306"/>
          <w:tab w:val="clear" w:pos="420"/>
          <w:tab w:val="clear" w:pos="8296"/>
        </w:tabs>
      </w:pPr>
      <w:r>
        <w:fldChar w:fldCharType="begin"/>
      </w:r>
      <w:r>
        <w:instrText xml:space="preserve"> HYPERLINK \l _Toc7137 </w:instrText>
      </w:r>
      <w:r>
        <w:fldChar w:fldCharType="separate"/>
      </w:r>
      <w:r>
        <w:rPr>
          <w:rFonts w:hint="eastAsia"/>
        </w:rPr>
        <w:t xml:space="preserve">3. </w:t>
      </w:r>
      <w:r>
        <w:rPr>
          <w:rFonts w:hint="eastAsia"/>
          <w:lang w:val="en-US" w:eastAsia="zh-CN"/>
        </w:rPr>
        <w:t>网络端口说明</w:t>
      </w:r>
      <w:r>
        <w:tab/>
      </w:r>
      <w:r>
        <w:fldChar w:fldCharType="begin"/>
      </w:r>
      <w:r>
        <w:instrText xml:space="preserve"> PAGEREF _Toc7137 \h </w:instrText>
      </w:r>
      <w:r>
        <w:fldChar w:fldCharType="separate"/>
      </w:r>
      <w:r>
        <w:t>6</w:t>
      </w:r>
      <w:r>
        <w:fldChar w:fldCharType="end"/>
      </w:r>
      <w:r>
        <w:fldChar w:fldCharType="end"/>
      </w:r>
    </w:p>
    <w:p>
      <w:pPr>
        <w:pStyle w:val="17"/>
        <w:tabs>
          <w:tab w:val="right" w:leader="dot" w:pos="8306"/>
          <w:tab w:val="clear" w:pos="420"/>
          <w:tab w:val="clear" w:pos="8296"/>
        </w:tabs>
      </w:pPr>
      <w:r>
        <w:fldChar w:fldCharType="begin"/>
      </w:r>
      <w:r>
        <w:instrText xml:space="preserve"> HYPERLINK \l _Toc28121 </w:instrText>
      </w:r>
      <w:r>
        <w:fldChar w:fldCharType="separate"/>
      </w:r>
      <w:r>
        <w:rPr>
          <w:rFonts w:hint="eastAsia"/>
        </w:rPr>
        <w:t>4. 使用操作</w:t>
      </w:r>
      <w:r>
        <w:tab/>
      </w:r>
      <w:r>
        <w:fldChar w:fldCharType="begin"/>
      </w:r>
      <w:r>
        <w:instrText xml:space="preserve"> PAGEREF _Toc28121 \h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_Toc20916 </w:instrText>
      </w:r>
      <w:r>
        <w:fldChar w:fldCharType="separate"/>
      </w:r>
      <w:r>
        <w:rPr>
          <w:rFonts w:hint="eastAsia"/>
        </w:rPr>
        <w:t>4.1. 系统管理</w:t>
      </w:r>
      <w:r>
        <w:tab/>
      </w:r>
      <w:r>
        <w:fldChar w:fldCharType="begin"/>
      </w:r>
      <w:r>
        <w:instrText xml:space="preserve"> PAGEREF _Toc20916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_Toc16458 </w:instrText>
      </w:r>
      <w:r>
        <w:fldChar w:fldCharType="separate"/>
      </w:r>
      <w:r>
        <w:rPr>
          <w:rFonts w:hint="eastAsia"/>
        </w:rPr>
        <w:t>4.1.1. 管理计算机连接方式</w:t>
      </w:r>
      <w:r>
        <w:tab/>
      </w:r>
      <w:r>
        <w:fldChar w:fldCharType="begin"/>
      </w:r>
      <w:r>
        <w:instrText xml:space="preserve"> PAGEREF _Toc16458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_Toc28614 </w:instrText>
      </w:r>
      <w:r>
        <w:fldChar w:fldCharType="separate"/>
      </w:r>
      <w:r>
        <w:rPr>
          <w:rFonts w:hint="eastAsia"/>
        </w:rPr>
        <w:t>4.1.2. 登录系统</w:t>
      </w:r>
      <w:r>
        <w:tab/>
      </w:r>
      <w:r>
        <w:fldChar w:fldCharType="begin"/>
      </w:r>
      <w:r>
        <w:instrText xml:space="preserve"> PAGEREF _Toc28614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_Toc21133 </w:instrText>
      </w:r>
      <w:r>
        <w:fldChar w:fldCharType="separate"/>
      </w:r>
      <w:r>
        <w:rPr>
          <w:rFonts w:hint="eastAsia"/>
        </w:rPr>
        <w:t>4.1.3. 设置最基本的审计策略</w:t>
      </w:r>
      <w:r>
        <w:tab/>
      </w:r>
      <w:r>
        <w:fldChar w:fldCharType="begin"/>
      </w:r>
      <w:r>
        <w:instrText xml:space="preserve"> PAGEREF _Toc21133 \h </w:instrText>
      </w:r>
      <w:r>
        <w:fldChar w:fldCharType="separate"/>
      </w:r>
      <w:r>
        <w:t>8</w:t>
      </w:r>
      <w:r>
        <w:fldChar w:fldCharType="end"/>
      </w:r>
      <w:r>
        <w:fldChar w:fldCharType="end"/>
      </w:r>
    </w:p>
    <w:p>
      <w:pPr>
        <w:pStyle w:val="18"/>
        <w:tabs>
          <w:tab w:val="right" w:leader="dot" w:pos="8306"/>
        </w:tabs>
      </w:pPr>
      <w:r>
        <w:fldChar w:fldCharType="begin"/>
      </w:r>
      <w:r>
        <w:instrText xml:space="preserve"> HYPERLINK \l _Toc28083 </w:instrText>
      </w:r>
      <w:r>
        <w:fldChar w:fldCharType="separate"/>
      </w:r>
      <w:r>
        <w:rPr>
          <w:rFonts w:hint="eastAsia"/>
        </w:rPr>
        <w:t>4.2. 查询分析</w:t>
      </w:r>
      <w:r>
        <w:tab/>
      </w:r>
      <w:r>
        <w:fldChar w:fldCharType="begin"/>
      </w:r>
      <w:r>
        <w:instrText xml:space="preserve"> PAGEREF _Toc28083 \h </w:instrText>
      </w:r>
      <w:r>
        <w:fldChar w:fldCharType="separate"/>
      </w:r>
      <w:r>
        <w:t>13</w:t>
      </w:r>
      <w:r>
        <w:fldChar w:fldCharType="end"/>
      </w:r>
      <w:r>
        <w:fldChar w:fldCharType="end"/>
      </w:r>
    </w:p>
    <w:p>
      <w:pPr>
        <w:pStyle w:val="13"/>
        <w:tabs>
          <w:tab w:val="right" w:leader="dot" w:pos="8306"/>
        </w:tabs>
      </w:pPr>
      <w:r>
        <w:fldChar w:fldCharType="begin"/>
      </w:r>
      <w:r>
        <w:instrText xml:space="preserve"> HYPERLINK \l _Toc19520 </w:instrText>
      </w:r>
      <w:r>
        <w:fldChar w:fldCharType="separate"/>
      </w:r>
      <w:r>
        <w:rPr>
          <w:rFonts w:hint="eastAsia"/>
        </w:rPr>
        <w:t>4.2.1. 审计查询</w:t>
      </w:r>
      <w:r>
        <w:tab/>
      </w:r>
      <w:r>
        <w:fldChar w:fldCharType="begin"/>
      </w:r>
      <w:r>
        <w:instrText xml:space="preserve"> PAGEREF _Toc19520 \h </w:instrText>
      </w:r>
      <w:r>
        <w:fldChar w:fldCharType="separate"/>
      </w:r>
      <w:r>
        <w:t>13</w:t>
      </w:r>
      <w:r>
        <w:fldChar w:fldCharType="end"/>
      </w:r>
      <w:r>
        <w:fldChar w:fldCharType="end"/>
      </w:r>
    </w:p>
    <w:p>
      <w:pPr>
        <w:pStyle w:val="13"/>
        <w:tabs>
          <w:tab w:val="right" w:leader="dot" w:pos="8306"/>
        </w:tabs>
      </w:pPr>
      <w:r>
        <w:fldChar w:fldCharType="begin"/>
      </w:r>
      <w:r>
        <w:instrText xml:space="preserve"> HYPERLINK \l _Toc29011 </w:instrText>
      </w:r>
      <w:r>
        <w:fldChar w:fldCharType="separate"/>
      </w:r>
      <w:r>
        <w:rPr>
          <w:rFonts w:hint="eastAsia"/>
        </w:rPr>
        <w:t>4.2.2. SQL类型统计</w:t>
      </w:r>
      <w:r>
        <w:tab/>
      </w:r>
      <w:r>
        <w:fldChar w:fldCharType="begin"/>
      </w:r>
      <w:r>
        <w:instrText xml:space="preserve"> PAGEREF _Toc29011 \h </w:instrText>
      </w:r>
      <w:r>
        <w:fldChar w:fldCharType="separate"/>
      </w:r>
      <w:r>
        <w:t>14</w:t>
      </w:r>
      <w:r>
        <w:fldChar w:fldCharType="end"/>
      </w:r>
      <w:r>
        <w:fldChar w:fldCharType="end"/>
      </w:r>
    </w:p>
    <w:p>
      <w:pPr>
        <w:pStyle w:val="13"/>
        <w:tabs>
          <w:tab w:val="right" w:leader="dot" w:pos="8306"/>
        </w:tabs>
      </w:pPr>
      <w:r>
        <w:fldChar w:fldCharType="begin"/>
      </w:r>
      <w:r>
        <w:instrText xml:space="preserve"> HYPERLINK \l _Toc3544 </w:instrText>
      </w:r>
      <w:r>
        <w:fldChar w:fldCharType="separate"/>
      </w:r>
      <w:r>
        <w:rPr>
          <w:rFonts w:hint="eastAsia"/>
        </w:rPr>
        <w:t>4.2.3. 事件类型统计</w:t>
      </w:r>
      <w:r>
        <w:tab/>
      </w:r>
      <w:r>
        <w:fldChar w:fldCharType="begin"/>
      </w:r>
      <w:r>
        <w:instrText xml:space="preserve"> PAGEREF _Toc3544 \h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_Toc27449 </w:instrText>
      </w:r>
      <w:r>
        <w:fldChar w:fldCharType="separate"/>
      </w:r>
      <w:r>
        <w:rPr>
          <w:rFonts w:hint="eastAsia"/>
        </w:rPr>
        <w:t>4.2.4. SQL流量统计</w:t>
      </w:r>
      <w:r>
        <w:tab/>
      </w:r>
      <w:r>
        <w:fldChar w:fldCharType="begin"/>
      </w:r>
      <w:r>
        <w:instrText xml:space="preserve"> PAGEREF _Toc27449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_Toc30646 </w:instrText>
      </w:r>
      <w:r>
        <w:fldChar w:fldCharType="separate"/>
      </w:r>
      <w:r>
        <w:rPr>
          <w:rFonts w:hint="eastAsia"/>
        </w:rPr>
        <w:t>4.2.5. 风险级别统计</w:t>
      </w:r>
      <w:r>
        <w:tab/>
      </w:r>
      <w:r>
        <w:fldChar w:fldCharType="begin"/>
      </w:r>
      <w:r>
        <w:instrText xml:space="preserve"> PAGEREF _Toc30646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_Toc27668 </w:instrText>
      </w:r>
      <w:r>
        <w:fldChar w:fldCharType="separate"/>
      </w:r>
      <w:r>
        <w:rPr>
          <w:rFonts w:hint="eastAsia"/>
        </w:rPr>
        <w:t>4.2.6. 系统审计</w:t>
      </w:r>
      <w:r>
        <w:tab/>
      </w:r>
      <w:r>
        <w:fldChar w:fldCharType="begin"/>
      </w:r>
      <w:r>
        <w:instrText xml:space="preserve"> PAGEREF _Toc27668 \h </w:instrText>
      </w:r>
      <w:r>
        <w:fldChar w:fldCharType="separate"/>
      </w:r>
      <w:r>
        <w:t>17</w:t>
      </w:r>
      <w:r>
        <w:fldChar w:fldCharType="end"/>
      </w:r>
      <w:r>
        <w:fldChar w:fldCharType="end"/>
      </w:r>
    </w:p>
    <w:p>
      <w:pPr>
        <w:pStyle w:val="13"/>
        <w:tabs>
          <w:tab w:val="right" w:leader="dot" w:pos="8306"/>
        </w:tabs>
      </w:pPr>
      <w:r>
        <w:fldChar w:fldCharType="begin"/>
      </w:r>
      <w:r>
        <w:instrText xml:space="preserve"> HYPERLINK \l _Toc27241 </w:instrText>
      </w:r>
      <w:r>
        <w:fldChar w:fldCharType="separate"/>
      </w:r>
      <w:r>
        <w:rPr>
          <w:rFonts w:hint="eastAsia"/>
        </w:rPr>
        <w:t>4.2.7. 报表预览</w:t>
      </w:r>
      <w:r>
        <w:tab/>
      </w:r>
      <w:r>
        <w:fldChar w:fldCharType="begin"/>
      </w:r>
      <w:r>
        <w:instrText xml:space="preserve"> PAGEREF _Toc27241 \h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_Toc8779 </w:instrText>
      </w:r>
      <w:r>
        <w:fldChar w:fldCharType="separate"/>
      </w:r>
      <w:r>
        <w:rPr>
          <w:rFonts w:hint="eastAsia"/>
        </w:rPr>
        <w:t>4.2.8. 报表定时参数配置</w:t>
      </w:r>
      <w:r>
        <w:tab/>
      </w:r>
      <w:r>
        <w:fldChar w:fldCharType="begin"/>
      </w:r>
      <w:r>
        <w:instrText xml:space="preserve"> PAGEREF _Toc8779 \h </w:instrText>
      </w:r>
      <w:r>
        <w:fldChar w:fldCharType="separate"/>
      </w:r>
      <w:r>
        <w:t>19</w:t>
      </w:r>
      <w:r>
        <w:fldChar w:fldCharType="end"/>
      </w:r>
      <w:r>
        <w:fldChar w:fldCharType="end"/>
      </w:r>
    </w:p>
    <w:p>
      <w:pPr>
        <w:pStyle w:val="18"/>
        <w:tabs>
          <w:tab w:val="right" w:leader="dot" w:pos="8306"/>
        </w:tabs>
      </w:pPr>
      <w:r>
        <w:fldChar w:fldCharType="begin"/>
      </w:r>
      <w:r>
        <w:instrText xml:space="preserve"> HYPERLINK \l _Toc21106 </w:instrText>
      </w:r>
      <w:r>
        <w:fldChar w:fldCharType="separate"/>
      </w:r>
      <w:r>
        <w:rPr>
          <w:rFonts w:hint="eastAsia"/>
        </w:rPr>
        <w:t>4.3. 安全配置</w:t>
      </w:r>
      <w:r>
        <w:tab/>
      </w:r>
      <w:r>
        <w:fldChar w:fldCharType="begin"/>
      </w:r>
      <w:r>
        <w:instrText xml:space="preserve"> PAGEREF _Toc21106 \h </w:instrText>
      </w:r>
      <w:r>
        <w:fldChar w:fldCharType="separate"/>
      </w:r>
      <w:r>
        <w:t>20</w:t>
      </w:r>
      <w:r>
        <w:fldChar w:fldCharType="end"/>
      </w:r>
      <w:r>
        <w:fldChar w:fldCharType="end"/>
      </w:r>
    </w:p>
    <w:p>
      <w:pPr>
        <w:pStyle w:val="18"/>
        <w:tabs>
          <w:tab w:val="right" w:leader="dot" w:pos="8306"/>
        </w:tabs>
      </w:pPr>
      <w:r>
        <w:fldChar w:fldCharType="begin"/>
      </w:r>
      <w:r>
        <w:instrText xml:space="preserve"> HYPERLINK \l _Toc10570 </w:instrText>
      </w:r>
      <w:r>
        <w:fldChar w:fldCharType="separate"/>
      </w:r>
      <w:r>
        <w:rPr>
          <w:rFonts w:hint="eastAsia"/>
        </w:rPr>
        <w:t>4.4. 资产配置</w:t>
      </w:r>
      <w:r>
        <w:tab/>
      </w:r>
      <w:r>
        <w:fldChar w:fldCharType="begin"/>
      </w:r>
      <w:r>
        <w:instrText xml:space="preserve"> PAGEREF _Toc10570 \h </w:instrText>
      </w:r>
      <w:r>
        <w:fldChar w:fldCharType="separate"/>
      </w:r>
      <w:r>
        <w:t>20</w:t>
      </w:r>
      <w:r>
        <w:fldChar w:fldCharType="end"/>
      </w:r>
      <w:r>
        <w:fldChar w:fldCharType="end"/>
      </w:r>
    </w:p>
    <w:p>
      <w:pPr>
        <w:pStyle w:val="18"/>
        <w:tabs>
          <w:tab w:val="right" w:leader="dot" w:pos="8306"/>
        </w:tabs>
      </w:pPr>
      <w:r>
        <w:fldChar w:fldCharType="begin"/>
      </w:r>
      <w:r>
        <w:instrText xml:space="preserve"> HYPERLINK \l _Toc25292 </w:instrText>
      </w:r>
      <w:r>
        <w:fldChar w:fldCharType="separate"/>
      </w:r>
      <w:r>
        <w:rPr>
          <w:rFonts w:hint="eastAsia"/>
        </w:rPr>
        <w:t>4.5. 来源规则配置</w:t>
      </w:r>
      <w:r>
        <w:tab/>
      </w:r>
      <w:r>
        <w:fldChar w:fldCharType="begin"/>
      </w:r>
      <w:r>
        <w:instrText xml:space="preserve"> PAGEREF _Toc25292 \h </w:instrText>
      </w:r>
      <w:r>
        <w:fldChar w:fldCharType="separate"/>
      </w:r>
      <w:r>
        <w:t>21</w:t>
      </w:r>
      <w:r>
        <w:fldChar w:fldCharType="end"/>
      </w:r>
      <w:r>
        <w:fldChar w:fldCharType="end"/>
      </w:r>
    </w:p>
    <w:p>
      <w:pPr>
        <w:pStyle w:val="18"/>
        <w:tabs>
          <w:tab w:val="right" w:leader="dot" w:pos="8306"/>
        </w:tabs>
      </w:pPr>
      <w:r>
        <w:fldChar w:fldCharType="begin"/>
      </w:r>
      <w:r>
        <w:instrText xml:space="preserve"> HYPERLINK \l _Toc24661 </w:instrText>
      </w:r>
      <w:r>
        <w:fldChar w:fldCharType="separate"/>
      </w:r>
      <w:r>
        <w:rPr>
          <w:rFonts w:hint="eastAsia"/>
        </w:rPr>
        <w:t>4.6. 时间规则配置</w:t>
      </w:r>
      <w:r>
        <w:tab/>
      </w:r>
      <w:r>
        <w:fldChar w:fldCharType="begin"/>
      </w:r>
      <w:r>
        <w:instrText xml:space="preserve"> PAGEREF _Toc24661 \h </w:instrText>
      </w:r>
      <w:r>
        <w:fldChar w:fldCharType="separate"/>
      </w:r>
      <w:r>
        <w:t>22</w:t>
      </w:r>
      <w:r>
        <w:fldChar w:fldCharType="end"/>
      </w:r>
      <w:r>
        <w:fldChar w:fldCharType="end"/>
      </w:r>
    </w:p>
    <w:p>
      <w:pPr>
        <w:pStyle w:val="18"/>
        <w:tabs>
          <w:tab w:val="right" w:leader="dot" w:pos="8306"/>
        </w:tabs>
      </w:pPr>
      <w:r>
        <w:fldChar w:fldCharType="begin"/>
      </w:r>
      <w:r>
        <w:instrText xml:space="preserve"> HYPERLINK \l _Toc31999 </w:instrText>
      </w:r>
      <w:r>
        <w:fldChar w:fldCharType="separate"/>
      </w:r>
      <w:r>
        <w:rPr>
          <w:rFonts w:hint="eastAsia"/>
        </w:rPr>
        <w:t>4.7. 内容规则配置</w:t>
      </w:r>
      <w:r>
        <w:tab/>
      </w:r>
      <w:r>
        <w:fldChar w:fldCharType="begin"/>
      </w:r>
      <w:r>
        <w:instrText xml:space="preserve"> PAGEREF _Toc31999 \h </w:instrText>
      </w:r>
      <w:r>
        <w:fldChar w:fldCharType="separate"/>
      </w:r>
      <w:r>
        <w:t>22</w:t>
      </w:r>
      <w:r>
        <w:fldChar w:fldCharType="end"/>
      </w:r>
      <w:r>
        <w:fldChar w:fldCharType="end"/>
      </w:r>
    </w:p>
    <w:p>
      <w:pPr>
        <w:pStyle w:val="18"/>
        <w:tabs>
          <w:tab w:val="right" w:leader="dot" w:pos="8306"/>
        </w:tabs>
      </w:pPr>
      <w:r>
        <w:fldChar w:fldCharType="begin"/>
      </w:r>
      <w:r>
        <w:instrText xml:space="preserve"> HYPERLINK \l _Toc27873 </w:instrText>
      </w:r>
      <w:r>
        <w:fldChar w:fldCharType="separate"/>
      </w:r>
      <w:r>
        <w:rPr>
          <w:rFonts w:hint="eastAsia"/>
        </w:rPr>
        <w:t>4.8. 证书管理</w:t>
      </w:r>
      <w:r>
        <w:tab/>
      </w:r>
      <w:r>
        <w:fldChar w:fldCharType="begin"/>
      </w:r>
      <w:r>
        <w:instrText xml:space="preserve"> PAGEREF _Toc27873 \h </w:instrText>
      </w:r>
      <w:r>
        <w:fldChar w:fldCharType="separate"/>
      </w:r>
      <w:r>
        <w:t>23</w:t>
      </w:r>
      <w:r>
        <w:fldChar w:fldCharType="end"/>
      </w:r>
      <w:r>
        <w:fldChar w:fldCharType="end"/>
      </w:r>
    </w:p>
    <w:p>
      <w:pPr>
        <w:pStyle w:val="18"/>
        <w:tabs>
          <w:tab w:val="right" w:leader="dot" w:pos="8306"/>
        </w:tabs>
      </w:pPr>
      <w:r>
        <w:fldChar w:fldCharType="begin"/>
      </w:r>
      <w:r>
        <w:instrText xml:space="preserve"> HYPERLINK \l _Toc31373 </w:instrText>
      </w:r>
      <w:r>
        <w:fldChar w:fldCharType="separate"/>
      </w:r>
      <w:r>
        <w:rPr>
          <w:rFonts w:hint="eastAsia"/>
        </w:rPr>
        <w:t>4.9. 过滤配置</w:t>
      </w:r>
      <w:r>
        <w:tab/>
      </w:r>
      <w:r>
        <w:fldChar w:fldCharType="begin"/>
      </w:r>
      <w:r>
        <w:instrText xml:space="preserve"> PAGEREF _Toc31373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_Toc27839 </w:instrText>
      </w:r>
      <w:r>
        <w:fldChar w:fldCharType="separate"/>
      </w:r>
      <w:r>
        <w:rPr>
          <w:rFonts w:hint="eastAsia"/>
        </w:rPr>
        <w:t>4.9.1. 地址过滤</w:t>
      </w:r>
      <w:r>
        <w:tab/>
      </w:r>
      <w:r>
        <w:fldChar w:fldCharType="begin"/>
      </w:r>
      <w:r>
        <w:instrText xml:space="preserve"> PAGEREF _Toc27839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_Toc27381 </w:instrText>
      </w:r>
      <w:r>
        <w:fldChar w:fldCharType="separate"/>
      </w:r>
      <w:r>
        <w:rPr>
          <w:rFonts w:hint="eastAsia"/>
        </w:rPr>
        <w:t>4.9.2. 语句过滤</w:t>
      </w:r>
      <w:r>
        <w:tab/>
      </w:r>
      <w:r>
        <w:fldChar w:fldCharType="begin"/>
      </w:r>
      <w:r>
        <w:instrText xml:space="preserve"> PAGEREF _Toc27381 \h </w:instrText>
      </w:r>
      <w:r>
        <w:fldChar w:fldCharType="separate"/>
      </w:r>
      <w:r>
        <w:t>25</w:t>
      </w:r>
      <w:r>
        <w:fldChar w:fldCharType="end"/>
      </w:r>
      <w:r>
        <w:fldChar w:fldCharType="end"/>
      </w:r>
    </w:p>
    <w:p>
      <w:r>
        <w:fldChar w:fldCharType="end"/>
      </w:r>
    </w:p>
    <w:p>
      <w:bookmarkStart w:id="0" w:name="_Toc4198"/>
      <w:bookmarkStart w:id="1" w:name="_Toc6323"/>
      <w:bookmarkStart w:id="2" w:name="_Toc29075"/>
      <w:r>
        <w:rPr>
          <w:rFonts w:hint="eastAsia"/>
        </w:rPr>
        <w:br w:type="page"/>
      </w:r>
    </w:p>
    <w:p>
      <w:pPr>
        <w:pStyle w:val="2"/>
      </w:pPr>
      <w:r>
        <w:rPr>
          <w:rFonts w:hint="eastAsia"/>
        </w:rPr>
        <w:t>引言</w:t>
      </w:r>
      <w:bookmarkEnd w:id="0"/>
      <w:bookmarkEnd w:id="1"/>
      <w:bookmarkEnd w:id="2"/>
    </w:p>
    <w:p>
      <w:pPr>
        <w:pStyle w:val="5"/>
      </w:pPr>
      <w:bookmarkStart w:id="3" w:name="_Toc19013"/>
      <w:bookmarkStart w:id="4" w:name="_Toc25304"/>
      <w:r>
        <w:rPr>
          <w:rFonts w:hint="eastAsia"/>
        </w:rPr>
        <w:t>术语和缩写</w:t>
      </w:r>
      <w:bookmarkEnd w:id="3"/>
      <w:bookmarkEnd w:id="4"/>
    </w:p>
    <w:p>
      <w:pPr>
        <w:pStyle w:val="51"/>
        <w:numPr>
          <w:ilvl w:val="0"/>
          <w:numId w:val="2"/>
        </w:numPr>
        <w:ind w:firstLineChars="0"/>
        <w:rPr>
          <w:b/>
          <w:bCs/>
        </w:rPr>
      </w:pPr>
      <w:r>
        <w:rPr>
          <w:rFonts w:hint="eastAsia"/>
          <w:b/>
          <w:bCs/>
        </w:rPr>
        <w:t>数据库审计</w:t>
      </w:r>
    </w:p>
    <w:p>
      <w:pPr>
        <w:pStyle w:val="51"/>
        <w:ind w:firstLine="480"/>
      </w:pPr>
      <w:r>
        <w:rPr>
          <w:rFonts w:hint="eastAsia"/>
        </w:rPr>
        <w:t>数据库审计是通过对数据库的操作记录下来作为审计记录，反映出数据库被使用的状况；数据库审计支持把通过网络访问方式对数据库的操作及内容进行实时的监控审计。</w:t>
      </w:r>
    </w:p>
    <w:p>
      <w:pPr>
        <w:pStyle w:val="51"/>
        <w:numPr>
          <w:ilvl w:val="0"/>
          <w:numId w:val="2"/>
        </w:numPr>
        <w:ind w:firstLineChars="0"/>
        <w:rPr>
          <w:b/>
          <w:bCs/>
        </w:rPr>
      </w:pPr>
      <w:r>
        <w:rPr>
          <w:rFonts w:hint="eastAsia"/>
          <w:b/>
          <w:bCs/>
        </w:rPr>
        <w:t>审计类型</w:t>
      </w:r>
    </w:p>
    <w:p>
      <w:pPr>
        <w:pStyle w:val="51"/>
        <w:ind w:firstLine="480"/>
      </w:pPr>
      <w:r>
        <w:rPr>
          <w:rFonts w:hint="eastAsia"/>
        </w:rPr>
        <w:t>审计类型指数据库审计系统支持的数据库类型，包括：Oracle、DB2、MSSql、MySql、Sybase、Infomix。</w:t>
      </w:r>
    </w:p>
    <w:p>
      <w:pPr>
        <w:pStyle w:val="51"/>
        <w:numPr>
          <w:ilvl w:val="0"/>
          <w:numId w:val="2"/>
        </w:numPr>
        <w:ind w:firstLineChars="0"/>
        <w:rPr>
          <w:b/>
          <w:bCs/>
        </w:rPr>
      </w:pPr>
      <w:r>
        <w:rPr>
          <w:rFonts w:hint="eastAsia"/>
          <w:b/>
          <w:bCs/>
        </w:rPr>
        <w:t>数据库sql操作类型</w:t>
      </w:r>
    </w:p>
    <w:p>
      <w:pPr>
        <w:pStyle w:val="51"/>
        <w:ind w:firstLine="480"/>
      </w:pPr>
      <w:r>
        <w:rPr>
          <w:rFonts w:hint="eastAsia"/>
        </w:rPr>
        <w:t>数据库审计支持的sql操作类型，包括</w:t>
      </w:r>
    </w:p>
    <w:p>
      <w:pPr>
        <w:pStyle w:val="51"/>
        <w:numPr>
          <w:ilvl w:val="0"/>
          <w:numId w:val="3"/>
        </w:numPr>
        <w:ind w:firstLineChars="0"/>
      </w:pPr>
      <w:r>
        <w:rPr>
          <w:rFonts w:hint="eastAsia"/>
        </w:rPr>
        <w:t xml:space="preserve">插入操作（Inserts） </w:t>
      </w:r>
    </w:p>
    <w:p>
      <w:pPr>
        <w:pStyle w:val="51"/>
        <w:ind w:firstLine="480"/>
      </w:pPr>
      <w:r>
        <w:rPr>
          <w:rFonts w:hint="eastAsia"/>
        </w:rPr>
        <w:t xml:space="preserve">数据插入操作（INSERT， SELECT … INTO） </w:t>
      </w:r>
    </w:p>
    <w:p>
      <w:pPr>
        <w:pStyle w:val="51"/>
        <w:numPr>
          <w:ilvl w:val="0"/>
          <w:numId w:val="3"/>
        </w:numPr>
        <w:ind w:firstLineChars="0"/>
      </w:pPr>
      <w:r>
        <w:rPr>
          <w:rFonts w:hint="eastAsia"/>
        </w:rPr>
        <w:t xml:space="preserve">新建数据表、数据库、视图、索引等操作（CREATE TABLE， CREATE DATABASE， CREATE VIEW， CREATE INDEX， …） </w:t>
      </w:r>
    </w:p>
    <w:p>
      <w:pPr>
        <w:pStyle w:val="51"/>
        <w:numPr>
          <w:ilvl w:val="0"/>
          <w:numId w:val="3"/>
        </w:numPr>
        <w:ind w:firstLineChars="0"/>
      </w:pPr>
      <w:r>
        <w:rPr>
          <w:rFonts w:hint="eastAsia"/>
        </w:rPr>
        <w:t xml:space="preserve">查询操作（Selects） </w:t>
      </w:r>
    </w:p>
    <w:p>
      <w:pPr>
        <w:pStyle w:val="51"/>
        <w:ind w:firstLine="480"/>
      </w:pPr>
      <w:r>
        <w:rPr>
          <w:rFonts w:hint="eastAsia"/>
        </w:rPr>
        <w:t xml:space="preserve">数据查询操作（SELECT） </w:t>
      </w:r>
    </w:p>
    <w:p>
      <w:pPr>
        <w:pStyle w:val="51"/>
        <w:ind w:firstLine="480"/>
      </w:pPr>
      <w:r>
        <w:rPr>
          <w:rFonts w:hint="eastAsia"/>
        </w:rPr>
        <w:t xml:space="preserve">数据表结构查询操作（show/desc） </w:t>
      </w:r>
    </w:p>
    <w:p>
      <w:pPr>
        <w:pStyle w:val="51"/>
        <w:numPr>
          <w:ilvl w:val="0"/>
          <w:numId w:val="4"/>
        </w:numPr>
        <w:ind w:firstLineChars="0"/>
      </w:pPr>
      <w:r>
        <w:rPr>
          <w:rFonts w:hint="eastAsia"/>
        </w:rPr>
        <w:t xml:space="preserve">删除操作（Deletes） </w:t>
      </w:r>
    </w:p>
    <w:p>
      <w:pPr>
        <w:pStyle w:val="51"/>
        <w:ind w:firstLine="480"/>
      </w:pPr>
      <w:r>
        <w:rPr>
          <w:rFonts w:hint="eastAsia"/>
        </w:rPr>
        <w:t xml:space="preserve">删除数据操作（DELETE， TRUNCATE TABLE， TRUNCATE DATABASE， …） </w:t>
      </w:r>
    </w:p>
    <w:p>
      <w:pPr>
        <w:pStyle w:val="51"/>
        <w:ind w:firstLine="480"/>
      </w:pPr>
      <w:r>
        <w:rPr>
          <w:rFonts w:hint="eastAsia"/>
        </w:rPr>
        <w:t xml:space="preserve">删除数据表、数据库、视图、索引等操作（DROP TABLE， DROP DATABASE， DROP VIEW， DROP INDEX， …） </w:t>
      </w:r>
    </w:p>
    <w:p>
      <w:pPr>
        <w:pStyle w:val="51"/>
        <w:numPr>
          <w:ilvl w:val="0"/>
          <w:numId w:val="4"/>
        </w:numPr>
        <w:ind w:firstLineChars="0"/>
      </w:pPr>
      <w:r>
        <w:rPr>
          <w:rFonts w:hint="eastAsia"/>
        </w:rPr>
        <w:t xml:space="preserve">更新操作（Updates） </w:t>
      </w:r>
    </w:p>
    <w:p>
      <w:pPr>
        <w:pStyle w:val="51"/>
        <w:ind w:firstLine="480"/>
      </w:pPr>
      <w:r>
        <w:rPr>
          <w:rFonts w:hint="eastAsia"/>
        </w:rPr>
        <w:t xml:space="preserve">数据更新操作（UPDATE） </w:t>
      </w:r>
    </w:p>
    <w:p>
      <w:pPr>
        <w:pStyle w:val="51"/>
        <w:ind w:firstLine="480"/>
      </w:pPr>
      <w:r>
        <w:rPr>
          <w:rFonts w:hint="eastAsia"/>
        </w:rPr>
        <w:t xml:space="preserve">数据表结构更新操作（ALTER， RENAME … TO …， MERGE INTO … USING …） </w:t>
      </w:r>
    </w:p>
    <w:p>
      <w:pPr>
        <w:pStyle w:val="51"/>
        <w:numPr>
          <w:ilvl w:val="0"/>
          <w:numId w:val="4"/>
        </w:numPr>
        <w:ind w:firstLineChars="0"/>
      </w:pPr>
      <w:r>
        <w:rPr>
          <w:rFonts w:hint="eastAsia"/>
        </w:rPr>
        <w:t xml:space="preserve">用户访问（Access） </w:t>
      </w:r>
    </w:p>
    <w:p>
      <w:pPr>
        <w:pStyle w:val="51"/>
        <w:ind w:firstLine="480"/>
      </w:pPr>
      <w:r>
        <w:rPr>
          <w:rFonts w:hint="eastAsia"/>
        </w:rPr>
        <w:t xml:space="preserve">用户登录 </w:t>
      </w:r>
    </w:p>
    <w:p>
      <w:pPr>
        <w:pStyle w:val="51"/>
        <w:numPr>
          <w:ilvl w:val="0"/>
          <w:numId w:val="4"/>
        </w:numPr>
        <w:ind w:firstLineChars="0"/>
      </w:pPr>
      <w:r>
        <w:rPr>
          <w:rFonts w:hint="eastAsia"/>
        </w:rPr>
        <w:t xml:space="preserve">特权操作（Privilege） </w:t>
      </w:r>
    </w:p>
    <w:p>
      <w:pPr>
        <w:pStyle w:val="51"/>
        <w:ind w:firstLine="480"/>
      </w:pPr>
      <w:r>
        <w:rPr>
          <w:rFonts w:hint="eastAsia"/>
        </w:rPr>
        <w:t xml:space="preserve">用户权限改变（GRANT， DENY， REVOKE） </w:t>
      </w:r>
    </w:p>
    <w:p>
      <w:pPr>
        <w:pStyle w:val="51"/>
        <w:numPr>
          <w:ilvl w:val="0"/>
          <w:numId w:val="4"/>
        </w:numPr>
        <w:ind w:firstLineChars="0"/>
      </w:pPr>
      <w:r>
        <w:rPr>
          <w:rFonts w:hint="eastAsia"/>
        </w:rPr>
        <w:t xml:space="preserve">用户建立与删除 </w:t>
      </w:r>
    </w:p>
    <w:p>
      <w:pPr>
        <w:pStyle w:val="51"/>
        <w:ind w:firstLine="480"/>
      </w:pPr>
      <w:r>
        <w:rPr>
          <w:rFonts w:hint="eastAsia"/>
        </w:rPr>
        <w:t xml:space="preserve">备份与恢复操作（BACKUP， RESTORE） </w:t>
      </w:r>
    </w:p>
    <w:p>
      <w:pPr>
        <w:pStyle w:val="51"/>
        <w:ind w:firstLine="480"/>
      </w:pPr>
      <w:r>
        <w:rPr>
          <w:rFonts w:hint="eastAsia"/>
        </w:rPr>
        <w:t xml:space="preserve">事务操作（COMMIT， ROLLBACK TO） </w:t>
      </w:r>
    </w:p>
    <w:p>
      <w:pPr>
        <w:pStyle w:val="51"/>
        <w:numPr>
          <w:ilvl w:val="0"/>
          <w:numId w:val="4"/>
        </w:numPr>
        <w:ind w:firstLineChars="0"/>
      </w:pPr>
      <w:r>
        <w:rPr>
          <w:rFonts w:hint="eastAsia"/>
        </w:rPr>
        <w:t xml:space="preserve">数据库特有操作 </w:t>
      </w:r>
    </w:p>
    <w:p>
      <w:pPr>
        <w:pStyle w:val="51"/>
        <w:ind w:firstLine="480"/>
      </w:pPr>
      <w:r>
        <w:rPr>
          <w:rFonts w:hint="eastAsia"/>
        </w:rPr>
        <w:t xml:space="preserve">Microsoft SQL Server特有操作：DBCC，SP_*， OPENDATASOURCE， … </w:t>
      </w:r>
    </w:p>
    <w:p>
      <w:pPr>
        <w:pStyle w:val="51"/>
        <w:ind w:firstLine="480"/>
      </w:pPr>
      <w:r>
        <w:rPr>
          <w:rFonts w:hint="eastAsia"/>
        </w:rPr>
        <w:t xml:space="preserve">ORALCE特有操作 </w:t>
      </w:r>
    </w:p>
    <w:p>
      <w:pPr>
        <w:pStyle w:val="51"/>
        <w:numPr>
          <w:ilvl w:val="0"/>
          <w:numId w:val="4"/>
        </w:numPr>
        <w:ind w:firstLineChars="0"/>
      </w:pPr>
      <w:r>
        <w:rPr>
          <w:rFonts w:hint="eastAsia"/>
        </w:rPr>
        <w:t xml:space="preserve">其他操作 </w:t>
      </w:r>
    </w:p>
    <w:p>
      <w:pPr>
        <w:pStyle w:val="51"/>
        <w:ind w:firstLine="480"/>
      </w:pPr>
      <w:r>
        <w:rPr>
          <w:rFonts w:hint="eastAsia"/>
        </w:rPr>
        <w:t xml:space="preserve">特定字符串审计 </w:t>
      </w:r>
    </w:p>
    <w:p>
      <w:pPr>
        <w:pStyle w:val="51"/>
        <w:numPr>
          <w:ilvl w:val="0"/>
          <w:numId w:val="2"/>
        </w:numPr>
        <w:ind w:firstLineChars="0"/>
        <w:rPr>
          <w:b/>
          <w:bCs/>
        </w:rPr>
      </w:pPr>
      <w:r>
        <w:rPr>
          <w:rFonts w:hint="eastAsia"/>
          <w:b/>
          <w:bCs/>
        </w:rPr>
        <w:t>审计服务器</w:t>
      </w:r>
    </w:p>
    <w:p>
      <w:pPr>
        <w:pStyle w:val="51"/>
        <w:ind w:firstLine="480"/>
      </w:pPr>
      <w:r>
        <w:rPr>
          <w:rFonts w:hint="eastAsia"/>
        </w:rPr>
        <w:t>审计服务器指数据库服务器。</w:t>
      </w:r>
    </w:p>
    <w:p>
      <w:pPr>
        <w:pStyle w:val="51"/>
        <w:numPr>
          <w:ilvl w:val="0"/>
          <w:numId w:val="2"/>
        </w:numPr>
        <w:ind w:firstLineChars="0"/>
        <w:rPr>
          <w:b/>
          <w:bCs/>
        </w:rPr>
      </w:pPr>
      <w:r>
        <w:rPr>
          <w:rFonts w:hint="eastAsia"/>
          <w:b/>
          <w:bCs/>
        </w:rPr>
        <w:t>审计客户端</w:t>
      </w:r>
    </w:p>
    <w:p>
      <w:pPr>
        <w:pStyle w:val="51"/>
        <w:ind w:firstLine="480"/>
      </w:pPr>
      <w:r>
        <w:rPr>
          <w:rFonts w:hint="eastAsia"/>
        </w:rPr>
        <w:t>审计客户端指访问审计服务器的用户终端。</w:t>
      </w:r>
    </w:p>
    <w:p>
      <w:pPr>
        <w:pStyle w:val="51"/>
        <w:numPr>
          <w:ilvl w:val="0"/>
          <w:numId w:val="2"/>
        </w:numPr>
        <w:ind w:firstLineChars="0"/>
        <w:rPr>
          <w:b/>
          <w:bCs/>
        </w:rPr>
      </w:pPr>
      <w:r>
        <w:rPr>
          <w:rFonts w:hint="eastAsia"/>
          <w:b/>
          <w:bCs/>
        </w:rPr>
        <w:t>审计记录</w:t>
      </w:r>
    </w:p>
    <w:p>
      <w:pPr>
        <w:pStyle w:val="51"/>
        <w:ind w:firstLine="480"/>
      </w:pPr>
      <w:r>
        <w:rPr>
          <w:rFonts w:hint="eastAsia"/>
        </w:rPr>
        <w:t>用户访问审计服务器产生的每一个sql操作或运维操作记录下来的行为及内容作为一条审计记录。</w:t>
      </w:r>
    </w:p>
    <w:p>
      <w:pPr>
        <w:pStyle w:val="51"/>
        <w:numPr>
          <w:ilvl w:val="0"/>
          <w:numId w:val="2"/>
        </w:numPr>
        <w:ind w:firstLineChars="0"/>
        <w:rPr>
          <w:b/>
          <w:bCs/>
        </w:rPr>
      </w:pPr>
      <w:r>
        <w:rPr>
          <w:rFonts w:hint="eastAsia"/>
          <w:b/>
          <w:bCs/>
        </w:rPr>
        <w:t>策略</w:t>
      </w:r>
    </w:p>
    <w:p>
      <w:pPr>
        <w:pStyle w:val="51"/>
        <w:ind w:firstLine="480"/>
      </w:pPr>
      <w:r>
        <w:rPr>
          <w:rFonts w:hint="eastAsia"/>
        </w:rPr>
        <w:t>对监控数据进行处理，生成审计记录以及执行某种操作的集合。</w:t>
      </w:r>
    </w:p>
    <w:p>
      <w:pPr>
        <w:pStyle w:val="2"/>
      </w:pPr>
      <w:bookmarkStart w:id="5" w:name="_Toc10592"/>
      <w:bookmarkStart w:id="6" w:name="_Toc25373"/>
      <w:bookmarkStart w:id="7" w:name="_Toc7264"/>
      <w:r>
        <w:rPr>
          <w:rFonts w:hint="eastAsia"/>
        </w:rPr>
        <w:t>产品简介</w:t>
      </w:r>
      <w:bookmarkEnd w:id="5"/>
      <w:bookmarkEnd w:id="6"/>
      <w:bookmarkEnd w:id="7"/>
    </w:p>
    <w:p>
      <w:pPr>
        <w:pStyle w:val="5"/>
      </w:pPr>
      <w:bookmarkStart w:id="8" w:name="_Toc271837509"/>
      <w:bookmarkStart w:id="9" w:name="_Toc244168622"/>
      <w:bookmarkStart w:id="10" w:name="_Toc258004565"/>
      <w:bookmarkStart w:id="11" w:name="_Toc265048961"/>
      <w:bookmarkStart w:id="12" w:name="_Toc171313894"/>
      <w:bookmarkStart w:id="13" w:name="_Toc22279"/>
      <w:bookmarkStart w:id="14" w:name="_Toc171331651"/>
      <w:bookmarkStart w:id="15" w:name="_Toc17159"/>
      <w:bookmarkStart w:id="16" w:name="_Toc171306716"/>
      <w:r>
        <w:rPr>
          <w:rFonts w:hint="eastAsia"/>
        </w:rPr>
        <w:t>产品背景</w:t>
      </w:r>
      <w:bookmarkEnd w:id="8"/>
      <w:bookmarkEnd w:id="9"/>
      <w:bookmarkEnd w:id="10"/>
      <w:bookmarkEnd w:id="11"/>
      <w:bookmarkEnd w:id="12"/>
      <w:bookmarkEnd w:id="13"/>
      <w:bookmarkEnd w:id="14"/>
      <w:bookmarkEnd w:id="15"/>
      <w:bookmarkEnd w:id="16"/>
    </w:p>
    <w:p>
      <w:pPr>
        <w:pStyle w:val="51"/>
        <w:ind w:firstLine="480"/>
      </w:pPr>
      <w:r>
        <w:rPr>
          <w:rFonts w:hint="eastAsia"/>
        </w:rPr>
        <w:t>数据库是每个企业数据管理的基础，尽管这些系统的数据完整性和安全性是相当重要的，但对数据库采取的安全检查措施的级别还比不上操作系统和网络的安全检查措施的级别。许多因素都可能破坏数据的完整性并导致非法访问，这些因素包括密码安全性较差、误配置、未被察觉的系统后门以及自适应数据库安全方法的强制性常规使用等。</w:t>
      </w:r>
    </w:p>
    <w:p>
      <w:pPr>
        <w:pStyle w:val="51"/>
        <w:ind w:firstLine="480"/>
      </w:pPr>
      <w:r>
        <w:rPr>
          <w:rFonts w:hint="eastAsia"/>
        </w:rPr>
        <w:t>针对以上破坏数据完整性的威胁都来自于数据库本身的安全策略的漏洞和使用方面的问题，然而对于数据库合法用户的违规操作，以及内部用户对数据资源的故意泄露或破坏等问题，对企业带来的危害会更加严重，损失也会相当巨大。当然，数据库系统本身会提供一些日志审计功能，但是想要审计较为细致的操作日志就必然要影响到数据库服务器的性能，一般应用数据库的企业用户 ，都不愿意开设多一些的日志审计功能，这样必然会对数据库的安全埋下了安全隐患。</w:t>
      </w:r>
    </w:p>
    <w:p>
      <w:pPr>
        <w:pStyle w:val="51"/>
        <w:ind w:firstLine="480"/>
      </w:pPr>
      <w:r>
        <w:rPr>
          <w:rFonts w:hint="eastAsia"/>
        </w:rPr>
        <w:t>当产生数据安全问题时，为了寻找案件线索，执法机构需要从网络上寻找犯罪嫌疑人的活动和留下的痕迹并获取可靠的犯罪证据，对于侦破犯罪案件，保障社会稳定，维护公民利益具有十分重要的意义。</w:t>
      </w:r>
    </w:p>
    <w:p>
      <w:pPr>
        <w:pStyle w:val="51"/>
        <w:ind w:firstLine="480"/>
      </w:pPr>
      <w:r>
        <w:rPr>
          <w:rFonts w:hint="eastAsia"/>
        </w:rPr>
        <w:t>因此，安全管理要从网络系统安全和应用安全两个方面推进，才能有效地全面解决安全问题。数据库网络安全审计是网络安全管理工作中的一个重要组成部分，它可以通过对网络数据库的“信息活动”实时地进行监控审计，使管理者对网络数据库的“信息活动”一目了然，能够及时掌握数据库服务器的应用情况，及时发现客户端的使用问题，存在着哪些安全问题和隐患并予以纠正，预防应用安全事件的发生，即便发生了也能够可以快速查证并追根寻源。</w:t>
      </w:r>
    </w:p>
    <w:p>
      <w:pPr>
        <w:pStyle w:val="5"/>
      </w:pPr>
      <w:bookmarkStart w:id="17" w:name="_Toc10831"/>
      <w:bookmarkStart w:id="18" w:name="_Toc25757"/>
      <w:r>
        <w:rPr>
          <w:rFonts w:hint="eastAsia"/>
        </w:rPr>
        <w:t>产品特点</w:t>
      </w:r>
      <w:bookmarkEnd w:id="17"/>
      <w:bookmarkEnd w:id="18"/>
    </w:p>
    <w:p>
      <w:pPr>
        <w:pStyle w:val="51"/>
        <w:ind w:firstLine="480"/>
      </w:pPr>
      <w:r>
        <w:rPr>
          <w:rFonts w:hint="eastAsia"/>
        </w:rPr>
        <w:t>数据库审计系统</w:t>
      </w:r>
      <w:r>
        <w:t>采用</w:t>
      </w:r>
      <w:r>
        <w:rPr>
          <w:rFonts w:hint="eastAsia"/>
        </w:rPr>
        <w:t>网络旁路</w:t>
      </w:r>
      <w:r>
        <w:t>实时侦听方式，全线速采集网络上所有会话流，对网络</w:t>
      </w:r>
      <w:r>
        <w:rPr>
          <w:rFonts w:hint="eastAsia"/>
        </w:rPr>
        <w:t>中</w:t>
      </w:r>
      <w:r>
        <w:t>的</w:t>
      </w:r>
      <w:r>
        <w:rPr>
          <w:rFonts w:hint="eastAsia"/>
        </w:rPr>
        <w:t>各种</w:t>
      </w:r>
      <w:r>
        <w:t>应用行为和应用内容进行监控、报警、记录。</w:t>
      </w:r>
    </w:p>
    <w:p>
      <w:pPr>
        <w:pStyle w:val="51"/>
        <w:ind w:firstLine="480"/>
      </w:pPr>
      <w:r>
        <w:rPr>
          <w:rFonts w:hint="eastAsia"/>
        </w:rPr>
        <w:t>数据库审计系统</w:t>
      </w:r>
      <w:r>
        <w:t>不参与被监控网络的数据传输活动，因此不对网络结构和性能产生任何影响，具有很好的透明性和安全性。</w:t>
      </w:r>
    </w:p>
    <w:p>
      <w:pPr>
        <w:pStyle w:val="5"/>
      </w:pPr>
      <w:bookmarkStart w:id="19" w:name="_Toc20971"/>
      <w:bookmarkStart w:id="20" w:name="_Toc9170"/>
      <w:r>
        <w:rPr>
          <w:rFonts w:hint="eastAsia"/>
        </w:rPr>
        <w:t>产品功能</w:t>
      </w:r>
      <w:bookmarkEnd w:id="19"/>
      <w:bookmarkEnd w:id="20"/>
    </w:p>
    <w:p>
      <w:pPr>
        <w:pStyle w:val="51"/>
        <w:numPr>
          <w:ilvl w:val="0"/>
          <w:numId w:val="5"/>
        </w:numPr>
        <w:ind w:firstLineChars="0"/>
      </w:pPr>
      <w:r>
        <w:rPr>
          <w:rFonts w:hint="eastAsia"/>
        </w:rPr>
        <w:t>数据库行为和数据库运维监控、审计、报警</w:t>
      </w:r>
    </w:p>
    <w:p>
      <w:pPr>
        <w:pStyle w:val="51"/>
        <w:ind w:firstLine="480"/>
      </w:pPr>
      <w:r>
        <w:rPr>
          <w:rFonts w:hint="eastAsia"/>
        </w:rPr>
        <w:t>能够对网络数据库的各种操作进行记录审计并报警，提供详细的审计信息（4W：何时 When 、何地 Where 、何人 Who以及何种行为 What）查询功能和邮件、syslog报警方式。同时提供多种审计条件，实现分类审计或组合审计。</w:t>
      </w:r>
    </w:p>
    <w:p>
      <w:pPr>
        <w:pStyle w:val="51"/>
        <w:numPr>
          <w:ilvl w:val="0"/>
          <w:numId w:val="5"/>
        </w:numPr>
        <w:ind w:firstLineChars="0"/>
      </w:pPr>
      <w:r>
        <w:rPr>
          <w:rFonts w:hint="eastAsia"/>
        </w:rPr>
        <w:t>数据库事件审计分析</w:t>
      </w:r>
    </w:p>
    <w:p>
      <w:pPr>
        <w:pStyle w:val="51"/>
        <w:ind w:firstLine="480"/>
      </w:pPr>
      <w:r>
        <w:rPr>
          <w:rFonts w:hint="eastAsia"/>
        </w:rPr>
        <w:t>能够对网络数据库接收发送的流量包数进行统计，并提供详细的统计条件（如：时间、IP地址、协议类型等），并根据历史的数据库操作数量做出基于：天、周、月的趋势分析。</w:t>
      </w:r>
    </w:p>
    <w:p>
      <w:pPr>
        <w:pStyle w:val="51"/>
        <w:numPr>
          <w:ilvl w:val="0"/>
          <w:numId w:val="5"/>
        </w:numPr>
        <w:ind w:firstLineChars="0"/>
      </w:pPr>
      <w:r>
        <w:rPr>
          <w:rFonts w:hint="eastAsia"/>
        </w:rPr>
        <w:t>日志信息查询</w:t>
      </w:r>
    </w:p>
    <w:p>
      <w:pPr>
        <w:pStyle w:val="51"/>
        <w:ind w:firstLine="480"/>
      </w:pPr>
      <w:r>
        <w:rPr>
          <w:rFonts w:hint="eastAsia"/>
        </w:rPr>
        <w:t>能够对网络中其他设备发来的syslog和SNMP日志信息进行接收和查询，并提供多种查询条件，实现分类或组合查询。</w:t>
      </w:r>
    </w:p>
    <w:p>
      <w:pPr>
        <w:pStyle w:val="51"/>
        <w:numPr>
          <w:ilvl w:val="0"/>
          <w:numId w:val="5"/>
        </w:numPr>
        <w:ind w:firstLineChars="0"/>
      </w:pPr>
      <w:r>
        <w:rPr>
          <w:rFonts w:hint="eastAsia"/>
        </w:rPr>
        <w:t>报表系统</w:t>
      </w:r>
    </w:p>
    <w:p>
      <w:pPr>
        <w:pStyle w:val="51"/>
        <w:ind w:firstLine="480"/>
      </w:pPr>
      <w:r>
        <w:rPr>
          <w:rFonts w:hint="eastAsia"/>
        </w:rPr>
        <w:t>可以实现手动报表和自动定制报表邮件发送功能。</w:t>
      </w:r>
    </w:p>
    <w:p>
      <w:pPr>
        <w:pStyle w:val="51"/>
        <w:numPr>
          <w:ilvl w:val="0"/>
          <w:numId w:val="5"/>
        </w:numPr>
        <w:ind w:firstLineChars="0"/>
      </w:pPr>
      <w:r>
        <w:rPr>
          <w:rFonts w:hint="eastAsia"/>
        </w:rPr>
        <w:t>自身日志</w:t>
      </w:r>
    </w:p>
    <w:p>
      <w:pPr>
        <w:pStyle w:val="51"/>
        <w:ind w:firstLine="480"/>
      </w:pPr>
      <w:r>
        <w:rPr>
          <w:rFonts w:hint="eastAsia"/>
        </w:rPr>
        <w:t>支持完善的自身日志记录和查询功能。</w:t>
      </w:r>
    </w:p>
    <w:p>
      <w:pPr>
        <w:pStyle w:val="2"/>
      </w:pPr>
      <w:bookmarkStart w:id="21" w:name="_Toc7137"/>
      <w:r>
        <w:rPr>
          <w:rFonts w:hint="eastAsia"/>
          <w:lang w:val="en-US" w:eastAsia="zh-CN"/>
        </w:rPr>
        <w:t>网络端口说明</w:t>
      </w:r>
      <w:bookmarkEnd w:id="2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68"/>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shd w:val="clear" w:color="auto" w:fill="EEECE1" w:themeFill="background2"/>
            <w:vAlign w:val="top"/>
          </w:tcPr>
          <w:p>
            <w:pPr>
              <w:pStyle w:val="3"/>
              <w:ind w:left="0" w:leftChars="0" w:firstLine="0" w:firstLineChars="0"/>
              <w:jc w:val="center"/>
              <w:rPr>
                <w:rFonts w:hint="eastAsia" w:eastAsiaTheme="minorEastAsia"/>
                <w:vertAlign w:val="baseline"/>
                <w:lang w:val="en-US" w:eastAsia="zh-CN"/>
              </w:rPr>
            </w:pPr>
            <w:r>
              <w:rPr>
                <w:rFonts w:hint="eastAsia"/>
                <w:vertAlign w:val="baseline"/>
                <w:lang w:val="en-US" w:eastAsia="zh-CN"/>
              </w:rPr>
              <w:t>序号</w:t>
            </w:r>
          </w:p>
        </w:tc>
        <w:tc>
          <w:tcPr>
            <w:tcW w:w="3468" w:type="dxa"/>
            <w:shd w:val="clear" w:color="auto" w:fill="EEECE1" w:themeFill="background2"/>
            <w:vAlign w:val="top"/>
          </w:tcPr>
          <w:p>
            <w:pPr>
              <w:pStyle w:val="3"/>
              <w:jc w:val="center"/>
              <w:rPr>
                <w:rFonts w:hint="default" w:eastAsiaTheme="minorEastAsia"/>
                <w:vertAlign w:val="baseline"/>
                <w:lang w:val="en-US" w:eastAsia="zh-CN"/>
              </w:rPr>
            </w:pPr>
            <w:r>
              <w:rPr>
                <w:rFonts w:hint="eastAsia"/>
                <w:vertAlign w:val="baseline"/>
                <w:lang w:val="en-US" w:eastAsia="zh-CN"/>
              </w:rPr>
              <w:t>源</w:t>
            </w:r>
            <w:r>
              <w:rPr>
                <w:rFonts w:hint="default" w:ascii="Arial" w:hAnsi="Arial" w:cs="Arial"/>
                <w:vertAlign w:val="baseline"/>
                <w:lang w:val="en-US" w:eastAsia="zh-CN"/>
              </w:rPr>
              <w:t>→</w:t>
            </w:r>
            <w:r>
              <w:rPr>
                <w:rFonts w:hint="eastAsia" w:ascii="Arial" w:hAnsi="Arial" w:cs="Arial"/>
                <w:vertAlign w:val="baseline"/>
                <w:lang w:val="en-US" w:eastAsia="zh-CN"/>
              </w:rPr>
              <w:t>目标</w:t>
            </w:r>
          </w:p>
        </w:tc>
        <w:tc>
          <w:tcPr>
            <w:tcW w:w="2131" w:type="dxa"/>
            <w:shd w:val="clear" w:color="auto" w:fill="EEECE1" w:themeFill="background2"/>
            <w:vAlign w:val="top"/>
          </w:tcPr>
          <w:p>
            <w:pPr>
              <w:pStyle w:val="3"/>
              <w:jc w:val="center"/>
              <w:rPr>
                <w:rFonts w:hint="eastAsia" w:eastAsiaTheme="minorEastAsia"/>
                <w:vertAlign w:val="baseline"/>
                <w:lang w:val="en-US" w:eastAsia="zh-CN"/>
              </w:rPr>
            </w:pPr>
            <w:r>
              <w:rPr>
                <w:rFonts w:hint="eastAsia"/>
                <w:vertAlign w:val="baseline"/>
                <w:lang w:val="en-US" w:eastAsia="zh-CN"/>
              </w:rPr>
              <w:t>端口</w:t>
            </w:r>
          </w:p>
        </w:tc>
        <w:tc>
          <w:tcPr>
            <w:tcW w:w="2131" w:type="dxa"/>
            <w:shd w:val="clear" w:color="auto" w:fill="EEECE1" w:themeFill="background2"/>
            <w:vAlign w:val="top"/>
          </w:tcPr>
          <w:p>
            <w:pPr>
              <w:pStyle w:val="3"/>
              <w:jc w:val="center"/>
              <w:rPr>
                <w:rFonts w:hint="eastAsia" w:eastAsiaTheme="minorEastAsia"/>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tcPr>
          <w:p>
            <w:pPr>
              <w:pStyle w:val="3"/>
              <w:jc w:val="center"/>
              <w:rPr>
                <w:rFonts w:hint="default" w:eastAsiaTheme="minorEastAsia"/>
                <w:vertAlign w:val="baseline"/>
                <w:lang w:val="en-US" w:eastAsia="zh-CN"/>
              </w:rPr>
            </w:pPr>
            <w:r>
              <w:rPr>
                <w:rFonts w:hint="eastAsia"/>
                <w:vertAlign w:val="baseline"/>
                <w:lang w:val="en-US" w:eastAsia="zh-CN"/>
              </w:rPr>
              <w:t>1</w:t>
            </w:r>
          </w:p>
        </w:tc>
        <w:tc>
          <w:tcPr>
            <w:tcW w:w="3468" w:type="dxa"/>
          </w:tcPr>
          <w:p>
            <w:pPr>
              <w:pStyle w:val="3"/>
              <w:jc w:val="center"/>
              <w:rPr>
                <w:rFonts w:hint="default" w:eastAsiaTheme="minorEastAsia"/>
                <w:vertAlign w:val="baseline"/>
                <w:lang w:val="en-US" w:eastAsia="zh-CN"/>
              </w:rPr>
            </w:pPr>
            <w:r>
              <w:rPr>
                <w:rFonts w:hint="eastAsia"/>
                <w:vertAlign w:val="baseline"/>
                <w:lang w:val="en-US" w:eastAsia="zh-CN"/>
              </w:rPr>
              <w:t>终端</w:t>
            </w:r>
            <w:r>
              <w:rPr>
                <w:rFonts w:hint="default" w:ascii="Arial" w:hAnsi="Arial" w:cs="Arial"/>
                <w:vertAlign w:val="baseline"/>
                <w:lang w:val="en-US" w:eastAsia="zh-CN"/>
              </w:rPr>
              <w:t>→</w:t>
            </w:r>
            <w:r>
              <w:rPr>
                <w:rFonts w:hint="eastAsia" w:ascii="Arial" w:hAnsi="Arial" w:cs="Arial"/>
                <w:vertAlign w:val="baseline"/>
                <w:lang w:val="en-US" w:eastAsia="zh-CN"/>
              </w:rPr>
              <w:t>审计产品</w:t>
            </w:r>
          </w:p>
        </w:tc>
        <w:tc>
          <w:tcPr>
            <w:tcW w:w="2131" w:type="dxa"/>
          </w:tcPr>
          <w:p>
            <w:pPr>
              <w:pStyle w:val="3"/>
              <w:jc w:val="center"/>
              <w:rPr>
                <w:rFonts w:hint="default" w:eastAsiaTheme="minorEastAsia"/>
                <w:vertAlign w:val="baseline"/>
                <w:lang w:val="en-US" w:eastAsia="zh-CN"/>
              </w:rPr>
            </w:pPr>
            <w:r>
              <w:rPr>
                <w:rFonts w:hint="eastAsia"/>
                <w:vertAlign w:val="baseline"/>
                <w:lang w:val="en-US" w:eastAsia="zh-CN"/>
              </w:rPr>
              <w:t>443</w:t>
            </w:r>
          </w:p>
        </w:tc>
        <w:tc>
          <w:tcPr>
            <w:tcW w:w="2131" w:type="dxa"/>
          </w:tcPr>
          <w:p>
            <w:pPr>
              <w:pStyle w:val="3"/>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tcPr>
          <w:p>
            <w:pPr>
              <w:pStyle w:val="3"/>
              <w:jc w:val="center"/>
              <w:rPr>
                <w:rFonts w:hint="eastAsia" w:eastAsiaTheme="minorEastAsia"/>
                <w:vertAlign w:val="baseline"/>
                <w:lang w:val="en-US" w:eastAsia="zh-CN"/>
              </w:rPr>
            </w:pPr>
            <w:r>
              <w:rPr>
                <w:rFonts w:hint="eastAsia"/>
                <w:vertAlign w:val="baseline"/>
                <w:lang w:val="en-US" w:eastAsia="zh-CN"/>
              </w:rPr>
              <w:t>2</w:t>
            </w:r>
          </w:p>
        </w:tc>
        <w:tc>
          <w:tcPr>
            <w:tcW w:w="3468" w:type="dxa"/>
          </w:tcPr>
          <w:p>
            <w:pPr>
              <w:pStyle w:val="3"/>
              <w:jc w:val="center"/>
              <w:rPr>
                <w:rFonts w:hint="default" w:eastAsiaTheme="minorEastAsia"/>
                <w:vertAlign w:val="baseline"/>
                <w:lang w:val="en-US" w:eastAsia="zh-CN"/>
              </w:rPr>
            </w:pPr>
            <w:r>
              <w:rPr>
                <w:rFonts w:hint="eastAsia"/>
                <w:vertAlign w:val="baseline"/>
                <w:lang w:val="en-US" w:eastAsia="zh-CN"/>
              </w:rPr>
              <w:t>审计产品</w:t>
            </w:r>
            <w:r>
              <w:rPr>
                <w:rFonts w:hint="default" w:ascii="Arial" w:hAnsi="Arial" w:cs="Arial"/>
                <w:vertAlign w:val="baseline"/>
                <w:lang w:val="en-US" w:eastAsia="zh-CN"/>
              </w:rPr>
              <w:t>→</w:t>
            </w:r>
            <w:r>
              <w:rPr>
                <w:rFonts w:hint="eastAsia" w:ascii="Arial" w:hAnsi="Arial" w:cs="Arial"/>
                <w:vertAlign w:val="baseline"/>
                <w:lang w:val="en-US" w:eastAsia="zh-CN"/>
              </w:rPr>
              <w:t>数据库</w:t>
            </w:r>
          </w:p>
        </w:tc>
        <w:tc>
          <w:tcPr>
            <w:tcW w:w="2131" w:type="dxa"/>
          </w:tcPr>
          <w:p>
            <w:pPr>
              <w:pStyle w:val="3"/>
              <w:jc w:val="center"/>
              <w:rPr>
                <w:rFonts w:hint="default" w:eastAsiaTheme="minorEastAsia"/>
                <w:vertAlign w:val="baseline"/>
                <w:lang w:val="en-US" w:eastAsia="zh-CN"/>
              </w:rPr>
            </w:pPr>
            <w:r>
              <w:rPr>
                <w:rFonts w:hint="eastAsia"/>
                <w:vertAlign w:val="baseline"/>
                <w:lang w:val="en-US" w:eastAsia="zh-CN"/>
              </w:rPr>
              <w:t>8101</w:t>
            </w:r>
          </w:p>
        </w:tc>
        <w:tc>
          <w:tcPr>
            <w:tcW w:w="2131" w:type="dxa"/>
          </w:tcPr>
          <w:p>
            <w:pPr>
              <w:pStyle w:val="3"/>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tcPr>
          <w:p>
            <w:pPr>
              <w:pStyle w:val="3"/>
              <w:jc w:val="center"/>
              <w:rPr>
                <w:rFonts w:hint="eastAsia" w:eastAsiaTheme="minorEastAsia"/>
                <w:vertAlign w:val="baseline"/>
                <w:lang w:val="en-US" w:eastAsia="zh-CN"/>
              </w:rPr>
            </w:pPr>
            <w:r>
              <w:rPr>
                <w:rFonts w:hint="eastAsia"/>
                <w:vertAlign w:val="baseline"/>
                <w:lang w:val="en-US" w:eastAsia="zh-CN"/>
              </w:rPr>
              <w:t>3</w:t>
            </w:r>
          </w:p>
        </w:tc>
        <w:tc>
          <w:tcPr>
            <w:tcW w:w="3468" w:type="dxa"/>
          </w:tcPr>
          <w:p>
            <w:pPr>
              <w:pStyle w:val="3"/>
              <w:jc w:val="center"/>
              <w:rPr>
                <w:rFonts w:hint="default" w:eastAsiaTheme="minorEastAsia"/>
                <w:vertAlign w:val="baseline"/>
                <w:lang w:val="en-US" w:eastAsia="zh-CN"/>
              </w:rPr>
            </w:pPr>
            <w:r>
              <w:rPr>
                <w:rFonts w:hint="eastAsia"/>
                <w:vertAlign w:val="baseline"/>
                <w:lang w:val="en-US" w:eastAsia="zh-CN"/>
              </w:rPr>
              <w:t>数据库</w:t>
            </w:r>
            <w:r>
              <w:rPr>
                <w:rFonts w:hint="default" w:ascii="Arial" w:hAnsi="Arial" w:cs="Arial"/>
                <w:vertAlign w:val="baseline"/>
                <w:lang w:val="en-US" w:eastAsia="zh-CN"/>
              </w:rPr>
              <w:t>→</w:t>
            </w:r>
            <w:r>
              <w:rPr>
                <w:rFonts w:hint="eastAsia" w:ascii="Arial" w:hAnsi="Arial" w:cs="Arial"/>
                <w:vertAlign w:val="baseline"/>
                <w:lang w:val="en-US" w:eastAsia="zh-CN"/>
              </w:rPr>
              <w:t>审计产品</w:t>
            </w:r>
          </w:p>
        </w:tc>
        <w:tc>
          <w:tcPr>
            <w:tcW w:w="2131" w:type="dxa"/>
          </w:tcPr>
          <w:p>
            <w:pPr>
              <w:pStyle w:val="3"/>
              <w:jc w:val="center"/>
              <w:rPr>
                <w:rFonts w:hint="default" w:eastAsiaTheme="minorEastAsia"/>
                <w:vertAlign w:val="baseline"/>
                <w:lang w:val="en-US" w:eastAsia="zh-CN"/>
              </w:rPr>
            </w:pPr>
            <w:r>
              <w:rPr>
                <w:rFonts w:hint="eastAsia"/>
                <w:vertAlign w:val="baseline"/>
                <w:lang w:val="en-US" w:eastAsia="zh-CN"/>
              </w:rPr>
              <w:t>8288</w:t>
            </w:r>
          </w:p>
        </w:tc>
        <w:tc>
          <w:tcPr>
            <w:tcW w:w="2131" w:type="dxa"/>
          </w:tcPr>
          <w:p>
            <w:pPr>
              <w:pStyle w:val="3"/>
              <w:jc w:val="center"/>
              <w:rPr>
                <w:vertAlign w:val="baseline"/>
              </w:rPr>
            </w:pPr>
          </w:p>
        </w:tc>
      </w:tr>
    </w:tbl>
    <w:p>
      <w:pPr>
        <w:pStyle w:val="3"/>
        <w:jc w:val="center"/>
      </w:pPr>
    </w:p>
    <w:p>
      <w:pPr>
        <w:pStyle w:val="2"/>
      </w:pPr>
      <w:bookmarkStart w:id="22" w:name="_Toc28121"/>
      <w:r>
        <w:rPr>
          <w:rFonts w:hint="eastAsia"/>
        </w:rPr>
        <w:t>使用操作</w:t>
      </w:r>
      <w:bookmarkEnd w:id="22"/>
    </w:p>
    <w:p>
      <w:pPr>
        <w:pStyle w:val="5"/>
      </w:pPr>
      <w:bookmarkStart w:id="23" w:name="_Toc20916"/>
      <w:r>
        <w:rPr>
          <w:rFonts w:hint="eastAsia"/>
        </w:rPr>
        <w:t>系统管理</w:t>
      </w:r>
      <w:bookmarkEnd w:id="23"/>
    </w:p>
    <w:p>
      <w:pPr>
        <w:pStyle w:val="6"/>
      </w:pPr>
      <w:bookmarkStart w:id="24" w:name="_Toc22964"/>
      <w:bookmarkStart w:id="25" w:name="_Toc265048975"/>
      <w:bookmarkStart w:id="26" w:name="_Toc16458"/>
      <w:bookmarkStart w:id="27" w:name="_Toc271837523"/>
      <w:r>
        <w:rPr>
          <w:rFonts w:hint="eastAsia"/>
        </w:rPr>
        <w:t>管理计算机连接方式</w:t>
      </w:r>
      <w:bookmarkEnd w:id="24"/>
      <w:bookmarkEnd w:id="25"/>
      <w:bookmarkEnd w:id="26"/>
      <w:bookmarkEnd w:id="27"/>
    </w:p>
    <w:p>
      <w:pPr>
        <w:pStyle w:val="51"/>
        <w:ind w:firstLine="480"/>
      </w:pPr>
      <w:r>
        <w:rPr>
          <w:rFonts w:hint="eastAsia"/>
        </w:rPr>
        <w:t>产品为B/S架构，使用IE浏览器软件即可以对产品进行配置和管理。将管理计算机连接数据库审计设备的通信口或者和通信口IP可达即可对设备进行管理。</w:t>
      </w:r>
    </w:p>
    <w:p>
      <w:pPr>
        <w:pStyle w:val="6"/>
      </w:pPr>
      <w:bookmarkStart w:id="28" w:name="_Toc23042"/>
      <w:bookmarkStart w:id="29" w:name="_Toc265048976"/>
      <w:bookmarkStart w:id="30" w:name="_Toc271837524"/>
      <w:bookmarkStart w:id="31" w:name="_Toc28614"/>
      <w:r>
        <w:rPr>
          <w:rFonts w:hint="eastAsia"/>
        </w:rPr>
        <w:t>登录系统</w:t>
      </w:r>
      <w:bookmarkEnd w:id="28"/>
      <w:bookmarkEnd w:id="29"/>
      <w:bookmarkEnd w:id="30"/>
      <w:bookmarkEnd w:id="31"/>
    </w:p>
    <w:p>
      <w:pPr>
        <w:pStyle w:val="51"/>
        <w:ind w:firstLine="480"/>
      </w:pPr>
      <w:r>
        <w:rPr>
          <w:rFonts w:hint="eastAsia"/>
        </w:rPr>
        <w:t>使用IE浏览器，在地址栏中输入：https://审计中心IP （此处的审计中心IP指审计中心通信口的IP） 如：https:// 192.168.99.60 按照以下步骤进行即可登录系统。</w:t>
      </w:r>
    </w:p>
    <w:p>
      <w:pPr>
        <w:pStyle w:val="51"/>
        <w:ind w:firstLine="480"/>
      </w:pPr>
      <w:r>
        <w:rPr>
          <w:rFonts w:hint="eastAsia"/>
        </w:rPr>
        <w:t>通信口IP地址：192.168.</w:t>
      </w:r>
      <w:r>
        <w:t>99.60</w:t>
      </w:r>
    </w:p>
    <w:p>
      <w:pPr>
        <w:pStyle w:val="51"/>
        <w:ind w:firstLine="480"/>
      </w:pPr>
      <w:r>
        <w:rPr>
          <w:rFonts w:hint="eastAsia"/>
        </w:rPr>
        <w:t>掩码：  255.255.255.0</w:t>
      </w:r>
    </w:p>
    <w:p>
      <w:pPr>
        <w:pStyle w:val="51"/>
        <w:ind w:firstLine="480"/>
        <w:rPr>
          <w:rFonts w:hint="eastAsia"/>
        </w:rPr>
      </w:pPr>
      <w:r>
        <w:rPr>
          <w:rFonts w:hint="eastAsia"/>
        </w:rPr>
        <w:t>网关：  192.168.</w:t>
      </w:r>
      <w:r>
        <w:t>99</w:t>
      </w:r>
      <w:r>
        <w:rPr>
          <w:rFonts w:hint="eastAsia"/>
        </w:rPr>
        <w:t>.1</w:t>
      </w:r>
    </w:p>
    <w:p>
      <w:pPr>
        <w:pStyle w:val="51"/>
        <w:ind w:firstLine="480"/>
        <w:rPr>
          <w:rFonts w:hint="eastAsia"/>
        </w:rPr>
      </w:pPr>
      <w:r>
        <w:rPr>
          <w:rFonts w:hint="eastAsia"/>
        </w:rPr>
        <w:t>端口开放：</w:t>
      </w:r>
    </w:p>
    <w:p>
      <w:pPr>
        <w:pStyle w:val="51"/>
        <w:ind w:firstLine="480"/>
        <w:rPr>
          <w:rFonts w:hint="eastAsia"/>
        </w:rPr>
      </w:pPr>
      <w:r>
        <w:rPr>
          <w:rFonts w:hint="eastAsia"/>
        </w:rPr>
        <w:t>终端至产品 443端口</w:t>
      </w:r>
    </w:p>
    <w:p>
      <w:pPr>
        <w:pStyle w:val="51"/>
        <w:ind w:firstLine="480"/>
        <w:rPr>
          <w:rFonts w:hint="eastAsia"/>
        </w:rPr>
      </w:pPr>
      <w:r>
        <w:rPr>
          <w:rFonts w:hint="eastAsia"/>
        </w:rPr>
        <w:t>产品至数据库 8101</w:t>
      </w:r>
    </w:p>
    <w:p>
      <w:pPr>
        <w:pStyle w:val="51"/>
        <w:ind w:firstLine="480"/>
        <w:rPr>
          <w:rFonts w:hint="eastAsia"/>
        </w:rPr>
      </w:pPr>
      <w:r>
        <w:rPr>
          <w:rFonts w:hint="eastAsia"/>
        </w:rPr>
        <w:t>数据库至产品8288</w:t>
      </w:r>
    </w:p>
    <w:p>
      <w:pPr>
        <w:pStyle w:val="51"/>
        <w:ind w:firstLine="480"/>
        <w:rPr>
          <w:rFonts w:hint="eastAsia"/>
        </w:rPr>
      </w:pPr>
      <w:r>
        <w:rPr>
          <w:rFonts w:hint="eastAsia"/>
        </w:rPr>
        <w:t>登录方式：使用浏览器访问https://ip</w:t>
      </w:r>
    </w:p>
    <w:p>
      <w:pPr>
        <w:pStyle w:val="51"/>
        <w:ind w:firstLine="480"/>
        <w:rPr>
          <w:rFonts w:hint="eastAsia"/>
        </w:rPr>
      </w:pPr>
      <w:r>
        <w:rPr>
          <w:rFonts w:hint="eastAsia"/>
        </w:rPr>
        <w:t>账户:</w:t>
      </w:r>
    </w:p>
    <w:p>
      <w:pPr>
        <w:pStyle w:val="51"/>
        <w:ind w:firstLine="480"/>
        <w:rPr>
          <w:rFonts w:hint="eastAsia"/>
        </w:rPr>
      </w:pPr>
      <w:r>
        <w:rPr>
          <w:rFonts w:hint="eastAsia"/>
        </w:rPr>
        <w:t>sysadmin/sysadmin@1234 系统管理员</w:t>
      </w:r>
    </w:p>
    <w:p>
      <w:pPr>
        <w:pStyle w:val="51"/>
        <w:ind w:firstLine="480"/>
        <w:rPr>
          <w:rFonts w:hint="eastAsia"/>
        </w:rPr>
      </w:pPr>
      <w:r>
        <w:rPr>
          <w:rFonts w:hint="eastAsia"/>
        </w:rPr>
        <w:t>secadmin/secadmin@1234 安全管理员</w:t>
      </w:r>
    </w:p>
    <w:p>
      <w:pPr>
        <w:pStyle w:val="51"/>
        <w:ind w:firstLine="480"/>
        <w:rPr>
          <w:rFonts w:hint="eastAsia"/>
        </w:rPr>
      </w:pPr>
      <w:r>
        <w:rPr>
          <w:rFonts w:hint="eastAsia"/>
        </w:rPr>
        <w:t>audadmin/audadmin@1234 审计管理员</w:t>
      </w:r>
    </w:p>
    <w:p>
      <w:pPr>
        <w:pStyle w:val="51"/>
        <w:ind w:firstLine="480"/>
        <w:rPr>
          <w:rFonts w:hint="eastAsia"/>
        </w:rPr>
      </w:pPr>
      <w:bookmarkStart w:id="78" w:name="_GoBack"/>
      <w:bookmarkEnd w:id="78"/>
    </w:p>
    <w:p>
      <w:pPr>
        <w:pStyle w:val="51"/>
        <w:ind w:firstLine="480"/>
      </w:pPr>
      <w:r>
        <w:rPr>
          <w:rFonts w:hint="eastAsia"/>
        </w:rPr>
        <w:t>系统内置用户和密码：</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191"/>
        <w:gridCol w:w="2401"/>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3" w:type="dxa"/>
            <w:shd w:val="clear" w:color="auto" w:fill="D9D9D9"/>
          </w:tcPr>
          <w:p>
            <w:pPr>
              <w:pStyle w:val="51"/>
              <w:ind w:firstLine="0" w:firstLineChars="0"/>
              <w:jc w:val="center"/>
              <w:rPr>
                <w:b/>
                <w:bCs/>
              </w:rPr>
            </w:pPr>
            <w:r>
              <w:rPr>
                <w:rFonts w:hint="eastAsia"/>
                <w:b/>
                <w:bCs/>
              </w:rPr>
              <w:t>内置默认用户</w:t>
            </w:r>
          </w:p>
        </w:tc>
        <w:tc>
          <w:tcPr>
            <w:tcW w:w="1191" w:type="dxa"/>
            <w:shd w:val="clear" w:color="auto" w:fill="D9D9D9"/>
          </w:tcPr>
          <w:p>
            <w:pPr>
              <w:pStyle w:val="51"/>
              <w:ind w:firstLine="0" w:firstLineChars="0"/>
              <w:jc w:val="center"/>
              <w:rPr>
                <w:b/>
                <w:bCs/>
              </w:rPr>
            </w:pPr>
            <w:r>
              <w:rPr>
                <w:rFonts w:hint="eastAsia"/>
                <w:b/>
                <w:bCs/>
              </w:rPr>
              <w:t>用户名</w:t>
            </w:r>
          </w:p>
        </w:tc>
        <w:tc>
          <w:tcPr>
            <w:tcW w:w="2401" w:type="dxa"/>
            <w:shd w:val="clear" w:color="auto" w:fill="D9D9D9"/>
          </w:tcPr>
          <w:p>
            <w:pPr>
              <w:pStyle w:val="51"/>
              <w:ind w:firstLine="482"/>
              <w:jc w:val="center"/>
              <w:rPr>
                <w:b/>
                <w:bCs/>
              </w:rPr>
            </w:pPr>
            <w:r>
              <w:rPr>
                <w:rFonts w:hint="eastAsia"/>
                <w:b/>
                <w:bCs/>
              </w:rPr>
              <w:t>密码</w:t>
            </w:r>
          </w:p>
        </w:tc>
        <w:tc>
          <w:tcPr>
            <w:tcW w:w="3027" w:type="dxa"/>
            <w:shd w:val="clear" w:color="auto" w:fill="D9D9D9"/>
          </w:tcPr>
          <w:p>
            <w:pPr>
              <w:pStyle w:val="51"/>
              <w:ind w:firstLine="482"/>
              <w:jc w:val="center"/>
              <w:rPr>
                <w:b/>
                <w:bCs/>
              </w:rPr>
            </w:pPr>
            <w:r>
              <w:rPr>
                <w:rFonts w:hint="eastAsia"/>
                <w:b/>
                <w:bCs/>
              </w:rPr>
              <w:t>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903" w:type="dxa"/>
          </w:tcPr>
          <w:p>
            <w:pPr>
              <w:pStyle w:val="51"/>
              <w:ind w:firstLine="0" w:firstLineChars="0"/>
              <w:jc w:val="left"/>
            </w:pPr>
            <w:r>
              <w:rPr>
                <w:rFonts w:hint="eastAsia"/>
              </w:rPr>
              <w:t>系统管理员</w:t>
            </w:r>
          </w:p>
        </w:tc>
        <w:tc>
          <w:tcPr>
            <w:tcW w:w="1191" w:type="dxa"/>
          </w:tcPr>
          <w:p>
            <w:pPr>
              <w:pStyle w:val="51"/>
              <w:ind w:firstLine="0" w:firstLineChars="0"/>
              <w:jc w:val="left"/>
            </w:pPr>
            <w:r>
              <w:rPr>
                <w:rFonts w:hint="eastAsia"/>
              </w:rPr>
              <w:t>sysadmin</w:t>
            </w:r>
          </w:p>
        </w:tc>
        <w:tc>
          <w:tcPr>
            <w:tcW w:w="2401" w:type="dxa"/>
          </w:tcPr>
          <w:p>
            <w:pPr>
              <w:pStyle w:val="51"/>
              <w:ind w:firstLine="0" w:firstLineChars="0"/>
              <w:jc w:val="left"/>
            </w:pPr>
            <w:r>
              <w:rPr>
                <w:rFonts w:hint="eastAsia"/>
              </w:rPr>
              <w:t>sysadmin@1234</w:t>
            </w:r>
          </w:p>
        </w:tc>
        <w:tc>
          <w:tcPr>
            <w:tcW w:w="3027" w:type="dxa"/>
          </w:tcPr>
          <w:p>
            <w:pPr>
              <w:pStyle w:val="51"/>
              <w:ind w:firstLine="0" w:firstLineChars="0"/>
              <w:jc w:val="left"/>
            </w:pPr>
            <w:r>
              <w:rPr>
                <w:rFonts w:hint="eastAsia"/>
              </w:rPr>
              <w:t>系统管理、用户权限管理、策略配置、报表配置</w:t>
            </w:r>
          </w:p>
        </w:tc>
      </w:tr>
    </w:tbl>
    <w:p>
      <w:pPr>
        <w:pStyle w:val="51"/>
        <w:ind w:firstLine="480"/>
      </w:pPr>
      <w:r>
        <w:rPr>
          <w:rFonts w:hint="eastAsia"/>
        </w:rPr>
        <w:t>当用户成功安装</w:t>
      </w:r>
      <w:r>
        <w:t>数据库审计系统</w:t>
      </w:r>
      <w:r>
        <w:rPr>
          <w:rFonts w:hint="eastAsia"/>
        </w:rPr>
        <w:t>系统后，使用IE浏览器，在地址栏中输入：https://审计中心IP （此处的审计中心IP指审计中心通信口的IP） 如：https://192.168.99.60。显示页面如下图：</w:t>
      </w:r>
    </w:p>
    <w:p>
      <w:pPr>
        <w:pStyle w:val="51"/>
        <w:ind w:firstLine="480"/>
      </w:pPr>
    </w:p>
    <w:p>
      <w:pPr>
        <w:pStyle w:val="51"/>
        <w:ind w:firstLine="480"/>
      </w:pPr>
      <w:r>
        <w:drawing>
          <wp:inline distT="0" distB="0" distL="0" distR="0">
            <wp:extent cx="5274310" cy="2853055"/>
            <wp:effectExtent l="0" t="0" r="254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a:stretch>
                      <a:fillRect/>
                    </a:stretch>
                  </pic:blipFill>
                  <pic:spPr>
                    <a:xfrm>
                      <a:off x="0" y="0"/>
                      <a:ext cx="5274310" cy="2853055"/>
                    </a:xfrm>
                    <a:prstGeom prst="rect">
                      <a:avLst/>
                    </a:prstGeom>
                  </pic:spPr>
                </pic:pic>
              </a:graphicData>
            </a:graphic>
          </wp:inline>
        </w:drawing>
      </w:r>
    </w:p>
    <w:p>
      <w:pPr>
        <w:pStyle w:val="51"/>
        <w:ind w:firstLine="480"/>
      </w:pPr>
      <w:r>
        <w:rPr>
          <w:rFonts w:hint="eastAsia"/>
        </w:rPr>
        <w:t>首次安装部署的数据库审计系统应以系统管理员身份登录系统，系统管理员默认用户名和密码为secadmin，secadmin@1234。登入后界面如下图所示：</w:t>
      </w:r>
    </w:p>
    <w:p>
      <w:pPr>
        <w:pStyle w:val="51"/>
        <w:ind w:firstLine="480"/>
      </w:pPr>
      <w:r>
        <w:drawing>
          <wp:inline distT="0" distB="0" distL="0" distR="0">
            <wp:extent cx="5274310" cy="286131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5274310" cy="2861310"/>
                    </a:xfrm>
                    <a:prstGeom prst="rect">
                      <a:avLst/>
                    </a:prstGeom>
                  </pic:spPr>
                </pic:pic>
              </a:graphicData>
            </a:graphic>
          </wp:inline>
        </w:drawing>
      </w:r>
    </w:p>
    <w:p>
      <w:pPr>
        <w:pStyle w:val="51"/>
        <w:ind w:firstLine="480"/>
      </w:pPr>
      <w:r>
        <w:rPr>
          <w:rFonts w:hint="eastAsia"/>
        </w:rPr>
        <w:t>登入后界面在右上角头像处点击下拉按钮可以进行密码修改，修改密码时输入先前旧密码，在输入新密码和再次确认新密码，密码长度必须为6-18位！</w:t>
      </w:r>
    </w:p>
    <w:p>
      <w:pPr>
        <w:pStyle w:val="51"/>
        <w:ind w:firstLine="480"/>
      </w:pPr>
      <w:r>
        <w:drawing>
          <wp:inline distT="0" distB="0" distL="0" distR="0">
            <wp:extent cx="5274310" cy="2855595"/>
            <wp:effectExtent l="0" t="0" r="254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
                    <a:stretch>
                      <a:fillRect/>
                    </a:stretch>
                  </pic:blipFill>
                  <pic:spPr>
                    <a:xfrm>
                      <a:off x="0" y="0"/>
                      <a:ext cx="5274310" cy="2855595"/>
                    </a:xfrm>
                    <a:prstGeom prst="rect">
                      <a:avLst/>
                    </a:prstGeom>
                  </pic:spPr>
                </pic:pic>
              </a:graphicData>
            </a:graphic>
          </wp:inline>
        </w:drawing>
      </w:r>
    </w:p>
    <w:p>
      <w:pPr>
        <w:pStyle w:val="6"/>
      </w:pPr>
      <w:bookmarkStart w:id="32" w:name="_Toc27993"/>
      <w:bookmarkStart w:id="33" w:name="_Toc21133"/>
      <w:r>
        <w:rPr>
          <w:rFonts w:hint="eastAsia"/>
        </w:rPr>
        <w:t>设置最基本的审计策略</w:t>
      </w:r>
      <w:bookmarkEnd w:id="32"/>
      <w:bookmarkEnd w:id="33"/>
    </w:p>
    <w:p>
      <w:pPr>
        <w:pStyle w:val="51"/>
        <w:ind w:firstLine="480"/>
      </w:pPr>
      <w:r>
        <w:rPr>
          <w:rFonts w:hint="eastAsia"/>
        </w:rPr>
        <w:t>为了数据库审计系统可以审计到关注数据库的数据库操作，以系统管理员secadmin登录，配置以下内容：</w:t>
      </w:r>
    </w:p>
    <w:p>
      <w:pPr>
        <w:pStyle w:val="7"/>
      </w:pPr>
      <w:bookmarkStart w:id="34" w:name="_Toc23039"/>
      <w:r>
        <w:rPr>
          <w:rFonts w:hint="eastAsia"/>
        </w:rPr>
        <w:t>添加审计服务器</w:t>
      </w:r>
      <w:bookmarkEnd w:id="34"/>
    </w:p>
    <w:p>
      <w:pPr>
        <w:pStyle w:val="51"/>
        <w:ind w:firstLine="480"/>
      </w:pPr>
      <w:r>
        <w:rPr>
          <w:rFonts w:hint="eastAsia"/>
        </w:rPr>
        <w:t>鼠标左键点击左侧导航栏中的“系统配置-&gt;审计对象”，进入审计服务器页面界面。点击审计服务器页面左上角的添加按钮，进入添加审计服务器页面。在此页面中编辑审计服务器的参数，点击“保存”，完成新审计服务器的添加，点击“取消”不添加新的审计服务器，如下图所示：</w:t>
      </w:r>
      <w:bookmarkStart w:id="35" w:name="_Toc13759"/>
    </w:p>
    <w:p>
      <w:pPr>
        <w:pStyle w:val="51"/>
        <w:ind w:firstLine="480"/>
      </w:pPr>
      <w:r>
        <w:drawing>
          <wp:inline distT="0" distB="0" distL="0" distR="0">
            <wp:extent cx="5274310" cy="2849880"/>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
                    <a:stretch>
                      <a:fillRect/>
                    </a:stretch>
                  </pic:blipFill>
                  <pic:spPr>
                    <a:xfrm>
                      <a:off x="0" y="0"/>
                      <a:ext cx="5274310" cy="2849880"/>
                    </a:xfrm>
                    <a:prstGeom prst="rect">
                      <a:avLst/>
                    </a:prstGeom>
                  </pic:spPr>
                </pic:pic>
              </a:graphicData>
            </a:graphic>
          </wp:inline>
        </w:drawing>
      </w:r>
    </w:p>
    <w:p>
      <w:pPr>
        <w:pStyle w:val="7"/>
      </w:pPr>
      <w:r>
        <w:rPr>
          <w:rFonts w:hint="eastAsia"/>
        </w:rPr>
        <w:t>添加审计策略</w:t>
      </w:r>
      <w:bookmarkEnd w:id="35"/>
    </w:p>
    <w:p>
      <w:pPr>
        <w:pStyle w:val="51"/>
        <w:ind w:firstLine="480"/>
      </w:pPr>
      <w:r>
        <w:rPr>
          <w:rFonts w:hint="eastAsia"/>
        </w:rPr>
        <w:t>鼠标左键点击左侧导航栏中的“策略中心-&gt;策略配置”，进入“策略配置”界面。如下图所示：</w:t>
      </w:r>
    </w:p>
    <w:p>
      <w:pPr>
        <w:pStyle w:val="51"/>
        <w:ind w:firstLine="480"/>
      </w:pPr>
      <w:r>
        <w:rPr>
          <w:rFonts w:hint="eastAsia"/>
        </w:rPr>
        <w:t>启用：点击此选项，选中的审计策略启用</w:t>
      </w:r>
    </w:p>
    <w:p>
      <w:pPr>
        <w:pStyle w:val="51"/>
        <w:ind w:firstLine="480"/>
      </w:pPr>
      <w:r>
        <w:rPr>
          <w:rFonts w:hint="eastAsia"/>
        </w:rPr>
        <w:t>停用：点击此选项，选中的升级策略停用</w:t>
      </w:r>
    </w:p>
    <w:p>
      <w:pPr>
        <w:pStyle w:val="51"/>
        <w:ind w:firstLine="480"/>
      </w:pPr>
      <w:r>
        <w:rPr>
          <w:rFonts w:hint="eastAsia"/>
        </w:rPr>
        <w:t>删除：删除所选中的策略</w:t>
      </w:r>
    </w:p>
    <w:p>
      <w:pPr>
        <w:pStyle w:val="51"/>
        <w:ind w:firstLine="480"/>
      </w:pPr>
      <w:r>
        <w:rPr>
          <w:rFonts w:hint="eastAsia"/>
        </w:rPr>
        <w:t>编辑：编辑当前所选中的此策略</w:t>
      </w:r>
    </w:p>
    <w:p>
      <w:pPr>
        <w:pStyle w:val="51"/>
        <w:ind w:firstLine="480"/>
      </w:pPr>
      <w:r>
        <w:drawing>
          <wp:inline distT="0" distB="0" distL="0" distR="0">
            <wp:extent cx="5243830" cy="28282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0"/>
                    <a:stretch>
                      <a:fillRect/>
                    </a:stretch>
                  </pic:blipFill>
                  <pic:spPr>
                    <a:xfrm>
                      <a:off x="0" y="0"/>
                      <a:ext cx="5298220" cy="2857696"/>
                    </a:xfrm>
                    <a:prstGeom prst="rect">
                      <a:avLst/>
                    </a:prstGeom>
                  </pic:spPr>
                </pic:pic>
              </a:graphicData>
            </a:graphic>
          </wp:inline>
        </w:drawing>
      </w:r>
    </w:p>
    <w:p>
      <w:pPr>
        <w:pStyle w:val="51"/>
        <w:ind w:firstLine="480"/>
      </w:pPr>
      <w:r>
        <w:rPr>
          <w:rFonts w:hint="eastAsia"/>
        </w:rPr>
        <w:t>点击此页面左上角添加策略组，弹出“【添加】策略组”对话框，正确填写各项信息，点击“保存”完成新策略组添加，如下图所示：</w:t>
      </w:r>
    </w:p>
    <w:p>
      <w:pPr>
        <w:pStyle w:val="51"/>
        <w:ind w:firstLine="480"/>
      </w:pPr>
      <w:r>
        <w:drawing>
          <wp:inline distT="0" distB="0" distL="0" distR="0">
            <wp:extent cx="5274310" cy="28613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5274310" cy="2861310"/>
                    </a:xfrm>
                    <a:prstGeom prst="rect">
                      <a:avLst/>
                    </a:prstGeom>
                  </pic:spPr>
                </pic:pic>
              </a:graphicData>
            </a:graphic>
          </wp:inline>
        </w:drawing>
      </w:r>
    </w:p>
    <w:p>
      <w:pPr>
        <w:pStyle w:val="51"/>
        <w:ind w:firstLine="480"/>
      </w:pPr>
      <w:r>
        <w:rPr>
          <w:rFonts w:hint="eastAsia"/>
        </w:rPr>
        <w:t>点击页面中下新建策略，打开“添加策略”界面。正确填写各项信息，点击“保存”完成新审计策略添加，如下图所示：</w:t>
      </w:r>
    </w:p>
    <w:p>
      <w:pPr>
        <w:pStyle w:val="51"/>
        <w:ind w:firstLine="480"/>
      </w:pPr>
      <w:r>
        <w:drawing>
          <wp:inline distT="0" distB="0" distL="0" distR="0">
            <wp:extent cx="5274310" cy="285559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5274310" cy="2855595"/>
                    </a:xfrm>
                    <a:prstGeom prst="rect">
                      <a:avLst/>
                    </a:prstGeom>
                  </pic:spPr>
                </pic:pic>
              </a:graphicData>
            </a:graphic>
          </wp:inline>
        </w:drawing>
      </w:r>
    </w:p>
    <w:p>
      <w:pPr>
        <w:pStyle w:val="7"/>
      </w:pPr>
      <w:bookmarkStart w:id="36" w:name="_Toc15447"/>
      <w:r>
        <w:rPr>
          <w:rFonts w:hint="eastAsia"/>
        </w:rPr>
        <w:t>查询结果导出</w:t>
      </w:r>
      <w:bookmarkEnd w:id="36"/>
    </w:p>
    <w:p>
      <w:pPr>
        <w:pStyle w:val="51"/>
        <w:ind w:firstLine="480"/>
      </w:pPr>
      <w:r>
        <w:rPr>
          <w:rFonts w:hint="eastAsia"/>
        </w:rPr>
        <w:t>以拥有数据库行为操作权限的用户登录系统，鼠标左键点击左侧导航栏中的“策略中心-&gt;策略配置”，进入“策略配置”界面，如下图所示：</w:t>
      </w:r>
    </w:p>
    <w:p>
      <w:pPr>
        <w:pStyle w:val="51"/>
        <w:ind w:firstLine="480"/>
      </w:pPr>
      <w:r>
        <w:drawing>
          <wp:inline distT="0" distB="0" distL="0" distR="0">
            <wp:extent cx="5274310" cy="285559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5274310" cy="2855595"/>
                    </a:xfrm>
                    <a:prstGeom prst="rect">
                      <a:avLst/>
                    </a:prstGeom>
                  </pic:spPr>
                </pic:pic>
              </a:graphicData>
            </a:graphic>
          </wp:inline>
        </w:drawing>
      </w:r>
    </w:p>
    <w:p>
      <w:pPr>
        <w:pStyle w:val="51"/>
        <w:ind w:firstLine="480"/>
      </w:pPr>
      <w:r>
        <w:rPr>
          <w:rFonts w:hint="eastAsia"/>
        </w:rPr>
        <w:t>查询结果导出格式为“Excel”格式，当未选策略组或策略组没有内容时，鼠标放到“导入”和“导出”上方，为禁止点击状态</w:t>
      </w:r>
    </w:p>
    <w:p>
      <w:pPr>
        <w:pStyle w:val="51"/>
        <w:ind w:firstLine="480"/>
      </w:pPr>
      <w:r>
        <w:drawing>
          <wp:inline distT="0" distB="0" distL="0" distR="0">
            <wp:extent cx="5274310" cy="2855595"/>
            <wp:effectExtent l="0" t="0" r="254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5274310" cy="2855595"/>
                    </a:xfrm>
                    <a:prstGeom prst="rect">
                      <a:avLst/>
                    </a:prstGeom>
                  </pic:spPr>
                </pic:pic>
              </a:graphicData>
            </a:graphic>
          </wp:inline>
        </w:drawing>
      </w:r>
    </w:p>
    <w:p>
      <w:pPr>
        <w:pStyle w:val="51"/>
        <w:ind w:firstLine="480"/>
      </w:pPr>
      <w:r>
        <w:rPr>
          <w:rFonts w:hint="eastAsia"/>
        </w:rPr>
        <w:t>当选中数据，“导入”，“导出”可以进行点击，如下图所示：</w:t>
      </w:r>
    </w:p>
    <w:p>
      <w:pPr>
        <w:pStyle w:val="51"/>
        <w:ind w:firstLine="480"/>
      </w:pPr>
      <w:r>
        <w:drawing>
          <wp:inline distT="0" distB="0" distL="0" distR="0">
            <wp:extent cx="5274310" cy="2855595"/>
            <wp:effectExtent l="0" t="0" r="254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5274310" cy="2855595"/>
                    </a:xfrm>
                    <a:prstGeom prst="rect">
                      <a:avLst/>
                    </a:prstGeom>
                  </pic:spPr>
                </pic:pic>
              </a:graphicData>
            </a:graphic>
          </wp:inline>
        </w:drawing>
      </w:r>
    </w:p>
    <w:p>
      <w:pPr>
        <w:pStyle w:val="51"/>
        <w:ind w:firstLine="480"/>
      </w:pPr>
      <w:r>
        <w:rPr>
          <w:rFonts w:hint="eastAsia"/>
        </w:rPr>
        <w:t>1.导出模式默认为“xlsx”格式的Excel文件，下载成功，然后用Excel工具打开查看文件。如下图所示：</w:t>
      </w:r>
    </w:p>
    <w:p>
      <w:pPr>
        <w:pStyle w:val="51"/>
        <w:ind w:firstLine="480"/>
      </w:pPr>
      <w:r>
        <w:drawing>
          <wp:inline distT="0" distB="0" distL="0" distR="0">
            <wp:extent cx="5274310" cy="2853055"/>
            <wp:effectExtent l="0" t="0" r="254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tretch>
                      <a:fillRect/>
                    </a:stretch>
                  </pic:blipFill>
                  <pic:spPr>
                    <a:xfrm>
                      <a:off x="0" y="0"/>
                      <a:ext cx="5274310" cy="2853055"/>
                    </a:xfrm>
                    <a:prstGeom prst="rect">
                      <a:avLst/>
                    </a:prstGeom>
                  </pic:spPr>
                </pic:pic>
              </a:graphicData>
            </a:graphic>
          </wp:inline>
        </w:drawing>
      </w:r>
    </w:p>
    <w:p>
      <w:pPr>
        <w:pStyle w:val="51"/>
        <w:ind w:firstLine="480"/>
      </w:pPr>
      <w:r>
        <w:rPr>
          <w:rFonts w:hint="eastAsia"/>
        </w:rPr>
        <w:t>导入默认格式为“xlsx”文件格式，点击导入，选中编辑好的“xlsx”文件将其导入。</w:t>
      </w:r>
    </w:p>
    <w:p>
      <w:pPr>
        <w:pStyle w:val="51"/>
        <w:ind w:firstLine="480"/>
      </w:pPr>
      <w:r>
        <w:rPr>
          <w:rFonts w:hint="eastAsia"/>
        </w:rPr>
        <w:t>“来源规则”，“时间规则”，“内容规则”的查询结果导出与“策略配置”一至。</w:t>
      </w:r>
    </w:p>
    <w:p>
      <w:pPr>
        <w:pStyle w:val="5"/>
      </w:pPr>
      <w:bookmarkStart w:id="37" w:name="_Toc28083"/>
      <w:r>
        <w:rPr>
          <w:rFonts w:hint="eastAsia"/>
        </w:rPr>
        <w:t>查询分析</w:t>
      </w:r>
      <w:bookmarkEnd w:id="37"/>
    </w:p>
    <w:p>
      <w:pPr>
        <w:pStyle w:val="6"/>
      </w:pPr>
      <w:bookmarkStart w:id="38" w:name="_Toc271837534"/>
      <w:bookmarkStart w:id="39" w:name="_Toc265048986"/>
      <w:bookmarkStart w:id="40" w:name="_Toc258004631"/>
      <w:bookmarkStart w:id="41" w:name="_Toc23303"/>
      <w:bookmarkStart w:id="42" w:name="_Toc19520"/>
      <w:r>
        <w:rPr>
          <w:rFonts w:hint="eastAsia"/>
        </w:rPr>
        <w:t>审计</w:t>
      </w:r>
      <w:bookmarkEnd w:id="38"/>
      <w:bookmarkEnd w:id="39"/>
      <w:bookmarkEnd w:id="40"/>
      <w:bookmarkEnd w:id="41"/>
      <w:r>
        <w:rPr>
          <w:rFonts w:hint="eastAsia"/>
        </w:rPr>
        <w:t>查询</w:t>
      </w:r>
      <w:bookmarkEnd w:id="42"/>
    </w:p>
    <w:p>
      <w:pPr>
        <w:pStyle w:val="51"/>
        <w:ind w:firstLine="480"/>
      </w:pPr>
      <w:r>
        <w:rPr>
          <w:rFonts w:hint="eastAsia"/>
        </w:rPr>
        <w:t>审计查询，可以设置各种条件进行监测、查询。点击检索出的某一条数据，在右侧可以查看此条信息的详细内容。如下图所示：</w:t>
      </w:r>
    </w:p>
    <w:p>
      <w:pPr>
        <w:pStyle w:val="51"/>
        <w:ind w:firstLine="480"/>
      </w:pPr>
      <w:r>
        <w:drawing>
          <wp:inline distT="0" distB="0" distL="0" distR="0">
            <wp:extent cx="5274310" cy="28581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58135"/>
                    </a:xfrm>
                    <a:prstGeom prst="rect">
                      <a:avLst/>
                    </a:prstGeom>
                  </pic:spPr>
                </pic:pic>
              </a:graphicData>
            </a:graphic>
          </wp:inline>
        </w:drawing>
      </w:r>
    </w:p>
    <w:p>
      <w:pPr>
        <w:pStyle w:val="6"/>
      </w:pPr>
      <w:bookmarkStart w:id="43" w:name="_Toc412"/>
      <w:bookmarkStart w:id="44" w:name="_Toc29011"/>
      <w:r>
        <w:rPr>
          <w:rFonts w:hint="eastAsia"/>
        </w:rPr>
        <w:t>SQL类型</w:t>
      </w:r>
      <w:bookmarkEnd w:id="43"/>
      <w:r>
        <w:rPr>
          <w:rFonts w:hint="eastAsia"/>
        </w:rPr>
        <w:t>统计</w:t>
      </w:r>
      <w:bookmarkEnd w:id="44"/>
    </w:p>
    <w:p>
      <w:pPr>
        <w:pStyle w:val="51"/>
        <w:ind w:firstLine="480"/>
      </w:pPr>
      <w:r>
        <w:rPr>
          <w:rFonts w:hint="eastAsia"/>
        </w:rPr>
        <w:t>以拥有数据库操作查询权限的用户登录系统，鼠标左键点击左侧导航栏中的“统计分析-&gt;SQL类型统计”，进入“数据库类型统计”界面，如下图所示：</w:t>
      </w:r>
    </w:p>
    <w:p>
      <w:pPr>
        <w:pStyle w:val="51"/>
        <w:ind w:firstLine="480"/>
      </w:pPr>
      <w:r>
        <w:drawing>
          <wp:inline distT="0" distB="0" distL="0" distR="0">
            <wp:extent cx="5274310" cy="285813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a:stretch>
                      <a:fillRect/>
                    </a:stretch>
                  </pic:blipFill>
                  <pic:spPr>
                    <a:xfrm>
                      <a:off x="0" y="0"/>
                      <a:ext cx="5274310" cy="2858135"/>
                    </a:xfrm>
                    <a:prstGeom prst="rect">
                      <a:avLst/>
                    </a:prstGeom>
                  </pic:spPr>
                </pic:pic>
              </a:graphicData>
            </a:graphic>
          </wp:inline>
        </w:drawing>
      </w:r>
    </w:p>
    <w:p>
      <w:pPr>
        <w:pStyle w:val="51"/>
        <w:ind w:firstLine="480"/>
      </w:pPr>
      <w:r>
        <w:rPr>
          <w:rFonts w:hint="eastAsia"/>
        </w:rPr>
        <w:t>点击其中的日期，可以查看点击日期一天以小时为单位的数据模型</w:t>
      </w:r>
    </w:p>
    <w:p>
      <w:pPr>
        <w:pStyle w:val="51"/>
        <w:ind w:firstLine="480"/>
      </w:pPr>
      <w:r>
        <w:drawing>
          <wp:inline distT="0" distB="0" distL="0" distR="0">
            <wp:extent cx="5274310" cy="2849880"/>
            <wp:effectExtent l="0" t="0" r="254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9"/>
                    <a:stretch>
                      <a:fillRect/>
                    </a:stretch>
                  </pic:blipFill>
                  <pic:spPr>
                    <a:xfrm>
                      <a:off x="0" y="0"/>
                      <a:ext cx="5274310" cy="2849880"/>
                    </a:xfrm>
                    <a:prstGeom prst="rect">
                      <a:avLst/>
                    </a:prstGeom>
                  </pic:spPr>
                </pic:pic>
              </a:graphicData>
            </a:graphic>
          </wp:inline>
        </w:drawing>
      </w:r>
    </w:p>
    <w:p>
      <w:pPr>
        <w:pStyle w:val="6"/>
      </w:pPr>
      <w:bookmarkStart w:id="45" w:name="_Toc4229"/>
      <w:bookmarkStart w:id="46" w:name="_Toc3544"/>
      <w:r>
        <w:rPr>
          <w:rFonts w:hint="eastAsia"/>
        </w:rPr>
        <w:t>事件类型</w:t>
      </w:r>
      <w:bookmarkEnd w:id="45"/>
      <w:r>
        <w:rPr>
          <w:rFonts w:hint="eastAsia"/>
        </w:rPr>
        <w:t>统计</w:t>
      </w:r>
      <w:bookmarkEnd w:id="46"/>
    </w:p>
    <w:p>
      <w:pPr>
        <w:pStyle w:val="51"/>
        <w:ind w:firstLine="480"/>
      </w:pPr>
      <w:r>
        <w:rPr>
          <w:rFonts w:hint="eastAsia"/>
        </w:rPr>
        <w:t>已拥有数据库操作查询权限的用户登录系统，鼠标左键点击左侧导航栏中的“统计分析-&gt;事件类型统计”，进入“事件类型统计”页面，如下图所示：</w:t>
      </w:r>
    </w:p>
    <w:p>
      <w:pPr>
        <w:pStyle w:val="51"/>
        <w:ind w:firstLine="480"/>
      </w:pPr>
      <w:r>
        <w:drawing>
          <wp:inline distT="0" distB="0" distL="0" distR="0">
            <wp:extent cx="5274310" cy="285559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274310" cy="2855595"/>
                    </a:xfrm>
                    <a:prstGeom prst="rect">
                      <a:avLst/>
                    </a:prstGeom>
                  </pic:spPr>
                </pic:pic>
              </a:graphicData>
            </a:graphic>
          </wp:inline>
        </w:drawing>
      </w:r>
    </w:p>
    <w:p>
      <w:pPr>
        <w:pStyle w:val="51"/>
        <w:ind w:firstLine="480"/>
      </w:pPr>
      <w:r>
        <w:rPr>
          <w:rFonts w:hint="eastAsia"/>
        </w:rPr>
        <w:t>点击其中的日期，可以查看点击日期一天以小时为单位的数据模型</w:t>
      </w:r>
    </w:p>
    <w:p>
      <w:pPr>
        <w:pStyle w:val="51"/>
        <w:ind w:firstLine="480"/>
      </w:pPr>
      <w:r>
        <w:drawing>
          <wp:inline distT="0" distB="0" distL="0" distR="0">
            <wp:extent cx="5274310" cy="2854325"/>
            <wp:effectExtent l="0" t="0" r="254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
                    <a:stretch>
                      <a:fillRect/>
                    </a:stretch>
                  </pic:blipFill>
                  <pic:spPr>
                    <a:xfrm>
                      <a:off x="0" y="0"/>
                      <a:ext cx="5274310" cy="2854325"/>
                    </a:xfrm>
                    <a:prstGeom prst="rect">
                      <a:avLst/>
                    </a:prstGeom>
                  </pic:spPr>
                </pic:pic>
              </a:graphicData>
            </a:graphic>
          </wp:inline>
        </w:drawing>
      </w:r>
    </w:p>
    <w:p>
      <w:pPr>
        <w:pStyle w:val="6"/>
      </w:pPr>
      <w:bookmarkStart w:id="47" w:name="_Toc19380"/>
      <w:bookmarkStart w:id="48" w:name="_Toc27449"/>
      <w:r>
        <w:rPr>
          <w:rFonts w:hint="eastAsia"/>
        </w:rPr>
        <w:t>SQL流量</w:t>
      </w:r>
      <w:bookmarkEnd w:id="47"/>
      <w:r>
        <w:rPr>
          <w:rFonts w:hint="eastAsia"/>
        </w:rPr>
        <w:t>统计</w:t>
      </w:r>
      <w:bookmarkEnd w:id="48"/>
    </w:p>
    <w:p>
      <w:pPr>
        <w:pStyle w:val="51"/>
        <w:ind w:firstLine="480"/>
      </w:pPr>
      <w:bookmarkStart w:id="49" w:name="_Toc21398"/>
      <w:r>
        <w:rPr>
          <w:rFonts w:hint="eastAsia"/>
        </w:rPr>
        <w:t>已拥有数据库操作查询权限的用户登录系统，鼠标左键点击左侧导航栏中的“统计分析-&gt;S</w:t>
      </w:r>
      <w:r>
        <w:t>QL</w:t>
      </w:r>
      <w:r>
        <w:rPr>
          <w:rFonts w:hint="eastAsia"/>
        </w:rPr>
        <w:t>流量统计”，进入“S</w:t>
      </w:r>
      <w:r>
        <w:t>QL</w:t>
      </w:r>
      <w:r>
        <w:rPr>
          <w:rFonts w:hint="eastAsia"/>
        </w:rPr>
        <w:t>流量统计”页面，如下图所示：</w:t>
      </w:r>
    </w:p>
    <w:p>
      <w:pPr>
        <w:pStyle w:val="51"/>
        <w:ind w:firstLine="480"/>
      </w:pPr>
      <w:r>
        <w:drawing>
          <wp:inline distT="0" distB="0" distL="0" distR="0">
            <wp:extent cx="5274310" cy="285813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2"/>
                    <a:stretch>
                      <a:fillRect/>
                    </a:stretch>
                  </pic:blipFill>
                  <pic:spPr>
                    <a:xfrm>
                      <a:off x="0" y="0"/>
                      <a:ext cx="5274310" cy="2858135"/>
                    </a:xfrm>
                    <a:prstGeom prst="rect">
                      <a:avLst/>
                    </a:prstGeom>
                  </pic:spPr>
                </pic:pic>
              </a:graphicData>
            </a:graphic>
          </wp:inline>
        </w:drawing>
      </w:r>
    </w:p>
    <w:p>
      <w:pPr>
        <w:pStyle w:val="6"/>
      </w:pPr>
      <w:bookmarkStart w:id="50" w:name="_Toc30646"/>
      <w:r>
        <w:rPr>
          <w:rFonts w:hint="eastAsia"/>
        </w:rPr>
        <w:t>风险级别统计</w:t>
      </w:r>
      <w:bookmarkEnd w:id="49"/>
      <w:bookmarkEnd w:id="50"/>
    </w:p>
    <w:p>
      <w:pPr>
        <w:pStyle w:val="51"/>
        <w:ind w:firstLine="480"/>
      </w:pPr>
      <w:r>
        <w:rPr>
          <w:rFonts w:hint="eastAsia"/>
        </w:rPr>
        <w:t>已拥有数据库操作查询权限的用户登录系统，鼠标左键点击左侧导航栏中的“统计分析-&gt;风险级别统计”，进入“风险级别统计”页面，如下图所示：</w:t>
      </w:r>
    </w:p>
    <w:p>
      <w:pPr>
        <w:pStyle w:val="51"/>
        <w:ind w:firstLine="480"/>
      </w:pPr>
      <w:r>
        <w:drawing>
          <wp:inline distT="0" distB="0" distL="0" distR="0">
            <wp:extent cx="5274310" cy="285813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a:stretch>
                      <a:fillRect/>
                    </a:stretch>
                  </pic:blipFill>
                  <pic:spPr>
                    <a:xfrm>
                      <a:off x="0" y="0"/>
                      <a:ext cx="5274310" cy="2858135"/>
                    </a:xfrm>
                    <a:prstGeom prst="rect">
                      <a:avLst/>
                    </a:prstGeom>
                  </pic:spPr>
                </pic:pic>
              </a:graphicData>
            </a:graphic>
          </wp:inline>
        </w:drawing>
      </w:r>
    </w:p>
    <w:p>
      <w:pPr>
        <w:pStyle w:val="51"/>
        <w:ind w:firstLine="480"/>
      </w:pPr>
      <w:r>
        <w:rPr>
          <w:rFonts w:hint="eastAsia"/>
        </w:rPr>
        <w:t>点击其中的日期，可以查看点击日期一天以小时为单位的数据模型</w:t>
      </w:r>
    </w:p>
    <w:p>
      <w:pPr>
        <w:pStyle w:val="51"/>
        <w:ind w:firstLine="480"/>
      </w:pPr>
      <w:r>
        <w:drawing>
          <wp:inline distT="0" distB="0" distL="0" distR="0">
            <wp:extent cx="5274310" cy="284480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4"/>
                    <a:stretch>
                      <a:fillRect/>
                    </a:stretch>
                  </pic:blipFill>
                  <pic:spPr>
                    <a:xfrm>
                      <a:off x="0" y="0"/>
                      <a:ext cx="5274310" cy="2844800"/>
                    </a:xfrm>
                    <a:prstGeom prst="rect">
                      <a:avLst/>
                    </a:prstGeom>
                  </pic:spPr>
                </pic:pic>
              </a:graphicData>
            </a:graphic>
          </wp:inline>
        </w:drawing>
      </w:r>
    </w:p>
    <w:p>
      <w:pPr>
        <w:pStyle w:val="6"/>
      </w:pPr>
      <w:bookmarkStart w:id="51" w:name="_Toc27668"/>
      <w:bookmarkStart w:id="52" w:name="_Toc15606"/>
      <w:r>
        <w:rPr>
          <w:rFonts w:hint="eastAsia"/>
        </w:rPr>
        <w:t>系统审计</w:t>
      </w:r>
      <w:bookmarkEnd w:id="51"/>
      <w:bookmarkEnd w:id="52"/>
    </w:p>
    <w:p>
      <w:pPr>
        <w:pStyle w:val="51"/>
        <w:ind w:firstLine="480"/>
      </w:pPr>
      <w:r>
        <w:rPr>
          <w:rFonts w:hint="eastAsia"/>
        </w:rPr>
        <w:t>已拥有数据库操作查询权限的用户登录系统，鼠标左键点击左侧导航栏中的“系统审计”，打开系统审计页面，填写相应的检索要求，查询出所有的系统审计数据，表单可以在左上角以EXCEL导出，如下图所示：</w:t>
      </w:r>
    </w:p>
    <w:p>
      <w:pPr>
        <w:pStyle w:val="51"/>
        <w:ind w:firstLine="480"/>
      </w:pPr>
      <w:r>
        <w:rPr>
          <w:rFonts w:hint="eastAsia"/>
        </w:rPr>
        <w:drawing>
          <wp:inline distT="0" distB="0" distL="114300" distR="114300">
            <wp:extent cx="5266690" cy="2860040"/>
            <wp:effectExtent l="0" t="0" r="10160" b="16510"/>
            <wp:docPr id="17" name="图片 17" descr="fece777a611df65cc720444dffcb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ece777a611df65cc720444dffcbdf6"/>
                    <pic:cNvPicPr>
                      <a:picLocks noChangeAspect="1"/>
                    </pic:cNvPicPr>
                  </pic:nvPicPr>
                  <pic:blipFill>
                    <a:blip r:embed="rId25"/>
                    <a:stretch>
                      <a:fillRect/>
                    </a:stretch>
                  </pic:blipFill>
                  <pic:spPr>
                    <a:xfrm>
                      <a:off x="0" y="0"/>
                      <a:ext cx="5266690" cy="2860040"/>
                    </a:xfrm>
                    <a:prstGeom prst="rect">
                      <a:avLst/>
                    </a:prstGeom>
                  </pic:spPr>
                </pic:pic>
              </a:graphicData>
            </a:graphic>
          </wp:inline>
        </w:drawing>
      </w:r>
    </w:p>
    <w:p>
      <w:pPr>
        <w:pStyle w:val="6"/>
      </w:pPr>
      <w:bookmarkStart w:id="53" w:name="_Toc27241"/>
      <w:bookmarkStart w:id="54" w:name="_Toc28092"/>
      <w:r>
        <w:rPr>
          <w:rFonts w:hint="eastAsia"/>
        </w:rPr>
        <w:t>报表预览</w:t>
      </w:r>
      <w:bookmarkEnd w:id="53"/>
      <w:bookmarkEnd w:id="54"/>
    </w:p>
    <w:p>
      <w:pPr>
        <w:pStyle w:val="51"/>
        <w:ind w:firstLine="480"/>
      </w:pPr>
      <w:r>
        <w:rPr>
          <w:rFonts w:hint="eastAsia"/>
        </w:rPr>
        <w:t>已拥有数据库行为风险分析系统权限的用户登录系统，鼠标左键点击左侧导航栏中“报表中心-&gt;报表预览”，进入“报表预览”页面，选中左侧的报表分类的某一项，填入检索条件，点击预览报表，以“折线统计图”，“饼状图”，“表单”方式显示，还可以通过“pdf”，“html”方式查看，如下图所示：</w:t>
      </w:r>
    </w:p>
    <w:p>
      <w:pPr>
        <w:pStyle w:val="51"/>
        <w:ind w:firstLine="480"/>
      </w:pPr>
      <w:r>
        <w:drawing>
          <wp:inline distT="0" distB="0" distL="0" distR="0">
            <wp:extent cx="5274310" cy="28581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6"/>
                    <a:stretch>
                      <a:fillRect/>
                    </a:stretch>
                  </pic:blipFill>
                  <pic:spPr>
                    <a:xfrm>
                      <a:off x="0" y="0"/>
                      <a:ext cx="5274310" cy="2858135"/>
                    </a:xfrm>
                    <a:prstGeom prst="rect">
                      <a:avLst/>
                    </a:prstGeom>
                  </pic:spPr>
                </pic:pic>
              </a:graphicData>
            </a:graphic>
          </wp:inline>
        </w:drawing>
      </w:r>
    </w:p>
    <w:p>
      <w:pPr>
        <w:pStyle w:val="51"/>
        <w:ind w:firstLine="480"/>
      </w:pPr>
      <w:bookmarkStart w:id="55" w:name="_Toc32188"/>
      <w:r>
        <w:rPr>
          <w:rFonts w:hint="eastAsia"/>
        </w:rPr>
        <w:t>报表推送管理</w:t>
      </w:r>
      <w:bookmarkEnd w:id="55"/>
    </w:p>
    <w:p>
      <w:pPr>
        <w:pStyle w:val="51"/>
        <w:ind w:firstLine="480"/>
      </w:pPr>
      <w:r>
        <w:rPr>
          <w:rFonts w:hint="eastAsia"/>
        </w:rPr>
        <w:t>鼠标左键点击左侧导航栏中的“报表中心-&gt;报表推送”，进入“报表推送”页面，选中页面中左侧的报表模板的某一项，点击左上角添加报表，跳入添加报表页面，填入相应的信息，进行添加报表信息。如下图所示：</w:t>
      </w:r>
    </w:p>
    <w:p>
      <w:pPr>
        <w:pStyle w:val="51"/>
        <w:ind w:firstLine="480"/>
      </w:pPr>
      <w:r>
        <w:drawing>
          <wp:inline distT="0" distB="0" distL="0" distR="0">
            <wp:extent cx="5274310" cy="2853055"/>
            <wp:effectExtent l="0" t="0" r="254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7"/>
                    <a:stretch>
                      <a:fillRect/>
                    </a:stretch>
                  </pic:blipFill>
                  <pic:spPr>
                    <a:xfrm>
                      <a:off x="0" y="0"/>
                      <a:ext cx="5274310" cy="2853055"/>
                    </a:xfrm>
                    <a:prstGeom prst="rect">
                      <a:avLst/>
                    </a:prstGeom>
                  </pic:spPr>
                </pic:pic>
              </a:graphicData>
            </a:graphic>
          </wp:inline>
        </w:drawing>
      </w:r>
    </w:p>
    <w:p>
      <w:pPr>
        <w:pStyle w:val="6"/>
      </w:pPr>
      <w:bookmarkStart w:id="56" w:name="_Toc2259"/>
      <w:bookmarkStart w:id="57" w:name="_Toc8779"/>
      <w:r>
        <w:rPr>
          <w:rFonts w:hint="eastAsia"/>
        </w:rPr>
        <w:t>报表定时参数配置</w:t>
      </w:r>
      <w:bookmarkEnd w:id="56"/>
      <w:bookmarkEnd w:id="57"/>
    </w:p>
    <w:p>
      <w:pPr>
        <w:pStyle w:val="51"/>
        <w:ind w:firstLine="480"/>
      </w:pPr>
      <w:r>
        <w:rPr>
          <w:rFonts w:hint="eastAsia"/>
        </w:rPr>
        <w:t>接收自动报表，首先要进行报表配置，鼠标左键点击左侧导航栏中的“报表中心-&gt;定时参数”，进入“定时报表配置”页面。此页面分为日报，周报，月报三部分，对于这三部分进行选择，每一部分进行点击保存，进行每一段的时间报表配置。如下图所示：</w:t>
      </w:r>
    </w:p>
    <w:p>
      <w:pPr>
        <w:pStyle w:val="51"/>
        <w:ind w:firstLine="480"/>
      </w:pPr>
      <w:r>
        <w:drawing>
          <wp:inline distT="0" distB="0" distL="0" distR="0">
            <wp:extent cx="5274310" cy="28613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8"/>
                    <a:stretch>
                      <a:fillRect/>
                    </a:stretch>
                  </pic:blipFill>
                  <pic:spPr>
                    <a:xfrm>
                      <a:off x="0" y="0"/>
                      <a:ext cx="5274310" cy="2861310"/>
                    </a:xfrm>
                    <a:prstGeom prst="rect">
                      <a:avLst/>
                    </a:prstGeom>
                  </pic:spPr>
                </pic:pic>
              </a:graphicData>
            </a:graphic>
          </wp:inline>
        </w:drawing>
      </w:r>
    </w:p>
    <w:p>
      <w:pPr>
        <w:pStyle w:val="5"/>
      </w:pPr>
      <w:bookmarkStart w:id="58" w:name="_Toc21106"/>
      <w:bookmarkStart w:id="59" w:name="_Toc315"/>
      <w:bookmarkStart w:id="60" w:name="_Toc1780"/>
      <w:r>
        <w:rPr>
          <w:rFonts w:hint="eastAsia"/>
        </w:rPr>
        <w:t>安全配置</w:t>
      </w:r>
      <w:bookmarkEnd w:id="58"/>
      <w:bookmarkEnd w:id="59"/>
      <w:bookmarkEnd w:id="60"/>
    </w:p>
    <w:p>
      <w:pPr>
        <w:pStyle w:val="51"/>
        <w:ind w:firstLine="480"/>
      </w:pPr>
      <w:r>
        <w:rPr>
          <w:rFonts w:hint="eastAsia"/>
        </w:rPr>
        <w:t>已拥有数据库行为风险分析系统权限的用户登录系统，鼠标左键点击左侧导航栏中“系统配置”，可以进行“授权预警”与“页面超时”配置，在安全登录页面，可以进行“连续登陆失败”、“系统锁定时间”、“账户密码长度”，“密码修改时间”配置，在“页面超时”页面可以配置用户在该设定时间段内未作出操作的页面超时时间设置。如下图所示：</w:t>
      </w:r>
    </w:p>
    <w:p>
      <w:pPr>
        <w:pStyle w:val="51"/>
        <w:ind w:firstLine="480"/>
      </w:pPr>
      <w:r>
        <w:drawing>
          <wp:inline distT="0" distB="0" distL="0" distR="0">
            <wp:extent cx="5274310" cy="285813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9"/>
                    <a:stretch>
                      <a:fillRect/>
                    </a:stretch>
                  </pic:blipFill>
                  <pic:spPr>
                    <a:xfrm>
                      <a:off x="0" y="0"/>
                      <a:ext cx="5274310" cy="2858135"/>
                    </a:xfrm>
                    <a:prstGeom prst="rect">
                      <a:avLst/>
                    </a:prstGeom>
                  </pic:spPr>
                </pic:pic>
              </a:graphicData>
            </a:graphic>
          </wp:inline>
        </w:drawing>
      </w:r>
    </w:p>
    <w:p>
      <w:pPr>
        <w:pStyle w:val="51"/>
        <w:ind w:firstLine="480"/>
      </w:pPr>
    </w:p>
    <w:p>
      <w:pPr>
        <w:pStyle w:val="5"/>
      </w:pPr>
      <w:bookmarkStart w:id="61" w:name="_Toc7001"/>
      <w:bookmarkStart w:id="62" w:name="_Toc10570"/>
      <w:r>
        <w:rPr>
          <w:rFonts w:hint="eastAsia"/>
        </w:rPr>
        <w:t>资产配置</w:t>
      </w:r>
      <w:bookmarkEnd w:id="61"/>
      <w:bookmarkEnd w:id="62"/>
    </w:p>
    <w:p>
      <w:pPr>
        <w:pStyle w:val="51"/>
        <w:ind w:firstLine="480"/>
      </w:pPr>
      <w:r>
        <w:rPr>
          <w:rFonts w:hint="eastAsia"/>
        </w:rPr>
        <w:t>已拥有数据库行为风险分析系统权限的用户登录系统，鼠标左键点击左侧导航栏中“策略中心-&gt;资产配置”显示所有的审计数据库服务器与每个服务器的详细信息，左上角可以添加数据库服务器，可以对每个服务器中的资产组进行新建，复制，编辑，删除，如下图所示：</w:t>
      </w:r>
    </w:p>
    <w:p>
      <w:pPr>
        <w:pStyle w:val="51"/>
        <w:ind w:firstLine="480"/>
      </w:pPr>
      <w:r>
        <w:drawing>
          <wp:inline distT="0" distB="0" distL="0" distR="0">
            <wp:extent cx="5274310" cy="286131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stretch>
                      <a:fillRect/>
                    </a:stretch>
                  </pic:blipFill>
                  <pic:spPr>
                    <a:xfrm>
                      <a:off x="0" y="0"/>
                      <a:ext cx="5274310" cy="2861310"/>
                    </a:xfrm>
                    <a:prstGeom prst="rect">
                      <a:avLst/>
                    </a:prstGeom>
                  </pic:spPr>
                </pic:pic>
              </a:graphicData>
            </a:graphic>
          </wp:inline>
        </w:drawing>
      </w:r>
    </w:p>
    <w:p>
      <w:pPr>
        <w:pStyle w:val="51"/>
        <w:ind w:firstLine="480"/>
      </w:pPr>
      <w:r>
        <w:drawing>
          <wp:inline distT="0" distB="0" distL="0" distR="0">
            <wp:extent cx="5274310" cy="286131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a:stretch>
                      <a:fillRect/>
                    </a:stretch>
                  </pic:blipFill>
                  <pic:spPr>
                    <a:xfrm>
                      <a:off x="0" y="0"/>
                      <a:ext cx="5274310" cy="2861310"/>
                    </a:xfrm>
                    <a:prstGeom prst="rect">
                      <a:avLst/>
                    </a:prstGeom>
                  </pic:spPr>
                </pic:pic>
              </a:graphicData>
            </a:graphic>
          </wp:inline>
        </w:drawing>
      </w:r>
    </w:p>
    <w:p>
      <w:pPr>
        <w:pStyle w:val="5"/>
      </w:pPr>
      <w:bookmarkStart w:id="63" w:name="_Toc23684"/>
      <w:bookmarkStart w:id="64" w:name="_Toc25292"/>
      <w:r>
        <w:rPr>
          <w:rFonts w:hint="eastAsia"/>
        </w:rPr>
        <w:t>来源规则配置</w:t>
      </w:r>
      <w:bookmarkEnd w:id="63"/>
      <w:bookmarkEnd w:id="64"/>
    </w:p>
    <w:p>
      <w:pPr>
        <w:pStyle w:val="51"/>
        <w:ind w:firstLine="480"/>
      </w:pPr>
      <w:r>
        <w:rPr>
          <w:rFonts w:hint="eastAsia"/>
        </w:rPr>
        <w:t>已拥有数据库行为风险分析系统权限的用户登录系统，鼠标左键点击左侧导航栏中“策略中心-&gt;来源规则”显示来源规则列表与列表内数据的详细信息，在列表上方有“导入”“导出”按钮，可以导入或导出规则列表中所有数据，点击某一条数据的编辑在右侧可以进行数据的修改，在左下角点击新建来源，在右侧添加数据点击保存添加至规则列表，如下图所示：</w:t>
      </w:r>
    </w:p>
    <w:p>
      <w:pPr>
        <w:pStyle w:val="51"/>
        <w:ind w:firstLine="480"/>
      </w:pPr>
      <w:r>
        <w:drawing>
          <wp:inline distT="0" distB="0" distL="0" distR="0">
            <wp:extent cx="5274310" cy="2836545"/>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5274310" cy="2836545"/>
                    </a:xfrm>
                    <a:prstGeom prst="rect">
                      <a:avLst/>
                    </a:prstGeom>
                  </pic:spPr>
                </pic:pic>
              </a:graphicData>
            </a:graphic>
          </wp:inline>
        </w:drawing>
      </w:r>
    </w:p>
    <w:p>
      <w:pPr>
        <w:pStyle w:val="5"/>
      </w:pPr>
      <w:bookmarkStart w:id="65" w:name="_Toc24661"/>
      <w:bookmarkStart w:id="66" w:name="_Toc4308"/>
      <w:r>
        <w:rPr>
          <w:rFonts w:hint="eastAsia"/>
        </w:rPr>
        <w:t>时间规则配置</w:t>
      </w:r>
      <w:bookmarkEnd w:id="65"/>
      <w:bookmarkEnd w:id="66"/>
    </w:p>
    <w:p>
      <w:pPr>
        <w:pStyle w:val="51"/>
        <w:ind w:firstLine="480"/>
      </w:pPr>
      <w:r>
        <w:rPr>
          <w:rFonts w:hint="eastAsia"/>
        </w:rPr>
        <w:t>已拥有数据库行为风险分析系统权限的用户登录系统，鼠标左键点击左侧导航栏中的“策略中心-&gt;时间规则”可以新建时间规则列表，也可以对选中的时间进行时间段的调整。</w:t>
      </w:r>
    </w:p>
    <w:p>
      <w:pPr>
        <w:pStyle w:val="51"/>
        <w:ind w:firstLine="480"/>
      </w:pPr>
      <w:r>
        <w:drawing>
          <wp:inline distT="0" distB="0" distL="0" distR="0">
            <wp:extent cx="5274310" cy="284162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5274310" cy="2841625"/>
                    </a:xfrm>
                    <a:prstGeom prst="rect">
                      <a:avLst/>
                    </a:prstGeom>
                  </pic:spPr>
                </pic:pic>
              </a:graphicData>
            </a:graphic>
          </wp:inline>
        </w:drawing>
      </w:r>
    </w:p>
    <w:p>
      <w:pPr>
        <w:pStyle w:val="5"/>
      </w:pPr>
      <w:bookmarkStart w:id="67" w:name="_Toc10911"/>
      <w:bookmarkStart w:id="68" w:name="_Toc31999"/>
      <w:r>
        <w:rPr>
          <w:rFonts w:hint="eastAsia"/>
        </w:rPr>
        <w:t>内容规则配置</w:t>
      </w:r>
      <w:bookmarkEnd w:id="67"/>
      <w:bookmarkEnd w:id="68"/>
    </w:p>
    <w:p>
      <w:pPr>
        <w:pStyle w:val="51"/>
        <w:ind w:firstLine="480"/>
      </w:pPr>
      <w:r>
        <w:rPr>
          <w:rFonts w:hint="eastAsia"/>
        </w:rPr>
        <w:t>已拥有数据库行为风险分析系统权限的用户登录系统，鼠标左键点击左侧导航栏中“策略中心-&gt;内容规则”显示内容规则列表，可以进行编辑、删除某一条详细信息，新建内容规则，导入和导出内容规则列表：</w:t>
      </w:r>
    </w:p>
    <w:p>
      <w:pPr>
        <w:pStyle w:val="51"/>
        <w:ind w:firstLine="480"/>
      </w:pPr>
      <w:r>
        <w:drawing>
          <wp:inline distT="0" distB="0" distL="0" distR="0">
            <wp:extent cx="5274310" cy="286131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4"/>
                    <a:stretch>
                      <a:fillRect/>
                    </a:stretch>
                  </pic:blipFill>
                  <pic:spPr>
                    <a:xfrm>
                      <a:off x="0" y="0"/>
                      <a:ext cx="5274310" cy="2861310"/>
                    </a:xfrm>
                    <a:prstGeom prst="rect">
                      <a:avLst/>
                    </a:prstGeom>
                  </pic:spPr>
                </pic:pic>
              </a:graphicData>
            </a:graphic>
          </wp:inline>
        </w:drawing>
      </w:r>
    </w:p>
    <w:p>
      <w:pPr>
        <w:pStyle w:val="5"/>
      </w:pPr>
      <w:bookmarkStart w:id="69" w:name="_Toc7806"/>
      <w:bookmarkStart w:id="70" w:name="_Toc27873"/>
      <w:r>
        <w:rPr>
          <w:rFonts w:hint="eastAsia"/>
        </w:rPr>
        <w:t>证书管理</w:t>
      </w:r>
      <w:bookmarkEnd w:id="69"/>
      <w:bookmarkEnd w:id="70"/>
    </w:p>
    <w:p>
      <w:pPr>
        <w:pStyle w:val="51"/>
        <w:ind w:firstLine="480"/>
      </w:pPr>
      <w:r>
        <w:rPr>
          <w:rFonts w:hint="eastAsia"/>
        </w:rPr>
        <w:t>已拥有数据库行为风险分析系统权限的用户登录系统，鼠标左键点击左侧导航栏中“证书管理”，页面包含两部分“证书信息”和“证书状态”。在“证书信息”证书状态为未授权，点击“授权”按钮填入相应的信息对证书进行授权操作</w:t>
      </w:r>
    </w:p>
    <w:p>
      <w:pPr>
        <w:pStyle w:val="51"/>
        <w:ind w:firstLine="480"/>
      </w:pPr>
      <w:r>
        <w:drawing>
          <wp:inline distT="0" distB="0" distL="0" distR="0">
            <wp:extent cx="5274310" cy="286131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5274310" cy="2861310"/>
                    </a:xfrm>
                    <a:prstGeom prst="rect">
                      <a:avLst/>
                    </a:prstGeom>
                  </pic:spPr>
                </pic:pic>
              </a:graphicData>
            </a:graphic>
          </wp:inline>
        </w:drawing>
      </w:r>
    </w:p>
    <w:p>
      <w:pPr>
        <w:pStyle w:val="51"/>
        <w:ind w:firstLine="480"/>
      </w:pPr>
      <w:r>
        <w:drawing>
          <wp:inline distT="0" distB="0" distL="0" distR="0">
            <wp:extent cx="5274310" cy="2853055"/>
            <wp:effectExtent l="0" t="0" r="254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a:stretch>
                      <a:fillRect/>
                    </a:stretch>
                  </pic:blipFill>
                  <pic:spPr>
                    <a:xfrm>
                      <a:off x="0" y="0"/>
                      <a:ext cx="5274310" cy="2853055"/>
                    </a:xfrm>
                    <a:prstGeom prst="rect">
                      <a:avLst/>
                    </a:prstGeom>
                  </pic:spPr>
                </pic:pic>
              </a:graphicData>
            </a:graphic>
          </wp:inline>
        </w:drawing>
      </w:r>
    </w:p>
    <w:p>
      <w:pPr>
        <w:pStyle w:val="5"/>
      </w:pPr>
      <w:bookmarkStart w:id="71" w:name="_Toc27385"/>
      <w:bookmarkStart w:id="72" w:name="_Toc32684"/>
      <w:bookmarkStart w:id="73" w:name="_Toc31373"/>
      <w:r>
        <w:rPr>
          <w:rFonts w:hint="eastAsia"/>
        </w:rPr>
        <w:t>过滤</w:t>
      </w:r>
      <w:bookmarkEnd w:id="71"/>
      <w:bookmarkEnd w:id="72"/>
      <w:r>
        <w:rPr>
          <w:rFonts w:hint="eastAsia"/>
        </w:rPr>
        <w:t>配置</w:t>
      </w:r>
      <w:bookmarkEnd w:id="73"/>
    </w:p>
    <w:p>
      <w:pPr>
        <w:pStyle w:val="51"/>
        <w:ind w:firstLine="480"/>
      </w:pPr>
      <w:r>
        <w:rPr>
          <w:rFonts w:hint="eastAsia"/>
        </w:rPr>
        <w:t>过滤分为“地址过滤”和“语句过滤”两种</w:t>
      </w:r>
    </w:p>
    <w:p>
      <w:pPr>
        <w:pStyle w:val="6"/>
      </w:pPr>
      <w:bookmarkStart w:id="74" w:name="_Toc27839"/>
      <w:bookmarkStart w:id="75" w:name="_Toc23626"/>
      <w:r>
        <w:rPr>
          <w:rFonts w:hint="eastAsia"/>
        </w:rPr>
        <w:t>地址过滤</w:t>
      </w:r>
      <w:bookmarkEnd w:id="74"/>
      <w:bookmarkEnd w:id="75"/>
    </w:p>
    <w:p>
      <w:pPr>
        <w:pStyle w:val="51"/>
        <w:ind w:firstLine="480"/>
      </w:pPr>
      <w:r>
        <w:rPr>
          <w:rFonts w:hint="eastAsia"/>
        </w:rPr>
        <w:t>设置当过滤条件没有命中时的操作，有两种类型的操作可选：</w:t>
      </w:r>
    </w:p>
    <w:p>
      <w:pPr>
        <w:pStyle w:val="51"/>
        <w:ind w:firstLine="480"/>
      </w:pPr>
      <w:r>
        <w:rPr>
          <w:rFonts w:hint="eastAsia"/>
        </w:rPr>
        <w:t>不采集：即当数据包没有被过滤条件命中时丢弃该数据包</w:t>
      </w:r>
    </w:p>
    <w:p>
      <w:pPr>
        <w:pStyle w:val="51"/>
        <w:ind w:firstLine="480"/>
      </w:pPr>
      <w:r>
        <w:rPr>
          <w:rFonts w:hint="eastAsia"/>
        </w:rPr>
        <w:t>采集：即当数据包没有被过滤条件命中时将该数据包提交给后续模块处理</w:t>
      </w:r>
    </w:p>
    <w:p>
      <w:pPr>
        <w:pStyle w:val="51"/>
        <w:ind w:firstLine="480"/>
      </w:pPr>
      <w:r>
        <w:drawing>
          <wp:inline distT="0" distB="0" distL="0" distR="0">
            <wp:extent cx="5274310" cy="286131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tretch>
                      <a:fillRect/>
                    </a:stretch>
                  </pic:blipFill>
                  <pic:spPr>
                    <a:xfrm>
                      <a:off x="0" y="0"/>
                      <a:ext cx="5274310" cy="2861310"/>
                    </a:xfrm>
                    <a:prstGeom prst="rect">
                      <a:avLst/>
                    </a:prstGeom>
                  </pic:spPr>
                </pic:pic>
              </a:graphicData>
            </a:graphic>
          </wp:inline>
        </w:drawing>
      </w:r>
    </w:p>
    <w:p>
      <w:pPr>
        <w:pStyle w:val="6"/>
      </w:pPr>
      <w:bookmarkStart w:id="76" w:name="_Toc3942"/>
      <w:bookmarkStart w:id="77" w:name="_Toc27381"/>
      <w:r>
        <w:rPr>
          <w:rFonts w:hint="eastAsia"/>
        </w:rPr>
        <w:t>语句过滤</w:t>
      </w:r>
      <w:bookmarkEnd w:id="76"/>
      <w:bookmarkEnd w:id="77"/>
    </w:p>
    <w:p>
      <w:pPr>
        <w:pStyle w:val="51"/>
        <w:ind w:firstLine="480"/>
      </w:pPr>
      <w:r>
        <w:rPr>
          <w:rFonts w:hint="eastAsia"/>
        </w:rPr>
        <w:t>已拥有数据库行为风险分析系统权限的用户登录系统，鼠标左键点击左侧导航栏中“系统配置-&gt;语句过滤”点击选中数据库类型，在右侧SQL语句过滤配置中在此数据库类型中添加SQL语句。</w:t>
      </w:r>
    </w:p>
    <w:p>
      <w:pPr>
        <w:pStyle w:val="51"/>
        <w:ind w:firstLine="480"/>
      </w:pPr>
      <w:r>
        <w:rPr>
          <w:rFonts w:hint="eastAsia"/>
        </w:rPr>
        <w:t>说明：开启SQL语句采集条件时，将自动过滤掉含有这些SQL语句的数据</w:t>
      </w:r>
    </w:p>
    <w:p>
      <w:pPr>
        <w:pStyle w:val="51"/>
        <w:ind w:firstLine="480"/>
      </w:pPr>
      <w:r>
        <w:drawing>
          <wp:inline distT="0" distB="0" distL="0" distR="0">
            <wp:extent cx="5274310" cy="2853055"/>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tretch>
                      <a:fillRect/>
                    </a:stretch>
                  </pic:blipFill>
                  <pic:spPr>
                    <a:xfrm>
                      <a:off x="0" y="0"/>
                      <a:ext cx="5274310" cy="2853055"/>
                    </a:xfrm>
                    <a:prstGeom prst="rect">
                      <a:avLst/>
                    </a:prstGeom>
                  </pic:spPr>
                </pic:pic>
              </a:graphicData>
            </a:graphic>
          </wp:inline>
        </w:drawing>
      </w:r>
    </w:p>
    <w:p>
      <w:pPr>
        <w:pStyle w:val="51"/>
        <w:ind w:firstLine="480"/>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5"/>
      </w:rPr>
    </w:pPr>
    <w:r>
      <w:fldChar w:fldCharType="begin"/>
    </w:r>
    <w:r>
      <w:rPr>
        <w:rStyle w:val="25"/>
      </w:rPr>
      <w:instrText xml:space="preserve">PAGE  </w:instrText>
    </w:r>
    <w:r>
      <w:fldChar w:fldCharType="separate"/>
    </w:r>
    <w:r>
      <w:rPr>
        <w:rStyle w:val="25"/>
      </w:rPr>
      <w:t>IV</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jc w:val="right"/>
    </w:pPr>
    <w:r>
      <w:rPr>
        <w:rFonts w:hint="eastAsia"/>
      </w:rPr>
      <w:t>云集数据库审计系统用户手册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632BAE"/>
    <w:multiLevelType w:val="multilevel"/>
    <w:tmpl w:val="15632BA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1AB576F"/>
    <w:multiLevelType w:val="multilevel"/>
    <w:tmpl w:val="21AB576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2D2F2851"/>
    <w:multiLevelType w:val="multilevel"/>
    <w:tmpl w:val="2D2F2851"/>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2EC16194"/>
    <w:multiLevelType w:val="multilevel"/>
    <w:tmpl w:val="2EC16194"/>
    <w:lvl w:ilvl="0" w:tentative="0">
      <w:start w:val="1"/>
      <w:numFmt w:val="decimal"/>
      <w:pStyle w:val="2"/>
      <w:lvlText w:val="%1."/>
      <w:lvlJc w:val="left"/>
      <w:pPr>
        <w:tabs>
          <w:tab w:val="left" w:pos="425"/>
        </w:tabs>
        <w:ind w:left="425" w:hanging="425"/>
      </w:pPr>
      <w:rPr>
        <w:rFonts w:hint="eastAsia"/>
      </w:rPr>
    </w:lvl>
    <w:lvl w:ilvl="1" w:tentative="0">
      <w:start w:val="1"/>
      <w:numFmt w:val="decimal"/>
      <w:pStyle w:val="5"/>
      <w:lvlText w:val="%1.%2."/>
      <w:lvlJc w:val="left"/>
      <w:pPr>
        <w:tabs>
          <w:tab w:val="left" w:pos="567"/>
        </w:tabs>
        <w:ind w:left="567" w:hanging="567"/>
      </w:pPr>
      <w:rPr>
        <w:rFonts w:hint="eastAsia"/>
      </w:rPr>
    </w:lvl>
    <w:lvl w:ilvl="2" w:tentative="0">
      <w:start w:val="1"/>
      <w:numFmt w:val="decimal"/>
      <w:pStyle w:val="6"/>
      <w:lvlText w:val="%1.%2.%3."/>
      <w:lvlJc w:val="left"/>
      <w:pPr>
        <w:tabs>
          <w:tab w:val="left" w:pos="709"/>
        </w:tabs>
        <w:ind w:left="709" w:hanging="709"/>
      </w:pPr>
      <w:rPr>
        <w:rFonts w:hint="eastAsia"/>
      </w:rPr>
    </w:lvl>
    <w:lvl w:ilvl="3" w:tentative="0">
      <w:start w:val="1"/>
      <w:numFmt w:val="decimal"/>
      <w:pStyle w:val="7"/>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643A486B"/>
    <w:multiLevelType w:val="multilevel"/>
    <w:tmpl w:val="643A486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770D4"/>
    <w:rsid w:val="00000125"/>
    <w:rsid w:val="00000161"/>
    <w:rsid w:val="0000090C"/>
    <w:rsid w:val="00001BC9"/>
    <w:rsid w:val="00002741"/>
    <w:rsid w:val="00003833"/>
    <w:rsid w:val="000040D2"/>
    <w:rsid w:val="000048F1"/>
    <w:rsid w:val="00005318"/>
    <w:rsid w:val="000071A7"/>
    <w:rsid w:val="00007A63"/>
    <w:rsid w:val="000101D8"/>
    <w:rsid w:val="000108D6"/>
    <w:rsid w:val="00010E62"/>
    <w:rsid w:val="0001169E"/>
    <w:rsid w:val="00011C0D"/>
    <w:rsid w:val="00012564"/>
    <w:rsid w:val="00012E76"/>
    <w:rsid w:val="000170F5"/>
    <w:rsid w:val="00017918"/>
    <w:rsid w:val="00020AFA"/>
    <w:rsid w:val="00021E2A"/>
    <w:rsid w:val="00022216"/>
    <w:rsid w:val="00023831"/>
    <w:rsid w:val="000255CC"/>
    <w:rsid w:val="00030D0A"/>
    <w:rsid w:val="0003333D"/>
    <w:rsid w:val="000339B0"/>
    <w:rsid w:val="00033DCA"/>
    <w:rsid w:val="00035281"/>
    <w:rsid w:val="00037133"/>
    <w:rsid w:val="000405B1"/>
    <w:rsid w:val="00041A8B"/>
    <w:rsid w:val="00044438"/>
    <w:rsid w:val="0004521C"/>
    <w:rsid w:val="00045D96"/>
    <w:rsid w:val="00047202"/>
    <w:rsid w:val="0004758C"/>
    <w:rsid w:val="00050DC6"/>
    <w:rsid w:val="0005174D"/>
    <w:rsid w:val="0005181C"/>
    <w:rsid w:val="00051CEE"/>
    <w:rsid w:val="00053A52"/>
    <w:rsid w:val="00060431"/>
    <w:rsid w:val="00061369"/>
    <w:rsid w:val="0006309D"/>
    <w:rsid w:val="00064B1C"/>
    <w:rsid w:val="00066354"/>
    <w:rsid w:val="00066527"/>
    <w:rsid w:val="000667C3"/>
    <w:rsid w:val="00067061"/>
    <w:rsid w:val="000679B9"/>
    <w:rsid w:val="000718F6"/>
    <w:rsid w:val="00072DBD"/>
    <w:rsid w:val="0007413D"/>
    <w:rsid w:val="000752D6"/>
    <w:rsid w:val="0007533A"/>
    <w:rsid w:val="000760BF"/>
    <w:rsid w:val="00076112"/>
    <w:rsid w:val="000761BA"/>
    <w:rsid w:val="00077B26"/>
    <w:rsid w:val="0008058A"/>
    <w:rsid w:val="00080B75"/>
    <w:rsid w:val="00080FC1"/>
    <w:rsid w:val="00081ACA"/>
    <w:rsid w:val="000820BE"/>
    <w:rsid w:val="00082E45"/>
    <w:rsid w:val="00083C41"/>
    <w:rsid w:val="0008414C"/>
    <w:rsid w:val="00085C33"/>
    <w:rsid w:val="00086346"/>
    <w:rsid w:val="00086B54"/>
    <w:rsid w:val="000878DE"/>
    <w:rsid w:val="00087CB5"/>
    <w:rsid w:val="00087E0B"/>
    <w:rsid w:val="0009266C"/>
    <w:rsid w:val="00092C6F"/>
    <w:rsid w:val="00093190"/>
    <w:rsid w:val="000933F9"/>
    <w:rsid w:val="00093BC6"/>
    <w:rsid w:val="00094D58"/>
    <w:rsid w:val="00094DD2"/>
    <w:rsid w:val="000955C5"/>
    <w:rsid w:val="00095837"/>
    <w:rsid w:val="00096797"/>
    <w:rsid w:val="000A0719"/>
    <w:rsid w:val="000A294D"/>
    <w:rsid w:val="000A40B8"/>
    <w:rsid w:val="000A5DAC"/>
    <w:rsid w:val="000A64F9"/>
    <w:rsid w:val="000A7B5F"/>
    <w:rsid w:val="000B010E"/>
    <w:rsid w:val="000B015D"/>
    <w:rsid w:val="000B0A8B"/>
    <w:rsid w:val="000B0F99"/>
    <w:rsid w:val="000B17E6"/>
    <w:rsid w:val="000B2CE2"/>
    <w:rsid w:val="000B3B61"/>
    <w:rsid w:val="000B3C1F"/>
    <w:rsid w:val="000B3C2C"/>
    <w:rsid w:val="000B43DE"/>
    <w:rsid w:val="000B63C9"/>
    <w:rsid w:val="000B6D4F"/>
    <w:rsid w:val="000B6D6C"/>
    <w:rsid w:val="000B7156"/>
    <w:rsid w:val="000C1BE4"/>
    <w:rsid w:val="000C2F85"/>
    <w:rsid w:val="000C38BA"/>
    <w:rsid w:val="000C46A1"/>
    <w:rsid w:val="000C4FF4"/>
    <w:rsid w:val="000C50E4"/>
    <w:rsid w:val="000D3D0E"/>
    <w:rsid w:val="000D5C11"/>
    <w:rsid w:val="000D6728"/>
    <w:rsid w:val="000D6ED7"/>
    <w:rsid w:val="000D7B1F"/>
    <w:rsid w:val="000E0A7F"/>
    <w:rsid w:val="000E0E71"/>
    <w:rsid w:val="000E2A85"/>
    <w:rsid w:val="000E395B"/>
    <w:rsid w:val="000E43B1"/>
    <w:rsid w:val="000E4913"/>
    <w:rsid w:val="000E7D96"/>
    <w:rsid w:val="000F03EF"/>
    <w:rsid w:val="000F1217"/>
    <w:rsid w:val="000F6738"/>
    <w:rsid w:val="000F6C1A"/>
    <w:rsid w:val="000F6D16"/>
    <w:rsid w:val="000F7840"/>
    <w:rsid w:val="0010158D"/>
    <w:rsid w:val="00101A16"/>
    <w:rsid w:val="001031B6"/>
    <w:rsid w:val="00103EC6"/>
    <w:rsid w:val="0010685B"/>
    <w:rsid w:val="001076A6"/>
    <w:rsid w:val="00110CE1"/>
    <w:rsid w:val="001119BB"/>
    <w:rsid w:val="00111BFA"/>
    <w:rsid w:val="00112B86"/>
    <w:rsid w:val="00112CBC"/>
    <w:rsid w:val="0011309A"/>
    <w:rsid w:val="00114A0A"/>
    <w:rsid w:val="00114D76"/>
    <w:rsid w:val="00120169"/>
    <w:rsid w:val="00120592"/>
    <w:rsid w:val="00120766"/>
    <w:rsid w:val="001222BD"/>
    <w:rsid w:val="00122D7E"/>
    <w:rsid w:val="0012358B"/>
    <w:rsid w:val="00123D17"/>
    <w:rsid w:val="001254EB"/>
    <w:rsid w:val="001260CE"/>
    <w:rsid w:val="00126801"/>
    <w:rsid w:val="00127013"/>
    <w:rsid w:val="00127F19"/>
    <w:rsid w:val="00130F18"/>
    <w:rsid w:val="0013155C"/>
    <w:rsid w:val="00134914"/>
    <w:rsid w:val="001350A2"/>
    <w:rsid w:val="00135357"/>
    <w:rsid w:val="0013594F"/>
    <w:rsid w:val="00135FA6"/>
    <w:rsid w:val="00136076"/>
    <w:rsid w:val="00136363"/>
    <w:rsid w:val="001368B3"/>
    <w:rsid w:val="0014017F"/>
    <w:rsid w:val="00140205"/>
    <w:rsid w:val="00143E45"/>
    <w:rsid w:val="001440CF"/>
    <w:rsid w:val="001447A5"/>
    <w:rsid w:val="0014489B"/>
    <w:rsid w:val="00144B2C"/>
    <w:rsid w:val="00145534"/>
    <w:rsid w:val="001471BD"/>
    <w:rsid w:val="001479FB"/>
    <w:rsid w:val="00147E81"/>
    <w:rsid w:val="0015207B"/>
    <w:rsid w:val="0015281E"/>
    <w:rsid w:val="001538DD"/>
    <w:rsid w:val="0015412C"/>
    <w:rsid w:val="00154F07"/>
    <w:rsid w:val="001551C7"/>
    <w:rsid w:val="0015728D"/>
    <w:rsid w:val="0016159E"/>
    <w:rsid w:val="001617F8"/>
    <w:rsid w:val="001625B8"/>
    <w:rsid w:val="00164854"/>
    <w:rsid w:val="001660A5"/>
    <w:rsid w:val="00171143"/>
    <w:rsid w:val="00175869"/>
    <w:rsid w:val="00176D4A"/>
    <w:rsid w:val="0018039D"/>
    <w:rsid w:val="00182C75"/>
    <w:rsid w:val="00183504"/>
    <w:rsid w:val="00184925"/>
    <w:rsid w:val="00184D73"/>
    <w:rsid w:val="001858B5"/>
    <w:rsid w:val="00185BFA"/>
    <w:rsid w:val="00185C31"/>
    <w:rsid w:val="001866ED"/>
    <w:rsid w:val="00186A1E"/>
    <w:rsid w:val="0018717F"/>
    <w:rsid w:val="0019127A"/>
    <w:rsid w:val="001916E4"/>
    <w:rsid w:val="0019173D"/>
    <w:rsid w:val="00192004"/>
    <w:rsid w:val="00192168"/>
    <w:rsid w:val="001923A6"/>
    <w:rsid w:val="00192FDD"/>
    <w:rsid w:val="0019340D"/>
    <w:rsid w:val="00193FFA"/>
    <w:rsid w:val="00194430"/>
    <w:rsid w:val="00194A20"/>
    <w:rsid w:val="00194F98"/>
    <w:rsid w:val="0019542B"/>
    <w:rsid w:val="001960FC"/>
    <w:rsid w:val="001A0510"/>
    <w:rsid w:val="001A1B82"/>
    <w:rsid w:val="001A2FC7"/>
    <w:rsid w:val="001A513A"/>
    <w:rsid w:val="001A5490"/>
    <w:rsid w:val="001A5CB9"/>
    <w:rsid w:val="001A7E55"/>
    <w:rsid w:val="001B1F73"/>
    <w:rsid w:val="001B3152"/>
    <w:rsid w:val="001B4C10"/>
    <w:rsid w:val="001B59B3"/>
    <w:rsid w:val="001B7F28"/>
    <w:rsid w:val="001C059C"/>
    <w:rsid w:val="001C13C2"/>
    <w:rsid w:val="001C1E3E"/>
    <w:rsid w:val="001C252E"/>
    <w:rsid w:val="001C25F6"/>
    <w:rsid w:val="001C2E67"/>
    <w:rsid w:val="001C65D4"/>
    <w:rsid w:val="001D22DD"/>
    <w:rsid w:val="001D63D6"/>
    <w:rsid w:val="001D6886"/>
    <w:rsid w:val="001D6E36"/>
    <w:rsid w:val="001D6E52"/>
    <w:rsid w:val="001D782E"/>
    <w:rsid w:val="001E2FBA"/>
    <w:rsid w:val="001E3C77"/>
    <w:rsid w:val="001E497B"/>
    <w:rsid w:val="001E5732"/>
    <w:rsid w:val="001E65BD"/>
    <w:rsid w:val="001E6F48"/>
    <w:rsid w:val="001E7FB4"/>
    <w:rsid w:val="001F1293"/>
    <w:rsid w:val="001F160F"/>
    <w:rsid w:val="001F26DA"/>
    <w:rsid w:val="001F6359"/>
    <w:rsid w:val="001F700E"/>
    <w:rsid w:val="00200B02"/>
    <w:rsid w:val="00202A8E"/>
    <w:rsid w:val="00202C82"/>
    <w:rsid w:val="00204710"/>
    <w:rsid w:val="00204CA4"/>
    <w:rsid w:val="002052C0"/>
    <w:rsid w:val="00206B22"/>
    <w:rsid w:val="00206CF8"/>
    <w:rsid w:val="00211AF1"/>
    <w:rsid w:val="00211B7F"/>
    <w:rsid w:val="002155DD"/>
    <w:rsid w:val="002157C2"/>
    <w:rsid w:val="00215926"/>
    <w:rsid w:val="00215C17"/>
    <w:rsid w:val="00215FB7"/>
    <w:rsid w:val="00216594"/>
    <w:rsid w:val="00216FDF"/>
    <w:rsid w:val="00223C15"/>
    <w:rsid w:val="00223D39"/>
    <w:rsid w:val="00224A51"/>
    <w:rsid w:val="00225362"/>
    <w:rsid w:val="0022609C"/>
    <w:rsid w:val="00227EB6"/>
    <w:rsid w:val="00231575"/>
    <w:rsid w:val="002317A2"/>
    <w:rsid w:val="00233537"/>
    <w:rsid w:val="00233617"/>
    <w:rsid w:val="00233E6F"/>
    <w:rsid w:val="00234015"/>
    <w:rsid w:val="002348F5"/>
    <w:rsid w:val="00235693"/>
    <w:rsid w:val="0024071A"/>
    <w:rsid w:val="002428C0"/>
    <w:rsid w:val="0024646D"/>
    <w:rsid w:val="002470BD"/>
    <w:rsid w:val="0024782D"/>
    <w:rsid w:val="00250F4C"/>
    <w:rsid w:val="002517A7"/>
    <w:rsid w:val="002517D4"/>
    <w:rsid w:val="002519DB"/>
    <w:rsid w:val="00254104"/>
    <w:rsid w:val="0025753F"/>
    <w:rsid w:val="0026141F"/>
    <w:rsid w:val="0026161E"/>
    <w:rsid w:val="00261DAA"/>
    <w:rsid w:val="00261DC3"/>
    <w:rsid w:val="00261EC6"/>
    <w:rsid w:val="00265E8D"/>
    <w:rsid w:val="00266632"/>
    <w:rsid w:val="00266A50"/>
    <w:rsid w:val="00270652"/>
    <w:rsid w:val="00271FB7"/>
    <w:rsid w:val="00272466"/>
    <w:rsid w:val="0027260A"/>
    <w:rsid w:val="002730AC"/>
    <w:rsid w:val="00273B2A"/>
    <w:rsid w:val="00274694"/>
    <w:rsid w:val="00281596"/>
    <w:rsid w:val="002828E4"/>
    <w:rsid w:val="0028402A"/>
    <w:rsid w:val="00291573"/>
    <w:rsid w:val="002942AA"/>
    <w:rsid w:val="00295428"/>
    <w:rsid w:val="002966F5"/>
    <w:rsid w:val="00296E67"/>
    <w:rsid w:val="0029768E"/>
    <w:rsid w:val="002A0933"/>
    <w:rsid w:val="002A20B3"/>
    <w:rsid w:val="002A3337"/>
    <w:rsid w:val="002A48EA"/>
    <w:rsid w:val="002A5A4F"/>
    <w:rsid w:val="002A70ED"/>
    <w:rsid w:val="002A72DB"/>
    <w:rsid w:val="002A740F"/>
    <w:rsid w:val="002A7F26"/>
    <w:rsid w:val="002B0D81"/>
    <w:rsid w:val="002B2529"/>
    <w:rsid w:val="002B4298"/>
    <w:rsid w:val="002B43E0"/>
    <w:rsid w:val="002B715D"/>
    <w:rsid w:val="002C0BC9"/>
    <w:rsid w:val="002C1FE3"/>
    <w:rsid w:val="002C29F0"/>
    <w:rsid w:val="002C4B60"/>
    <w:rsid w:val="002C618C"/>
    <w:rsid w:val="002C687D"/>
    <w:rsid w:val="002C6A73"/>
    <w:rsid w:val="002C6ED9"/>
    <w:rsid w:val="002D116E"/>
    <w:rsid w:val="002D1478"/>
    <w:rsid w:val="002D2243"/>
    <w:rsid w:val="002D49D9"/>
    <w:rsid w:val="002D509D"/>
    <w:rsid w:val="002E2C2D"/>
    <w:rsid w:val="002F02FE"/>
    <w:rsid w:val="002F04C0"/>
    <w:rsid w:val="002F132D"/>
    <w:rsid w:val="002F1A88"/>
    <w:rsid w:val="002F2659"/>
    <w:rsid w:val="002F2FAB"/>
    <w:rsid w:val="002F4ECC"/>
    <w:rsid w:val="00301420"/>
    <w:rsid w:val="003014F0"/>
    <w:rsid w:val="00301ADB"/>
    <w:rsid w:val="00302DA3"/>
    <w:rsid w:val="00303034"/>
    <w:rsid w:val="00303C49"/>
    <w:rsid w:val="00304713"/>
    <w:rsid w:val="003049F5"/>
    <w:rsid w:val="003055B1"/>
    <w:rsid w:val="003072BA"/>
    <w:rsid w:val="00310D51"/>
    <w:rsid w:val="00311E51"/>
    <w:rsid w:val="00316935"/>
    <w:rsid w:val="00316C12"/>
    <w:rsid w:val="003214E6"/>
    <w:rsid w:val="00321ADE"/>
    <w:rsid w:val="00321C59"/>
    <w:rsid w:val="00321EAE"/>
    <w:rsid w:val="003238F6"/>
    <w:rsid w:val="00324287"/>
    <w:rsid w:val="00324B28"/>
    <w:rsid w:val="0032548F"/>
    <w:rsid w:val="00325A55"/>
    <w:rsid w:val="003272A3"/>
    <w:rsid w:val="0033081C"/>
    <w:rsid w:val="003310BF"/>
    <w:rsid w:val="00331356"/>
    <w:rsid w:val="00331695"/>
    <w:rsid w:val="00331815"/>
    <w:rsid w:val="00331FC3"/>
    <w:rsid w:val="00332383"/>
    <w:rsid w:val="00332E02"/>
    <w:rsid w:val="0033321F"/>
    <w:rsid w:val="00333B8B"/>
    <w:rsid w:val="00334A46"/>
    <w:rsid w:val="00335972"/>
    <w:rsid w:val="00340C99"/>
    <w:rsid w:val="00341272"/>
    <w:rsid w:val="003412D8"/>
    <w:rsid w:val="00344013"/>
    <w:rsid w:val="00344868"/>
    <w:rsid w:val="00344E21"/>
    <w:rsid w:val="003451FF"/>
    <w:rsid w:val="00345B9E"/>
    <w:rsid w:val="00345F2D"/>
    <w:rsid w:val="00351FDE"/>
    <w:rsid w:val="00352C9B"/>
    <w:rsid w:val="00353603"/>
    <w:rsid w:val="0035386A"/>
    <w:rsid w:val="00353917"/>
    <w:rsid w:val="00354860"/>
    <w:rsid w:val="00354DC6"/>
    <w:rsid w:val="0035560E"/>
    <w:rsid w:val="003569CF"/>
    <w:rsid w:val="00357281"/>
    <w:rsid w:val="003579C6"/>
    <w:rsid w:val="003613E8"/>
    <w:rsid w:val="00362EE1"/>
    <w:rsid w:val="00366769"/>
    <w:rsid w:val="00371585"/>
    <w:rsid w:val="00373032"/>
    <w:rsid w:val="00375256"/>
    <w:rsid w:val="0037582C"/>
    <w:rsid w:val="003761F5"/>
    <w:rsid w:val="003762C3"/>
    <w:rsid w:val="00376722"/>
    <w:rsid w:val="00376F12"/>
    <w:rsid w:val="003804CD"/>
    <w:rsid w:val="00380DFF"/>
    <w:rsid w:val="00381127"/>
    <w:rsid w:val="0038114E"/>
    <w:rsid w:val="003817B5"/>
    <w:rsid w:val="00382639"/>
    <w:rsid w:val="003828BE"/>
    <w:rsid w:val="00382FC3"/>
    <w:rsid w:val="00383205"/>
    <w:rsid w:val="00390724"/>
    <w:rsid w:val="00390DD4"/>
    <w:rsid w:val="0039183E"/>
    <w:rsid w:val="00394150"/>
    <w:rsid w:val="00394E83"/>
    <w:rsid w:val="00395154"/>
    <w:rsid w:val="0039660A"/>
    <w:rsid w:val="00396F37"/>
    <w:rsid w:val="00397513"/>
    <w:rsid w:val="00397BCF"/>
    <w:rsid w:val="003A1F71"/>
    <w:rsid w:val="003A2E91"/>
    <w:rsid w:val="003A418A"/>
    <w:rsid w:val="003A44E5"/>
    <w:rsid w:val="003B01FB"/>
    <w:rsid w:val="003B129B"/>
    <w:rsid w:val="003B1328"/>
    <w:rsid w:val="003B1C15"/>
    <w:rsid w:val="003B300F"/>
    <w:rsid w:val="003B33E3"/>
    <w:rsid w:val="003B4AE7"/>
    <w:rsid w:val="003B4D17"/>
    <w:rsid w:val="003B6A68"/>
    <w:rsid w:val="003B7148"/>
    <w:rsid w:val="003B7168"/>
    <w:rsid w:val="003C1631"/>
    <w:rsid w:val="003C2AFB"/>
    <w:rsid w:val="003C35F5"/>
    <w:rsid w:val="003C3FD5"/>
    <w:rsid w:val="003C4510"/>
    <w:rsid w:val="003C458A"/>
    <w:rsid w:val="003C4AAD"/>
    <w:rsid w:val="003C5D13"/>
    <w:rsid w:val="003D0C57"/>
    <w:rsid w:val="003D13EA"/>
    <w:rsid w:val="003D1E2A"/>
    <w:rsid w:val="003D2A17"/>
    <w:rsid w:val="003D2F75"/>
    <w:rsid w:val="003D359D"/>
    <w:rsid w:val="003D35B2"/>
    <w:rsid w:val="003D3695"/>
    <w:rsid w:val="003D3716"/>
    <w:rsid w:val="003D3D61"/>
    <w:rsid w:val="003D7EE8"/>
    <w:rsid w:val="003E00AE"/>
    <w:rsid w:val="003E0775"/>
    <w:rsid w:val="003E1032"/>
    <w:rsid w:val="003E2B54"/>
    <w:rsid w:val="003E2F71"/>
    <w:rsid w:val="003E58C3"/>
    <w:rsid w:val="003E60FE"/>
    <w:rsid w:val="003E67B0"/>
    <w:rsid w:val="003E7C64"/>
    <w:rsid w:val="003F06D0"/>
    <w:rsid w:val="003F07D8"/>
    <w:rsid w:val="003F1E24"/>
    <w:rsid w:val="003F1F05"/>
    <w:rsid w:val="003F2D06"/>
    <w:rsid w:val="003F3923"/>
    <w:rsid w:val="003F50E0"/>
    <w:rsid w:val="003F5D8A"/>
    <w:rsid w:val="003F7DDD"/>
    <w:rsid w:val="00403A5A"/>
    <w:rsid w:val="00403B09"/>
    <w:rsid w:val="00406C41"/>
    <w:rsid w:val="00410624"/>
    <w:rsid w:val="00413B86"/>
    <w:rsid w:val="00415067"/>
    <w:rsid w:val="00415BE7"/>
    <w:rsid w:val="00416845"/>
    <w:rsid w:val="004222C8"/>
    <w:rsid w:val="004223F5"/>
    <w:rsid w:val="00422FBC"/>
    <w:rsid w:val="00423C8E"/>
    <w:rsid w:val="00424155"/>
    <w:rsid w:val="00425F52"/>
    <w:rsid w:val="004264BD"/>
    <w:rsid w:val="0042695D"/>
    <w:rsid w:val="0042782A"/>
    <w:rsid w:val="004279F1"/>
    <w:rsid w:val="0044180F"/>
    <w:rsid w:val="00442A65"/>
    <w:rsid w:val="00444D09"/>
    <w:rsid w:val="00445F2C"/>
    <w:rsid w:val="00446B7B"/>
    <w:rsid w:val="0044758B"/>
    <w:rsid w:val="00447944"/>
    <w:rsid w:val="00451004"/>
    <w:rsid w:val="00452075"/>
    <w:rsid w:val="004543D2"/>
    <w:rsid w:val="0045536A"/>
    <w:rsid w:val="00456637"/>
    <w:rsid w:val="004566BC"/>
    <w:rsid w:val="00456D61"/>
    <w:rsid w:val="0045725D"/>
    <w:rsid w:val="00461E54"/>
    <w:rsid w:val="00464E1F"/>
    <w:rsid w:val="004654BE"/>
    <w:rsid w:val="00465E35"/>
    <w:rsid w:val="00466735"/>
    <w:rsid w:val="00467173"/>
    <w:rsid w:val="00470E8B"/>
    <w:rsid w:val="00471219"/>
    <w:rsid w:val="00471926"/>
    <w:rsid w:val="00471AFF"/>
    <w:rsid w:val="0047307F"/>
    <w:rsid w:val="0047394D"/>
    <w:rsid w:val="00473953"/>
    <w:rsid w:val="00476533"/>
    <w:rsid w:val="00476F59"/>
    <w:rsid w:val="004805EA"/>
    <w:rsid w:val="00482F9F"/>
    <w:rsid w:val="00483872"/>
    <w:rsid w:val="00483998"/>
    <w:rsid w:val="00486411"/>
    <w:rsid w:val="00486C85"/>
    <w:rsid w:val="00486FF5"/>
    <w:rsid w:val="00490040"/>
    <w:rsid w:val="0049094A"/>
    <w:rsid w:val="004910F3"/>
    <w:rsid w:val="0049189D"/>
    <w:rsid w:val="00491A55"/>
    <w:rsid w:val="00491B18"/>
    <w:rsid w:val="00492756"/>
    <w:rsid w:val="00493EEE"/>
    <w:rsid w:val="00495E3E"/>
    <w:rsid w:val="004A0884"/>
    <w:rsid w:val="004A0DD0"/>
    <w:rsid w:val="004A39CF"/>
    <w:rsid w:val="004A4D4F"/>
    <w:rsid w:val="004A5762"/>
    <w:rsid w:val="004A7572"/>
    <w:rsid w:val="004A7BF4"/>
    <w:rsid w:val="004B108C"/>
    <w:rsid w:val="004B69C8"/>
    <w:rsid w:val="004B71F8"/>
    <w:rsid w:val="004B723D"/>
    <w:rsid w:val="004C03D0"/>
    <w:rsid w:val="004C3A58"/>
    <w:rsid w:val="004C500A"/>
    <w:rsid w:val="004C5250"/>
    <w:rsid w:val="004C5965"/>
    <w:rsid w:val="004C5A73"/>
    <w:rsid w:val="004C5EB4"/>
    <w:rsid w:val="004C7098"/>
    <w:rsid w:val="004D0C0C"/>
    <w:rsid w:val="004D1EA1"/>
    <w:rsid w:val="004D397C"/>
    <w:rsid w:val="004D4E0A"/>
    <w:rsid w:val="004D4F57"/>
    <w:rsid w:val="004D689B"/>
    <w:rsid w:val="004D68D3"/>
    <w:rsid w:val="004D7EEF"/>
    <w:rsid w:val="004E0C8B"/>
    <w:rsid w:val="004E15F0"/>
    <w:rsid w:val="004E2A76"/>
    <w:rsid w:val="004E2C38"/>
    <w:rsid w:val="004E2F6C"/>
    <w:rsid w:val="004E3155"/>
    <w:rsid w:val="004E3873"/>
    <w:rsid w:val="004E3B11"/>
    <w:rsid w:val="004E740D"/>
    <w:rsid w:val="004E7985"/>
    <w:rsid w:val="004E7D0C"/>
    <w:rsid w:val="004F6648"/>
    <w:rsid w:val="0050148B"/>
    <w:rsid w:val="005029CD"/>
    <w:rsid w:val="00502A5C"/>
    <w:rsid w:val="00504174"/>
    <w:rsid w:val="005045F3"/>
    <w:rsid w:val="00505524"/>
    <w:rsid w:val="00505C23"/>
    <w:rsid w:val="0051025C"/>
    <w:rsid w:val="005143B6"/>
    <w:rsid w:val="0051654C"/>
    <w:rsid w:val="00516DB1"/>
    <w:rsid w:val="00517D99"/>
    <w:rsid w:val="0052189C"/>
    <w:rsid w:val="005218A6"/>
    <w:rsid w:val="00523727"/>
    <w:rsid w:val="00523A4A"/>
    <w:rsid w:val="00524167"/>
    <w:rsid w:val="0052749C"/>
    <w:rsid w:val="00527571"/>
    <w:rsid w:val="00527FAD"/>
    <w:rsid w:val="005303D3"/>
    <w:rsid w:val="00532AB6"/>
    <w:rsid w:val="00533CBB"/>
    <w:rsid w:val="00533DF7"/>
    <w:rsid w:val="00533F1F"/>
    <w:rsid w:val="00533FF6"/>
    <w:rsid w:val="00534D17"/>
    <w:rsid w:val="00540DE5"/>
    <w:rsid w:val="00540F53"/>
    <w:rsid w:val="00542B10"/>
    <w:rsid w:val="0054491A"/>
    <w:rsid w:val="00544D04"/>
    <w:rsid w:val="00545286"/>
    <w:rsid w:val="0054728F"/>
    <w:rsid w:val="005475B6"/>
    <w:rsid w:val="005508F2"/>
    <w:rsid w:val="00551632"/>
    <w:rsid w:val="00551C44"/>
    <w:rsid w:val="0055289A"/>
    <w:rsid w:val="00554857"/>
    <w:rsid w:val="00555B78"/>
    <w:rsid w:val="00557308"/>
    <w:rsid w:val="005575B9"/>
    <w:rsid w:val="00557807"/>
    <w:rsid w:val="00557A4A"/>
    <w:rsid w:val="005611A4"/>
    <w:rsid w:val="005618F1"/>
    <w:rsid w:val="00561EFE"/>
    <w:rsid w:val="00563036"/>
    <w:rsid w:val="00563A13"/>
    <w:rsid w:val="005644CF"/>
    <w:rsid w:val="00566D1F"/>
    <w:rsid w:val="005675F5"/>
    <w:rsid w:val="00570BDD"/>
    <w:rsid w:val="005714F9"/>
    <w:rsid w:val="00572C63"/>
    <w:rsid w:val="00572C6C"/>
    <w:rsid w:val="005734C1"/>
    <w:rsid w:val="0057494A"/>
    <w:rsid w:val="005759C5"/>
    <w:rsid w:val="00575F9E"/>
    <w:rsid w:val="0057629C"/>
    <w:rsid w:val="005770D4"/>
    <w:rsid w:val="00582CF5"/>
    <w:rsid w:val="00583DBD"/>
    <w:rsid w:val="00584777"/>
    <w:rsid w:val="00586934"/>
    <w:rsid w:val="00586FAD"/>
    <w:rsid w:val="00592F1E"/>
    <w:rsid w:val="005944F2"/>
    <w:rsid w:val="00594F5F"/>
    <w:rsid w:val="005954C9"/>
    <w:rsid w:val="005955BE"/>
    <w:rsid w:val="0059617A"/>
    <w:rsid w:val="005A082D"/>
    <w:rsid w:val="005A18C0"/>
    <w:rsid w:val="005A350E"/>
    <w:rsid w:val="005A48FA"/>
    <w:rsid w:val="005A512F"/>
    <w:rsid w:val="005A6E4E"/>
    <w:rsid w:val="005A71D5"/>
    <w:rsid w:val="005B06C0"/>
    <w:rsid w:val="005B0809"/>
    <w:rsid w:val="005B12C7"/>
    <w:rsid w:val="005B1853"/>
    <w:rsid w:val="005B2EA4"/>
    <w:rsid w:val="005B30A8"/>
    <w:rsid w:val="005B5D39"/>
    <w:rsid w:val="005B6461"/>
    <w:rsid w:val="005B7A3B"/>
    <w:rsid w:val="005C0DDB"/>
    <w:rsid w:val="005C193D"/>
    <w:rsid w:val="005C3D2A"/>
    <w:rsid w:val="005C3EA7"/>
    <w:rsid w:val="005C3F71"/>
    <w:rsid w:val="005C4294"/>
    <w:rsid w:val="005C4399"/>
    <w:rsid w:val="005C53B5"/>
    <w:rsid w:val="005C7242"/>
    <w:rsid w:val="005D10B3"/>
    <w:rsid w:val="005D190A"/>
    <w:rsid w:val="005D1CCA"/>
    <w:rsid w:val="005D270E"/>
    <w:rsid w:val="005D47C0"/>
    <w:rsid w:val="005D5219"/>
    <w:rsid w:val="005D6D4F"/>
    <w:rsid w:val="005E1B04"/>
    <w:rsid w:val="005E1F0F"/>
    <w:rsid w:val="005E2A82"/>
    <w:rsid w:val="005E4E52"/>
    <w:rsid w:val="005E5E65"/>
    <w:rsid w:val="005E64C3"/>
    <w:rsid w:val="005E7C69"/>
    <w:rsid w:val="005F1CF0"/>
    <w:rsid w:val="005F21A3"/>
    <w:rsid w:val="005F3EEC"/>
    <w:rsid w:val="005F4BDF"/>
    <w:rsid w:val="005F66C3"/>
    <w:rsid w:val="005F7213"/>
    <w:rsid w:val="005F7F57"/>
    <w:rsid w:val="006000A8"/>
    <w:rsid w:val="00601D7E"/>
    <w:rsid w:val="00603278"/>
    <w:rsid w:val="00604208"/>
    <w:rsid w:val="0060431A"/>
    <w:rsid w:val="0060617C"/>
    <w:rsid w:val="00606989"/>
    <w:rsid w:val="0060704E"/>
    <w:rsid w:val="006070D4"/>
    <w:rsid w:val="006118BC"/>
    <w:rsid w:val="0061297C"/>
    <w:rsid w:val="0061501B"/>
    <w:rsid w:val="00616AD3"/>
    <w:rsid w:val="00616B11"/>
    <w:rsid w:val="00624EBF"/>
    <w:rsid w:val="00630FF2"/>
    <w:rsid w:val="00631379"/>
    <w:rsid w:val="0063231F"/>
    <w:rsid w:val="006323F4"/>
    <w:rsid w:val="00636733"/>
    <w:rsid w:val="00637652"/>
    <w:rsid w:val="006377A7"/>
    <w:rsid w:val="006377D9"/>
    <w:rsid w:val="00637B6B"/>
    <w:rsid w:val="00642C1A"/>
    <w:rsid w:val="006448C2"/>
    <w:rsid w:val="00645500"/>
    <w:rsid w:val="0064570C"/>
    <w:rsid w:val="00645E7D"/>
    <w:rsid w:val="00646514"/>
    <w:rsid w:val="00646627"/>
    <w:rsid w:val="00650632"/>
    <w:rsid w:val="00650DE6"/>
    <w:rsid w:val="00652C34"/>
    <w:rsid w:val="0065494A"/>
    <w:rsid w:val="00657924"/>
    <w:rsid w:val="00660948"/>
    <w:rsid w:val="0066176B"/>
    <w:rsid w:val="0066705B"/>
    <w:rsid w:val="00670CDF"/>
    <w:rsid w:val="006760F3"/>
    <w:rsid w:val="00676ECF"/>
    <w:rsid w:val="0068058B"/>
    <w:rsid w:val="00683B5E"/>
    <w:rsid w:val="00684947"/>
    <w:rsid w:val="00684D8D"/>
    <w:rsid w:val="00685894"/>
    <w:rsid w:val="00686944"/>
    <w:rsid w:val="00687379"/>
    <w:rsid w:val="00690277"/>
    <w:rsid w:val="0069092A"/>
    <w:rsid w:val="00690FB7"/>
    <w:rsid w:val="0069202E"/>
    <w:rsid w:val="006921D4"/>
    <w:rsid w:val="00693CE2"/>
    <w:rsid w:val="006940E4"/>
    <w:rsid w:val="00695126"/>
    <w:rsid w:val="00695F74"/>
    <w:rsid w:val="00696562"/>
    <w:rsid w:val="00696B94"/>
    <w:rsid w:val="006A1929"/>
    <w:rsid w:val="006A581E"/>
    <w:rsid w:val="006A7180"/>
    <w:rsid w:val="006A7DD5"/>
    <w:rsid w:val="006B0439"/>
    <w:rsid w:val="006B06B3"/>
    <w:rsid w:val="006B3B13"/>
    <w:rsid w:val="006B4C51"/>
    <w:rsid w:val="006B4F57"/>
    <w:rsid w:val="006B5E5C"/>
    <w:rsid w:val="006B6FB6"/>
    <w:rsid w:val="006B7633"/>
    <w:rsid w:val="006C32E4"/>
    <w:rsid w:val="006C3BF4"/>
    <w:rsid w:val="006C41E7"/>
    <w:rsid w:val="006C41F8"/>
    <w:rsid w:val="006C482C"/>
    <w:rsid w:val="006C578C"/>
    <w:rsid w:val="006C5E95"/>
    <w:rsid w:val="006C7066"/>
    <w:rsid w:val="006C7556"/>
    <w:rsid w:val="006D0540"/>
    <w:rsid w:val="006D0E3E"/>
    <w:rsid w:val="006D12D5"/>
    <w:rsid w:val="006D14CF"/>
    <w:rsid w:val="006E0877"/>
    <w:rsid w:val="006E1594"/>
    <w:rsid w:val="006E2F97"/>
    <w:rsid w:val="006E53C3"/>
    <w:rsid w:val="006E60F3"/>
    <w:rsid w:val="006F06C1"/>
    <w:rsid w:val="006F1D94"/>
    <w:rsid w:val="006F36DD"/>
    <w:rsid w:val="006F374B"/>
    <w:rsid w:val="006F37C7"/>
    <w:rsid w:val="006F4A0C"/>
    <w:rsid w:val="006F4C0C"/>
    <w:rsid w:val="006F5347"/>
    <w:rsid w:val="006F5ABA"/>
    <w:rsid w:val="006F6FC8"/>
    <w:rsid w:val="00700741"/>
    <w:rsid w:val="00702941"/>
    <w:rsid w:val="00703EF0"/>
    <w:rsid w:val="00706051"/>
    <w:rsid w:val="0070642A"/>
    <w:rsid w:val="007078C8"/>
    <w:rsid w:val="00707FF7"/>
    <w:rsid w:val="00710502"/>
    <w:rsid w:val="00710AE2"/>
    <w:rsid w:val="0071165A"/>
    <w:rsid w:val="007124AD"/>
    <w:rsid w:val="0071669A"/>
    <w:rsid w:val="007176AE"/>
    <w:rsid w:val="00720D31"/>
    <w:rsid w:val="007211EA"/>
    <w:rsid w:val="00721717"/>
    <w:rsid w:val="0072285D"/>
    <w:rsid w:val="00722F7D"/>
    <w:rsid w:val="00723EAF"/>
    <w:rsid w:val="00724F24"/>
    <w:rsid w:val="00725323"/>
    <w:rsid w:val="00725BD7"/>
    <w:rsid w:val="00725C38"/>
    <w:rsid w:val="00725FDD"/>
    <w:rsid w:val="007268CB"/>
    <w:rsid w:val="00727A87"/>
    <w:rsid w:val="00727F22"/>
    <w:rsid w:val="0073129F"/>
    <w:rsid w:val="0073258B"/>
    <w:rsid w:val="00733849"/>
    <w:rsid w:val="007342D1"/>
    <w:rsid w:val="007348EF"/>
    <w:rsid w:val="007354F7"/>
    <w:rsid w:val="00735BE1"/>
    <w:rsid w:val="00740652"/>
    <w:rsid w:val="007409B1"/>
    <w:rsid w:val="007413FC"/>
    <w:rsid w:val="00741767"/>
    <w:rsid w:val="007417C7"/>
    <w:rsid w:val="00742251"/>
    <w:rsid w:val="0074263D"/>
    <w:rsid w:val="00742D4B"/>
    <w:rsid w:val="00742F74"/>
    <w:rsid w:val="00743027"/>
    <w:rsid w:val="00743D68"/>
    <w:rsid w:val="007447A1"/>
    <w:rsid w:val="00744FFA"/>
    <w:rsid w:val="00747A8F"/>
    <w:rsid w:val="007500AE"/>
    <w:rsid w:val="0075042C"/>
    <w:rsid w:val="00751F3E"/>
    <w:rsid w:val="00753380"/>
    <w:rsid w:val="007536A3"/>
    <w:rsid w:val="00755CC6"/>
    <w:rsid w:val="0076161D"/>
    <w:rsid w:val="00761C09"/>
    <w:rsid w:val="007624EA"/>
    <w:rsid w:val="00765412"/>
    <w:rsid w:val="00765C58"/>
    <w:rsid w:val="00771257"/>
    <w:rsid w:val="00773A39"/>
    <w:rsid w:val="007741CA"/>
    <w:rsid w:val="0077528D"/>
    <w:rsid w:val="00776530"/>
    <w:rsid w:val="00780268"/>
    <w:rsid w:val="00780DBE"/>
    <w:rsid w:val="0078254E"/>
    <w:rsid w:val="0078301E"/>
    <w:rsid w:val="00785C2B"/>
    <w:rsid w:val="00786074"/>
    <w:rsid w:val="007900F3"/>
    <w:rsid w:val="00792635"/>
    <w:rsid w:val="007931AA"/>
    <w:rsid w:val="007932A3"/>
    <w:rsid w:val="00795B90"/>
    <w:rsid w:val="0079605C"/>
    <w:rsid w:val="007A0A74"/>
    <w:rsid w:val="007A2A2E"/>
    <w:rsid w:val="007A3BD9"/>
    <w:rsid w:val="007A48C9"/>
    <w:rsid w:val="007A4C12"/>
    <w:rsid w:val="007A63B3"/>
    <w:rsid w:val="007A7268"/>
    <w:rsid w:val="007B0346"/>
    <w:rsid w:val="007B1202"/>
    <w:rsid w:val="007B1853"/>
    <w:rsid w:val="007B22DD"/>
    <w:rsid w:val="007B2CA3"/>
    <w:rsid w:val="007B360F"/>
    <w:rsid w:val="007B4607"/>
    <w:rsid w:val="007B4B9D"/>
    <w:rsid w:val="007C02D2"/>
    <w:rsid w:val="007C0418"/>
    <w:rsid w:val="007C182F"/>
    <w:rsid w:val="007C1A22"/>
    <w:rsid w:val="007C1F09"/>
    <w:rsid w:val="007C2721"/>
    <w:rsid w:val="007C3793"/>
    <w:rsid w:val="007C5908"/>
    <w:rsid w:val="007C622F"/>
    <w:rsid w:val="007C7196"/>
    <w:rsid w:val="007C77CA"/>
    <w:rsid w:val="007D05C8"/>
    <w:rsid w:val="007D0D55"/>
    <w:rsid w:val="007D223B"/>
    <w:rsid w:val="007D2B8E"/>
    <w:rsid w:val="007D3303"/>
    <w:rsid w:val="007D403F"/>
    <w:rsid w:val="007D5006"/>
    <w:rsid w:val="007D57BF"/>
    <w:rsid w:val="007D5D78"/>
    <w:rsid w:val="007D6949"/>
    <w:rsid w:val="007D7C13"/>
    <w:rsid w:val="007E0944"/>
    <w:rsid w:val="007E1165"/>
    <w:rsid w:val="007E1854"/>
    <w:rsid w:val="007E33FF"/>
    <w:rsid w:val="007E553D"/>
    <w:rsid w:val="007E6D13"/>
    <w:rsid w:val="007F0A60"/>
    <w:rsid w:val="007F1294"/>
    <w:rsid w:val="007F1FB4"/>
    <w:rsid w:val="007F27BE"/>
    <w:rsid w:val="007F2AB8"/>
    <w:rsid w:val="007F3674"/>
    <w:rsid w:val="007F3C4E"/>
    <w:rsid w:val="007F5D06"/>
    <w:rsid w:val="007F6C5F"/>
    <w:rsid w:val="007F6D3A"/>
    <w:rsid w:val="0080068F"/>
    <w:rsid w:val="0080082A"/>
    <w:rsid w:val="00802F88"/>
    <w:rsid w:val="00805F66"/>
    <w:rsid w:val="00807A68"/>
    <w:rsid w:val="00807F73"/>
    <w:rsid w:val="00810438"/>
    <w:rsid w:val="00811765"/>
    <w:rsid w:val="0081201B"/>
    <w:rsid w:val="00813697"/>
    <w:rsid w:val="008152E0"/>
    <w:rsid w:val="00815B1B"/>
    <w:rsid w:val="00815DBA"/>
    <w:rsid w:val="008179A2"/>
    <w:rsid w:val="00817A8C"/>
    <w:rsid w:val="00821CBE"/>
    <w:rsid w:val="008239F8"/>
    <w:rsid w:val="00823E4C"/>
    <w:rsid w:val="008271B6"/>
    <w:rsid w:val="00830170"/>
    <w:rsid w:val="00830429"/>
    <w:rsid w:val="00831201"/>
    <w:rsid w:val="008317CF"/>
    <w:rsid w:val="00831856"/>
    <w:rsid w:val="008338AF"/>
    <w:rsid w:val="00834027"/>
    <w:rsid w:val="0083442D"/>
    <w:rsid w:val="00835D7C"/>
    <w:rsid w:val="008378EC"/>
    <w:rsid w:val="0083791D"/>
    <w:rsid w:val="00840D15"/>
    <w:rsid w:val="00842470"/>
    <w:rsid w:val="008449A3"/>
    <w:rsid w:val="008450CD"/>
    <w:rsid w:val="00845569"/>
    <w:rsid w:val="008505B5"/>
    <w:rsid w:val="00850D93"/>
    <w:rsid w:val="0085174A"/>
    <w:rsid w:val="00851821"/>
    <w:rsid w:val="00852475"/>
    <w:rsid w:val="008534F9"/>
    <w:rsid w:val="00853D28"/>
    <w:rsid w:val="00854953"/>
    <w:rsid w:val="00855388"/>
    <w:rsid w:val="00857CE7"/>
    <w:rsid w:val="00860F93"/>
    <w:rsid w:val="00861C60"/>
    <w:rsid w:val="00862511"/>
    <w:rsid w:val="008636B6"/>
    <w:rsid w:val="00863A22"/>
    <w:rsid w:val="00863D65"/>
    <w:rsid w:val="00863E57"/>
    <w:rsid w:val="00864708"/>
    <w:rsid w:val="00864D83"/>
    <w:rsid w:val="00865620"/>
    <w:rsid w:val="008658DB"/>
    <w:rsid w:val="0086656E"/>
    <w:rsid w:val="00866BA8"/>
    <w:rsid w:val="00866D14"/>
    <w:rsid w:val="00866F88"/>
    <w:rsid w:val="008713D4"/>
    <w:rsid w:val="00873B0B"/>
    <w:rsid w:val="00881B66"/>
    <w:rsid w:val="0088300B"/>
    <w:rsid w:val="00885FEE"/>
    <w:rsid w:val="0088620D"/>
    <w:rsid w:val="00890689"/>
    <w:rsid w:val="00890D0D"/>
    <w:rsid w:val="0089143F"/>
    <w:rsid w:val="00891902"/>
    <w:rsid w:val="00891F64"/>
    <w:rsid w:val="008924C2"/>
    <w:rsid w:val="0089580D"/>
    <w:rsid w:val="00895929"/>
    <w:rsid w:val="00897574"/>
    <w:rsid w:val="008A18CE"/>
    <w:rsid w:val="008A1E49"/>
    <w:rsid w:val="008A225B"/>
    <w:rsid w:val="008A2D0E"/>
    <w:rsid w:val="008A47E0"/>
    <w:rsid w:val="008A5205"/>
    <w:rsid w:val="008A5C80"/>
    <w:rsid w:val="008A70A1"/>
    <w:rsid w:val="008B2353"/>
    <w:rsid w:val="008B23E0"/>
    <w:rsid w:val="008B345B"/>
    <w:rsid w:val="008B4D02"/>
    <w:rsid w:val="008B51D6"/>
    <w:rsid w:val="008B5920"/>
    <w:rsid w:val="008B5BE0"/>
    <w:rsid w:val="008B6170"/>
    <w:rsid w:val="008B6213"/>
    <w:rsid w:val="008B6C75"/>
    <w:rsid w:val="008C0874"/>
    <w:rsid w:val="008C2B96"/>
    <w:rsid w:val="008C2D21"/>
    <w:rsid w:val="008C4041"/>
    <w:rsid w:val="008C56B0"/>
    <w:rsid w:val="008C6353"/>
    <w:rsid w:val="008C75B6"/>
    <w:rsid w:val="008C7BB9"/>
    <w:rsid w:val="008D0EB8"/>
    <w:rsid w:val="008D144F"/>
    <w:rsid w:val="008D2F80"/>
    <w:rsid w:val="008D33BF"/>
    <w:rsid w:val="008D4B7E"/>
    <w:rsid w:val="008D68F1"/>
    <w:rsid w:val="008D7324"/>
    <w:rsid w:val="008E039E"/>
    <w:rsid w:val="008E1921"/>
    <w:rsid w:val="008E1E49"/>
    <w:rsid w:val="008E1F26"/>
    <w:rsid w:val="008E39DD"/>
    <w:rsid w:val="008E4114"/>
    <w:rsid w:val="008E438C"/>
    <w:rsid w:val="008E48BC"/>
    <w:rsid w:val="008E4ED9"/>
    <w:rsid w:val="008E56E6"/>
    <w:rsid w:val="008E6825"/>
    <w:rsid w:val="008E71C3"/>
    <w:rsid w:val="008F1122"/>
    <w:rsid w:val="008F29E3"/>
    <w:rsid w:val="008F3330"/>
    <w:rsid w:val="008F376D"/>
    <w:rsid w:val="008F3B24"/>
    <w:rsid w:val="008F3D1C"/>
    <w:rsid w:val="008F4510"/>
    <w:rsid w:val="00901D29"/>
    <w:rsid w:val="00903C92"/>
    <w:rsid w:val="009040AF"/>
    <w:rsid w:val="00905052"/>
    <w:rsid w:val="0090771D"/>
    <w:rsid w:val="009105FD"/>
    <w:rsid w:val="0091510A"/>
    <w:rsid w:val="00915214"/>
    <w:rsid w:val="00920B10"/>
    <w:rsid w:val="009213A2"/>
    <w:rsid w:val="0092247A"/>
    <w:rsid w:val="00922FBE"/>
    <w:rsid w:val="009266EA"/>
    <w:rsid w:val="00926F6E"/>
    <w:rsid w:val="00927898"/>
    <w:rsid w:val="00932359"/>
    <w:rsid w:val="0093353D"/>
    <w:rsid w:val="009335BD"/>
    <w:rsid w:val="00935B3A"/>
    <w:rsid w:val="00935F9E"/>
    <w:rsid w:val="009365FD"/>
    <w:rsid w:val="00936ABF"/>
    <w:rsid w:val="00936D65"/>
    <w:rsid w:val="00942041"/>
    <w:rsid w:val="00943011"/>
    <w:rsid w:val="009437FB"/>
    <w:rsid w:val="00944D8C"/>
    <w:rsid w:val="00946569"/>
    <w:rsid w:val="009474E5"/>
    <w:rsid w:val="009520D1"/>
    <w:rsid w:val="0095319D"/>
    <w:rsid w:val="00960B8C"/>
    <w:rsid w:val="00961A71"/>
    <w:rsid w:val="009647A5"/>
    <w:rsid w:val="00964D7C"/>
    <w:rsid w:val="00965018"/>
    <w:rsid w:val="00966A28"/>
    <w:rsid w:val="00966A96"/>
    <w:rsid w:val="00966F41"/>
    <w:rsid w:val="0097356E"/>
    <w:rsid w:val="009735CD"/>
    <w:rsid w:val="00973EE1"/>
    <w:rsid w:val="00975A8C"/>
    <w:rsid w:val="00980C68"/>
    <w:rsid w:val="0098370B"/>
    <w:rsid w:val="0098420B"/>
    <w:rsid w:val="009860CB"/>
    <w:rsid w:val="00990624"/>
    <w:rsid w:val="00992773"/>
    <w:rsid w:val="009938A1"/>
    <w:rsid w:val="009947E7"/>
    <w:rsid w:val="00995970"/>
    <w:rsid w:val="009959BA"/>
    <w:rsid w:val="00995B9C"/>
    <w:rsid w:val="009A14F7"/>
    <w:rsid w:val="009A25DA"/>
    <w:rsid w:val="009A2DE8"/>
    <w:rsid w:val="009A3EBB"/>
    <w:rsid w:val="009A4760"/>
    <w:rsid w:val="009A60C6"/>
    <w:rsid w:val="009B082C"/>
    <w:rsid w:val="009B32CD"/>
    <w:rsid w:val="009B4A79"/>
    <w:rsid w:val="009B6339"/>
    <w:rsid w:val="009B6F17"/>
    <w:rsid w:val="009C144C"/>
    <w:rsid w:val="009C14B9"/>
    <w:rsid w:val="009C382F"/>
    <w:rsid w:val="009C48EF"/>
    <w:rsid w:val="009C51AC"/>
    <w:rsid w:val="009C540B"/>
    <w:rsid w:val="009C6A5A"/>
    <w:rsid w:val="009C758D"/>
    <w:rsid w:val="009C7976"/>
    <w:rsid w:val="009D0963"/>
    <w:rsid w:val="009D212D"/>
    <w:rsid w:val="009D5655"/>
    <w:rsid w:val="009D57BC"/>
    <w:rsid w:val="009D5D22"/>
    <w:rsid w:val="009D7122"/>
    <w:rsid w:val="009D7B39"/>
    <w:rsid w:val="009E0954"/>
    <w:rsid w:val="009E3018"/>
    <w:rsid w:val="009E413E"/>
    <w:rsid w:val="009E4E99"/>
    <w:rsid w:val="009E6D81"/>
    <w:rsid w:val="009F00A0"/>
    <w:rsid w:val="009F0631"/>
    <w:rsid w:val="009F234D"/>
    <w:rsid w:val="009F3449"/>
    <w:rsid w:val="009F364F"/>
    <w:rsid w:val="009F394A"/>
    <w:rsid w:val="009F3D3B"/>
    <w:rsid w:val="009F4A0A"/>
    <w:rsid w:val="009F7A48"/>
    <w:rsid w:val="00A0069E"/>
    <w:rsid w:val="00A02A5B"/>
    <w:rsid w:val="00A02C63"/>
    <w:rsid w:val="00A05189"/>
    <w:rsid w:val="00A10363"/>
    <w:rsid w:val="00A12C06"/>
    <w:rsid w:val="00A12DA9"/>
    <w:rsid w:val="00A13305"/>
    <w:rsid w:val="00A14A46"/>
    <w:rsid w:val="00A14ADB"/>
    <w:rsid w:val="00A16220"/>
    <w:rsid w:val="00A1654F"/>
    <w:rsid w:val="00A219E1"/>
    <w:rsid w:val="00A225D7"/>
    <w:rsid w:val="00A23389"/>
    <w:rsid w:val="00A25832"/>
    <w:rsid w:val="00A25A7C"/>
    <w:rsid w:val="00A267E6"/>
    <w:rsid w:val="00A26BD2"/>
    <w:rsid w:val="00A27021"/>
    <w:rsid w:val="00A2762B"/>
    <w:rsid w:val="00A31012"/>
    <w:rsid w:val="00A34D17"/>
    <w:rsid w:val="00A352A1"/>
    <w:rsid w:val="00A35BD6"/>
    <w:rsid w:val="00A3629B"/>
    <w:rsid w:val="00A37CDD"/>
    <w:rsid w:val="00A40FEE"/>
    <w:rsid w:val="00A420F6"/>
    <w:rsid w:val="00A42643"/>
    <w:rsid w:val="00A427CE"/>
    <w:rsid w:val="00A43C35"/>
    <w:rsid w:val="00A44895"/>
    <w:rsid w:val="00A46B6A"/>
    <w:rsid w:val="00A51297"/>
    <w:rsid w:val="00A51A5D"/>
    <w:rsid w:val="00A52A05"/>
    <w:rsid w:val="00A5338B"/>
    <w:rsid w:val="00A54FF1"/>
    <w:rsid w:val="00A57416"/>
    <w:rsid w:val="00A57CB9"/>
    <w:rsid w:val="00A60A45"/>
    <w:rsid w:val="00A619F4"/>
    <w:rsid w:val="00A621E6"/>
    <w:rsid w:val="00A639D6"/>
    <w:rsid w:val="00A64421"/>
    <w:rsid w:val="00A659CD"/>
    <w:rsid w:val="00A66F0F"/>
    <w:rsid w:val="00A70412"/>
    <w:rsid w:val="00A733A7"/>
    <w:rsid w:val="00A73CD0"/>
    <w:rsid w:val="00A75350"/>
    <w:rsid w:val="00A75598"/>
    <w:rsid w:val="00A75B99"/>
    <w:rsid w:val="00A76733"/>
    <w:rsid w:val="00A77412"/>
    <w:rsid w:val="00A818F9"/>
    <w:rsid w:val="00A82F7E"/>
    <w:rsid w:val="00A8593E"/>
    <w:rsid w:val="00A85CA3"/>
    <w:rsid w:val="00A93A1F"/>
    <w:rsid w:val="00A968EB"/>
    <w:rsid w:val="00A975AA"/>
    <w:rsid w:val="00AA14CC"/>
    <w:rsid w:val="00AA1EA3"/>
    <w:rsid w:val="00AA42C3"/>
    <w:rsid w:val="00AA462D"/>
    <w:rsid w:val="00AA4EB1"/>
    <w:rsid w:val="00AA799C"/>
    <w:rsid w:val="00AB058A"/>
    <w:rsid w:val="00AB0DCE"/>
    <w:rsid w:val="00AB12D4"/>
    <w:rsid w:val="00AB231D"/>
    <w:rsid w:val="00AB277F"/>
    <w:rsid w:val="00AB369C"/>
    <w:rsid w:val="00AB3EE2"/>
    <w:rsid w:val="00AB5653"/>
    <w:rsid w:val="00AB6E5E"/>
    <w:rsid w:val="00AB715E"/>
    <w:rsid w:val="00AB7440"/>
    <w:rsid w:val="00AB7FB9"/>
    <w:rsid w:val="00AC0F71"/>
    <w:rsid w:val="00AC1977"/>
    <w:rsid w:val="00AC3484"/>
    <w:rsid w:val="00AC3B0E"/>
    <w:rsid w:val="00AC3C66"/>
    <w:rsid w:val="00AC3DF8"/>
    <w:rsid w:val="00AC715D"/>
    <w:rsid w:val="00AC717C"/>
    <w:rsid w:val="00AC7A4B"/>
    <w:rsid w:val="00AC7BBA"/>
    <w:rsid w:val="00AC7F40"/>
    <w:rsid w:val="00AD145D"/>
    <w:rsid w:val="00AD1688"/>
    <w:rsid w:val="00AD1B68"/>
    <w:rsid w:val="00AD22BE"/>
    <w:rsid w:val="00AD2306"/>
    <w:rsid w:val="00AD3CE8"/>
    <w:rsid w:val="00AD5134"/>
    <w:rsid w:val="00AD6B52"/>
    <w:rsid w:val="00AE092A"/>
    <w:rsid w:val="00AE178A"/>
    <w:rsid w:val="00AE38A6"/>
    <w:rsid w:val="00AE50A6"/>
    <w:rsid w:val="00AE5247"/>
    <w:rsid w:val="00AE7A3D"/>
    <w:rsid w:val="00AF0F9F"/>
    <w:rsid w:val="00AF1501"/>
    <w:rsid w:val="00AF1AC2"/>
    <w:rsid w:val="00AF233F"/>
    <w:rsid w:val="00AF3963"/>
    <w:rsid w:val="00AF442F"/>
    <w:rsid w:val="00AF4819"/>
    <w:rsid w:val="00AF49A5"/>
    <w:rsid w:val="00AF7F7F"/>
    <w:rsid w:val="00B001E6"/>
    <w:rsid w:val="00B00CC5"/>
    <w:rsid w:val="00B02595"/>
    <w:rsid w:val="00B02C74"/>
    <w:rsid w:val="00B037E4"/>
    <w:rsid w:val="00B03A9B"/>
    <w:rsid w:val="00B0560F"/>
    <w:rsid w:val="00B07114"/>
    <w:rsid w:val="00B07F81"/>
    <w:rsid w:val="00B12B9B"/>
    <w:rsid w:val="00B13108"/>
    <w:rsid w:val="00B1399C"/>
    <w:rsid w:val="00B13C5B"/>
    <w:rsid w:val="00B1407C"/>
    <w:rsid w:val="00B1477C"/>
    <w:rsid w:val="00B1563D"/>
    <w:rsid w:val="00B172B7"/>
    <w:rsid w:val="00B17CAF"/>
    <w:rsid w:val="00B21438"/>
    <w:rsid w:val="00B21C26"/>
    <w:rsid w:val="00B21DA7"/>
    <w:rsid w:val="00B2340F"/>
    <w:rsid w:val="00B23985"/>
    <w:rsid w:val="00B23AC5"/>
    <w:rsid w:val="00B23D5F"/>
    <w:rsid w:val="00B24578"/>
    <w:rsid w:val="00B24728"/>
    <w:rsid w:val="00B25C69"/>
    <w:rsid w:val="00B25D22"/>
    <w:rsid w:val="00B301B3"/>
    <w:rsid w:val="00B313D7"/>
    <w:rsid w:val="00B33767"/>
    <w:rsid w:val="00B33B2D"/>
    <w:rsid w:val="00B34D40"/>
    <w:rsid w:val="00B355F4"/>
    <w:rsid w:val="00B35E40"/>
    <w:rsid w:val="00B361AE"/>
    <w:rsid w:val="00B365E2"/>
    <w:rsid w:val="00B368C8"/>
    <w:rsid w:val="00B40937"/>
    <w:rsid w:val="00B40E1E"/>
    <w:rsid w:val="00B4247C"/>
    <w:rsid w:val="00B46DFF"/>
    <w:rsid w:val="00B50FF9"/>
    <w:rsid w:val="00B51603"/>
    <w:rsid w:val="00B53493"/>
    <w:rsid w:val="00B55258"/>
    <w:rsid w:val="00B5574D"/>
    <w:rsid w:val="00B559DC"/>
    <w:rsid w:val="00B5650E"/>
    <w:rsid w:val="00B60C89"/>
    <w:rsid w:val="00B62A5A"/>
    <w:rsid w:val="00B63681"/>
    <w:rsid w:val="00B63773"/>
    <w:rsid w:val="00B63862"/>
    <w:rsid w:val="00B64660"/>
    <w:rsid w:val="00B64D5D"/>
    <w:rsid w:val="00B66DC9"/>
    <w:rsid w:val="00B66E57"/>
    <w:rsid w:val="00B71DEB"/>
    <w:rsid w:val="00B720BE"/>
    <w:rsid w:val="00B72339"/>
    <w:rsid w:val="00B724E1"/>
    <w:rsid w:val="00B72944"/>
    <w:rsid w:val="00B72E43"/>
    <w:rsid w:val="00B747FC"/>
    <w:rsid w:val="00B76BC9"/>
    <w:rsid w:val="00B76DB3"/>
    <w:rsid w:val="00B776E4"/>
    <w:rsid w:val="00B80E31"/>
    <w:rsid w:val="00B8289B"/>
    <w:rsid w:val="00B830FE"/>
    <w:rsid w:val="00B83C22"/>
    <w:rsid w:val="00B8414B"/>
    <w:rsid w:val="00B84CBE"/>
    <w:rsid w:val="00B85FD7"/>
    <w:rsid w:val="00B860F7"/>
    <w:rsid w:val="00B870D8"/>
    <w:rsid w:val="00B8755C"/>
    <w:rsid w:val="00B904FD"/>
    <w:rsid w:val="00B90509"/>
    <w:rsid w:val="00B91BEC"/>
    <w:rsid w:val="00B9430F"/>
    <w:rsid w:val="00B94F12"/>
    <w:rsid w:val="00BA101B"/>
    <w:rsid w:val="00BA268F"/>
    <w:rsid w:val="00BA3121"/>
    <w:rsid w:val="00BA332F"/>
    <w:rsid w:val="00BA412C"/>
    <w:rsid w:val="00BA5BC8"/>
    <w:rsid w:val="00BA5D11"/>
    <w:rsid w:val="00BA5DB1"/>
    <w:rsid w:val="00BA6411"/>
    <w:rsid w:val="00BA6B9B"/>
    <w:rsid w:val="00BA76C1"/>
    <w:rsid w:val="00BB1F4F"/>
    <w:rsid w:val="00BB2120"/>
    <w:rsid w:val="00BB21B3"/>
    <w:rsid w:val="00BB295B"/>
    <w:rsid w:val="00BB319A"/>
    <w:rsid w:val="00BB36F2"/>
    <w:rsid w:val="00BB3C8B"/>
    <w:rsid w:val="00BB5891"/>
    <w:rsid w:val="00BB5DF7"/>
    <w:rsid w:val="00BB62FB"/>
    <w:rsid w:val="00BC0C4C"/>
    <w:rsid w:val="00BC48F0"/>
    <w:rsid w:val="00BC4D93"/>
    <w:rsid w:val="00BC5327"/>
    <w:rsid w:val="00BC6B56"/>
    <w:rsid w:val="00BC7460"/>
    <w:rsid w:val="00BD1ACC"/>
    <w:rsid w:val="00BD777D"/>
    <w:rsid w:val="00BE028F"/>
    <w:rsid w:val="00BE09E9"/>
    <w:rsid w:val="00BE1B06"/>
    <w:rsid w:val="00BE2375"/>
    <w:rsid w:val="00BE24BF"/>
    <w:rsid w:val="00BE3CFD"/>
    <w:rsid w:val="00BE4918"/>
    <w:rsid w:val="00BE5E62"/>
    <w:rsid w:val="00BE65B6"/>
    <w:rsid w:val="00BE6E6C"/>
    <w:rsid w:val="00BE70FB"/>
    <w:rsid w:val="00BE714E"/>
    <w:rsid w:val="00BE7410"/>
    <w:rsid w:val="00BF05DD"/>
    <w:rsid w:val="00BF082F"/>
    <w:rsid w:val="00BF0D85"/>
    <w:rsid w:val="00BF1365"/>
    <w:rsid w:val="00BF2473"/>
    <w:rsid w:val="00BF47DA"/>
    <w:rsid w:val="00C060DD"/>
    <w:rsid w:val="00C06F3D"/>
    <w:rsid w:val="00C101C2"/>
    <w:rsid w:val="00C10BCE"/>
    <w:rsid w:val="00C13D62"/>
    <w:rsid w:val="00C166C1"/>
    <w:rsid w:val="00C17111"/>
    <w:rsid w:val="00C17A5B"/>
    <w:rsid w:val="00C17CAB"/>
    <w:rsid w:val="00C20A24"/>
    <w:rsid w:val="00C24144"/>
    <w:rsid w:val="00C2486C"/>
    <w:rsid w:val="00C24A80"/>
    <w:rsid w:val="00C24E8A"/>
    <w:rsid w:val="00C255ED"/>
    <w:rsid w:val="00C263D9"/>
    <w:rsid w:val="00C26C55"/>
    <w:rsid w:val="00C319F0"/>
    <w:rsid w:val="00C31A29"/>
    <w:rsid w:val="00C32038"/>
    <w:rsid w:val="00C32397"/>
    <w:rsid w:val="00C32A47"/>
    <w:rsid w:val="00C32B85"/>
    <w:rsid w:val="00C35504"/>
    <w:rsid w:val="00C36335"/>
    <w:rsid w:val="00C363C0"/>
    <w:rsid w:val="00C36A83"/>
    <w:rsid w:val="00C36D02"/>
    <w:rsid w:val="00C372F1"/>
    <w:rsid w:val="00C37409"/>
    <w:rsid w:val="00C37983"/>
    <w:rsid w:val="00C40B08"/>
    <w:rsid w:val="00C44380"/>
    <w:rsid w:val="00C44772"/>
    <w:rsid w:val="00C45ED6"/>
    <w:rsid w:val="00C46987"/>
    <w:rsid w:val="00C50430"/>
    <w:rsid w:val="00C51AF1"/>
    <w:rsid w:val="00C51F51"/>
    <w:rsid w:val="00C540F8"/>
    <w:rsid w:val="00C544E8"/>
    <w:rsid w:val="00C553C4"/>
    <w:rsid w:val="00C56FA7"/>
    <w:rsid w:val="00C617DE"/>
    <w:rsid w:val="00C61E28"/>
    <w:rsid w:val="00C65C3D"/>
    <w:rsid w:val="00C66A6A"/>
    <w:rsid w:val="00C66E19"/>
    <w:rsid w:val="00C671FA"/>
    <w:rsid w:val="00C67D8F"/>
    <w:rsid w:val="00C718C6"/>
    <w:rsid w:val="00C7269D"/>
    <w:rsid w:val="00C73B5A"/>
    <w:rsid w:val="00C74875"/>
    <w:rsid w:val="00C75C1E"/>
    <w:rsid w:val="00C7653E"/>
    <w:rsid w:val="00C80741"/>
    <w:rsid w:val="00C834ED"/>
    <w:rsid w:val="00C83A61"/>
    <w:rsid w:val="00C84FA9"/>
    <w:rsid w:val="00C85A6D"/>
    <w:rsid w:val="00C8797E"/>
    <w:rsid w:val="00C919EE"/>
    <w:rsid w:val="00C92822"/>
    <w:rsid w:val="00C93D7B"/>
    <w:rsid w:val="00C94645"/>
    <w:rsid w:val="00C94DEF"/>
    <w:rsid w:val="00C962F0"/>
    <w:rsid w:val="00CA02C4"/>
    <w:rsid w:val="00CA0D0B"/>
    <w:rsid w:val="00CA1661"/>
    <w:rsid w:val="00CA1DF5"/>
    <w:rsid w:val="00CA57B3"/>
    <w:rsid w:val="00CA684F"/>
    <w:rsid w:val="00CB16AF"/>
    <w:rsid w:val="00CB16C0"/>
    <w:rsid w:val="00CB5859"/>
    <w:rsid w:val="00CC07D3"/>
    <w:rsid w:val="00CC25F6"/>
    <w:rsid w:val="00CC39A1"/>
    <w:rsid w:val="00CC446C"/>
    <w:rsid w:val="00CC4B8D"/>
    <w:rsid w:val="00CC5212"/>
    <w:rsid w:val="00CC68F1"/>
    <w:rsid w:val="00CC6EAF"/>
    <w:rsid w:val="00CC6F7B"/>
    <w:rsid w:val="00CD016F"/>
    <w:rsid w:val="00CD0B85"/>
    <w:rsid w:val="00CD0F4D"/>
    <w:rsid w:val="00CD25C0"/>
    <w:rsid w:val="00CD2A1B"/>
    <w:rsid w:val="00CD3147"/>
    <w:rsid w:val="00CD3248"/>
    <w:rsid w:val="00CD6232"/>
    <w:rsid w:val="00CE015F"/>
    <w:rsid w:val="00CE30DB"/>
    <w:rsid w:val="00CE5D3B"/>
    <w:rsid w:val="00CE5F52"/>
    <w:rsid w:val="00CE6012"/>
    <w:rsid w:val="00CF02F1"/>
    <w:rsid w:val="00CF0844"/>
    <w:rsid w:val="00CF2468"/>
    <w:rsid w:val="00CF2604"/>
    <w:rsid w:val="00CF30C7"/>
    <w:rsid w:val="00CF5E99"/>
    <w:rsid w:val="00CF64C1"/>
    <w:rsid w:val="00CF6AA7"/>
    <w:rsid w:val="00CF6E64"/>
    <w:rsid w:val="00D00EB8"/>
    <w:rsid w:val="00D00FE5"/>
    <w:rsid w:val="00D02737"/>
    <w:rsid w:val="00D02C78"/>
    <w:rsid w:val="00D031C6"/>
    <w:rsid w:val="00D056DF"/>
    <w:rsid w:val="00D069DE"/>
    <w:rsid w:val="00D06B5C"/>
    <w:rsid w:val="00D07B22"/>
    <w:rsid w:val="00D07EB6"/>
    <w:rsid w:val="00D105BF"/>
    <w:rsid w:val="00D10FF5"/>
    <w:rsid w:val="00D1125A"/>
    <w:rsid w:val="00D113C2"/>
    <w:rsid w:val="00D12A16"/>
    <w:rsid w:val="00D13F45"/>
    <w:rsid w:val="00D1628B"/>
    <w:rsid w:val="00D16622"/>
    <w:rsid w:val="00D166FD"/>
    <w:rsid w:val="00D16C88"/>
    <w:rsid w:val="00D21500"/>
    <w:rsid w:val="00D22927"/>
    <w:rsid w:val="00D2370B"/>
    <w:rsid w:val="00D23891"/>
    <w:rsid w:val="00D24DC9"/>
    <w:rsid w:val="00D257B5"/>
    <w:rsid w:val="00D25944"/>
    <w:rsid w:val="00D2708D"/>
    <w:rsid w:val="00D27D45"/>
    <w:rsid w:val="00D30369"/>
    <w:rsid w:val="00D31126"/>
    <w:rsid w:val="00D34306"/>
    <w:rsid w:val="00D34A8E"/>
    <w:rsid w:val="00D36371"/>
    <w:rsid w:val="00D36C99"/>
    <w:rsid w:val="00D40533"/>
    <w:rsid w:val="00D440D8"/>
    <w:rsid w:val="00D44881"/>
    <w:rsid w:val="00D45807"/>
    <w:rsid w:val="00D4630F"/>
    <w:rsid w:val="00D46519"/>
    <w:rsid w:val="00D4664F"/>
    <w:rsid w:val="00D47C5A"/>
    <w:rsid w:val="00D51C9A"/>
    <w:rsid w:val="00D526D9"/>
    <w:rsid w:val="00D52FF0"/>
    <w:rsid w:val="00D53E39"/>
    <w:rsid w:val="00D54492"/>
    <w:rsid w:val="00D54C17"/>
    <w:rsid w:val="00D5556C"/>
    <w:rsid w:val="00D56D8B"/>
    <w:rsid w:val="00D63A71"/>
    <w:rsid w:val="00D67756"/>
    <w:rsid w:val="00D678FE"/>
    <w:rsid w:val="00D67DA2"/>
    <w:rsid w:val="00D70290"/>
    <w:rsid w:val="00D70A43"/>
    <w:rsid w:val="00D70EEA"/>
    <w:rsid w:val="00D710EE"/>
    <w:rsid w:val="00D7298C"/>
    <w:rsid w:val="00D72CB7"/>
    <w:rsid w:val="00D7389F"/>
    <w:rsid w:val="00D75319"/>
    <w:rsid w:val="00D7687C"/>
    <w:rsid w:val="00D826AD"/>
    <w:rsid w:val="00D84694"/>
    <w:rsid w:val="00D84D89"/>
    <w:rsid w:val="00D84ECD"/>
    <w:rsid w:val="00D85B74"/>
    <w:rsid w:val="00D86379"/>
    <w:rsid w:val="00D90D46"/>
    <w:rsid w:val="00D91873"/>
    <w:rsid w:val="00D91F66"/>
    <w:rsid w:val="00D9215D"/>
    <w:rsid w:val="00D9220F"/>
    <w:rsid w:val="00D92468"/>
    <w:rsid w:val="00D926BC"/>
    <w:rsid w:val="00D92B4F"/>
    <w:rsid w:val="00D93A7B"/>
    <w:rsid w:val="00D94E19"/>
    <w:rsid w:val="00D9550E"/>
    <w:rsid w:val="00D95BC2"/>
    <w:rsid w:val="00D963B7"/>
    <w:rsid w:val="00D97DE9"/>
    <w:rsid w:val="00DA008F"/>
    <w:rsid w:val="00DA02A9"/>
    <w:rsid w:val="00DA11A9"/>
    <w:rsid w:val="00DA21ED"/>
    <w:rsid w:val="00DA3948"/>
    <w:rsid w:val="00DA3D6E"/>
    <w:rsid w:val="00DA5CD8"/>
    <w:rsid w:val="00DA6387"/>
    <w:rsid w:val="00DA7908"/>
    <w:rsid w:val="00DB03F4"/>
    <w:rsid w:val="00DB0BE4"/>
    <w:rsid w:val="00DB0F55"/>
    <w:rsid w:val="00DB1281"/>
    <w:rsid w:val="00DB13B5"/>
    <w:rsid w:val="00DB2679"/>
    <w:rsid w:val="00DB2F4E"/>
    <w:rsid w:val="00DB3DB4"/>
    <w:rsid w:val="00DC0AAB"/>
    <w:rsid w:val="00DC1345"/>
    <w:rsid w:val="00DC231A"/>
    <w:rsid w:val="00DC25A9"/>
    <w:rsid w:val="00DC286D"/>
    <w:rsid w:val="00DC2EA8"/>
    <w:rsid w:val="00DC3458"/>
    <w:rsid w:val="00DC532E"/>
    <w:rsid w:val="00DC78A1"/>
    <w:rsid w:val="00DD1443"/>
    <w:rsid w:val="00DD1624"/>
    <w:rsid w:val="00DD1838"/>
    <w:rsid w:val="00DD227C"/>
    <w:rsid w:val="00DD7471"/>
    <w:rsid w:val="00DE5116"/>
    <w:rsid w:val="00DE55BC"/>
    <w:rsid w:val="00DE5CF5"/>
    <w:rsid w:val="00DF0069"/>
    <w:rsid w:val="00DF133E"/>
    <w:rsid w:val="00DF3108"/>
    <w:rsid w:val="00DF4724"/>
    <w:rsid w:val="00DF7767"/>
    <w:rsid w:val="00E00E06"/>
    <w:rsid w:val="00E01161"/>
    <w:rsid w:val="00E016D7"/>
    <w:rsid w:val="00E01EFE"/>
    <w:rsid w:val="00E02B51"/>
    <w:rsid w:val="00E03965"/>
    <w:rsid w:val="00E04866"/>
    <w:rsid w:val="00E048C2"/>
    <w:rsid w:val="00E0587D"/>
    <w:rsid w:val="00E079DA"/>
    <w:rsid w:val="00E07BF1"/>
    <w:rsid w:val="00E1059F"/>
    <w:rsid w:val="00E117AF"/>
    <w:rsid w:val="00E11AFB"/>
    <w:rsid w:val="00E129B5"/>
    <w:rsid w:val="00E12EEA"/>
    <w:rsid w:val="00E132A0"/>
    <w:rsid w:val="00E1351D"/>
    <w:rsid w:val="00E135A7"/>
    <w:rsid w:val="00E14317"/>
    <w:rsid w:val="00E149EE"/>
    <w:rsid w:val="00E14C30"/>
    <w:rsid w:val="00E15145"/>
    <w:rsid w:val="00E20BD8"/>
    <w:rsid w:val="00E228C4"/>
    <w:rsid w:val="00E24F8F"/>
    <w:rsid w:val="00E25093"/>
    <w:rsid w:val="00E269F4"/>
    <w:rsid w:val="00E3003F"/>
    <w:rsid w:val="00E30518"/>
    <w:rsid w:val="00E32039"/>
    <w:rsid w:val="00E3260C"/>
    <w:rsid w:val="00E33FBF"/>
    <w:rsid w:val="00E41D8E"/>
    <w:rsid w:val="00E4206C"/>
    <w:rsid w:val="00E436B3"/>
    <w:rsid w:val="00E436F0"/>
    <w:rsid w:val="00E44552"/>
    <w:rsid w:val="00E44E91"/>
    <w:rsid w:val="00E45B67"/>
    <w:rsid w:val="00E470DB"/>
    <w:rsid w:val="00E50202"/>
    <w:rsid w:val="00E51305"/>
    <w:rsid w:val="00E51712"/>
    <w:rsid w:val="00E5241C"/>
    <w:rsid w:val="00E52885"/>
    <w:rsid w:val="00E52A9A"/>
    <w:rsid w:val="00E53233"/>
    <w:rsid w:val="00E53E82"/>
    <w:rsid w:val="00E57357"/>
    <w:rsid w:val="00E6023E"/>
    <w:rsid w:val="00E6076B"/>
    <w:rsid w:val="00E63F6A"/>
    <w:rsid w:val="00E70E69"/>
    <w:rsid w:val="00E7226E"/>
    <w:rsid w:val="00E73EFF"/>
    <w:rsid w:val="00E76151"/>
    <w:rsid w:val="00E76857"/>
    <w:rsid w:val="00E7739C"/>
    <w:rsid w:val="00E804A7"/>
    <w:rsid w:val="00E838E8"/>
    <w:rsid w:val="00E8413A"/>
    <w:rsid w:val="00E85994"/>
    <w:rsid w:val="00E85FD9"/>
    <w:rsid w:val="00E86177"/>
    <w:rsid w:val="00E86D92"/>
    <w:rsid w:val="00E87B07"/>
    <w:rsid w:val="00E90226"/>
    <w:rsid w:val="00E91507"/>
    <w:rsid w:val="00E93576"/>
    <w:rsid w:val="00E94870"/>
    <w:rsid w:val="00E94E62"/>
    <w:rsid w:val="00E95496"/>
    <w:rsid w:val="00E95A63"/>
    <w:rsid w:val="00E95CC4"/>
    <w:rsid w:val="00E95F7E"/>
    <w:rsid w:val="00E96F9D"/>
    <w:rsid w:val="00EA35EC"/>
    <w:rsid w:val="00EA472B"/>
    <w:rsid w:val="00EA56B9"/>
    <w:rsid w:val="00EA6793"/>
    <w:rsid w:val="00EA74B8"/>
    <w:rsid w:val="00EB0170"/>
    <w:rsid w:val="00EB0A4E"/>
    <w:rsid w:val="00EB1F2E"/>
    <w:rsid w:val="00EB2218"/>
    <w:rsid w:val="00EB2E6C"/>
    <w:rsid w:val="00EB32F2"/>
    <w:rsid w:val="00EB3F75"/>
    <w:rsid w:val="00EB4565"/>
    <w:rsid w:val="00EB6BCD"/>
    <w:rsid w:val="00EB7090"/>
    <w:rsid w:val="00EB766B"/>
    <w:rsid w:val="00EB7837"/>
    <w:rsid w:val="00EC0FA8"/>
    <w:rsid w:val="00EC0FEC"/>
    <w:rsid w:val="00EC17CD"/>
    <w:rsid w:val="00EC1827"/>
    <w:rsid w:val="00EC19FE"/>
    <w:rsid w:val="00EC1C14"/>
    <w:rsid w:val="00EC2076"/>
    <w:rsid w:val="00EC2486"/>
    <w:rsid w:val="00EC266C"/>
    <w:rsid w:val="00EC3351"/>
    <w:rsid w:val="00EC35F5"/>
    <w:rsid w:val="00EC4564"/>
    <w:rsid w:val="00EC45D4"/>
    <w:rsid w:val="00EC57CF"/>
    <w:rsid w:val="00EC580A"/>
    <w:rsid w:val="00EC6328"/>
    <w:rsid w:val="00EC6391"/>
    <w:rsid w:val="00EC77D4"/>
    <w:rsid w:val="00EC7FBD"/>
    <w:rsid w:val="00EC7FED"/>
    <w:rsid w:val="00ED083F"/>
    <w:rsid w:val="00ED0982"/>
    <w:rsid w:val="00ED3214"/>
    <w:rsid w:val="00ED4479"/>
    <w:rsid w:val="00ED49DB"/>
    <w:rsid w:val="00ED58ED"/>
    <w:rsid w:val="00ED5C9D"/>
    <w:rsid w:val="00ED729B"/>
    <w:rsid w:val="00ED741C"/>
    <w:rsid w:val="00EE126F"/>
    <w:rsid w:val="00EE2515"/>
    <w:rsid w:val="00EE3B7B"/>
    <w:rsid w:val="00EE3E70"/>
    <w:rsid w:val="00EE62B1"/>
    <w:rsid w:val="00EF12A3"/>
    <w:rsid w:val="00EF1553"/>
    <w:rsid w:val="00EF21A0"/>
    <w:rsid w:val="00EF2DCB"/>
    <w:rsid w:val="00EF3417"/>
    <w:rsid w:val="00EF616D"/>
    <w:rsid w:val="00EF6678"/>
    <w:rsid w:val="00EF7195"/>
    <w:rsid w:val="00EF7BBE"/>
    <w:rsid w:val="00F02071"/>
    <w:rsid w:val="00F028B7"/>
    <w:rsid w:val="00F03556"/>
    <w:rsid w:val="00F047D7"/>
    <w:rsid w:val="00F04C10"/>
    <w:rsid w:val="00F05177"/>
    <w:rsid w:val="00F06FC8"/>
    <w:rsid w:val="00F07298"/>
    <w:rsid w:val="00F07546"/>
    <w:rsid w:val="00F07F77"/>
    <w:rsid w:val="00F10165"/>
    <w:rsid w:val="00F13049"/>
    <w:rsid w:val="00F14B13"/>
    <w:rsid w:val="00F15E90"/>
    <w:rsid w:val="00F1701E"/>
    <w:rsid w:val="00F2050F"/>
    <w:rsid w:val="00F20931"/>
    <w:rsid w:val="00F22A88"/>
    <w:rsid w:val="00F22D68"/>
    <w:rsid w:val="00F24A24"/>
    <w:rsid w:val="00F258AD"/>
    <w:rsid w:val="00F2657B"/>
    <w:rsid w:val="00F26930"/>
    <w:rsid w:val="00F27670"/>
    <w:rsid w:val="00F307B8"/>
    <w:rsid w:val="00F321DC"/>
    <w:rsid w:val="00F33683"/>
    <w:rsid w:val="00F33850"/>
    <w:rsid w:val="00F348C2"/>
    <w:rsid w:val="00F34FFF"/>
    <w:rsid w:val="00F3549A"/>
    <w:rsid w:val="00F35B30"/>
    <w:rsid w:val="00F36E30"/>
    <w:rsid w:val="00F37A45"/>
    <w:rsid w:val="00F414F9"/>
    <w:rsid w:val="00F4156D"/>
    <w:rsid w:val="00F417DA"/>
    <w:rsid w:val="00F42F68"/>
    <w:rsid w:val="00F4381F"/>
    <w:rsid w:val="00F46212"/>
    <w:rsid w:val="00F465E8"/>
    <w:rsid w:val="00F4666F"/>
    <w:rsid w:val="00F46DAA"/>
    <w:rsid w:val="00F47BB3"/>
    <w:rsid w:val="00F510DA"/>
    <w:rsid w:val="00F5274A"/>
    <w:rsid w:val="00F528C0"/>
    <w:rsid w:val="00F531D9"/>
    <w:rsid w:val="00F5338B"/>
    <w:rsid w:val="00F5412F"/>
    <w:rsid w:val="00F5504A"/>
    <w:rsid w:val="00F55A70"/>
    <w:rsid w:val="00F56D09"/>
    <w:rsid w:val="00F604F3"/>
    <w:rsid w:val="00F60691"/>
    <w:rsid w:val="00F60AAE"/>
    <w:rsid w:val="00F6129B"/>
    <w:rsid w:val="00F618BD"/>
    <w:rsid w:val="00F62E42"/>
    <w:rsid w:val="00F6362B"/>
    <w:rsid w:val="00F6452C"/>
    <w:rsid w:val="00F65984"/>
    <w:rsid w:val="00F67342"/>
    <w:rsid w:val="00F67F5F"/>
    <w:rsid w:val="00F71D56"/>
    <w:rsid w:val="00F7283B"/>
    <w:rsid w:val="00F73B9A"/>
    <w:rsid w:val="00F73ECB"/>
    <w:rsid w:val="00F753E1"/>
    <w:rsid w:val="00F75480"/>
    <w:rsid w:val="00F75507"/>
    <w:rsid w:val="00F76307"/>
    <w:rsid w:val="00F7759D"/>
    <w:rsid w:val="00F813D0"/>
    <w:rsid w:val="00F820C3"/>
    <w:rsid w:val="00F8237F"/>
    <w:rsid w:val="00F82D95"/>
    <w:rsid w:val="00F8406B"/>
    <w:rsid w:val="00F84186"/>
    <w:rsid w:val="00F8602E"/>
    <w:rsid w:val="00F865C1"/>
    <w:rsid w:val="00F8666C"/>
    <w:rsid w:val="00F86D78"/>
    <w:rsid w:val="00F86E0F"/>
    <w:rsid w:val="00F86E58"/>
    <w:rsid w:val="00F872BD"/>
    <w:rsid w:val="00F95EA1"/>
    <w:rsid w:val="00F964D6"/>
    <w:rsid w:val="00F96D13"/>
    <w:rsid w:val="00F97D54"/>
    <w:rsid w:val="00FA0003"/>
    <w:rsid w:val="00FA3D74"/>
    <w:rsid w:val="00FA6AF1"/>
    <w:rsid w:val="00FA73FE"/>
    <w:rsid w:val="00FA7FBC"/>
    <w:rsid w:val="00FB0B7A"/>
    <w:rsid w:val="00FB12D5"/>
    <w:rsid w:val="00FB3296"/>
    <w:rsid w:val="00FB4B14"/>
    <w:rsid w:val="00FB5579"/>
    <w:rsid w:val="00FB7222"/>
    <w:rsid w:val="00FB79E3"/>
    <w:rsid w:val="00FB7D2D"/>
    <w:rsid w:val="00FC00C3"/>
    <w:rsid w:val="00FC035E"/>
    <w:rsid w:val="00FC1107"/>
    <w:rsid w:val="00FC1E59"/>
    <w:rsid w:val="00FC3789"/>
    <w:rsid w:val="00FC392A"/>
    <w:rsid w:val="00FC3F88"/>
    <w:rsid w:val="00FC5656"/>
    <w:rsid w:val="00FC6AE8"/>
    <w:rsid w:val="00FC6E18"/>
    <w:rsid w:val="00FD045E"/>
    <w:rsid w:val="00FD1A57"/>
    <w:rsid w:val="00FD2310"/>
    <w:rsid w:val="00FD2555"/>
    <w:rsid w:val="00FD46AA"/>
    <w:rsid w:val="00FD4F4C"/>
    <w:rsid w:val="00FD4FCD"/>
    <w:rsid w:val="00FD505E"/>
    <w:rsid w:val="00FD6870"/>
    <w:rsid w:val="00FD7B80"/>
    <w:rsid w:val="00FE02EE"/>
    <w:rsid w:val="00FE0F35"/>
    <w:rsid w:val="00FE227E"/>
    <w:rsid w:val="00FE2C0D"/>
    <w:rsid w:val="00FE2CD0"/>
    <w:rsid w:val="00FE2FC8"/>
    <w:rsid w:val="00FE33B7"/>
    <w:rsid w:val="00FE3B18"/>
    <w:rsid w:val="00FE49F8"/>
    <w:rsid w:val="00FE4AC2"/>
    <w:rsid w:val="00FE60CE"/>
    <w:rsid w:val="00FE6662"/>
    <w:rsid w:val="00FE6706"/>
    <w:rsid w:val="00FE6B27"/>
    <w:rsid w:val="00FE6CD5"/>
    <w:rsid w:val="00FE6E46"/>
    <w:rsid w:val="00FE72C2"/>
    <w:rsid w:val="00FF07F1"/>
    <w:rsid w:val="00FF0EAF"/>
    <w:rsid w:val="00FF1066"/>
    <w:rsid w:val="00FF46EC"/>
    <w:rsid w:val="00FF7966"/>
    <w:rsid w:val="00FF7B25"/>
    <w:rsid w:val="115C5899"/>
    <w:rsid w:val="4E5A70A5"/>
    <w:rsid w:val="63297324"/>
    <w:rsid w:val="77287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3"/>
    <w:link w:val="29"/>
    <w:qFormat/>
    <w:uiPriority w:val="0"/>
    <w:pPr>
      <w:keepNext/>
      <w:keepLines/>
      <w:numPr>
        <w:ilvl w:val="0"/>
        <w:numId w:val="1"/>
      </w:numPr>
      <w:spacing w:before="340" w:after="330" w:line="578" w:lineRule="auto"/>
      <w:outlineLvl w:val="0"/>
    </w:pPr>
    <w:rPr>
      <w:rFonts w:ascii="Times New Roman" w:hAnsi="Times New Roman" w:eastAsia="宋体" w:cs="Times New Roman"/>
      <w:b/>
      <w:bCs/>
      <w:kern w:val="44"/>
      <w:sz w:val="32"/>
      <w:szCs w:val="44"/>
    </w:rPr>
  </w:style>
  <w:style w:type="paragraph" w:styleId="5">
    <w:name w:val="heading 2"/>
    <w:basedOn w:val="1"/>
    <w:next w:val="3"/>
    <w:link w:val="30"/>
    <w:qFormat/>
    <w:uiPriority w:val="0"/>
    <w:pPr>
      <w:keepNext/>
      <w:keepLines/>
      <w:numPr>
        <w:ilvl w:val="1"/>
        <w:numId w:val="1"/>
      </w:numPr>
      <w:spacing w:before="260" w:after="260" w:line="416" w:lineRule="auto"/>
      <w:outlineLvl w:val="1"/>
    </w:pPr>
    <w:rPr>
      <w:rFonts w:ascii="Arial" w:hAnsi="Arial" w:eastAsia="宋体" w:cs="Times New Roman"/>
      <w:b/>
      <w:bCs/>
      <w:sz w:val="28"/>
      <w:szCs w:val="32"/>
    </w:rPr>
  </w:style>
  <w:style w:type="paragraph" w:styleId="6">
    <w:name w:val="heading 3"/>
    <w:basedOn w:val="1"/>
    <w:next w:val="3"/>
    <w:link w:val="33"/>
    <w:qFormat/>
    <w:uiPriority w:val="0"/>
    <w:pPr>
      <w:keepNext/>
      <w:keepLines/>
      <w:numPr>
        <w:ilvl w:val="2"/>
        <w:numId w:val="1"/>
      </w:numPr>
      <w:spacing w:before="260" w:after="260" w:line="416" w:lineRule="auto"/>
      <w:outlineLvl w:val="2"/>
    </w:pPr>
    <w:rPr>
      <w:rFonts w:ascii="Times New Roman" w:hAnsi="Times New Roman" w:eastAsia="宋体" w:cs="Times New Roman"/>
      <w:b/>
      <w:bCs/>
      <w:sz w:val="28"/>
      <w:szCs w:val="32"/>
    </w:rPr>
  </w:style>
  <w:style w:type="paragraph" w:styleId="7">
    <w:name w:val="heading 4"/>
    <w:basedOn w:val="1"/>
    <w:next w:val="3"/>
    <w:link w:val="41"/>
    <w:unhideWhenUsed/>
    <w:qFormat/>
    <w:uiPriority w:val="0"/>
    <w:pPr>
      <w:keepNext/>
      <w:keepLines/>
      <w:numPr>
        <w:ilvl w:val="3"/>
        <w:numId w:val="1"/>
      </w:numPr>
      <w:tabs>
        <w:tab w:val="left" w:pos="993"/>
      </w:tabs>
      <w:spacing w:before="280" w:after="290" w:line="376" w:lineRule="auto"/>
      <w:outlineLvl w:val="3"/>
    </w:pPr>
    <w:rPr>
      <w:rFonts w:eastAsia="宋体" w:asciiTheme="majorHAnsi" w:hAnsiTheme="majorHAnsi" w:cstheme="majorBidi"/>
      <w:b/>
      <w:bCs/>
      <w:sz w:val="28"/>
      <w:szCs w:val="28"/>
    </w:rPr>
  </w:style>
  <w:style w:type="paragraph" w:styleId="8">
    <w:name w:val="heading 5"/>
    <w:basedOn w:val="1"/>
    <w:next w:val="1"/>
    <w:link w:val="42"/>
    <w:unhideWhenUsed/>
    <w:qFormat/>
    <w:uiPriority w:val="9"/>
    <w:pPr>
      <w:keepNext/>
      <w:keepLines/>
      <w:spacing w:before="280" w:after="290" w:line="376"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ody Text First Indent"/>
    <w:basedOn w:val="4"/>
    <w:link w:val="44"/>
    <w:unhideWhenUsed/>
    <w:qFormat/>
    <w:uiPriority w:val="99"/>
    <w:pPr>
      <w:ind w:firstLine="200" w:firstLineChars="200"/>
    </w:pPr>
  </w:style>
  <w:style w:type="paragraph" w:styleId="4">
    <w:name w:val="Body Text"/>
    <w:basedOn w:val="1"/>
    <w:link w:val="43"/>
    <w:semiHidden/>
    <w:unhideWhenUsed/>
    <w:qFormat/>
    <w:uiPriority w:val="99"/>
    <w:pPr>
      <w:spacing w:after="120"/>
    </w:pPr>
  </w:style>
  <w:style w:type="paragraph" w:styleId="9">
    <w:name w:val="caption"/>
    <w:basedOn w:val="1"/>
    <w:next w:val="1"/>
    <w:link w:val="53"/>
    <w:unhideWhenUsed/>
    <w:qFormat/>
    <w:uiPriority w:val="35"/>
    <w:rPr>
      <w:rFonts w:eastAsia="黑体" w:asciiTheme="majorHAnsi" w:hAnsiTheme="majorHAnsi" w:cstheme="majorBidi"/>
      <w:sz w:val="20"/>
      <w:szCs w:val="20"/>
    </w:rPr>
  </w:style>
  <w:style w:type="paragraph" w:styleId="10">
    <w:name w:val="Document Map"/>
    <w:basedOn w:val="1"/>
    <w:link w:val="36"/>
    <w:semiHidden/>
    <w:unhideWhenUsed/>
    <w:qFormat/>
    <w:uiPriority w:val="99"/>
    <w:rPr>
      <w:rFonts w:ascii="宋体" w:eastAsia="宋体"/>
      <w:sz w:val="18"/>
      <w:szCs w:val="18"/>
    </w:rPr>
  </w:style>
  <w:style w:type="paragraph" w:styleId="11">
    <w:name w:val="annotation text"/>
    <w:basedOn w:val="1"/>
    <w:link w:val="49"/>
    <w:semiHidden/>
    <w:unhideWhenUsed/>
    <w:qFormat/>
    <w:uiPriority w:val="99"/>
    <w:pPr>
      <w:jc w:val="left"/>
    </w:pPr>
  </w:style>
  <w:style w:type="paragraph" w:styleId="12">
    <w:name w:val="Body Text Indent"/>
    <w:basedOn w:val="1"/>
    <w:link w:val="45"/>
    <w:semiHidden/>
    <w:unhideWhenUsed/>
    <w:qFormat/>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Balloon Text"/>
    <w:basedOn w:val="1"/>
    <w:link w:val="40"/>
    <w:semiHidden/>
    <w:unhideWhenUsed/>
    <w:qFormat/>
    <w:uiPriority w:val="99"/>
    <w:rPr>
      <w:sz w:val="18"/>
      <w:szCs w:val="18"/>
    </w:rPr>
  </w:style>
  <w:style w:type="paragraph" w:styleId="15">
    <w:name w:val="footer"/>
    <w:basedOn w:val="1"/>
    <w:link w:val="32"/>
    <w:unhideWhenUsed/>
    <w:qFormat/>
    <w:uiPriority w:val="99"/>
    <w:pPr>
      <w:tabs>
        <w:tab w:val="center" w:pos="4153"/>
        <w:tab w:val="right" w:pos="8306"/>
      </w:tabs>
      <w:snapToGrid w:val="0"/>
      <w:jc w:val="left"/>
    </w:pPr>
    <w:rPr>
      <w:sz w:val="18"/>
      <w:szCs w:val="18"/>
    </w:rPr>
  </w:style>
  <w:style w:type="paragraph" w:styleId="16">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left" w:pos="420"/>
        <w:tab w:val="right" w:leader="dot" w:pos="8296"/>
      </w:tabs>
      <w:jc w:val="center"/>
    </w:pPr>
    <w:rPr>
      <w:b/>
      <w:bCs/>
    </w:rPr>
  </w:style>
  <w:style w:type="paragraph" w:styleId="18">
    <w:name w:val="toc 2"/>
    <w:basedOn w:val="1"/>
    <w:next w:val="1"/>
    <w:unhideWhenUsed/>
    <w:qFormat/>
    <w:uiPriority w:val="39"/>
    <w:pPr>
      <w:ind w:left="420" w:leftChars="200"/>
    </w:pPr>
  </w:style>
  <w:style w:type="paragraph" w:styleId="1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annotation subject"/>
    <w:basedOn w:val="11"/>
    <w:next w:val="11"/>
    <w:link w:val="50"/>
    <w:semiHidden/>
    <w:unhideWhenUsed/>
    <w:qFormat/>
    <w:uiPriority w:val="99"/>
    <w:rPr>
      <w:b/>
      <w:bCs/>
    </w:rPr>
  </w:style>
  <w:style w:type="paragraph" w:styleId="21">
    <w:name w:val="Body Text First Indent 2"/>
    <w:basedOn w:val="12"/>
    <w:link w:val="46"/>
    <w:semiHidden/>
    <w:unhideWhenUsed/>
    <w:qFormat/>
    <w:uiPriority w:val="99"/>
    <w:pPr>
      <w:ind w:firstLine="420" w:firstLineChars="200"/>
    </w:pPr>
  </w:style>
  <w:style w:type="table" w:styleId="23">
    <w:name w:val="Table Grid"/>
    <w:basedOn w:val="22"/>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qFormat/>
    <w:uiPriority w:val="0"/>
  </w:style>
  <w:style w:type="character" w:styleId="26">
    <w:name w:val="Hyperlink"/>
    <w:basedOn w:val="24"/>
    <w:unhideWhenUsed/>
    <w:qFormat/>
    <w:uiPriority w:val="99"/>
    <w:rPr>
      <w:color w:val="0000FF"/>
      <w:u w:val="single"/>
    </w:rPr>
  </w:style>
  <w:style w:type="character" w:styleId="27">
    <w:name w:val="HTML Code"/>
    <w:basedOn w:val="24"/>
    <w:semiHidden/>
    <w:unhideWhenUsed/>
    <w:qFormat/>
    <w:uiPriority w:val="99"/>
    <w:rPr>
      <w:rFonts w:ascii="宋体" w:hAnsi="宋体" w:eastAsia="宋体" w:cs="宋体"/>
      <w:sz w:val="24"/>
      <w:szCs w:val="24"/>
    </w:rPr>
  </w:style>
  <w:style w:type="character" w:styleId="28">
    <w:name w:val="annotation reference"/>
    <w:basedOn w:val="24"/>
    <w:semiHidden/>
    <w:unhideWhenUsed/>
    <w:qFormat/>
    <w:uiPriority w:val="99"/>
    <w:rPr>
      <w:sz w:val="21"/>
      <w:szCs w:val="21"/>
    </w:rPr>
  </w:style>
  <w:style w:type="character" w:customStyle="1" w:styleId="29">
    <w:name w:val="标题 1 字符"/>
    <w:basedOn w:val="24"/>
    <w:link w:val="2"/>
    <w:qFormat/>
    <w:uiPriority w:val="0"/>
    <w:rPr>
      <w:rFonts w:ascii="Times New Roman" w:hAnsi="Times New Roman" w:eastAsia="宋体" w:cs="Times New Roman"/>
      <w:b/>
      <w:bCs/>
      <w:kern w:val="44"/>
      <w:sz w:val="32"/>
      <w:szCs w:val="44"/>
    </w:rPr>
  </w:style>
  <w:style w:type="character" w:customStyle="1" w:styleId="30">
    <w:name w:val="标题 2 字符"/>
    <w:basedOn w:val="24"/>
    <w:link w:val="5"/>
    <w:qFormat/>
    <w:uiPriority w:val="0"/>
    <w:rPr>
      <w:rFonts w:ascii="Arial" w:hAnsi="Arial" w:eastAsia="宋体" w:cs="Times New Roman"/>
      <w:b/>
      <w:bCs/>
      <w:sz w:val="28"/>
      <w:szCs w:val="32"/>
    </w:rPr>
  </w:style>
  <w:style w:type="character" w:customStyle="1" w:styleId="31">
    <w:name w:val="页眉 字符"/>
    <w:basedOn w:val="24"/>
    <w:link w:val="16"/>
    <w:qFormat/>
    <w:uiPriority w:val="99"/>
    <w:rPr>
      <w:sz w:val="18"/>
      <w:szCs w:val="18"/>
    </w:rPr>
  </w:style>
  <w:style w:type="character" w:customStyle="1" w:styleId="32">
    <w:name w:val="页脚 字符"/>
    <w:basedOn w:val="24"/>
    <w:link w:val="15"/>
    <w:qFormat/>
    <w:uiPriority w:val="99"/>
    <w:rPr>
      <w:sz w:val="18"/>
      <w:szCs w:val="18"/>
    </w:rPr>
  </w:style>
  <w:style w:type="character" w:customStyle="1" w:styleId="33">
    <w:name w:val="标题 3 字符"/>
    <w:basedOn w:val="24"/>
    <w:link w:val="6"/>
    <w:qFormat/>
    <w:uiPriority w:val="0"/>
    <w:rPr>
      <w:rFonts w:ascii="Times New Roman" w:hAnsi="Times New Roman" w:eastAsia="宋体" w:cs="Times New Roman"/>
      <w:b/>
      <w:bCs/>
      <w:sz w:val="28"/>
      <w:szCs w:val="32"/>
    </w:rPr>
  </w:style>
  <w:style w:type="paragraph" w:customStyle="1" w:styleId="34">
    <w:name w:val="Normal1"/>
    <w:qFormat/>
    <w:uiPriority w:val="0"/>
    <w:pPr>
      <w:widowControl w:val="0"/>
      <w:adjustRightInd w:val="0"/>
      <w:spacing w:line="312" w:lineRule="atLeast"/>
      <w:jc w:val="both"/>
    </w:pPr>
    <w:rPr>
      <w:rFonts w:ascii="黑体" w:hAnsi="Times New Roman" w:eastAsia="黑体" w:cs="Times New Roman"/>
      <w:kern w:val="0"/>
      <w:sz w:val="24"/>
      <w:szCs w:val="20"/>
      <w:lang w:val="en-US" w:eastAsia="zh-CN" w:bidi="ar-SA"/>
    </w:rPr>
  </w:style>
  <w:style w:type="paragraph" w:customStyle="1" w:styleId="35">
    <w:name w:val="Normal2"/>
    <w:qFormat/>
    <w:uiPriority w:val="0"/>
    <w:pPr>
      <w:widowControl w:val="0"/>
      <w:adjustRightInd w:val="0"/>
      <w:spacing w:line="312" w:lineRule="atLeast"/>
      <w:jc w:val="both"/>
    </w:pPr>
    <w:rPr>
      <w:rFonts w:ascii="黑体" w:hAnsi="Times New Roman" w:eastAsia="黑体" w:cs="Times New Roman"/>
      <w:kern w:val="0"/>
      <w:sz w:val="24"/>
      <w:szCs w:val="20"/>
      <w:lang w:val="en-US" w:eastAsia="zh-CN" w:bidi="ar-SA"/>
    </w:rPr>
  </w:style>
  <w:style w:type="character" w:customStyle="1" w:styleId="36">
    <w:name w:val="文档结构图 字符"/>
    <w:basedOn w:val="24"/>
    <w:link w:val="10"/>
    <w:semiHidden/>
    <w:qFormat/>
    <w:uiPriority w:val="99"/>
    <w:rPr>
      <w:rFonts w:ascii="宋体" w:eastAsia="宋体"/>
      <w:sz w:val="18"/>
      <w:szCs w:val="18"/>
    </w:rPr>
  </w:style>
  <w:style w:type="character" w:customStyle="1" w:styleId="37">
    <w:name w:val="outstanding_text"/>
    <w:basedOn w:val="24"/>
    <w:qFormat/>
    <w:uiPriority w:val="0"/>
  </w:style>
  <w:style w:type="paragraph" w:styleId="38">
    <w:name w:val="List Paragraph"/>
    <w:basedOn w:val="1"/>
    <w:qFormat/>
    <w:uiPriority w:val="34"/>
    <w:pPr>
      <w:ind w:firstLine="420" w:firstLineChars="200"/>
    </w:pPr>
  </w:style>
  <w:style w:type="character" w:customStyle="1" w:styleId="39">
    <w:name w:val="style11"/>
    <w:basedOn w:val="24"/>
    <w:qFormat/>
    <w:uiPriority w:val="0"/>
    <w:rPr>
      <w:rFonts w:hint="eastAsia" w:ascii="微软雅黑" w:hAnsi="微软雅黑" w:eastAsia="微软雅黑"/>
      <w:b/>
      <w:bCs/>
      <w:color w:val="FFFFFF"/>
      <w:sz w:val="16"/>
      <w:szCs w:val="16"/>
    </w:rPr>
  </w:style>
  <w:style w:type="character" w:customStyle="1" w:styleId="40">
    <w:name w:val="批注框文本 字符"/>
    <w:basedOn w:val="24"/>
    <w:link w:val="14"/>
    <w:semiHidden/>
    <w:qFormat/>
    <w:uiPriority w:val="99"/>
    <w:rPr>
      <w:sz w:val="18"/>
      <w:szCs w:val="18"/>
    </w:rPr>
  </w:style>
  <w:style w:type="character" w:customStyle="1" w:styleId="41">
    <w:name w:val="标题 4 字符"/>
    <w:basedOn w:val="24"/>
    <w:link w:val="7"/>
    <w:qFormat/>
    <w:uiPriority w:val="0"/>
    <w:rPr>
      <w:rFonts w:eastAsia="宋体" w:asciiTheme="majorHAnsi" w:hAnsiTheme="majorHAnsi" w:cstheme="majorBidi"/>
      <w:b/>
      <w:bCs/>
      <w:sz w:val="28"/>
      <w:szCs w:val="28"/>
    </w:rPr>
  </w:style>
  <w:style w:type="character" w:customStyle="1" w:styleId="42">
    <w:name w:val="标题 5 字符"/>
    <w:basedOn w:val="24"/>
    <w:link w:val="8"/>
    <w:qFormat/>
    <w:uiPriority w:val="9"/>
    <w:rPr>
      <w:b/>
      <w:bCs/>
      <w:sz w:val="28"/>
      <w:szCs w:val="28"/>
    </w:rPr>
  </w:style>
  <w:style w:type="character" w:customStyle="1" w:styleId="43">
    <w:name w:val="正文文本 字符"/>
    <w:basedOn w:val="24"/>
    <w:link w:val="4"/>
    <w:semiHidden/>
    <w:qFormat/>
    <w:uiPriority w:val="99"/>
  </w:style>
  <w:style w:type="character" w:customStyle="1" w:styleId="44">
    <w:name w:val="正文文本首行缩进 字符"/>
    <w:basedOn w:val="43"/>
    <w:link w:val="3"/>
    <w:qFormat/>
    <w:uiPriority w:val="99"/>
  </w:style>
  <w:style w:type="character" w:customStyle="1" w:styleId="45">
    <w:name w:val="正文文本缩进 字符"/>
    <w:basedOn w:val="24"/>
    <w:link w:val="12"/>
    <w:semiHidden/>
    <w:qFormat/>
    <w:uiPriority w:val="99"/>
  </w:style>
  <w:style w:type="character" w:customStyle="1" w:styleId="46">
    <w:name w:val="正文文本首行缩进 2 字符"/>
    <w:basedOn w:val="45"/>
    <w:link w:val="21"/>
    <w:semiHidden/>
    <w:qFormat/>
    <w:uiPriority w:val="99"/>
  </w:style>
  <w:style w:type="paragraph" w:customStyle="1" w:styleId="47">
    <w:name w:val="表格标题"/>
    <w:basedOn w:val="1"/>
    <w:qFormat/>
    <w:uiPriority w:val="0"/>
    <w:pPr>
      <w:suppressLineNumbers/>
      <w:suppressAutoHyphens/>
      <w:spacing w:after="120"/>
      <w:jc w:val="center"/>
    </w:pPr>
    <w:rPr>
      <w:rFonts w:ascii="Times New Roman" w:hAnsi="Times New Roman" w:eastAsia="宋体" w:cs="Times New Roman"/>
      <w:b/>
      <w:kern w:val="3276"/>
      <w:szCs w:val="20"/>
    </w:rPr>
  </w:style>
  <w:style w:type="character" w:customStyle="1" w:styleId="48">
    <w:name w:val="apple-converted-space"/>
    <w:basedOn w:val="24"/>
    <w:qFormat/>
    <w:uiPriority w:val="0"/>
  </w:style>
  <w:style w:type="character" w:customStyle="1" w:styleId="49">
    <w:name w:val="批注文字 字符"/>
    <w:basedOn w:val="24"/>
    <w:link w:val="11"/>
    <w:semiHidden/>
    <w:qFormat/>
    <w:uiPriority w:val="99"/>
  </w:style>
  <w:style w:type="character" w:customStyle="1" w:styleId="50">
    <w:name w:val="批注主题 字符"/>
    <w:basedOn w:val="49"/>
    <w:link w:val="20"/>
    <w:semiHidden/>
    <w:qFormat/>
    <w:uiPriority w:val="99"/>
    <w:rPr>
      <w:b/>
      <w:bCs/>
    </w:rPr>
  </w:style>
  <w:style w:type="paragraph" w:customStyle="1" w:styleId="51">
    <w:name w:val="正文 缩进2字符"/>
    <w:basedOn w:val="1"/>
    <w:link w:val="52"/>
    <w:qFormat/>
    <w:uiPriority w:val="0"/>
    <w:pPr>
      <w:spacing w:line="360" w:lineRule="auto"/>
      <w:ind w:firstLine="200" w:firstLineChars="200"/>
    </w:pPr>
    <w:rPr>
      <w:rFonts w:ascii="Times New Roman" w:hAnsi="Times New Roman" w:cs="宋体"/>
      <w:sz w:val="24"/>
      <w:szCs w:val="20"/>
    </w:rPr>
  </w:style>
  <w:style w:type="character" w:customStyle="1" w:styleId="52">
    <w:name w:val="正文 缩进2字符 Char"/>
    <w:link w:val="51"/>
    <w:qFormat/>
    <w:uiPriority w:val="0"/>
    <w:rPr>
      <w:rFonts w:ascii="Times New Roman" w:hAnsi="Times New Roman" w:cs="宋体"/>
      <w:sz w:val="24"/>
      <w:szCs w:val="20"/>
    </w:rPr>
  </w:style>
  <w:style w:type="character" w:customStyle="1" w:styleId="53">
    <w:name w:val="题注 字符"/>
    <w:basedOn w:val="24"/>
    <w:link w:val="9"/>
    <w:qFormat/>
    <w:uiPriority w:val="35"/>
    <w:rPr>
      <w:rFonts w:eastAsia="黑体" w:asciiTheme="majorHAnsi" w:hAnsiTheme="majorHAnsi" w:cstheme="majorBidi"/>
      <w:sz w:val="20"/>
      <w:szCs w:val="20"/>
    </w:rPr>
  </w:style>
  <w:style w:type="paragraph" w:customStyle="1" w:styleId="54">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5">
    <w:name w:val="Intense Emphasis"/>
    <w:basedOn w:val="24"/>
    <w:qFormat/>
    <w:uiPriority w:val="21"/>
    <w:rPr>
      <w:i/>
      <w:iCs/>
      <w:color w:val="4F81BD" w:themeColor="accent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Desktop\word&#26631;&#39064;&#20998;&#32423;&#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37A9DB-45F5-4B8B-96A8-FFF6C18B84B9}">
  <ds:schemaRefs/>
</ds:datastoreItem>
</file>

<file path=docProps/app.xml><?xml version="1.0" encoding="utf-8"?>
<Properties xmlns="http://schemas.openxmlformats.org/officeDocument/2006/extended-properties" xmlns:vt="http://schemas.openxmlformats.org/officeDocument/2006/docPropsVTypes">
  <Template>word标题分级模板.dotx</Template>
  <Pages>26</Pages>
  <Words>1303</Words>
  <Characters>7433</Characters>
  <Lines>61</Lines>
  <Paragraphs>17</Paragraphs>
  <TotalTime>1</TotalTime>
  <ScaleCrop>false</ScaleCrop>
  <LinksUpToDate>false</LinksUpToDate>
  <CharactersWithSpaces>8719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2015-06-16T01:38:00Z</dcterms:created>
  <dc:creator>W</dc:creator>
  <cp:lastModifiedBy>天天向上</cp:lastModifiedBy>
  <dcterms:modified xsi:type="dcterms:W3CDTF">2022-02-10T15:17:03Z</dcterms:modified>
  <cp:revision>566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CF41604F40AC4FD598B123D5A4AC8CE0</vt:lpwstr>
  </property>
</Properties>
</file>