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rPr>
      </w:pPr>
      <w:r>
        <w:drawing>
          <wp:anchor distT="0" distB="0" distL="114300" distR="114300" simplePos="0" relativeHeight="251659264" behindDoc="1" locked="0" layoutInCell="1" allowOverlap="1">
            <wp:simplePos x="0" y="0"/>
            <wp:positionH relativeFrom="margin">
              <wp:posOffset>-1173480</wp:posOffset>
            </wp:positionH>
            <wp:positionV relativeFrom="margin">
              <wp:posOffset>-922020</wp:posOffset>
            </wp:positionV>
            <wp:extent cx="7583170" cy="10708005"/>
            <wp:effectExtent l="0" t="0" r="0" b="0"/>
            <wp:wrapNone/>
            <wp:docPr id="1" name="图片 1" descr="59a67106f07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9a67106f077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583170" cy="10708005"/>
                    </a:xfrm>
                    <a:prstGeom prst="rect">
                      <a:avLst/>
                    </a:prstGeom>
                    <a:noFill/>
                    <a:ln>
                      <a:noFill/>
                    </a:ln>
                  </pic:spPr>
                </pic:pic>
              </a:graphicData>
            </a:graphic>
          </wp:anchor>
        </w:drawing>
      </w:r>
    </w:p>
    <w:p>
      <w:pPr>
        <w:spacing w:line="240" w:lineRule="auto"/>
        <w:jc w:val="center"/>
        <w:rPr>
          <w:rFonts w:hint="eastAsia" w:ascii="宋体" w:hAnsi="宋体" w:eastAsia="宋体"/>
          <w:lang w:eastAsia="zh-CN"/>
        </w:rPr>
      </w:pPr>
      <w:r>
        <w:rPr>
          <w:rFonts w:hint="eastAsia" w:ascii="宋体" w:hAnsi="宋体" w:eastAsia="宋体"/>
          <w:lang w:eastAsia="zh-CN"/>
        </w:rPr>
        <w:drawing>
          <wp:inline distT="0" distB="0" distL="114300" distR="114300">
            <wp:extent cx="2579370" cy="891540"/>
            <wp:effectExtent l="0" t="0" r="0" b="0"/>
            <wp:docPr id="5" name="图片 5" descr="派客动力LOGO-2021-7-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派客动力LOGO-2021-7-01 (2)"/>
                    <pic:cNvPicPr>
                      <a:picLocks noChangeAspect="1"/>
                    </pic:cNvPicPr>
                  </pic:nvPicPr>
                  <pic:blipFill>
                    <a:blip r:embed="rId9"/>
                    <a:stretch>
                      <a:fillRect/>
                    </a:stretch>
                  </pic:blipFill>
                  <pic:spPr>
                    <a:xfrm>
                      <a:off x="0" y="0"/>
                      <a:ext cx="2579370" cy="891540"/>
                    </a:xfrm>
                    <a:prstGeom prst="rect">
                      <a:avLst/>
                    </a:prstGeom>
                  </pic:spPr>
                </pic:pic>
              </a:graphicData>
            </a:graphic>
          </wp:inline>
        </w:drawing>
      </w:r>
    </w:p>
    <w:p>
      <w:pPr>
        <w:rPr>
          <w:rFonts w:ascii="宋体" w:hAnsi="宋体"/>
        </w:rPr>
      </w:pPr>
    </w:p>
    <w:p>
      <w:pPr>
        <w:rPr>
          <w:rFonts w:ascii="宋体" w:hAnsi="宋体"/>
        </w:rPr>
      </w:pPr>
    </w:p>
    <w:p>
      <w:pPr>
        <w:rPr>
          <w:rFonts w:ascii="宋体" w:hAnsi="宋体"/>
        </w:rPr>
      </w:pPr>
    </w:p>
    <w:p>
      <w:pPr>
        <w:jc w:val="center"/>
        <w:rPr>
          <w:rFonts w:hint="eastAsia"/>
          <w:b/>
          <w:sz w:val="72"/>
          <w:szCs w:val="72"/>
        </w:rPr>
      </w:pPr>
    </w:p>
    <w:p>
      <w:pPr>
        <w:jc w:val="center"/>
        <w:rPr>
          <w:rFonts w:hint="eastAsia"/>
          <w:b/>
          <w:sz w:val="72"/>
          <w:szCs w:val="72"/>
        </w:rPr>
      </w:pPr>
    </w:p>
    <w:p>
      <w:pPr>
        <w:spacing w:line="240" w:lineRule="auto"/>
        <w:jc w:val="center"/>
        <w:rPr>
          <w:b/>
          <w:bCs w:val="0"/>
          <w:sz w:val="72"/>
          <w:szCs w:val="72"/>
        </w:rPr>
      </w:pPr>
      <w:r>
        <w:rPr>
          <w:rFonts w:hint="eastAsia"/>
          <w:b/>
          <w:bCs w:val="0"/>
          <w:sz w:val="72"/>
          <w:szCs w:val="72"/>
        </w:rPr>
        <w:t>数据分类分级</w:t>
      </w:r>
      <w:bookmarkStart w:id="41" w:name="_GoBack"/>
      <w:bookmarkEnd w:id="41"/>
    </w:p>
    <w:p>
      <w:pPr>
        <w:spacing w:line="240" w:lineRule="auto"/>
        <w:ind w:firstLine="0" w:firstLineChars="0"/>
        <w:jc w:val="center"/>
        <w:rPr>
          <w:rFonts w:hint="eastAsia" w:eastAsia="宋体"/>
          <w:b/>
          <w:bCs w:val="0"/>
          <w:sz w:val="72"/>
          <w:szCs w:val="72"/>
          <w:lang w:eastAsia="zh-CN"/>
        </w:rPr>
      </w:pPr>
      <w:r>
        <w:rPr>
          <w:rFonts w:hint="eastAsia"/>
          <w:b/>
          <w:bCs w:val="0"/>
          <w:sz w:val="72"/>
          <w:szCs w:val="72"/>
          <w:lang w:eastAsia="zh-CN"/>
        </w:rPr>
        <w:t>使用指南</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
    <w:p/>
    <w:p/>
    <w:p/>
    <w:p/>
    <w:p/>
    <w:p/>
    <w:p>
      <w:pPr>
        <w:spacing w:line="240" w:lineRule="auto"/>
        <w:rPr>
          <w:rFonts w:hint="eastAsia" w:ascii="宋体" w:hAnsi="宋体"/>
          <w:szCs w:val="24"/>
        </w:rPr>
      </w:pPr>
    </w:p>
    <w:p>
      <w:pPr>
        <w:spacing w:line="240" w:lineRule="auto"/>
        <w:rPr>
          <w:rFonts w:hint="eastAsia" w:ascii="宋体" w:hAnsi="宋体"/>
          <w:szCs w:val="24"/>
        </w:rPr>
      </w:pPr>
    </w:p>
    <w:p>
      <w:pPr>
        <w:spacing w:line="240" w:lineRule="auto"/>
        <w:rPr>
          <w:rFonts w:hint="eastAsia" w:ascii="宋体" w:hAnsi="宋体"/>
          <w:szCs w:val="24"/>
        </w:rPr>
      </w:pPr>
    </w:p>
    <w:p>
      <w:pPr>
        <w:spacing w:line="240" w:lineRule="auto"/>
        <w:rPr>
          <w:rFonts w:hint="eastAsia" w:ascii="宋体" w:hAnsi="宋体"/>
          <w:szCs w:val="24"/>
        </w:rPr>
      </w:pPr>
    </w:p>
    <w:p>
      <w:pPr>
        <w:spacing w:line="240" w:lineRule="auto"/>
        <w:rPr>
          <w:rFonts w:hint="eastAsia" w:ascii="宋体" w:hAnsi="宋体"/>
          <w:szCs w:val="24"/>
        </w:rPr>
      </w:pPr>
    </w:p>
    <w:p>
      <w:pPr>
        <w:spacing w:line="240" w:lineRule="auto"/>
        <w:rPr>
          <w:rFonts w:hint="eastAsia" w:ascii="宋体" w:hAnsi="宋体"/>
          <w:szCs w:val="24"/>
        </w:rPr>
      </w:pPr>
    </w:p>
    <w:p>
      <w:pPr>
        <w:spacing w:line="240" w:lineRule="auto"/>
        <w:rPr>
          <w:rFonts w:hint="eastAsia" w:ascii="宋体" w:hAnsi="宋体"/>
          <w:szCs w:val="24"/>
        </w:rPr>
      </w:pPr>
    </w:p>
    <w:p>
      <w:pPr>
        <w:spacing w:line="240" w:lineRule="auto"/>
        <w:rPr>
          <w:rFonts w:hint="eastAsia" w:ascii="宋体" w:hAnsi="宋体"/>
          <w:szCs w:val="24"/>
        </w:rPr>
      </w:pPr>
    </w:p>
    <w:p>
      <w:pPr>
        <w:spacing w:line="240" w:lineRule="auto"/>
        <w:rPr>
          <w:rFonts w:hint="eastAsia" w:ascii="宋体" w:hAnsi="宋体"/>
          <w:szCs w:val="24"/>
        </w:rPr>
      </w:pPr>
    </w:p>
    <w:p>
      <w:pPr>
        <w:spacing w:line="240" w:lineRule="auto"/>
        <w:rPr>
          <w:rFonts w:hint="eastAsia" w:ascii="宋体" w:hAnsi="宋体"/>
          <w:szCs w:val="24"/>
        </w:rPr>
      </w:pPr>
    </w:p>
    <w:p>
      <w:pPr>
        <w:spacing w:line="240" w:lineRule="auto"/>
        <w:rPr>
          <w:rFonts w:ascii="宋体" w:hAnsi="宋体"/>
          <w:b/>
          <w:bCs/>
          <w:szCs w:val="24"/>
        </w:rPr>
      </w:pPr>
      <w:r>
        <w:rPr>
          <w:rFonts w:hint="eastAsia" w:ascii="宋体" w:hAnsi="宋体"/>
          <w:b/>
          <w:bCs/>
          <w:szCs w:val="24"/>
        </w:rPr>
        <w:t>派客动力数据分类分级入门指南</w:t>
      </w:r>
    </w:p>
    <w:p>
      <w:pPr>
        <w:rPr>
          <w:rFonts w:ascii="宋体" w:hAnsi="宋体"/>
          <w:szCs w:val="24"/>
        </w:rPr>
      </w:pPr>
      <w:r>
        <w:rPr>
          <w:rFonts w:hint="eastAsia" w:ascii="宋体" w:hAnsi="宋体"/>
          <w:szCs w:val="24"/>
        </w:rPr>
        <w:t>202</w:t>
      </w:r>
      <w:r>
        <w:rPr>
          <w:rFonts w:ascii="宋体" w:hAnsi="宋体"/>
          <w:szCs w:val="24"/>
        </w:rPr>
        <w:t>1</w:t>
      </w:r>
      <w:r>
        <w:rPr>
          <w:rFonts w:hint="eastAsia" w:ascii="宋体" w:hAnsi="宋体"/>
          <w:szCs w:val="24"/>
        </w:rPr>
        <w:t>年</w:t>
      </w:r>
      <w:r>
        <w:rPr>
          <w:rFonts w:ascii="宋体" w:hAnsi="宋体"/>
          <w:szCs w:val="24"/>
        </w:rPr>
        <w:t>10</w:t>
      </w:r>
      <w:r>
        <w:rPr>
          <w:rFonts w:hint="eastAsia" w:ascii="宋体" w:hAnsi="宋体"/>
          <w:szCs w:val="24"/>
        </w:rPr>
        <w:t>月</w:t>
      </w:r>
    </w:p>
    <w:p>
      <w:pPr>
        <w:rPr>
          <w:rFonts w:ascii="宋体" w:hAnsi="宋体"/>
          <w:szCs w:val="24"/>
        </w:rPr>
      </w:pPr>
      <w:r>
        <w:rPr>
          <w:rFonts w:hint="eastAsia" w:ascii="宋体" w:hAnsi="宋体"/>
          <w:szCs w:val="24"/>
        </w:rPr>
        <w:t>版权所有©</w:t>
      </w:r>
      <w:r>
        <w:rPr>
          <w:rFonts w:ascii="宋体" w:hAnsi="宋体"/>
          <w:szCs w:val="24"/>
        </w:rPr>
        <w:t xml:space="preserve"> </w:t>
      </w:r>
      <w:r>
        <w:rPr>
          <w:rFonts w:hint="eastAsia" w:ascii="宋体" w:hAnsi="宋体"/>
          <w:szCs w:val="24"/>
        </w:rPr>
        <w:t>Pack</w:t>
      </w:r>
      <w:r>
        <w:rPr>
          <w:rFonts w:ascii="宋体" w:hAnsi="宋体"/>
          <w:szCs w:val="24"/>
        </w:rPr>
        <w:t xml:space="preserve">Data </w:t>
      </w:r>
      <w:r>
        <w:rPr>
          <w:rFonts w:hint="eastAsia" w:ascii="宋体" w:hAnsi="宋体"/>
          <w:szCs w:val="24"/>
        </w:rPr>
        <w:t>北京派客动力科技有限公司保留所有权利。</w:t>
      </w:r>
    </w:p>
    <w:p>
      <w:pPr>
        <w:rPr>
          <w:rFonts w:ascii="宋体" w:hAnsi="宋体"/>
          <w:szCs w:val="24"/>
        </w:rPr>
      </w:pPr>
      <w:r>
        <w:rPr>
          <w:rFonts w:hint="eastAsia" w:ascii="宋体" w:hAnsi="宋体"/>
          <w:szCs w:val="24"/>
        </w:rPr>
        <w:t>本软件和文档包含Pack</w:t>
      </w:r>
      <w:r>
        <w:rPr>
          <w:rFonts w:ascii="宋体" w:hAnsi="宋体"/>
          <w:szCs w:val="24"/>
        </w:rPr>
        <w:t xml:space="preserve">Data </w:t>
      </w:r>
      <w:r>
        <w:rPr>
          <w:rFonts w:hint="eastAsia" w:ascii="宋体" w:hAnsi="宋体"/>
          <w:szCs w:val="24"/>
        </w:rPr>
        <w:t>北京派客动力科技有限公司的专有信息，基于一份包含使用及披露限制的许可协议而提供，并受版权法保护。禁止对本软件进行反向工程处理。未事先征得Pack</w:t>
      </w:r>
      <w:r>
        <w:rPr>
          <w:rFonts w:ascii="宋体" w:hAnsi="宋体"/>
          <w:szCs w:val="24"/>
        </w:rPr>
        <w:t xml:space="preserve">Data </w:t>
      </w:r>
      <w:r>
        <w:rPr>
          <w:rFonts w:hint="eastAsia" w:ascii="宋体" w:hAnsi="宋体"/>
          <w:szCs w:val="24"/>
        </w:rPr>
        <w:t>北京派客动力科技有限公司的同意，不得以任何形式、通过任何手段（电子、影印、录制或其他任何手段）复制或者传送本文档的任何部分。本软件受中国和/国际专利以及其他正在申请的专利的保护。</w:t>
      </w:r>
    </w:p>
    <w:p>
      <w:pPr>
        <w:rPr>
          <w:rFonts w:ascii="宋体" w:hAnsi="宋体"/>
          <w:szCs w:val="24"/>
        </w:rPr>
      </w:pPr>
      <w:r>
        <w:rPr>
          <w:rFonts w:hint="eastAsia" w:ascii="宋体" w:hAnsi="宋体"/>
          <w:szCs w:val="24"/>
        </w:rPr>
        <w:t>本产品或文档中的信息如有更改，恕不另行通知。如发现本产品或文档中有什么问题，请以书面形式向我们报告。</w:t>
      </w:r>
    </w:p>
    <w:p>
      <w:pPr>
        <w:rPr>
          <w:rFonts w:ascii="宋体" w:hAnsi="宋体"/>
          <w:szCs w:val="24"/>
        </w:rPr>
      </w:pPr>
      <w:r>
        <w:rPr>
          <w:rFonts w:hint="eastAsia" w:ascii="宋体" w:hAnsi="宋体"/>
          <w:szCs w:val="24"/>
        </w:rPr>
        <w:t>免责声明： Pack</w:t>
      </w:r>
      <w:r>
        <w:rPr>
          <w:rFonts w:ascii="宋体" w:hAnsi="宋体"/>
          <w:szCs w:val="24"/>
        </w:rPr>
        <w:t xml:space="preserve">Data </w:t>
      </w:r>
      <w:r>
        <w:rPr>
          <w:rFonts w:hint="eastAsia" w:ascii="宋体" w:hAnsi="宋体"/>
          <w:szCs w:val="24"/>
        </w:rPr>
        <w:t>北京派客动力科技有限公司以“原样”提供本文档，不附带任何明示或暗示的担保，包括但不限于非侵权、适销性或特定用途适用性的暗示担保。Pack</w:t>
      </w:r>
      <w:r>
        <w:rPr>
          <w:rFonts w:ascii="宋体" w:hAnsi="宋体"/>
          <w:szCs w:val="24"/>
        </w:rPr>
        <w:t xml:space="preserve">Data </w:t>
      </w:r>
      <w:r>
        <w:rPr>
          <w:rFonts w:hint="eastAsia" w:ascii="宋体" w:hAnsi="宋体"/>
          <w:szCs w:val="24"/>
        </w:rPr>
        <w:t>北京派客动力科技有限公司不保证本软件或文档中没有错误。本软件或文档中提供的信息可能包括技术上的不准确性或排字错误。本软件和文档中包含的信息随时可能更改，恕不另行通知。</w:t>
      </w:r>
    </w:p>
    <w:p/>
    <w:p/>
    <w:p/>
    <w:p/>
    <w:p/>
    <w:p/>
    <w:p/>
    <w:sdt>
      <w:sdtPr>
        <w:rPr>
          <w:rFonts w:ascii="Times New Roman" w:hAnsi="Times New Roman" w:eastAsia="宋体" w:cs="Times New Roman"/>
          <w:color w:val="auto"/>
          <w:kern w:val="2"/>
          <w:sz w:val="24"/>
          <w:szCs w:val="20"/>
          <w:lang w:val="zh-CN"/>
        </w:rPr>
        <w:id w:val="-1759980977"/>
        <w:docPartObj>
          <w:docPartGallery w:val="Table of Contents"/>
          <w:docPartUnique/>
        </w:docPartObj>
      </w:sdtPr>
      <w:sdtEndPr>
        <w:rPr>
          <w:rFonts w:ascii="Times New Roman" w:hAnsi="Times New Roman" w:eastAsia="宋体" w:cs="Times New Roman"/>
          <w:b/>
          <w:bCs/>
          <w:color w:val="auto"/>
          <w:kern w:val="2"/>
          <w:sz w:val="24"/>
          <w:szCs w:val="20"/>
          <w:lang w:val="zh-CN"/>
        </w:rPr>
      </w:sdtEndPr>
      <w:sdtContent>
        <w:p>
          <w:pPr>
            <w:pStyle w:val="29"/>
            <w:numPr>
              <w:ilvl w:val="0"/>
              <w:numId w:val="0"/>
            </w:numPr>
            <w:spacing w:before="0" w:line="240" w:lineRule="auto"/>
            <w:rPr>
              <w:rStyle w:val="26"/>
              <w:b/>
            </w:rPr>
          </w:pPr>
          <w:r>
            <w:rPr>
              <w:rStyle w:val="26"/>
              <w:b/>
            </w:rPr>
            <w:t>目录</w:t>
          </w:r>
        </w:p>
        <w:p>
          <w:pPr>
            <w:pStyle w:val="17"/>
            <w:tabs>
              <w:tab w:val="right" w:leader="dot" w:pos="8306"/>
            </w:tabs>
          </w:pPr>
          <w:r>
            <w:fldChar w:fldCharType="begin"/>
          </w:r>
          <w:r>
            <w:instrText xml:space="preserve"> TOC \o "1-3" \h \z \u </w:instrText>
          </w:r>
          <w:r>
            <w:fldChar w:fldCharType="separate"/>
          </w:r>
          <w:r>
            <w:fldChar w:fldCharType="begin"/>
          </w:r>
          <w:r>
            <w:instrText xml:space="preserve"> HYPERLINK \l _Toc15361 </w:instrText>
          </w:r>
          <w:r>
            <w:fldChar w:fldCharType="separate"/>
          </w:r>
          <w:r>
            <w:rPr>
              <w:rFonts w:hint="eastAsia"/>
              <w:lang w:eastAsia="zh-CN"/>
            </w:rPr>
            <w:t>第一章</w:t>
          </w:r>
          <w:r>
            <w:rPr>
              <w:rFonts w:hint="eastAsia"/>
              <w:lang w:val="en-US" w:eastAsia="zh-CN"/>
            </w:rPr>
            <w:t xml:space="preserve"> </w:t>
          </w:r>
          <w:r>
            <w:rPr>
              <w:rFonts w:hint="eastAsia"/>
            </w:rPr>
            <w:t>前言</w:t>
          </w:r>
          <w:r>
            <w:tab/>
          </w:r>
          <w:r>
            <w:fldChar w:fldCharType="begin"/>
          </w:r>
          <w:r>
            <w:instrText xml:space="preserve"> PAGEREF _Toc15361 \h </w:instrText>
          </w:r>
          <w:r>
            <w:fldChar w:fldCharType="separate"/>
          </w:r>
          <w:r>
            <w:t>5</w:t>
          </w:r>
          <w:r>
            <w:fldChar w:fldCharType="end"/>
          </w:r>
          <w:r>
            <w:fldChar w:fldCharType="end"/>
          </w:r>
        </w:p>
        <w:p>
          <w:pPr>
            <w:pStyle w:val="17"/>
            <w:tabs>
              <w:tab w:val="right" w:leader="dot" w:pos="8306"/>
            </w:tabs>
          </w:pPr>
          <w:r>
            <w:rPr>
              <w:bCs/>
              <w:lang w:val="zh-CN"/>
            </w:rPr>
            <w:fldChar w:fldCharType="begin"/>
          </w:r>
          <w:r>
            <w:rPr>
              <w:bCs/>
              <w:lang w:val="zh-CN"/>
            </w:rPr>
            <w:instrText xml:space="preserve"> HYPERLINK \l _Toc4288 </w:instrText>
          </w:r>
          <w:r>
            <w:rPr>
              <w:bCs/>
              <w:lang w:val="zh-CN"/>
            </w:rPr>
            <w:fldChar w:fldCharType="separate"/>
          </w:r>
          <w:r>
            <w:rPr>
              <w:rFonts w:hint="eastAsia"/>
              <w:szCs w:val="44"/>
              <w:lang w:eastAsia="zh-CN"/>
            </w:rPr>
            <w:t>第二章</w:t>
          </w:r>
          <w:r>
            <w:rPr>
              <w:rFonts w:hint="eastAsia"/>
              <w:szCs w:val="44"/>
              <w:lang w:val="en-US" w:eastAsia="zh-CN"/>
            </w:rPr>
            <w:t xml:space="preserve"> </w:t>
          </w:r>
          <w:r>
            <w:rPr>
              <w:rFonts w:hint="eastAsia"/>
              <w:szCs w:val="44"/>
            </w:rPr>
            <w:t>关于派客动力科技</w:t>
          </w:r>
          <w:r>
            <w:tab/>
          </w:r>
          <w:r>
            <w:fldChar w:fldCharType="begin"/>
          </w:r>
          <w:r>
            <w:instrText xml:space="preserve"> PAGEREF _Toc4288 \h </w:instrText>
          </w:r>
          <w:r>
            <w:fldChar w:fldCharType="separate"/>
          </w:r>
          <w:r>
            <w:t>6</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_Toc388 </w:instrText>
          </w:r>
          <w:r>
            <w:rPr>
              <w:bCs/>
              <w:lang w:val="zh-CN"/>
            </w:rPr>
            <w:fldChar w:fldCharType="separate"/>
          </w:r>
          <w:r>
            <w:rPr>
              <w:rFonts w:hint="eastAsia" w:ascii="宋体" w:hAnsi="宋体" w:eastAsia="宋体" w:cs="宋体"/>
            </w:rPr>
            <w:t>2.1 PackData 资源</w:t>
          </w:r>
          <w:r>
            <w:tab/>
          </w:r>
          <w:r>
            <w:fldChar w:fldCharType="begin"/>
          </w:r>
          <w:r>
            <w:instrText xml:space="preserve"> PAGEREF _Toc388 \h </w:instrText>
          </w:r>
          <w:r>
            <w:fldChar w:fldCharType="separate"/>
          </w:r>
          <w:r>
            <w:t>6</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_Toc16483 </w:instrText>
          </w:r>
          <w:r>
            <w:rPr>
              <w:bCs/>
              <w:lang w:val="zh-CN"/>
            </w:rPr>
            <w:fldChar w:fldCharType="separate"/>
          </w:r>
          <w:r>
            <w:rPr>
              <w:rFonts w:hint="eastAsia" w:ascii="宋体" w:hAnsi="宋体" w:eastAsia="宋体" w:cs="宋体"/>
              <w:szCs w:val="32"/>
            </w:rPr>
            <w:t>2.1.1 PackData 官方网站</w:t>
          </w:r>
          <w:r>
            <w:tab/>
          </w:r>
          <w:r>
            <w:fldChar w:fldCharType="begin"/>
          </w:r>
          <w:r>
            <w:instrText xml:space="preserve"> PAGEREF _Toc16483 \h </w:instrText>
          </w:r>
          <w:r>
            <w:fldChar w:fldCharType="separate"/>
          </w:r>
          <w:r>
            <w:t>6</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_Toc30133 </w:instrText>
          </w:r>
          <w:r>
            <w:rPr>
              <w:bCs/>
              <w:lang w:val="zh-CN"/>
            </w:rPr>
            <w:fldChar w:fldCharType="separate"/>
          </w:r>
          <w:r>
            <w:rPr>
              <w:rFonts w:hint="eastAsia" w:ascii="宋体" w:hAnsi="宋体" w:eastAsia="宋体" w:cs="宋体"/>
              <w:szCs w:val="32"/>
            </w:rPr>
            <w:t>2.1.2 PackData 产品文档</w:t>
          </w:r>
          <w:r>
            <w:tab/>
          </w:r>
          <w:r>
            <w:fldChar w:fldCharType="begin"/>
          </w:r>
          <w:r>
            <w:instrText xml:space="preserve"> PAGEREF _Toc30133 \h </w:instrText>
          </w:r>
          <w:r>
            <w:fldChar w:fldCharType="separate"/>
          </w:r>
          <w:r>
            <w:t>7</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_Toc20383 </w:instrText>
          </w:r>
          <w:r>
            <w:rPr>
              <w:bCs/>
              <w:lang w:val="zh-CN"/>
            </w:rPr>
            <w:fldChar w:fldCharType="separate"/>
          </w:r>
          <w:r>
            <w:rPr>
              <w:rFonts w:hint="eastAsia" w:ascii="宋体" w:hAnsi="宋体" w:eastAsia="宋体" w:cs="宋体"/>
              <w:szCs w:val="32"/>
            </w:rPr>
            <w:t>2.1.3 PackData 用户支持</w:t>
          </w:r>
          <w:r>
            <w:tab/>
          </w:r>
          <w:r>
            <w:fldChar w:fldCharType="begin"/>
          </w:r>
          <w:r>
            <w:instrText xml:space="preserve"> PAGEREF _Toc20383 \h </w:instrText>
          </w:r>
          <w:r>
            <w:fldChar w:fldCharType="separate"/>
          </w:r>
          <w:r>
            <w:t>7</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_Toc9521 </w:instrText>
          </w:r>
          <w:r>
            <w:rPr>
              <w:bCs/>
              <w:lang w:val="zh-CN"/>
            </w:rPr>
            <w:fldChar w:fldCharType="separate"/>
          </w:r>
          <w:r>
            <w:rPr>
              <w:rFonts w:hint="eastAsia" w:ascii="宋体" w:hAnsi="宋体" w:eastAsia="宋体" w:cs="宋体"/>
              <w:lang w:eastAsia="zh-CN"/>
            </w:rPr>
            <w:t>第三章</w:t>
          </w:r>
          <w:r>
            <w:rPr>
              <w:rFonts w:hint="eastAsia" w:ascii="宋体" w:hAnsi="宋体" w:eastAsia="宋体" w:cs="宋体"/>
            </w:rPr>
            <w:t>PackData分类分级入门</w:t>
          </w:r>
          <w:r>
            <w:tab/>
          </w:r>
          <w:r>
            <w:fldChar w:fldCharType="begin"/>
          </w:r>
          <w:r>
            <w:instrText xml:space="preserve"> PAGEREF _Toc9521 \h </w:instrText>
          </w:r>
          <w:r>
            <w:fldChar w:fldCharType="separate"/>
          </w:r>
          <w:r>
            <w:t>8</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_Toc18360 </w:instrText>
          </w:r>
          <w:r>
            <w:rPr>
              <w:bCs/>
              <w:lang w:val="zh-CN"/>
            </w:rPr>
            <w:fldChar w:fldCharType="separate"/>
          </w:r>
          <w:r>
            <w:rPr>
              <w:rFonts w:hint="eastAsia" w:ascii="宋体" w:hAnsi="宋体" w:eastAsia="宋体" w:cs="宋体"/>
              <w:lang w:val="en-US" w:eastAsia="zh-CN"/>
            </w:rPr>
            <w:t xml:space="preserve">3.1 </w:t>
          </w:r>
          <w:r>
            <w:rPr>
              <w:rFonts w:hint="eastAsia" w:ascii="宋体" w:hAnsi="宋体" w:eastAsia="宋体" w:cs="宋体"/>
            </w:rPr>
            <w:t>PackData数据分类分级概述</w:t>
          </w:r>
          <w:r>
            <w:tab/>
          </w:r>
          <w:r>
            <w:fldChar w:fldCharType="begin"/>
          </w:r>
          <w:r>
            <w:instrText xml:space="preserve"> PAGEREF _Toc18360 \h </w:instrText>
          </w:r>
          <w:r>
            <w:fldChar w:fldCharType="separate"/>
          </w:r>
          <w:r>
            <w:t>8</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_Toc20193 </w:instrText>
          </w:r>
          <w:r>
            <w:rPr>
              <w:bCs/>
              <w:lang w:val="zh-CN"/>
            </w:rPr>
            <w:fldChar w:fldCharType="separate"/>
          </w:r>
          <w:r>
            <w:rPr>
              <w:rFonts w:hint="eastAsia" w:ascii="宋体" w:hAnsi="宋体" w:eastAsia="宋体" w:cs="宋体"/>
              <w:lang w:val="en-US" w:eastAsia="zh-CN"/>
            </w:rPr>
            <w:t xml:space="preserve">3.2 </w:t>
          </w:r>
          <w:r>
            <w:rPr>
              <w:rFonts w:hint="eastAsia" w:ascii="宋体" w:hAnsi="宋体" w:eastAsia="宋体" w:cs="宋体"/>
            </w:rPr>
            <w:t>PackData数据分类分级系统</w:t>
          </w:r>
          <w:r>
            <w:tab/>
          </w:r>
          <w:r>
            <w:fldChar w:fldCharType="begin"/>
          </w:r>
          <w:r>
            <w:instrText xml:space="preserve"> PAGEREF _Toc20193 \h </w:instrText>
          </w:r>
          <w:r>
            <w:fldChar w:fldCharType="separate"/>
          </w:r>
          <w:r>
            <w:t>8</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_Toc9179 </w:instrText>
          </w:r>
          <w:r>
            <w:rPr>
              <w:bCs/>
              <w:lang w:val="zh-CN"/>
            </w:rPr>
            <w:fldChar w:fldCharType="separate"/>
          </w:r>
          <w:r>
            <w:rPr>
              <w:rFonts w:hint="eastAsia" w:ascii="宋体" w:hAnsi="宋体" w:eastAsia="宋体" w:cs="宋体"/>
              <w:lang w:val="en-US" w:eastAsia="zh-CN"/>
            </w:rPr>
            <w:t>3.3 PackData数据分类分级系统核心能力</w:t>
          </w:r>
          <w:r>
            <w:tab/>
          </w:r>
          <w:r>
            <w:fldChar w:fldCharType="begin"/>
          </w:r>
          <w:r>
            <w:instrText xml:space="preserve"> PAGEREF _Toc9179 \h </w:instrText>
          </w:r>
          <w:r>
            <w:fldChar w:fldCharType="separate"/>
          </w:r>
          <w:r>
            <w:t>9</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_Toc378 </w:instrText>
          </w:r>
          <w:r>
            <w:rPr>
              <w:bCs/>
              <w:lang w:val="zh-CN"/>
            </w:rPr>
            <w:fldChar w:fldCharType="separate"/>
          </w:r>
          <w:r>
            <w:rPr>
              <w:rFonts w:hint="eastAsia" w:ascii="宋体" w:hAnsi="宋体" w:eastAsia="宋体" w:cs="宋体"/>
              <w:lang w:val="en-US" w:eastAsia="zh-CN"/>
            </w:rPr>
            <w:t xml:space="preserve">3.4 </w:t>
          </w:r>
          <w:r>
            <w:rPr>
              <w:rFonts w:hint="eastAsia" w:ascii="宋体" w:hAnsi="宋体" w:eastAsia="宋体" w:cs="宋体"/>
            </w:rPr>
            <w:t>PackData数据分类分级系统客户价值</w:t>
          </w:r>
          <w:r>
            <w:tab/>
          </w:r>
          <w:r>
            <w:fldChar w:fldCharType="begin"/>
          </w:r>
          <w:r>
            <w:instrText xml:space="preserve"> PAGEREF _Toc378 \h </w:instrText>
          </w:r>
          <w:r>
            <w:fldChar w:fldCharType="separate"/>
          </w:r>
          <w:r>
            <w:t>10</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_Toc16167 </w:instrText>
          </w:r>
          <w:r>
            <w:rPr>
              <w:bCs/>
              <w:lang w:val="zh-CN"/>
            </w:rPr>
            <w:fldChar w:fldCharType="separate"/>
          </w:r>
          <w:r>
            <w:rPr>
              <w:rFonts w:hint="eastAsia" w:ascii="宋体" w:hAnsi="宋体" w:eastAsia="宋体" w:cs="宋体"/>
              <w:bCs/>
              <w:lang w:val="en-US" w:eastAsia="zh-CN"/>
            </w:rPr>
            <w:t xml:space="preserve">3.4.1 </w:t>
          </w:r>
          <w:r>
            <w:rPr>
              <w:rFonts w:hint="eastAsia" w:ascii="宋体" w:hAnsi="宋体" w:eastAsia="宋体" w:cs="宋体"/>
              <w:bCs/>
            </w:rPr>
            <w:t>版本管理</w:t>
          </w:r>
          <w:r>
            <w:tab/>
          </w:r>
          <w:r>
            <w:fldChar w:fldCharType="begin"/>
          </w:r>
          <w:r>
            <w:instrText xml:space="preserve"> PAGEREF _Toc16167 \h </w:instrText>
          </w:r>
          <w:r>
            <w:fldChar w:fldCharType="separate"/>
          </w:r>
          <w:r>
            <w:t>10</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_Toc32248 </w:instrText>
          </w:r>
          <w:r>
            <w:rPr>
              <w:bCs/>
              <w:lang w:val="zh-CN"/>
            </w:rPr>
            <w:fldChar w:fldCharType="separate"/>
          </w:r>
          <w:r>
            <w:rPr>
              <w:rFonts w:hint="eastAsia" w:ascii="宋体" w:hAnsi="宋体" w:eastAsia="宋体" w:cs="宋体"/>
              <w:bCs/>
              <w:lang w:val="en-US" w:eastAsia="zh-CN"/>
            </w:rPr>
            <w:t xml:space="preserve">3.4.2 </w:t>
          </w:r>
          <w:r>
            <w:rPr>
              <w:rFonts w:hint="eastAsia" w:ascii="宋体" w:hAnsi="宋体" w:eastAsia="宋体" w:cs="宋体"/>
              <w:bCs/>
            </w:rPr>
            <w:t>数据分类</w:t>
          </w:r>
          <w:r>
            <w:tab/>
          </w:r>
          <w:r>
            <w:fldChar w:fldCharType="begin"/>
          </w:r>
          <w:r>
            <w:instrText xml:space="preserve"> PAGEREF _Toc32248 \h </w:instrText>
          </w:r>
          <w:r>
            <w:fldChar w:fldCharType="separate"/>
          </w:r>
          <w:r>
            <w:t>10</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_Toc10157 </w:instrText>
          </w:r>
          <w:r>
            <w:rPr>
              <w:bCs/>
              <w:lang w:val="zh-CN"/>
            </w:rPr>
            <w:fldChar w:fldCharType="separate"/>
          </w:r>
          <w:r>
            <w:rPr>
              <w:rFonts w:hint="eastAsia" w:ascii="宋体" w:hAnsi="宋体" w:eastAsia="宋体" w:cs="宋体"/>
              <w:lang w:val="en-US" w:eastAsia="zh-CN"/>
            </w:rPr>
            <w:t xml:space="preserve">3.4.3 </w:t>
          </w:r>
          <w:r>
            <w:rPr>
              <w:rFonts w:hint="eastAsia" w:ascii="宋体" w:hAnsi="宋体" w:eastAsia="宋体" w:cs="宋体"/>
            </w:rPr>
            <w:t>数据分级</w:t>
          </w:r>
          <w:r>
            <w:tab/>
          </w:r>
          <w:r>
            <w:fldChar w:fldCharType="begin"/>
          </w:r>
          <w:r>
            <w:instrText xml:space="preserve"> PAGEREF _Toc10157 \h </w:instrText>
          </w:r>
          <w:r>
            <w:fldChar w:fldCharType="separate"/>
          </w:r>
          <w:r>
            <w:t>11</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_Toc20226 </w:instrText>
          </w:r>
          <w:r>
            <w:rPr>
              <w:bCs/>
              <w:lang w:val="zh-CN"/>
            </w:rPr>
            <w:fldChar w:fldCharType="separate"/>
          </w:r>
          <w:r>
            <w:rPr>
              <w:rFonts w:hint="eastAsia" w:ascii="宋体" w:hAnsi="宋体" w:eastAsia="宋体" w:cs="宋体"/>
              <w:lang w:val="en-US" w:eastAsia="zh-CN"/>
            </w:rPr>
            <w:t xml:space="preserve">3.4.4 </w:t>
          </w:r>
          <w:r>
            <w:rPr>
              <w:rFonts w:hint="eastAsia" w:ascii="宋体" w:hAnsi="宋体" w:eastAsia="宋体" w:cs="宋体"/>
            </w:rPr>
            <w:t>数据合规</w:t>
          </w:r>
          <w:r>
            <w:tab/>
          </w:r>
          <w:r>
            <w:fldChar w:fldCharType="begin"/>
          </w:r>
          <w:r>
            <w:instrText xml:space="preserve"> PAGEREF _Toc20226 \h </w:instrText>
          </w:r>
          <w:r>
            <w:fldChar w:fldCharType="separate"/>
          </w:r>
          <w:r>
            <w:t>11</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_Toc9942 </w:instrText>
          </w:r>
          <w:r>
            <w:rPr>
              <w:bCs/>
              <w:lang w:val="zh-CN"/>
            </w:rPr>
            <w:fldChar w:fldCharType="separate"/>
          </w:r>
          <w:r>
            <w:rPr>
              <w:rFonts w:hint="eastAsia" w:ascii="宋体" w:hAnsi="宋体" w:eastAsia="宋体" w:cs="宋体"/>
              <w:lang w:val="en-US" w:eastAsia="zh-CN"/>
            </w:rPr>
            <w:t xml:space="preserve">3.5 </w:t>
          </w:r>
          <w:r>
            <w:rPr>
              <w:rFonts w:hint="eastAsia" w:ascii="宋体" w:hAnsi="宋体" w:eastAsia="宋体" w:cs="宋体"/>
            </w:rPr>
            <w:t>PackData数据分类分级系统产品优势</w:t>
          </w:r>
          <w:r>
            <w:tab/>
          </w:r>
          <w:r>
            <w:fldChar w:fldCharType="begin"/>
          </w:r>
          <w:r>
            <w:instrText xml:space="preserve"> PAGEREF _Toc9942 \h </w:instrText>
          </w:r>
          <w:r>
            <w:fldChar w:fldCharType="separate"/>
          </w:r>
          <w:r>
            <w:t>11</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_Toc17494 </w:instrText>
          </w:r>
          <w:r>
            <w:rPr>
              <w:bCs/>
              <w:lang w:val="zh-CN"/>
            </w:rPr>
            <w:fldChar w:fldCharType="separate"/>
          </w:r>
          <w:r>
            <w:rPr>
              <w:rFonts w:hint="eastAsia" w:ascii="宋体" w:hAnsi="宋体" w:eastAsia="宋体" w:cs="宋体"/>
              <w:lang w:val="en-US" w:eastAsia="zh-CN"/>
            </w:rPr>
            <w:t xml:space="preserve">3.5.1 </w:t>
          </w:r>
          <w:r>
            <w:rPr>
              <w:rFonts w:hint="eastAsia" w:ascii="宋体" w:hAnsi="宋体" w:eastAsia="宋体" w:cs="宋体"/>
            </w:rPr>
            <w:t>完整的数据分类分级体系</w:t>
          </w:r>
          <w:r>
            <w:tab/>
          </w:r>
          <w:r>
            <w:fldChar w:fldCharType="begin"/>
          </w:r>
          <w:r>
            <w:instrText xml:space="preserve"> PAGEREF _Toc17494 \h </w:instrText>
          </w:r>
          <w:r>
            <w:fldChar w:fldCharType="separate"/>
          </w:r>
          <w:r>
            <w:t>12</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_Toc4493 </w:instrText>
          </w:r>
          <w:r>
            <w:rPr>
              <w:bCs/>
              <w:lang w:val="zh-CN"/>
            </w:rPr>
            <w:fldChar w:fldCharType="separate"/>
          </w:r>
          <w:r>
            <w:rPr>
              <w:rFonts w:hint="eastAsia" w:ascii="宋体" w:hAnsi="宋体" w:eastAsia="宋体" w:cs="宋体"/>
              <w:lang w:val="en-US" w:eastAsia="zh-CN"/>
            </w:rPr>
            <w:t xml:space="preserve">3.5.2 </w:t>
          </w:r>
          <w:r>
            <w:rPr>
              <w:rFonts w:hint="eastAsia" w:ascii="宋体" w:hAnsi="宋体" w:eastAsia="宋体" w:cs="宋体"/>
            </w:rPr>
            <w:t>自动化的数据分类分级方法</w:t>
          </w:r>
          <w:r>
            <w:tab/>
          </w:r>
          <w:r>
            <w:fldChar w:fldCharType="begin"/>
          </w:r>
          <w:r>
            <w:instrText xml:space="preserve"> PAGEREF _Toc4493 \h </w:instrText>
          </w:r>
          <w:r>
            <w:fldChar w:fldCharType="separate"/>
          </w:r>
          <w:r>
            <w:t>12</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_Toc15025 </w:instrText>
          </w:r>
          <w:r>
            <w:rPr>
              <w:bCs/>
              <w:lang w:val="zh-CN"/>
            </w:rPr>
            <w:fldChar w:fldCharType="separate"/>
          </w:r>
          <w:r>
            <w:rPr>
              <w:rFonts w:hint="eastAsia" w:ascii="宋体" w:hAnsi="宋体" w:eastAsia="宋体" w:cs="宋体"/>
              <w:lang w:val="en-US" w:eastAsia="zh-CN"/>
            </w:rPr>
            <w:t xml:space="preserve">3.5.3 </w:t>
          </w:r>
          <w:r>
            <w:rPr>
              <w:rFonts w:hint="eastAsia" w:ascii="宋体" w:hAnsi="宋体" w:eastAsia="宋体" w:cs="宋体"/>
            </w:rPr>
            <w:t>支持多样化的部署环境</w:t>
          </w:r>
          <w:r>
            <w:tab/>
          </w:r>
          <w:r>
            <w:fldChar w:fldCharType="begin"/>
          </w:r>
          <w:r>
            <w:instrText xml:space="preserve"> PAGEREF _Toc15025 \h </w:instrText>
          </w:r>
          <w:r>
            <w:fldChar w:fldCharType="separate"/>
          </w:r>
          <w:r>
            <w:t>13</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_Toc18204 </w:instrText>
          </w:r>
          <w:r>
            <w:rPr>
              <w:bCs/>
              <w:lang w:val="zh-CN"/>
            </w:rPr>
            <w:fldChar w:fldCharType="separate"/>
          </w:r>
          <w:r>
            <w:rPr>
              <w:rFonts w:hint="eastAsia" w:ascii="宋体" w:hAnsi="宋体" w:eastAsia="宋体" w:cs="宋体"/>
              <w:lang w:eastAsia="zh-CN"/>
            </w:rPr>
            <w:t>第四章</w:t>
          </w:r>
          <w:r>
            <w:rPr>
              <w:rFonts w:hint="eastAsia" w:ascii="宋体" w:hAnsi="宋体" w:eastAsia="宋体" w:cs="宋体"/>
              <w:lang w:val="en-US" w:eastAsia="zh-CN"/>
            </w:rPr>
            <w:t xml:space="preserve"> </w:t>
          </w:r>
          <w:r>
            <w:rPr>
              <w:rFonts w:hint="eastAsia" w:ascii="宋体" w:hAnsi="宋体" w:eastAsia="宋体" w:cs="宋体"/>
            </w:rPr>
            <w:t>PackData数据分类分级系统教程</w:t>
          </w:r>
          <w:r>
            <w:tab/>
          </w:r>
          <w:r>
            <w:fldChar w:fldCharType="begin"/>
          </w:r>
          <w:r>
            <w:instrText xml:space="preserve"> PAGEREF _Toc18204 \h </w:instrText>
          </w:r>
          <w:r>
            <w:fldChar w:fldCharType="separate"/>
          </w:r>
          <w:r>
            <w:t>14</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_Toc7113 </w:instrText>
          </w:r>
          <w:r>
            <w:rPr>
              <w:bCs/>
              <w:lang w:val="zh-CN"/>
            </w:rPr>
            <w:fldChar w:fldCharType="separate"/>
          </w:r>
          <w:r>
            <w:rPr>
              <w:rFonts w:hint="eastAsia" w:ascii="宋体" w:hAnsi="宋体" w:eastAsia="宋体" w:cs="宋体"/>
              <w:lang w:val="en-US" w:eastAsia="zh-CN"/>
            </w:rPr>
            <w:t xml:space="preserve">4.1 </w:t>
          </w:r>
          <w:r>
            <w:rPr>
              <w:rFonts w:hint="eastAsia" w:ascii="宋体" w:hAnsi="宋体" w:eastAsia="宋体" w:cs="宋体"/>
            </w:rPr>
            <w:t>产品概述</w:t>
          </w:r>
          <w:r>
            <w:tab/>
          </w:r>
          <w:r>
            <w:fldChar w:fldCharType="begin"/>
          </w:r>
          <w:r>
            <w:instrText xml:space="preserve"> PAGEREF _Toc7113 \h </w:instrText>
          </w:r>
          <w:r>
            <w:fldChar w:fldCharType="separate"/>
          </w:r>
          <w:r>
            <w:t>14</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_Toc15269 </w:instrText>
          </w:r>
          <w:r>
            <w:rPr>
              <w:bCs/>
              <w:lang w:val="zh-CN"/>
            </w:rPr>
            <w:fldChar w:fldCharType="separate"/>
          </w:r>
          <w:r>
            <w:rPr>
              <w:rFonts w:hint="eastAsia" w:ascii="宋体" w:hAnsi="宋体" w:eastAsia="宋体" w:cs="宋体"/>
              <w:lang w:val="en-US" w:eastAsia="zh-CN"/>
            </w:rPr>
            <w:t xml:space="preserve">4.2 </w:t>
          </w:r>
          <w:r>
            <w:rPr>
              <w:rFonts w:hint="eastAsia" w:ascii="宋体" w:hAnsi="宋体" w:eastAsia="宋体" w:cs="宋体"/>
            </w:rPr>
            <w:t>操作流程</w:t>
          </w:r>
          <w:r>
            <w:tab/>
          </w:r>
          <w:r>
            <w:fldChar w:fldCharType="begin"/>
          </w:r>
          <w:r>
            <w:instrText xml:space="preserve"> PAGEREF _Toc15269 \h </w:instrText>
          </w:r>
          <w:r>
            <w:fldChar w:fldCharType="separate"/>
          </w:r>
          <w:r>
            <w:t>14</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_Toc8025 </w:instrText>
          </w:r>
          <w:r>
            <w:rPr>
              <w:bCs/>
              <w:lang w:val="zh-CN"/>
            </w:rPr>
            <w:fldChar w:fldCharType="separate"/>
          </w:r>
          <w:r>
            <w:rPr>
              <w:rFonts w:hint="eastAsia" w:ascii="宋体" w:hAnsi="宋体" w:eastAsia="宋体" w:cs="宋体"/>
              <w:lang w:val="en-US" w:eastAsia="zh-CN"/>
            </w:rPr>
            <w:t xml:space="preserve">4.2.1 </w:t>
          </w:r>
          <w:r>
            <w:rPr>
              <w:rFonts w:hint="eastAsia" w:ascii="宋体" w:hAnsi="宋体" w:eastAsia="宋体" w:cs="宋体"/>
            </w:rPr>
            <w:t>分类分级体系定义</w:t>
          </w:r>
          <w:r>
            <w:tab/>
          </w:r>
          <w:r>
            <w:fldChar w:fldCharType="begin"/>
          </w:r>
          <w:r>
            <w:instrText xml:space="preserve"> PAGEREF _Toc8025 \h </w:instrText>
          </w:r>
          <w:r>
            <w:fldChar w:fldCharType="separate"/>
          </w:r>
          <w:r>
            <w:t>14</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_Toc5012 </w:instrText>
          </w:r>
          <w:r>
            <w:rPr>
              <w:bCs/>
              <w:lang w:val="zh-CN"/>
            </w:rPr>
            <w:fldChar w:fldCharType="separate"/>
          </w:r>
          <w:r>
            <w:rPr>
              <w:rFonts w:hint="eastAsia" w:ascii="宋体" w:hAnsi="宋体" w:eastAsia="宋体" w:cs="宋体"/>
            </w:rPr>
            <w:t>4.2.2 业务数据的管理</w:t>
          </w:r>
          <w:r>
            <w:tab/>
          </w:r>
          <w:r>
            <w:fldChar w:fldCharType="begin"/>
          </w:r>
          <w:r>
            <w:instrText xml:space="preserve"> PAGEREF _Toc5012 \h </w:instrText>
          </w:r>
          <w:r>
            <w:fldChar w:fldCharType="separate"/>
          </w:r>
          <w:r>
            <w:t>17</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_Toc23888 </w:instrText>
          </w:r>
          <w:r>
            <w:rPr>
              <w:bCs/>
              <w:lang w:val="zh-CN"/>
            </w:rPr>
            <w:fldChar w:fldCharType="separate"/>
          </w:r>
          <w:r>
            <w:rPr>
              <w:rFonts w:hint="eastAsia" w:ascii="宋体" w:hAnsi="宋体" w:eastAsia="宋体" w:cs="宋体"/>
            </w:rPr>
            <w:t>4.2.3 分类分级结果展示</w:t>
          </w:r>
          <w:r>
            <w:tab/>
          </w:r>
          <w:r>
            <w:fldChar w:fldCharType="begin"/>
          </w:r>
          <w:r>
            <w:instrText xml:space="preserve"> PAGEREF _Toc23888 \h </w:instrText>
          </w:r>
          <w:r>
            <w:fldChar w:fldCharType="separate"/>
          </w:r>
          <w:r>
            <w:t>19</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_Toc16261 </w:instrText>
          </w:r>
          <w:r>
            <w:rPr>
              <w:bCs/>
              <w:lang w:val="zh-CN"/>
            </w:rPr>
            <w:fldChar w:fldCharType="separate"/>
          </w:r>
          <w:r>
            <w:rPr>
              <w:rFonts w:hint="eastAsia"/>
              <w:lang w:eastAsia="zh-CN"/>
            </w:rPr>
            <w:t>第五章</w:t>
          </w:r>
          <w:r>
            <w:rPr>
              <w:rFonts w:hint="eastAsia"/>
              <w:lang w:val="en-US" w:eastAsia="zh-CN"/>
            </w:rPr>
            <w:t xml:space="preserve"> </w:t>
          </w:r>
          <w:r>
            <w:rPr>
              <w:rFonts w:hint="eastAsia"/>
            </w:rPr>
            <w:t>场景化使用</w:t>
          </w:r>
          <w:r>
            <w:tab/>
          </w:r>
          <w:r>
            <w:fldChar w:fldCharType="begin"/>
          </w:r>
          <w:r>
            <w:instrText xml:space="preserve"> PAGEREF _Toc16261 \h </w:instrText>
          </w:r>
          <w:r>
            <w:fldChar w:fldCharType="separate"/>
          </w:r>
          <w:r>
            <w:t>21</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_Toc665 </w:instrText>
          </w:r>
          <w:r>
            <w:rPr>
              <w:bCs/>
              <w:lang w:val="zh-CN"/>
            </w:rPr>
            <w:fldChar w:fldCharType="separate"/>
          </w:r>
          <w:r>
            <w:rPr>
              <w:rFonts w:hint="eastAsia" w:ascii="宋体" w:hAnsi="宋体" w:eastAsia="宋体" w:cs="宋体"/>
              <w:lang w:val="en-US" w:eastAsia="zh-CN"/>
            </w:rPr>
            <w:t xml:space="preserve">5.1 </w:t>
          </w:r>
          <w:r>
            <w:rPr>
              <w:rFonts w:hint="eastAsia" w:ascii="宋体" w:hAnsi="宋体" w:eastAsia="宋体" w:cs="宋体"/>
            </w:rPr>
            <w:t>合规分析</w:t>
          </w:r>
          <w:r>
            <w:tab/>
          </w:r>
          <w:r>
            <w:fldChar w:fldCharType="begin"/>
          </w:r>
          <w:r>
            <w:instrText xml:space="preserve"> PAGEREF _Toc665 \h </w:instrText>
          </w:r>
          <w:r>
            <w:fldChar w:fldCharType="separate"/>
          </w:r>
          <w:r>
            <w:t>21</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_Toc17520 </w:instrText>
          </w:r>
          <w:r>
            <w:rPr>
              <w:bCs/>
              <w:lang w:val="zh-CN"/>
            </w:rPr>
            <w:fldChar w:fldCharType="separate"/>
          </w:r>
          <w:r>
            <w:rPr>
              <w:rFonts w:hint="eastAsia" w:ascii="宋体" w:hAnsi="宋体" w:eastAsia="宋体" w:cs="宋体"/>
              <w:lang w:val="en-US" w:eastAsia="zh-CN"/>
            </w:rPr>
            <w:t xml:space="preserve">5.2 </w:t>
          </w:r>
          <w:r>
            <w:rPr>
              <w:rFonts w:hint="eastAsia" w:ascii="宋体" w:hAnsi="宋体" w:eastAsia="宋体" w:cs="宋体"/>
            </w:rPr>
            <w:t>业务系统/项目分析</w:t>
          </w:r>
          <w:r>
            <w:tab/>
          </w:r>
          <w:r>
            <w:fldChar w:fldCharType="begin"/>
          </w:r>
          <w:r>
            <w:instrText xml:space="preserve"> PAGEREF _Toc17520 \h </w:instrText>
          </w:r>
          <w:r>
            <w:fldChar w:fldCharType="separate"/>
          </w:r>
          <w:r>
            <w:t>21</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_Toc17698 </w:instrText>
          </w:r>
          <w:r>
            <w:rPr>
              <w:bCs/>
              <w:lang w:val="zh-CN"/>
            </w:rPr>
            <w:fldChar w:fldCharType="separate"/>
          </w:r>
          <w:r>
            <w:rPr>
              <w:rFonts w:hint="eastAsia" w:ascii="宋体" w:hAnsi="宋体" w:eastAsia="宋体" w:cs="宋体"/>
              <w:lang w:val="en-US" w:eastAsia="zh-CN"/>
            </w:rPr>
            <w:t xml:space="preserve">5.3 </w:t>
          </w:r>
          <w:r>
            <w:rPr>
              <w:rFonts w:hint="eastAsia" w:ascii="宋体" w:hAnsi="宋体" w:eastAsia="宋体" w:cs="宋体"/>
            </w:rPr>
            <w:t>数据源类型分析</w:t>
          </w:r>
          <w:r>
            <w:tab/>
          </w:r>
          <w:r>
            <w:fldChar w:fldCharType="begin"/>
          </w:r>
          <w:r>
            <w:instrText xml:space="preserve"> PAGEREF _Toc17698 \h </w:instrText>
          </w:r>
          <w:r>
            <w:fldChar w:fldCharType="separate"/>
          </w:r>
          <w:r>
            <w:t>22</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_Toc31256 </w:instrText>
          </w:r>
          <w:r>
            <w:rPr>
              <w:bCs/>
              <w:lang w:val="zh-CN"/>
            </w:rPr>
            <w:fldChar w:fldCharType="separate"/>
          </w:r>
          <w:r>
            <w:rPr>
              <w:rFonts w:hint="eastAsia" w:ascii="宋体" w:hAnsi="宋体" w:eastAsia="宋体" w:cs="宋体"/>
              <w:lang w:val="en-US" w:eastAsia="zh-CN"/>
            </w:rPr>
            <w:t xml:space="preserve">5.4 </w:t>
          </w:r>
          <w:r>
            <w:rPr>
              <w:rFonts w:hint="eastAsia" w:ascii="宋体" w:hAnsi="宋体" w:eastAsia="宋体" w:cs="宋体"/>
            </w:rPr>
            <w:t>多套分类分级体系</w:t>
          </w:r>
          <w:r>
            <w:tab/>
          </w:r>
          <w:r>
            <w:fldChar w:fldCharType="begin"/>
          </w:r>
          <w:r>
            <w:instrText xml:space="preserve"> PAGEREF _Toc31256 \h </w:instrText>
          </w:r>
          <w:r>
            <w:fldChar w:fldCharType="separate"/>
          </w:r>
          <w:r>
            <w:t>23</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_Toc22786 </w:instrText>
          </w:r>
          <w:r>
            <w:rPr>
              <w:bCs/>
              <w:lang w:val="zh-CN"/>
            </w:rPr>
            <w:fldChar w:fldCharType="separate"/>
          </w:r>
          <w:r>
            <w:rPr>
              <w:rFonts w:hint="eastAsia"/>
              <w:lang w:eastAsia="zh-CN"/>
            </w:rPr>
            <w:t>第六章</w:t>
          </w:r>
          <w:r>
            <w:rPr>
              <w:rFonts w:hint="eastAsia"/>
              <w:lang w:val="en-US" w:eastAsia="zh-CN"/>
            </w:rPr>
            <w:t xml:space="preserve"> </w:t>
          </w:r>
          <w:r>
            <w:rPr>
              <w:rFonts w:hint="eastAsia"/>
              <w:lang w:eastAsia="zh-CN"/>
            </w:rPr>
            <w:t>服务能力</w:t>
          </w:r>
          <w:r>
            <w:tab/>
          </w:r>
          <w:r>
            <w:fldChar w:fldCharType="begin"/>
          </w:r>
          <w:r>
            <w:instrText xml:space="preserve"> PAGEREF _Toc22786 \h </w:instrText>
          </w:r>
          <w:r>
            <w:fldChar w:fldCharType="separate"/>
          </w:r>
          <w:r>
            <w:t>24</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_Toc6672 </w:instrText>
          </w:r>
          <w:r>
            <w:rPr>
              <w:bCs/>
              <w:lang w:val="zh-CN"/>
            </w:rPr>
            <w:fldChar w:fldCharType="separate"/>
          </w:r>
          <w:r>
            <w:rPr>
              <w:rFonts w:hint="eastAsia" w:ascii="宋体" w:hAnsi="宋体" w:eastAsia="宋体" w:cs="宋体"/>
              <w:lang w:val="en-US" w:eastAsia="zh-CN"/>
            </w:rPr>
            <w:t xml:space="preserve">6.1 </w:t>
          </w:r>
          <w:r>
            <w:rPr>
              <w:rFonts w:hint="eastAsia" w:ascii="宋体" w:hAnsi="宋体" w:eastAsia="宋体" w:cs="宋体"/>
            </w:rPr>
            <w:t>数据资产管理</w:t>
          </w:r>
          <w:r>
            <w:tab/>
          </w:r>
          <w:r>
            <w:fldChar w:fldCharType="begin"/>
          </w:r>
          <w:r>
            <w:instrText xml:space="preserve"> PAGEREF _Toc6672 \h </w:instrText>
          </w:r>
          <w:r>
            <w:fldChar w:fldCharType="separate"/>
          </w:r>
          <w:r>
            <w:t>24</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_Toc30706 </w:instrText>
          </w:r>
          <w:r>
            <w:rPr>
              <w:bCs/>
              <w:lang w:val="zh-CN"/>
            </w:rPr>
            <w:fldChar w:fldCharType="separate"/>
          </w:r>
          <w:r>
            <w:rPr>
              <w:rFonts w:hint="eastAsia" w:ascii="宋体" w:hAnsi="宋体" w:eastAsia="宋体" w:cs="宋体"/>
              <w:lang w:val="en-US" w:eastAsia="zh-CN"/>
            </w:rPr>
            <w:t xml:space="preserve">6.2 </w:t>
          </w:r>
          <w:r>
            <w:rPr>
              <w:rFonts w:hint="eastAsia" w:ascii="宋体" w:hAnsi="宋体" w:eastAsia="宋体" w:cs="宋体"/>
            </w:rPr>
            <w:t>安全态势感知</w:t>
          </w:r>
          <w:r>
            <w:tab/>
          </w:r>
          <w:r>
            <w:fldChar w:fldCharType="begin"/>
          </w:r>
          <w:r>
            <w:instrText xml:space="preserve"> PAGEREF _Toc30706 \h </w:instrText>
          </w:r>
          <w:r>
            <w:fldChar w:fldCharType="separate"/>
          </w:r>
          <w:r>
            <w:t>24</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_Toc3031 </w:instrText>
          </w:r>
          <w:r>
            <w:rPr>
              <w:bCs/>
              <w:lang w:val="zh-CN"/>
            </w:rPr>
            <w:fldChar w:fldCharType="separate"/>
          </w:r>
          <w:r>
            <w:rPr>
              <w:rFonts w:hint="eastAsia" w:ascii="宋体" w:hAnsi="宋体" w:eastAsia="宋体" w:cs="宋体"/>
              <w:lang w:eastAsia="zh-CN"/>
            </w:rPr>
            <w:t>第七章</w:t>
          </w:r>
          <w:r>
            <w:rPr>
              <w:rFonts w:hint="eastAsia" w:ascii="宋体" w:hAnsi="宋体" w:eastAsia="宋体" w:cs="宋体"/>
              <w:lang w:val="en-US" w:eastAsia="zh-CN"/>
            </w:rPr>
            <w:t xml:space="preserve"> </w:t>
          </w:r>
          <w:r>
            <w:rPr>
              <w:rFonts w:hint="eastAsia" w:ascii="宋体" w:hAnsi="宋体" w:eastAsia="宋体" w:cs="宋体"/>
            </w:rPr>
            <w:t>PackData数据分类分级系统部署</w:t>
          </w:r>
          <w:r>
            <w:tab/>
          </w:r>
          <w:r>
            <w:fldChar w:fldCharType="begin"/>
          </w:r>
          <w:r>
            <w:instrText xml:space="preserve"> PAGEREF _Toc3031 \h </w:instrText>
          </w:r>
          <w:r>
            <w:fldChar w:fldCharType="separate"/>
          </w:r>
          <w:r>
            <w:t>25</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_Toc21881 </w:instrText>
          </w:r>
          <w:r>
            <w:rPr>
              <w:bCs/>
              <w:lang w:val="zh-CN"/>
            </w:rPr>
            <w:fldChar w:fldCharType="separate"/>
          </w:r>
          <w:r>
            <w:rPr>
              <w:rFonts w:hint="eastAsia" w:ascii="宋体" w:hAnsi="宋体" w:eastAsia="宋体" w:cs="宋体"/>
              <w:lang w:val="en-US" w:eastAsia="zh-CN"/>
            </w:rPr>
            <w:t xml:space="preserve">7.1 </w:t>
          </w:r>
          <w:r>
            <w:rPr>
              <w:rFonts w:hint="eastAsia" w:ascii="宋体" w:hAnsi="宋体" w:eastAsia="宋体" w:cs="宋体"/>
            </w:rPr>
            <w:t>配置PackData 分类分级平台概述</w:t>
          </w:r>
          <w:r>
            <w:tab/>
          </w:r>
          <w:r>
            <w:fldChar w:fldCharType="begin"/>
          </w:r>
          <w:r>
            <w:instrText xml:space="preserve"> PAGEREF _Toc21881 \h </w:instrText>
          </w:r>
          <w:r>
            <w:fldChar w:fldCharType="separate"/>
          </w:r>
          <w:r>
            <w:t>25</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_Toc32468 </w:instrText>
          </w:r>
          <w:r>
            <w:rPr>
              <w:bCs/>
              <w:lang w:val="zh-CN"/>
            </w:rPr>
            <w:fldChar w:fldCharType="separate"/>
          </w:r>
          <w:r>
            <w:rPr>
              <w:rFonts w:hint="eastAsia" w:ascii="宋体" w:hAnsi="宋体" w:eastAsia="宋体" w:cs="宋体"/>
              <w:lang w:val="en-US" w:eastAsia="zh-CN"/>
            </w:rPr>
            <w:t xml:space="preserve">7.2 </w:t>
          </w:r>
          <w:r>
            <w:rPr>
              <w:rFonts w:hint="eastAsia" w:ascii="宋体" w:hAnsi="宋体" w:eastAsia="宋体" w:cs="宋体"/>
            </w:rPr>
            <w:t>部署PackData 分类分级平台</w:t>
          </w:r>
          <w:r>
            <w:tab/>
          </w:r>
          <w:r>
            <w:fldChar w:fldCharType="begin"/>
          </w:r>
          <w:r>
            <w:instrText xml:space="preserve"> PAGEREF _Toc32468 \h </w:instrText>
          </w:r>
          <w:r>
            <w:fldChar w:fldCharType="separate"/>
          </w:r>
          <w:r>
            <w:t>25</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_Toc28018 </w:instrText>
          </w:r>
          <w:r>
            <w:rPr>
              <w:bCs/>
              <w:lang w:val="zh-CN"/>
            </w:rPr>
            <w:fldChar w:fldCharType="separate"/>
          </w:r>
          <w:r>
            <w:rPr>
              <w:rFonts w:hint="eastAsia" w:ascii="宋体" w:hAnsi="宋体" w:eastAsia="宋体" w:cs="宋体"/>
              <w:lang w:val="en-US" w:eastAsia="zh-CN"/>
            </w:rPr>
            <w:t xml:space="preserve">7.3 </w:t>
          </w:r>
          <w:r>
            <w:rPr>
              <w:rFonts w:hint="eastAsia" w:ascii="宋体" w:hAnsi="宋体" w:eastAsia="宋体" w:cs="宋体"/>
            </w:rPr>
            <w:t>硬件环境</w:t>
          </w:r>
          <w:r>
            <w:tab/>
          </w:r>
          <w:r>
            <w:fldChar w:fldCharType="begin"/>
          </w:r>
          <w:r>
            <w:instrText xml:space="preserve"> PAGEREF _Toc28018 \h </w:instrText>
          </w:r>
          <w:r>
            <w:fldChar w:fldCharType="separate"/>
          </w:r>
          <w:r>
            <w:t>25</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_Toc10556 </w:instrText>
          </w:r>
          <w:r>
            <w:rPr>
              <w:bCs/>
              <w:lang w:val="zh-CN"/>
            </w:rPr>
            <w:fldChar w:fldCharType="separate"/>
          </w:r>
          <w:r>
            <w:rPr>
              <w:rFonts w:hint="eastAsia"/>
              <w:szCs w:val="44"/>
              <w:lang w:eastAsia="zh-CN"/>
            </w:rPr>
            <w:t>第八章</w:t>
          </w:r>
          <w:r>
            <w:rPr>
              <w:rFonts w:hint="eastAsia"/>
              <w:szCs w:val="44"/>
              <w:lang w:val="en-US" w:eastAsia="zh-CN"/>
            </w:rPr>
            <w:t xml:space="preserve"> </w:t>
          </w:r>
          <w:r>
            <w:rPr>
              <w:rFonts w:hint="eastAsia"/>
              <w:szCs w:val="44"/>
            </w:rPr>
            <w:t>关于我们</w:t>
          </w:r>
          <w:r>
            <w:tab/>
          </w:r>
          <w:r>
            <w:fldChar w:fldCharType="begin"/>
          </w:r>
          <w:r>
            <w:instrText xml:space="preserve"> PAGEREF _Toc10556 \h </w:instrText>
          </w:r>
          <w:r>
            <w:fldChar w:fldCharType="separate"/>
          </w:r>
          <w:r>
            <w:t>26</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_Toc18396 </w:instrText>
          </w:r>
          <w:r>
            <w:rPr>
              <w:bCs/>
              <w:lang w:val="zh-CN"/>
            </w:rPr>
            <w:fldChar w:fldCharType="separate"/>
          </w:r>
          <w:r>
            <w:rPr>
              <w:rFonts w:hint="eastAsia" w:ascii="宋体" w:hAnsi="宋体" w:eastAsia="宋体" w:cs="宋体"/>
              <w:lang w:val="en-US" w:eastAsia="zh-CN"/>
            </w:rPr>
            <w:t xml:space="preserve">8.1 </w:t>
          </w:r>
          <w:r>
            <w:rPr>
              <w:rFonts w:hint="eastAsia" w:ascii="宋体" w:hAnsi="宋体" w:eastAsia="宋体" w:cs="宋体"/>
            </w:rPr>
            <w:t>联系我们</w:t>
          </w:r>
          <w:r>
            <w:tab/>
          </w:r>
          <w:r>
            <w:fldChar w:fldCharType="begin"/>
          </w:r>
          <w:r>
            <w:instrText xml:space="preserve"> PAGEREF _Toc18396 \h </w:instrText>
          </w:r>
          <w:r>
            <w:fldChar w:fldCharType="separate"/>
          </w:r>
          <w:r>
            <w:t>26</w:t>
          </w:r>
          <w:r>
            <w:fldChar w:fldCharType="end"/>
          </w:r>
          <w:r>
            <w:rPr>
              <w:bCs/>
              <w:lang w:val="zh-CN"/>
            </w:rPr>
            <w:fldChar w:fldCharType="end"/>
          </w:r>
        </w:p>
        <w:p>
          <w:r>
            <w:rPr>
              <w:bCs/>
              <w:lang w:val="zh-CN"/>
            </w:rPr>
            <w:fldChar w:fldCharType="end"/>
          </w:r>
        </w:p>
      </w:sdtContent>
    </w:sdt>
    <w:p>
      <w:pPr>
        <w:rPr>
          <w:rFonts w:hint="eastAsia"/>
        </w:rPr>
      </w:pPr>
      <w:r>
        <w:rPr>
          <w:rFonts w:hint="eastAsia"/>
        </w:rPr>
        <w:br w:type="page"/>
      </w:r>
    </w:p>
    <w:p>
      <w:pPr>
        <w:pStyle w:val="2"/>
        <w:numPr>
          <w:ilvl w:val="0"/>
          <w:numId w:val="0"/>
        </w:numPr>
        <w:bidi w:val="0"/>
        <w:ind w:leftChars="0"/>
      </w:pPr>
      <w:bookmarkStart w:id="0" w:name="_Toc15361"/>
      <w:r>
        <w:rPr>
          <w:rFonts w:hint="eastAsia"/>
          <w:lang w:eastAsia="zh-CN"/>
        </w:rPr>
        <w:t>第一章</w:t>
      </w:r>
      <w:r>
        <w:rPr>
          <w:rFonts w:hint="eastAsia"/>
          <w:lang w:val="en-US" w:eastAsia="zh-CN"/>
        </w:rPr>
        <w:t xml:space="preserve"> </w:t>
      </w:r>
      <w:r>
        <w:rPr>
          <w:rFonts w:hint="eastAsia"/>
        </w:rPr>
        <w:t>前言</w:t>
      </w:r>
      <w:bookmarkEnd w:id="0"/>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Cs w:val="24"/>
        </w:rPr>
      </w:pPr>
      <w:r>
        <w:rPr>
          <w:rFonts w:hint="eastAsia" w:ascii="宋体" w:hAnsi="宋体" w:eastAsia="宋体" w:cs="宋体"/>
          <w:szCs w:val="24"/>
        </w:rPr>
        <w:t>派客动力凭借多年累积的实施经验，结合并分析各行业数据资产管理的特点及共性，总结出做好数据分类分级须管理好四个核心元素：字段、合规目录、分类目录、分级目录的结论，便于用户使用、开放数据以及满足合规要求，在此基础上形成独立的软件产品，并给出本文档《PackData数据分类分级入门指南》，用于辅助企业完成数据资产的分类和分级工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Cs w:val="24"/>
        </w:rPr>
      </w:pPr>
      <w:r>
        <w:rPr>
          <w:rFonts w:hint="eastAsia" w:ascii="宋体" w:hAnsi="宋体" w:eastAsia="宋体" w:cs="宋体"/>
          <w:szCs w:val="24"/>
        </w:rPr>
        <w:t>数据分类分级有助于强化企业的数据应用意识，通过数据分类分级引导企业全面梳理自身数据类型，全面提升企业数据管理能力，有效帮助企业挖掘数据价值。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Cs w:val="24"/>
        </w:rPr>
      </w:pPr>
      <w:r>
        <w:rPr>
          <w:rFonts w:hint="eastAsia" w:ascii="宋体" w:hAnsi="宋体" w:eastAsia="宋体" w:cs="宋体"/>
          <w:szCs w:val="24"/>
        </w:rPr>
        <w:t>此文档提供的教程帮助初次使用此软件的用户了解如何使用PackData分类分级系统，本指南假定您已简单了解数据分类、数据分级基本概念以及您环境中的数据库引擎。</w:t>
      </w:r>
    </w:p>
    <w:p>
      <w:pPr>
        <w:rPr>
          <w:rFonts w:hint="eastAsia"/>
          <w:sz w:val="44"/>
          <w:szCs w:val="44"/>
          <w:lang w:eastAsia="zh-CN"/>
        </w:rPr>
      </w:pPr>
      <w:r>
        <w:rPr>
          <w:rFonts w:hint="eastAsia"/>
          <w:sz w:val="44"/>
          <w:szCs w:val="44"/>
          <w:lang w:eastAsia="zh-CN"/>
        </w:rPr>
        <w:br w:type="page"/>
      </w:r>
    </w:p>
    <w:p>
      <w:pPr>
        <w:pStyle w:val="2"/>
        <w:numPr>
          <w:ilvl w:val="0"/>
          <w:numId w:val="0"/>
        </w:numPr>
        <w:ind w:leftChars="0"/>
        <w:rPr>
          <w:sz w:val="44"/>
          <w:szCs w:val="44"/>
        </w:rPr>
      </w:pPr>
      <w:bookmarkStart w:id="1" w:name="_Toc4288"/>
      <w:r>
        <w:rPr>
          <w:rFonts w:hint="eastAsia"/>
          <w:sz w:val="44"/>
          <w:szCs w:val="44"/>
          <w:lang w:eastAsia="zh-CN"/>
        </w:rPr>
        <w:t>第二章</w:t>
      </w:r>
      <w:r>
        <w:rPr>
          <w:rFonts w:hint="eastAsia"/>
          <w:sz w:val="44"/>
          <w:szCs w:val="44"/>
          <w:lang w:val="en-US" w:eastAsia="zh-CN"/>
        </w:rPr>
        <w:t xml:space="preserve"> </w:t>
      </w:r>
      <w:r>
        <w:rPr>
          <w:rFonts w:hint="eastAsia"/>
          <w:sz w:val="44"/>
          <w:szCs w:val="44"/>
        </w:rPr>
        <w:t>关于派客动力科技</w:t>
      </w:r>
      <w:bookmarkEnd w:id="1"/>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Cs w:val="24"/>
        </w:rPr>
      </w:pPr>
      <w:r>
        <w:rPr>
          <w:rFonts w:hint="eastAsia" w:ascii="宋体" w:hAnsi="宋体" w:eastAsia="宋体" w:cs="宋体"/>
          <w:szCs w:val="24"/>
        </w:rPr>
        <w:t>北京派客动力科技有限公司（以下简称派客动力），自成立以来，一直致力于服务解决与数据隐私保护、数据孤岛等两个数据管理领域的核心问题。致力于为客户提供先进的数据管理解决方案，场景化服务客户需求。得到了大量客户包括：金融、政府、制造、医疗、生物制药等行业的认可和支持，是中国专业的数据安全产品及解决方案提供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Cs w:val="24"/>
        </w:rPr>
      </w:pPr>
      <w:r>
        <w:rPr>
          <w:rFonts w:hint="eastAsia" w:ascii="宋体" w:hAnsi="宋体" w:eastAsia="宋体" w:cs="宋体"/>
          <w:szCs w:val="24"/>
        </w:rPr>
        <w:t>作为领先的数据管理专家，派客动力®专注于服务企业数字化转型和创新的能力，助力企业成为数据驱动的组织，使企业中的每个个体可以安全、便捷的获取数据、使用数据。助力企业更加快速的洞察市场与客户挑战，以便快速的做出更加明智的决策，提供更佳的客户体验，优化企业运营，突破性的提供更优质的产品和服务，从而赢得时代所需的竞争优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Cs w:val="24"/>
        </w:rPr>
      </w:pPr>
      <w:r>
        <w:rPr>
          <w:rFonts w:hint="eastAsia" w:ascii="宋体" w:hAnsi="宋体" w:eastAsia="宋体" w:cs="宋体"/>
          <w:szCs w:val="24"/>
        </w:rPr>
        <w:t>派客动力总部位于北京，分设上海研发中心与沈阳研发中心，业务覆盖华北、东北、华东、华中、华南、西南等全国省市地区。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Cs w:val="24"/>
        </w:rPr>
      </w:pPr>
      <w:r>
        <w:rPr>
          <w:rFonts w:hint="eastAsia" w:ascii="宋体" w:hAnsi="宋体" w:eastAsia="宋体" w:cs="宋体"/>
          <w:szCs w:val="24"/>
        </w:rPr>
        <w:t>我们的努力得到社会的认可：</w:t>
      </w:r>
    </w:p>
    <w:p>
      <w:pPr>
        <w:keepNext w:val="0"/>
        <w:keepLines w:val="0"/>
        <w:pageBreakBefore w:val="0"/>
        <w:widowControl w:val="0"/>
        <w:numPr>
          <w:ilvl w:val="0"/>
          <w:numId w:val="4"/>
        </w:numPr>
        <w:kinsoku/>
        <w:wordWrap/>
        <w:overflowPunct/>
        <w:topLinePunct w:val="0"/>
        <w:autoSpaceDE/>
        <w:autoSpaceDN/>
        <w:bidi w:val="0"/>
        <w:adjustRightInd/>
        <w:snapToGrid/>
        <w:ind w:left="420" w:leftChars="0" w:firstLine="480" w:firstLineChars="200"/>
        <w:textAlignment w:val="auto"/>
        <w:rPr>
          <w:rFonts w:hint="eastAsia" w:ascii="宋体" w:hAnsi="宋体" w:eastAsia="宋体" w:cs="宋体"/>
          <w:szCs w:val="24"/>
        </w:rPr>
      </w:pPr>
      <w:r>
        <w:rPr>
          <w:rFonts w:hint="eastAsia" w:ascii="宋体" w:hAnsi="宋体" w:eastAsia="宋体" w:cs="宋体"/>
          <w:szCs w:val="24"/>
        </w:rPr>
        <w:t>2019年，参与信通院数据脱敏国家级标准的制订</w:t>
      </w:r>
    </w:p>
    <w:p>
      <w:pPr>
        <w:keepNext w:val="0"/>
        <w:keepLines w:val="0"/>
        <w:pageBreakBefore w:val="0"/>
        <w:widowControl w:val="0"/>
        <w:numPr>
          <w:ilvl w:val="0"/>
          <w:numId w:val="4"/>
        </w:numPr>
        <w:kinsoku/>
        <w:wordWrap/>
        <w:overflowPunct/>
        <w:topLinePunct w:val="0"/>
        <w:autoSpaceDE/>
        <w:autoSpaceDN/>
        <w:bidi w:val="0"/>
        <w:adjustRightInd/>
        <w:snapToGrid/>
        <w:ind w:left="420" w:leftChars="0" w:firstLine="480" w:firstLineChars="200"/>
        <w:textAlignment w:val="auto"/>
        <w:rPr>
          <w:rFonts w:hint="eastAsia" w:ascii="宋体" w:hAnsi="宋体" w:eastAsia="宋体" w:cs="宋体"/>
          <w:szCs w:val="24"/>
        </w:rPr>
      </w:pPr>
      <w:r>
        <w:rPr>
          <w:rFonts w:hint="eastAsia" w:ascii="宋体" w:hAnsi="宋体" w:eastAsia="宋体" w:cs="宋体"/>
          <w:szCs w:val="24"/>
        </w:rPr>
        <w:t>获得公安部三所数据安全产品销售许可证</w:t>
      </w:r>
    </w:p>
    <w:p>
      <w:pPr>
        <w:pStyle w:val="3"/>
        <w:rPr>
          <w:rFonts w:hint="eastAsia" w:ascii="宋体" w:hAnsi="宋体" w:eastAsia="宋体" w:cs="宋体"/>
        </w:rPr>
      </w:pPr>
      <w:r>
        <w:rPr>
          <w:rFonts w:hint="eastAsia" w:ascii="宋体" w:hAnsi="宋体" w:eastAsia="宋体" w:cs="宋体"/>
          <w:lang w:val="en-US" w:eastAsia="zh-CN"/>
        </w:rPr>
        <w:t xml:space="preserve"> </w:t>
      </w:r>
      <w:bookmarkStart w:id="2" w:name="_Toc388"/>
      <w:r>
        <w:rPr>
          <w:rFonts w:hint="eastAsia" w:ascii="宋体" w:hAnsi="宋体" w:eastAsia="宋体" w:cs="宋体"/>
        </w:rPr>
        <w:t>PackData 资源</w:t>
      </w:r>
      <w:bookmarkEnd w:id="2"/>
    </w:p>
    <w:p>
      <w:pPr>
        <w:pStyle w:val="4"/>
        <w:numPr>
          <w:ilvl w:val="1"/>
          <w:numId w:val="5"/>
        </w:numPr>
        <w:rPr>
          <w:rFonts w:hint="eastAsia" w:ascii="宋体" w:hAnsi="宋体" w:eastAsia="宋体" w:cs="宋体"/>
          <w:sz w:val="32"/>
          <w:szCs w:val="32"/>
        </w:rPr>
      </w:pPr>
      <w:r>
        <w:rPr>
          <w:rFonts w:hint="eastAsia" w:ascii="宋体" w:hAnsi="宋体" w:cs="宋体"/>
          <w:sz w:val="32"/>
          <w:szCs w:val="32"/>
          <w:lang w:val="en-US" w:eastAsia="zh-CN"/>
        </w:rPr>
        <w:t xml:space="preserve"> </w:t>
      </w:r>
      <w:bookmarkStart w:id="3" w:name="_Toc16483"/>
      <w:r>
        <w:rPr>
          <w:rFonts w:hint="eastAsia" w:ascii="宋体" w:hAnsi="宋体" w:eastAsia="宋体" w:cs="宋体"/>
          <w:sz w:val="32"/>
          <w:szCs w:val="32"/>
        </w:rPr>
        <w:t>PackData 官方网站</w:t>
      </w:r>
      <w:bookmarkEnd w:id="3"/>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Cs w:val="24"/>
        </w:rPr>
      </w:pPr>
      <w:r>
        <w:rPr>
          <w:rFonts w:hint="eastAsia" w:ascii="宋体" w:hAnsi="宋体" w:eastAsia="宋体" w:cs="宋体"/>
          <w:szCs w:val="24"/>
        </w:rPr>
        <w:t>PackData用户可以访问PackData官方网站，网址为：</w:t>
      </w:r>
      <w:r>
        <w:rPr>
          <w:rFonts w:hint="eastAsia" w:ascii="宋体" w:hAnsi="宋体" w:eastAsia="宋体" w:cs="宋体"/>
        </w:rPr>
        <w:fldChar w:fldCharType="begin"/>
      </w:r>
      <w:r>
        <w:rPr>
          <w:rFonts w:hint="eastAsia" w:ascii="宋体" w:hAnsi="宋体" w:eastAsia="宋体" w:cs="宋体"/>
        </w:rPr>
        <w:instrText xml:space="preserve"> HYPERLINK "http://www.packdt.com/" </w:instrText>
      </w:r>
      <w:r>
        <w:rPr>
          <w:rFonts w:hint="eastAsia" w:ascii="宋体" w:hAnsi="宋体" w:eastAsia="宋体" w:cs="宋体"/>
        </w:rPr>
        <w:fldChar w:fldCharType="separate"/>
      </w:r>
      <w:r>
        <w:rPr>
          <w:rFonts w:hint="eastAsia" w:ascii="宋体" w:hAnsi="宋体" w:eastAsia="宋体" w:cs="宋体"/>
          <w:szCs w:val="24"/>
        </w:rPr>
        <w:t>http://www.packdt.com/</w:t>
      </w:r>
      <w:r>
        <w:rPr>
          <w:rFonts w:hint="eastAsia" w:ascii="宋体" w:hAnsi="宋体" w:eastAsia="宋体" w:cs="宋体"/>
          <w:szCs w:val="24"/>
        </w:rPr>
        <w:fldChar w:fldCharType="end"/>
      </w:r>
      <w:r>
        <w:rPr>
          <w:rFonts w:hint="eastAsia" w:ascii="宋体" w:hAnsi="宋体" w:eastAsia="宋体" w:cs="宋体"/>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Cs w:val="24"/>
        </w:rPr>
      </w:pPr>
      <w:r>
        <w:rPr>
          <w:rFonts w:hint="eastAsia" w:ascii="宋体" w:hAnsi="宋体" w:eastAsia="宋体" w:cs="宋体"/>
          <w:szCs w:val="24"/>
        </w:rPr>
        <w:t>该站点包含数据隐私保护、数据分类分级、结构化脱敏、非结构化脱敏、数据超市、数据治理研究院、DAMA认证培训、数据治理培训等相关信息。您还可以从网站中查看产品和合作伙伴信息。该网站的业务范围包括技术支持、培训和实施服务的重要信息。</w:t>
      </w:r>
    </w:p>
    <w:p>
      <w:pPr>
        <w:pStyle w:val="4"/>
        <w:numPr>
          <w:ilvl w:val="1"/>
          <w:numId w:val="5"/>
        </w:numPr>
        <w:rPr>
          <w:rFonts w:hint="eastAsia" w:ascii="宋体" w:hAnsi="宋体" w:eastAsia="宋体" w:cs="宋体"/>
          <w:sz w:val="32"/>
          <w:szCs w:val="32"/>
        </w:rPr>
      </w:pPr>
      <w:r>
        <w:rPr>
          <w:rFonts w:hint="eastAsia" w:ascii="宋体" w:hAnsi="宋体" w:cs="宋体"/>
          <w:sz w:val="32"/>
          <w:szCs w:val="32"/>
          <w:lang w:val="en-US" w:eastAsia="zh-CN"/>
        </w:rPr>
        <w:t xml:space="preserve"> </w:t>
      </w:r>
      <w:bookmarkStart w:id="4" w:name="_Toc30133"/>
      <w:r>
        <w:rPr>
          <w:rFonts w:hint="eastAsia" w:ascii="宋体" w:hAnsi="宋体" w:eastAsia="宋体" w:cs="宋体"/>
          <w:sz w:val="32"/>
          <w:szCs w:val="32"/>
        </w:rPr>
        <w:t>PackData 产品文档</w:t>
      </w:r>
      <w:bookmarkEnd w:id="4"/>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PackData产品团队为用户创建各种精准、实用的产品文档。如果您对此文档有任何疑问、意见和建议，请与PackData产品团队联系，电子邮件地址为：</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"mailto:service@packdt.com" </w:instrText>
      </w:r>
      <w:r>
        <w:rPr>
          <w:rFonts w:hint="eastAsia" w:ascii="宋体" w:hAnsi="宋体" w:eastAsia="宋体" w:cs="宋体"/>
          <w:sz w:val="24"/>
          <w:szCs w:val="24"/>
        </w:rPr>
        <w:fldChar w:fldCharType="separate"/>
      </w:r>
      <w:r>
        <w:rPr>
          <w:rFonts w:hint="eastAsia" w:ascii="宋体" w:hAnsi="宋体" w:eastAsia="宋体" w:cs="宋体"/>
          <w:sz w:val="24"/>
          <w:szCs w:val="24"/>
        </w:rPr>
        <w:t>service@packdt.com</w:t>
      </w:r>
      <w:r>
        <w:rPr>
          <w:rFonts w:hint="eastAsia" w:ascii="宋体" w:hAnsi="宋体" w:eastAsia="宋体" w:cs="宋体"/>
          <w:sz w:val="24"/>
          <w:szCs w:val="24"/>
        </w:rPr>
        <w:fldChar w:fldCharType="end"/>
      </w:r>
      <w:r>
        <w:rPr>
          <w:rFonts w:hint="eastAsia" w:ascii="宋体" w:hAnsi="宋体" w:eastAsia="宋体" w:cs="宋体"/>
          <w:sz w:val="24"/>
          <w:szCs w:val="24"/>
        </w:rPr>
        <w:t>。我们将根据您的反馈改进我们的文档。请告知我们是否可以就您的意见与您进行联系。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产品团队将根据需要更新文档。要获取适用于您产品的最新文档。请关注派客动力科技公众号，内含“产品文档”部分可供查阅。公众号为：派客动力科技。</w:t>
      </w:r>
    </w:p>
    <w:p>
      <w:pPr>
        <w:pStyle w:val="4"/>
        <w:numPr>
          <w:ilvl w:val="1"/>
          <w:numId w:val="5"/>
        </w:numPr>
        <w:rPr>
          <w:rFonts w:hint="eastAsia" w:ascii="宋体" w:hAnsi="宋体" w:eastAsia="宋体" w:cs="宋体"/>
          <w:sz w:val="32"/>
          <w:szCs w:val="32"/>
        </w:rPr>
      </w:pPr>
      <w:r>
        <w:rPr>
          <w:rFonts w:hint="eastAsia" w:ascii="宋体" w:hAnsi="宋体" w:cs="宋体"/>
          <w:sz w:val="32"/>
          <w:szCs w:val="32"/>
          <w:lang w:val="en-US" w:eastAsia="zh-CN"/>
        </w:rPr>
        <w:t xml:space="preserve"> </w:t>
      </w:r>
      <w:bookmarkStart w:id="5" w:name="_Toc20383"/>
      <w:r>
        <w:rPr>
          <w:rFonts w:hint="eastAsia" w:ascii="宋体" w:hAnsi="宋体" w:eastAsia="宋体" w:cs="宋体"/>
          <w:sz w:val="32"/>
          <w:szCs w:val="32"/>
        </w:rPr>
        <w:t>PackData 用户支持</w:t>
      </w:r>
      <w:bookmarkEnd w:id="5"/>
    </w:p>
    <w:p>
      <w:pPr>
        <w:keepNext w:val="0"/>
        <w:keepLines w:val="0"/>
        <w:pageBreakBefore w:val="0"/>
        <w:widowControl w:val="0"/>
        <w:kinsoku/>
        <w:wordWrap/>
        <w:overflowPunct/>
        <w:topLinePunct w:val="0"/>
        <w:autoSpaceDE/>
        <w:autoSpaceDN/>
        <w:bidi w:val="0"/>
        <w:adjustRightInd/>
        <w:snapToGrid/>
        <w:ind w:firstLine="480" w:firstLineChars="200"/>
        <w:textAlignment w:val="auto"/>
        <w:rPr>
          <w:szCs w:val="24"/>
        </w:rPr>
      </w:pPr>
      <w:r>
        <w:rPr>
          <w:rFonts w:hint="eastAsia"/>
          <w:szCs w:val="24"/>
        </w:rPr>
        <w:t>您可以通过电话或邮箱支持与用户支持中心联系。</w:t>
      </w:r>
    </w:p>
    <w:p>
      <w:pPr>
        <w:keepNext w:val="0"/>
        <w:keepLines w:val="0"/>
        <w:pageBreakBefore w:val="0"/>
        <w:widowControl w:val="0"/>
        <w:numPr>
          <w:ilvl w:val="0"/>
          <w:numId w:val="6"/>
        </w:numPr>
        <w:kinsoku/>
        <w:wordWrap/>
        <w:overflowPunct/>
        <w:topLinePunct w:val="0"/>
        <w:autoSpaceDE/>
        <w:autoSpaceDN/>
        <w:bidi w:val="0"/>
        <w:adjustRightInd/>
        <w:snapToGrid/>
        <w:ind w:left="420" w:leftChars="0" w:hanging="420" w:firstLineChars="0"/>
        <w:textAlignment w:val="auto"/>
        <w:rPr>
          <w:szCs w:val="24"/>
        </w:rPr>
      </w:pPr>
      <w:r>
        <w:rPr>
          <w:rFonts w:hint="eastAsia"/>
          <w:szCs w:val="24"/>
        </w:rPr>
        <w:t>客户热线：400 0123 830</w:t>
      </w:r>
      <w:r>
        <w:rPr>
          <w:szCs w:val="24"/>
        </w:rPr>
        <w:t xml:space="preserve"> </w:t>
      </w:r>
    </w:p>
    <w:p>
      <w:pPr>
        <w:keepNext w:val="0"/>
        <w:keepLines w:val="0"/>
        <w:pageBreakBefore w:val="0"/>
        <w:widowControl w:val="0"/>
        <w:numPr>
          <w:ilvl w:val="0"/>
          <w:numId w:val="6"/>
        </w:numPr>
        <w:kinsoku/>
        <w:wordWrap/>
        <w:overflowPunct/>
        <w:topLinePunct w:val="0"/>
        <w:autoSpaceDE/>
        <w:autoSpaceDN/>
        <w:bidi w:val="0"/>
        <w:adjustRightInd/>
        <w:snapToGrid/>
        <w:ind w:left="420" w:leftChars="0" w:hanging="420" w:firstLineChars="0"/>
        <w:textAlignment w:val="auto"/>
        <w:rPr>
          <w:szCs w:val="24"/>
        </w:rPr>
      </w:pPr>
      <w:r>
        <w:rPr>
          <w:rFonts w:hint="eastAsia"/>
          <w:szCs w:val="24"/>
        </w:rPr>
        <w:t>售后支持：</w:t>
      </w:r>
      <w:r>
        <w:fldChar w:fldCharType="begin"/>
      </w:r>
      <w:r>
        <w:instrText xml:space="preserve"> HYPERLINK "mailto:service@packdt.com" </w:instrText>
      </w:r>
      <w:r>
        <w:fldChar w:fldCharType="separate"/>
      </w:r>
      <w:r>
        <w:rPr>
          <w:rFonts w:hint="eastAsia"/>
          <w:szCs w:val="24"/>
        </w:rPr>
        <w:t>service@packdt.com</w:t>
      </w:r>
      <w:r>
        <w:rPr>
          <w:szCs w:val="24"/>
        </w:rPr>
        <w:fldChar w:fldCharType="end"/>
      </w:r>
      <w:r>
        <w:rPr>
          <w:szCs w:val="24"/>
        </w:rPr>
        <w:t xml:space="preserve"> </w:t>
      </w:r>
    </w:p>
    <w:p>
      <w:pPr>
        <w:keepNext w:val="0"/>
        <w:keepLines w:val="0"/>
        <w:pageBreakBefore w:val="0"/>
        <w:widowControl w:val="0"/>
        <w:numPr>
          <w:ilvl w:val="0"/>
          <w:numId w:val="6"/>
        </w:numPr>
        <w:kinsoku/>
        <w:wordWrap/>
        <w:overflowPunct/>
        <w:topLinePunct w:val="0"/>
        <w:autoSpaceDE/>
        <w:autoSpaceDN/>
        <w:bidi w:val="0"/>
        <w:adjustRightInd/>
        <w:snapToGrid/>
        <w:ind w:left="420" w:leftChars="0" w:hanging="420" w:firstLineChars="0"/>
        <w:textAlignment w:val="auto"/>
        <w:rPr>
          <w:szCs w:val="24"/>
        </w:rPr>
      </w:pPr>
      <w:r>
        <w:rPr>
          <w:rFonts w:hint="eastAsia"/>
          <w:szCs w:val="24"/>
        </w:rPr>
        <w:t>销售咨询：</w:t>
      </w:r>
      <w:r>
        <w:fldChar w:fldCharType="begin"/>
      </w:r>
      <w:r>
        <w:instrText xml:space="preserve"> HYPERLINK "mailto:sales@packdt.com" </w:instrText>
      </w:r>
      <w:r>
        <w:fldChar w:fldCharType="separate"/>
      </w:r>
      <w:r>
        <w:rPr>
          <w:rFonts w:hint="eastAsia"/>
          <w:szCs w:val="24"/>
        </w:rPr>
        <w:t>sales@packdt.com</w:t>
      </w:r>
      <w:r>
        <w:rPr>
          <w:szCs w:val="24"/>
        </w:rPr>
        <w:fldChar w:fldCharType="end"/>
      </w:r>
    </w:p>
    <w:p>
      <w:pPr>
        <w:rPr>
          <w:rFonts w:hint="eastAsia" w:ascii="宋体" w:hAnsi="宋体" w:eastAsia="宋体" w:cs="宋体"/>
          <w:lang w:eastAsia="zh-CN"/>
        </w:rPr>
      </w:pPr>
      <w:r>
        <w:rPr>
          <w:rFonts w:hint="eastAsia" w:ascii="宋体" w:hAnsi="宋体" w:eastAsia="宋体" w:cs="宋体"/>
          <w:lang w:eastAsia="zh-CN"/>
        </w:rPr>
        <w:br w:type="page"/>
      </w:r>
    </w:p>
    <w:p>
      <w:pPr>
        <w:pStyle w:val="2"/>
        <w:numPr>
          <w:ilvl w:val="0"/>
          <w:numId w:val="0"/>
        </w:numPr>
        <w:ind w:leftChars="0"/>
        <w:rPr>
          <w:rFonts w:hint="eastAsia" w:ascii="宋体" w:hAnsi="宋体" w:eastAsia="宋体" w:cs="宋体"/>
        </w:rPr>
      </w:pPr>
      <w:bookmarkStart w:id="6" w:name="_Toc9521"/>
      <w:r>
        <w:rPr>
          <w:rFonts w:hint="eastAsia" w:ascii="宋体" w:hAnsi="宋体" w:eastAsia="宋体" w:cs="宋体"/>
          <w:lang w:eastAsia="zh-CN"/>
        </w:rPr>
        <w:t>第三章</w:t>
      </w:r>
      <w:r>
        <w:rPr>
          <w:rFonts w:hint="eastAsia" w:ascii="宋体" w:hAnsi="宋体" w:eastAsia="宋体" w:cs="宋体"/>
        </w:rPr>
        <w:t>PackData分类分级入门</w:t>
      </w:r>
      <w:bookmarkEnd w:id="6"/>
    </w:p>
    <w:p>
      <w:pPr>
        <w:pStyle w:val="3"/>
        <w:numPr>
          <w:ilvl w:val="1"/>
          <w:numId w:val="0"/>
        </w:numPr>
        <w:ind w:leftChars="0"/>
        <w:rPr>
          <w:rFonts w:hint="eastAsia" w:ascii="宋体" w:hAnsi="宋体" w:eastAsia="宋体" w:cs="宋体"/>
        </w:rPr>
      </w:pPr>
      <w:bookmarkStart w:id="7" w:name="_Toc18360"/>
      <w:r>
        <w:rPr>
          <w:rFonts w:hint="eastAsia" w:ascii="宋体" w:hAnsi="宋体" w:eastAsia="宋体" w:cs="宋体"/>
          <w:lang w:val="en-US" w:eastAsia="zh-CN"/>
        </w:rPr>
        <w:t xml:space="preserve">3.1 </w:t>
      </w:r>
      <w:r>
        <w:rPr>
          <w:rFonts w:hint="eastAsia" w:ascii="宋体" w:hAnsi="宋体" w:eastAsia="宋体" w:cs="宋体"/>
        </w:rPr>
        <w:t>PackData数据分类分级概述</w:t>
      </w:r>
      <w:bookmarkEnd w:id="7"/>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近年来信息技术飞速发展，各行业针对自身的业务架构，随着时间的累积建设了大量的应用系统。这些应用系统容易出现数据标准不一致，数据含义不统一等问题。除此之外，这些数据往往会呈现出复杂性高，多样性强的特点。采用规范的数据分类、分级方法，有助于用户理清数据资产，分门别类地管理数据，确定数据重要性或敏感度，有针对性地采取适当、合理的管理措施和安全防护措施，形成一套科学、规范的数据资产管理与保护机制，从而在保证数据安全的基础上促进数据的使用以及共享开放。</w:t>
      </w:r>
    </w:p>
    <w:p>
      <w:pPr>
        <w:pStyle w:val="3"/>
        <w:numPr>
          <w:ilvl w:val="1"/>
          <w:numId w:val="0"/>
        </w:numPr>
        <w:ind w:leftChars="0"/>
        <w:rPr>
          <w:rFonts w:hint="eastAsia" w:ascii="宋体" w:hAnsi="宋体" w:eastAsia="宋体" w:cs="宋体"/>
        </w:rPr>
      </w:pPr>
      <w:bookmarkStart w:id="8" w:name="_Toc20193"/>
      <w:r>
        <w:rPr>
          <w:rFonts w:hint="eastAsia" w:ascii="宋体" w:hAnsi="宋体" w:eastAsia="宋体" w:cs="宋体"/>
          <w:lang w:val="en-US" w:eastAsia="zh-CN"/>
        </w:rPr>
        <w:t xml:space="preserve">3.2 </w:t>
      </w:r>
      <w:r>
        <w:rPr>
          <w:rFonts w:hint="eastAsia" w:ascii="宋体" w:hAnsi="宋体" w:eastAsia="宋体" w:cs="宋体"/>
        </w:rPr>
        <w:t>PackData数据分类分级系统</w:t>
      </w:r>
      <w:bookmarkEnd w:id="8"/>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Cs w:val="24"/>
        </w:rPr>
      </w:pPr>
      <w:r>
        <w:rPr>
          <w:rFonts w:hint="eastAsia" w:ascii="宋体" w:hAnsi="宋体" w:eastAsia="宋体" w:cs="宋体"/>
          <w:szCs w:val="24"/>
        </w:rPr>
        <w:t>PackData数据分类分级系统是全Web化的数据资产管理系统，凭借累积的实施经验，结合并分析各行业数据资产管理的特点及共性，总结出做好数据分类分级，须管理好四个核心元素，即合规目录、分类目录、分级目录、</w:t>
      </w:r>
      <w:r>
        <w:rPr>
          <w:rFonts w:hint="eastAsia" w:ascii="宋体" w:hAnsi="宋体" w:eastAsia="宋体" w:cs="宋体"/>
          <w:kern w:val="0"/>
          <w:szCs w:val="24"/>
        </w:rPr>
        <w:t>合规目录以及元数据</w:t>
      </w:r>
      <w:r>
        <w:rPr>
          <w:rFonts w:hint="eastAsia" w:ascii="宋体" w:hAnsi="宋体" w:eastAsia="宋体" w:cs="宋体"/>
          <w:szCs w:val="24"/>
        </w:rPr>
        <w:t>。系统采用灵活开放的弱耦合设计理念，无论是作为政策法规依据的合规目录，还是作为数据目录资产体系的数据分类，或是作为数据共享开放保障的敏感等级，彼此之间都是相互独立的，仅同元数据（字段）存在多对多的关联关系。用户只需定义好合规目录、数据分类、敏感等级，并根据实际情况将字段进行归类，系统会自动形成一套完整的数据资产管理体系，便于用户使用、开放数据以及满足合规要求。</w:t>
      </w:r>
    </w:p>
    <w:p>
      <w:pPr>
        <w:jc w:val="center"/>
      </w:pPr>
      <w:r>
        <w:drawing>
          <wp:inline distT="0" distB="0" distL="0" distR="0">
            <wp:extent cx="5274310" cy="2544445"/>
            <wp:effectExtent l="0" t="0" r="2540" b="8255"/>
            <wp:docPr id="13" name="图片 13" descr="图片包含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网站&#10;&#10;描述已自动生成"/>
                    <pic:cNvPicPr>
                      <a:picLocks noChangeAspect="1"/>
                    </pic:cNvPicPr>
                  </pic:nvPicPr>
                  <pic:blipFill>
                    <a:blip r:embed="rId10"/>
                    <a:stretch>
                      <a:fillRect/>
                    </a:stretch>
                  </pic:blipFill>
                  <pic:spPr>
                    <a:xfrm>
                      <a:off x="0" y="0"/>
                      <a:ext cx="5274310" cy="2544445"/>
                    </a:xfrm>
                    <a:prstGeom prst="rect">
                      <a:avLst/>
                    </a:prstGeom>
                  </pic:spPr>
                </pic:pic>
              </a:graphicData>
            </a:graphic>
          </wp:inline>
        </w:drawing>
      </w:r>
    </w:p>
    <w:p>
      <w:pPr>
        <w:jc w:val="center"/>
        <w:rPr>
          <w:rFonts w:hint="eastAsia"/>
          <w:sz w:val="20"/>
          <w:szCs w:val="20"/>
          <w:lang w:eastAsia="zh-CN"/>
        </w:rPr>
      </w:pPr>
      <w:r>
        <w:rPr>
          <w:rFonts w:hint="eastAsia"/>
          <w:sz w:val="20"/>
          <w:szCs w:val="20"/>
          <w:lang w:eastAsia="zh-CN"/>
        </w:rPr>
        <w:t>派客动力分类分级平台图</w:t>
      </w:r>
    </w:p>
    <w:p>
      <w:pPr>
        <w:pStyle w:val="3"/>
        <w:numPr>
          <w:ilvl w:val="1"/>
          <w:numId w:val="0"/>
        </w:numPr>
        <w:ind w:leftChars="0"/>
        <w:rPr>
          <w:rFonts w:hint="eastAsia" w:ascii="宋体" w:hAnsi="宋体" w:eastAsia="宋体" w:cs="宋体"/>
          <w:lang w:val="en-US" w:eastAsia="zh-CN"/>
        </w:rPr>
      </w:pPr>
      <w:bookmarkStart w:id="9" w:name="_Toc9179"/>
      <w:r>
        <w:rPr>
          <w:rFonts w:hint="eastAsia" w:ascii="宋体" w:hAnsi="宋体" w:eastAsia="宋体" w:cs="宋体"/>
          <w:lang w:val="en-US" w:eastAsia="zh-CN"/>
        </w:rPr>
        <w:t>3.3 PackData数据分类分级系统核心能力</w:t>
      </w:r>
      <w:bookmarkEnd w:id="9"/>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szCs w:val="24"/>
        </w:rPr>
      </w:pPr>
      <w:r>
        <w:rPr>
          <w:rFonts w:hint="eastAsia" w:ascii="宋体" w:hAnsi="宋体"/>
          <w:szCs w:val="24"/>
        </w:rPr>
        <w:t>P</w:t>
      </w:r>
      <w:r>
        <w:rPr>
          <w:rFonts w:ascii="宋体" w:hAnsi="宋体"/>
          <w:szCs w:val="24"/>
        </w:rPr>
        <w:t>ackD</w:t>
      </w:r>
      <w:r>
        <w:rPr>
          <w:rFonts w:hint="eastAsia" w:ascii="宋体" w:hAnsi="宋体"/>
          <w:szCs w:val="24"/>
        </w:rPr>
        <w:t>ata数据分类分级系统专注于提供如下核心能力：</w:t>
      </w:r>
    </w:p>
    <w:p>
      <w:pPr>
        <w:pStyle w:val="32"/>
        <w:keepNext w:val="0"/>
        <w:keepLines w:val="0"/>
        <w:pageBreakBefore w:val="0"/>
        <w:widowControl w:val="0"/>
        <w:numPr>
          <w:ilvl w:val="0"/>
          <w:numId w:val="7"/>
        </w:numPr>
        <w:kinsoku/>
        <w:wordWrap/>
        <w:overflowPunct/>
        <w:topLinePunct w:val="0"/>
        <w:autoSpaceDE/>
        <w:autoSpaceDN/>
        <w:bidi w:val="0"/>
        <w:adjustRightInd/>
        <w:snapToGrid/>
        <w:ind w:firstLine="480" w:firstLineChars="200"/>
        <w:textAlignment w:val="auto"/>
        <w:rPr>
          <w:rFonts w:ascii="宋体" w:hAnsi="宋体"/>
          <w:color w:val="0070C0"/>
          <w:szCs w:val="24"/>
        </w:rPr>
      </w:pPr>
      <w:r>
        <w:rPr>
          <w:rFonts w:hint="eastAsia" w:ascii="宋体" w:hAnsi="宋体"/>
          <w:color w:val="0070C0"/>
          <w:szCs w:val="24"/>
        </w:rPr>
        <w:t>支持多版本分类分级：</w:t>
      </w:r>
      <w:r>
        <w:rPr>
          <w:rFonts w:hint="eastAsia" w:ascii="宋体" w:hAnsi="宋体"/>
          <w:szCs w:val="24"/>
        </w:rPr>
        <w:t>支持用户自定义分类分级体系，且属性可扩展，能够多套分类分级体系共存，满足国标、行标、企业内控等不同的合规要求。</w:t>
      </w:r>
    </w:p>
    <w:p>
      <w:pPr>
        <w:pStyle w:val="32"/>
        <w:keepNext w:val="0"/>
        <w:keepLines w:val="0"/>
        <w:pageBreakBefore w:val="0"/>
        <w:widowControl w:val="0"/>
        <w:numPr>
          <w:ilvl w:val="0"/>
          <w:numId w:val="7"/>
        </w:numPr>
        <w:kinsoku/>
        <w:wordWrap/>
        <w:overflowPunct/>
        <w:topLinePunct w:val="0"/>
        <w:autoSpaceDE/>
        <w:autoSpaceDN/>
        <w:bidi w:val="0"/>
        <w:adjustRightInd/>
        <w:snapToGrid/>
        <w:ind w:firstLine="480" w:firstLineChars="200"/>
        <w:textAlignment w:val="auto"/>
        <w:rPr>
          <w:rFonts w:ascii="宋体" w:hAnsi="宋体"/>
          <w:color w:val="0070C0"/>
          <w:szCs w:val="24"/>
        </w:rPr>
      </w:pPr>
      <w:r>
        <w:rPr>
          <w:rFonts w:hint="eastAsia" w:ascii="宋体" w:hAnsi="宋体"/>
          <w:color w:val="0070C0"/>
          <w:szCs w:val="24"/>
        </w:rPr>
        <w:t>清晰便捷地分类分级方法：</w:t>
      </w:r>
      <w:r>
        <w:rPr>
          <w:rFonts w:hint="eastAsia" w:ascii="宋体" w:hAnsi="宋体"/>
          <w:szCs w:val="24"/>
        </w:rPr>
        <w:t>支持分类分级体系的多级扩展，支持分类内容与分级内容的联合管理，支持分类分级信息的导入导出。</w:t>
      </w:r>
    </w:p>
    <w:p>
      <w:pPr>
        <w:pStyle w:val="32"/>
        <w:keepNext w:val="0"/>
        <w:keepLines w:val="0"/>
        <w:pageBreakBefore w:val="0"/>
        <w:widowControl w:val="0"/>
        <w:numPr>
          <w:ilvl w:val="0"/>
          <w:numId w:val="7"/>
        </w:numPr>
        <w:kinsoku/>
        <w:wordWrap/>
        <w:overflowPunct/>
        <w:topLinePunct w:val="0"/>
        <w:autoSpaceDE/>
        <w:autoSpaceDN/>
        <w:bidi w:val="0"/>
        <w:adjustRightInd/>
        <w:snapToGrid/>
        <w:ind w:firstLine="480" w:firstLineChars="200"/>
        <w:textAlignment w:val="auto"/>
        <w:rPr>
          <w:rFonts w:ascii="宋体" w:hAnsi="宋体"/>
          <w:szCs w:val="24"/>
        </w:rPr>
      </w:pPr>
      <w:r>
        <w:rPr>
          <w:rFonts w:hint="eastAsia" w:ascii="宋体" w:hAnsi="宋体"/>
          <w:color w:val="0070C0"/>
          <w:szCs w:val="24"/>
        </w:rPr>
        <w:t>便捷灵活的实施：</w:t>
      </w:r>
      <w:r>
        <w:rPr>
          <w:rFonts w:hint="eastAsia" w:ascii="宋体" w:hAnsi="宋体"/>
          <w:szCs w:val="24"/>
        </w:rPr>
        <w:t>支持字段的模糊查询及批量设置，不必担心管理一个数据库几十万个字段的庞大工作量，同时利用分类结果进行字段筛选，辅助数据分级，既减少了维护几十上百万字段的工作量，又满足了某些行业分类分级强关联性的要求。</w:t>
      </w:r>
    </w:p>
    <w:p>
      <w:pPr>
        <w:pStyle w:val="32"/>
        <w:keepNext w:val="0"/>
        <w:keepLines w:val="0"/>
        <w:pageBreakBefore w:val="0"/>
        <w:widowControl w:val="0"/>
        <w:numPr>
          <w:ilvl w:val="0"/>
          <w:numId w:val="7"/>
        </w:numPr>
        <w:kinsoku/>
        <w:wordWrap/>
        <w:overflowPunct/>
        <w:topLinePunct w:val="0"/>
        <w:autoSpaceDE/>
        <w:autoSpaceDN/>
        <w:bidi w:val="0"/>
        <w:adjustRightInd/>
        <w:snapToGrid/>
        <w:ind w:firstLine="480" w:firstLineChars="200"/>
        <w:textAlignment w:val="auto"/>
        <w:rPr>
          <w:rFonts w:ascii="宋体" w:hAnsi="宋体"/>
          <w:szCs w:val="24"/>
        </w:rPr>
      </w:pPr>
      <w:r>
        <w:rPr>
          <w:rFonts w:hint="eastAsia" w:ascii="宋体" w:hAnsi="宋体"/>
          <w:color w:val="0070C0"/>
          <w:szCs w:val="24"/>
        </w:rPr>
        <w:t>友好的界面操作风格：</w:t>
      </w:r>
      <w:r>
        <w:rPr>
          <w:rFonts w:hint="eastAsia" w:ascii="宋体" w:hAnsi="宋体"/>
          <w:szCs w:val="24"/>
        </w:rPr>
        <w:t>秉承基础通用软件的界面及使用风格，让用户快速上手，无违和感的使用。</w:t>
      </w:r>
    </w:p>
    <w:p>
      <w:pPr>
        <w:pStyle w:val="32"/>
        <w:keepNext w:val="0"/>
        <w:keepLines w:val="0"/>
        <w:pageBreakBefore w:val="0"/>
        <w:widowControl w:val="0"/>
        <w:numPr>
          <w:ilvl w:val="0"/>
          <w:numId w:val="7"/>
        </w:numPr>
        <w:kinsoku/>
        <w:wordWrap/>
        <w:overflowPunct/>
        <w:topLinePunct w:val="0"/>
        <w:autoSpaceDE/>
        <w:autoSpaceDN/>
        <w:bidi w:val="0"/>
        <w:adjustRightInd/>
        <w:snapToGrid/>
        <w:ind w:firstLine="480" w:firstLineChars="200"/>
        <w:textAlignment w:val="auto"/>
        <w:rPr>
          <w:rFonts w:ascii="宋体" w:hAnsi="宋体"/>
          <w:color w:val="0070C0"/>
          <w:szCs w:val="24"/>
        </w:rPr>
      </w:pPr>
      <w:r>
        <w:rPr>
          <w:rFonts w:hint="eastAsia" w:ascii="宋体" w:hAnsi="宋体"/>
          <w:color w:val="0070C0"/>
          <w:szCs w:val="24"/>
        </w:rPr>
        <w:t>强大的数据地图：</w:t>
      </w:r>
      <w:r>
        <w:rPr>
          <w:rFonts w:hint="eastAsia" w:ascii="宋体" w:hAnsi="宋体"/>
          <w:szCs w:val="24"/>
        </w:rPr>
        <w:t>支持表格、图形等各类数据报表的自定义展示，内置分析、预警、纠错等维度报表，辅助用户进行数据资产管理。</w:t>
      </w:r>
    </w:p>
    <w:p>
      <w:pPr>
        <w:pStyle w:val="32"/>
        <w:keepNext w:val="0"/>
        <w:keepLines w:val="0"/>
        <w:pageBreakBefore w:val="0"/>
        <w:widowControl w:val="0"/>
        <w:numPr>
          <w:ilvl w:val="0"/>
          <w:numId w:val="7"/>
        </w:numPr>
        <w:kinsoku/>
        <w:wordWrap/>
        <w:overflowPunct/>
        <w:topLinePunct w:val="0"/>
        <w:autoSpaceDE/>
        <w:autoSpaceDN/>
        <w:bidi w:val="0"/>
        <w:adjustRightInd/>
        <w:snapToGrid/>
        <w:ind w:firstLine="480" w:firstLineChars="200"/>
        <w:textAlignment w:val="auto"/>
        <w:rPr>
          <w:rFonts w:ascii="宋体" w:hAnsi="宋体"/>
          <w:color w:val="0070C0"/>
          <w:szCs w:val="24"/>
        </w:rPr>
      </w:pPr>
      <w:r>
        <w:rPr>
          <w:rFonts w:hint="eastAsia" w:ascii="宋体" w:hAnsi="宋体"/>
          <w:color w:val="0070C0"/>
          <w:szCs w:val="24"/>
        </w:rPr>
        <w:t>支持任意类型数据源的接入：</w:t>
      </w:r>
      <w:r>
        <w:rPr>
          <w:rFonts w:hint="eastAsia" w:ascii="宋体" w:hAnsi="宋体"/>
          <w:szCs w:val="24"/>
        </w:rPr>
        <w:t>支持任意的数据库，传统关系型数据库、M</w:t>
      </w:r>
      <w:r>
        <w:rPr>
          <w:rFonts w:ascii="宋体" w:hAnsi="宋体"/>
          <w:szCs w:val="24"/>
        </w:rPr>
        <w:t>PP</w:t>
      </w:r>
      <w:r>
        <w:rPr>
          <w:rFonts w:hint="eastAsia" w:ascii="宋体" w:hAnsi="宋体"/>
          <w:szCs w:val="24"/>
        </w:rPr>
        <w:t>数据库，如Te</w:t>
      </w:r>
      <w:r>
        <w:rPr>
          <w:rFonts w:ascii="宋体" w:hAnsi="宋体"/>
          <w:szCs w:val="24"/>
        </w:rPr>
        <w:t>radata，</w:t>
      </w:r>
      <w:r>
        <w:rPr>
          <w:rFonts w:hint="eastAsia" w:ascii="宋体" w:hAnsi="宋体"/>
          <w:szCs w:val="24"/>
        </w:rPr>
        <w:t>Greenp</w:t>
      </w:r>
      <w:r>
        <w:rPr>
          <w:rFonts w:ascii="宋体" w:hAnsi="宋体"/>
          <w:szCs w:val="24"/>
        </w:rPr>
        <w:t>l</w:t>
      </w:r>
      <w:r>
        <w:rPr>
          <w:rFonts w:hint="eastAsia" w:ascii="宋体" w:hAnsi="宋体"/>
          <w:szCs w:val="24"/>
        </w:rPr>
        <w:t>um等，支持Excel等各种类型数据文件。</w:t>
      </w:r>
    </w:p>
    <w:p>
      <w:pPr>
        <w:pStyle w:val="32"/>
        <w:keepNext w:val="0"/>
        <w:keepLines w:val="0"/>
        <w:pageBreakBefore w:val="0"/>
        <w:widowControl w:val="0"/>
        <w:numPr>
          <w:ilvl w:val="0"/>
          <w:numId w:val="7"/>
        </w:numPr>
        <w:kinsoku/>
        <w:wordWrap/>
        <w:overflowPunct/>
        <w:topLinePunct w:val="0"/>
        <w:autoSpaceDE/>
        <w:autoSpaceDN/>
        <w:bidi w:val="0"/>
        <w:adjustRightInd/>
        <w:snapToGrid/>
        <w:ind w:firstLine="480" w:firstLineChars="200"/>
        <w:textAlignment w:val="auto"/>
        <w:rPr>
          <w:rFonts w:ascii="宋体" w:hAnsi="宋体"/>
          <w:color w:val="0070C0"/>
          <w:szCs w:val="24"/>
        </w:rPr>
      </w:pPr>
      <w:r>
        <w:rPr>
          <w:rFonts w:hint="eastAsia" w:ascii="宋体" w:hAnsi="宋体"/>
          <w:color w:val="0070C0"/>
          <w:szCs w:val="24"/>
        </w:rPr>
        <w:t>高性能：</w:t>
      </w:r>
      <w:r>
        <w:rPr>
          <w:rFonts w:hint="eastAsia" w:ascii="宋体" w:hAnsi="宋体"/>
          <w:szCs w:val="24"/>
        </w:rPr>
        <w:t>读取各类数据库内部庞大的数据结构，结果秒出，批量将字段进行资产归类操作，无需等待，无卡顿。</w:t>
      </w:r>
    </w:p>
    <w:p>
      <w:pPr>
        <w:pStyle w:val="32"/>
        <w:keepNext w:val="0"/>
        <w:keepLines w:val="0"/>
        <w:pageBreakBefore w:val="0"/>
        <w:widowControl w:val="0"/>
        <w:numPr>
          <w:ilvl w:val="0"/>
          <w:numId w:val="7"/>
        </w:numPr>
        <w:kinsoku/>
        <w:wordWrap/>
        <w:overflowPunct/>
        <w:topLinePunct w:val="0"/>
        <w:autoSpaceDE/>
        <w:autoSpaceDN/>
        <w:bidi w:val="0"/>
        <w:adjustRightInd/>
        <w:snapToGrid/>
        <w:ind w:firstLine="480" w:firstLineChars="200"/>
        <w:textAlignment w:val="auto"/>
        <w:rPr>
          <w:rFonts w:ascii="宋体" w:hAnsi="宋体"/>
          <w:szCs w:val="24"/>
        </w:rPr>
      </w:pPr>
      <w:r>
        <w:rPr>
          <w:rFonts w:hint="eastAsia" w:ascii="宋体" w:hAnsi="宋体"/>
          <w:color w:val="0070C0"/>
          <w:szCs w:val="24"/>
        </w:rPr>
        <w:t>支持第三方接入：</w:t>
      </w:r>
      <w:r>
        <w:rPr>
          <w:rFonts w:hint="eastAsia" w:ascii="宋体" w:hAnsi="宋体"/>
          <w:szCs w:val="24"/>
        </w:rPr>
        <w:t>派客动力数据智能发现平台的相关服务，利用发现结果辅助分类分级，提供开放的A</w:t>
      </w:r>
      <w:r>
        <w:rPr>
          <w:rFonts w:ascii="宋体" w:hAnsi="宋体"/>
          <w:szCs w:val="24"/>
        </w:rPr>
        <w:t>PI，</w:t>
      </w:r>
      <w:r>
        <w:rPr>
          <w:rFonts w:hint="eastAsia" w:ascii="宋体" w:hAnsi="宋体"/>
          <w:szCs w:val="24"/>
        </w:rPr>
        <w:t>第三方结合能力强，可以独立部署，也可以与大数据平台、数据隐私保护平台集成。</w:t>
      </w:r>
    </w:p>
    <w:p>
      <w:pPr>
        <w:pStyle w:val="3"/>
        <w:numPr>
          <w:ilvl w:val="1"/>
          <w:numId w:val="0"/>
        </w:numPr>
        <w:ind w:leftChars="0"/>
        <w:rPr>
          <w:rFonts w:hint="eastAsia" w:ascii="宋体" w:hAnsi="宋体" w:eastAsia="宋体" w:cs="宋体"/>
        </w:rPr>
      </w:pPr>
      <w:bookmarkStart w:id="10" w:name="_Toc378"/>
      <w:r>
        <w:rPr>
          <w:rFonts w:hint="eastAsia" w:ascii="宋体" w:hAnsi="宋体" w:eastAsia="宋体" w:cs="宋体"/>
          <w:lang w:val="en-US" w:eastAsia="zh-CN"/>
        </w:rPr>
        <w:t xml:space="preserve">3.4 </w:t>
      </w:r>
      <w:r>
        <w:rPr>
          <w:rFonts w:hint="eastAsia" w:ascii="宋体" w:hAnsi="宋体" w:eastAsia="宋体" w:cs="宋体"/>
        </w:rPr>
        <w:t>PackData数据分类分级系统客户价值</w:t>
      </w:r>
      <w:bookmarkEnd w:id="10"/>
    </w:p>
    <w:p>
      <w:pPr>
        <w:pStyle w:val="4"/>
        <w:numPr>
          <w:ilvl w:val="1"/>
          <w:numId w:val="0"/>
        </w:numPr>
        <w:ind w:leftChars="0"/>
        <w:rPr>
          <w:rFonts w:hint="eastAsia" w:ascii="宋体" w:hAnsi="宋体" w:eastAsia="宋体" w:cs="宋体"/>
          <w:b/>
          <w:bCs/>
        </w:rPr>
      </w:pPr>
      <w:bookmarkStart w:id="11" w:name="_Toc16167"/>
      <w:r>
        <w:rPr>
          <w:rFonts w:hint="eastAsia" w:ascii="宋体" w:hAnsi="宋体" w:eastAsia="宋体" w:cs="宋体"/>
          <w:b/>
          <w:bCs/>
          <w:lang w:val="en-US" w:eastAsia="zh-CN"/>
        </w:rPr>
        <w:t xml:space="preserve">3.4.1 </w:t>
      </w:r>
      <w:r>
        <w:rPr>
          <w:rFonts w:hint="eastAsia" w:ascii="宋体" w:hAnsi="宋体" w:eastAsia="宋体" w:cs="宋体"/>
          <w:b/>
          <w:bCs/>
        </w:rPr>
        <w:t>版本管理</w:t>
      </w:r>
      <w:bookmarkEnd w:id="11"/>
    </w:p>
    <w:p>
      <w:pPr>
        <w:ind w:firstLine="480" w:firstLineChars="200"/>
      </w:pPr>
      <w:r>
        <w:rPr>
          <w:rFonts w:hint="eastAsia"/>
        </w:rPr>
        <w:t>派客动力分类分级系统支持客户根据自身实际需要定制不同的分类分级版本，用于支持多个国际国内的标准规范及行业标准，也支持企业内部按自身需要出发定制分类分级体系，满足业务生成和数据交换的需要。</w:t>
      </w:r>
    </w:p>
    <w:p>
      <w:pPr>
        <w:ind w:firstLine="480" w:firstLineChars="200"/>
      </w:pPr>
      <w:r>
        <w:rPr>
          <w:rFonts w:hint="eastAsia"/>
        </w:rPr>
        <w:t>相同数据在不同版本可以有不同的分类分级结果，同一版本内的分类分级内容可适用于不同的业务域和业务系统。</w:t>
      </w:r>
    </w:p>
    <w:p>
      <w:pPr>
        <w:ind w:firstLine="480" w:firstLineChars="200"/>
        <w:rPr>
          <w:rFonts w:hint="eastAsia"/>
        </w:rPr>
      </w:pPr>
      <w:r>
        <w:rPr>
          <w:rFonts w:hint="eastAsia"/>
        </w:rPr>
        <w:t>通过版本管理，可以为企业梳理数据分布、对企业信息安全提供良好的分类分级目录，不同的部门关注的版本信息不同，看到的数据分类分级结果也不相同。</w:t>
      </w:r>
    </w:p>
    <w:p>
      <w:pPr>
        <w:pStyle w:val="4"/>
        <w:numPr>
          <w:ilvl w:val="1"/>
          <w:numId w:val="0"/>
        </w:numPr>
        <w:ind w:leftChars="0"/>
        <w:rPr>
          <w:rFonts w:hint="eastAsia" w:ascii="宋体" w:hAnsi="宋体" w:eastAsia="宋体" w:cs="宋体"/>
          <w:b/>
          <w:bCs/>
        </w:rPr>
      </w:pPr>
      <w:bookmarkStart w:id="12" w:name="_Toc32248"/>
      <w:r>
        <w:rPr>
          <w:rFonts w:hint="eastAsia" w:ascii="宋体" w:hAnsi="宋体" w:eastAsia="宋体" w:cs="宋体"/>
          <w:b/>
          <w:bCs/>
          <w:lang w:val="en-US" w:eastAsia="zh-CN"/>
        </w:rPr>
        <w:t xml:space="preserve">3.4.2 </w:t>
      </w:r>
      <w:r>
        <w:rPr>
          <w:rFonts w:hint="eastAsia" w:ascii="宋体" w:hAnsi="宋体" w:eastAsia="宋体" w:cs="宋体"/>
          <w:b/>
          <w:bCs/>
        </w:rPr>
        <w:t>数据分类</w:t>
      </w:r>
      <w:bookmarkEnd w:id="12"/>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客户可以在设定版本信息后，维护数据分类信息，通过维护数据分类的层次结构，形成分类目录，该分类目录与数据分级信息紧密结构，构成分类分级软件的基础信息。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szCs w:val="24"/>
        </w:rPr>
      </w:pPr>
      <w:r>
        <w:rPr>
          <w:rFonts w:hint="eastAsia" w:ascii="宋体" w:hAnsi="宋体"/>
          <w:szCs w:val="24"/>
        </w:rPr>
        <w:t>数据分类不仅大大提高了数据的使用能力，同时也是数据保护工作中的一个关键部分，是建立统一、准确、完善数据架构和业务架构的基础。用户可利用有效的数据分类方法，依据自身业务特点对内部数据进行归类处理，无论是对数据实现规范化管理，还是在业务架构层面对应用系统进行“通拆并砍”，都能够做到有迹可循，有理可依。</w:t>
      </w:r>
    </w:p>
    <w:p>
      <w:pPr>
        <w:ind w:firstLine="240" w:firstLineChars="100"/>
        <w:rPr>
          <w:rFonts w:hint="eastAsia" w:ascii="宋体" w:hAnsi="宋体"/>
          <w:szCs w:val="24"/>
        </w:rPr>
      </w:pPr>
    </w:p>
    <w:p>
      <w:pPr>
        <w:pStyle w:val="4"/>
        <w:numPr>
          <w:ilvl w:val="1"/>
          <w:numId w:val="0"/>
        </w:numPr>
        <w:ind w:leftChars="0"/>
        <w:rPr>
          <w:rFonts w:hint="eastAsia" w:ascii="宋体" w:hAnsi="宋体" w:eastAsia="宋体" w:cs="宋体"/>
        </w:rPr>
      </w:pPr>
      <w:bookmarkStart w:id="13" w:name="_Toc10157"/>
      <w:r>
        <w:rPr>
          <w:rFonts w:hint="eastAsia" w:ascii="宋体" w:hAnsi="宋体" w:eastAsia="宋体" w:cs="宋体"/>
          <w:lang w:val="en-US" w:eastAsia="zh-CN"/>
        </w:rPr>
        <w:t xml:space="preserve">3.4.3 </w:t>
      </w:r>
      <w:r>
        <w:rPr>
          <w:rFonts w:hint="eastAsia" w:ascii="宋体" w:hAnsi="宋体" w:eastAsia="宋体" w:cs="宋体"/>
        </w:rPr>
        <w:t>数据分级</w:t>
      </w:r>
      <w:bookmarkEnd w:id="13"/>
    </w:p>
    <w:p>
      <w:pPr>
        <w:ind w:firstLine="480" w:firstLineChars="200"/>
        <w:rPr>
          <w:rFonts w:ascii="宋体" w:hAnsi="宋体"/>
          <w:szCs w:val="24"/>
        </w:rPr>
      </w:pPr>
      <w:r>
        <w:rPr>
          <w:rFonts w:hint="eastAsia" w:ascii="宋体" w:hAnsi="宋体"/>
          <w:szCs w:val="24"/>
        </w:rPr>
        <w:t>数据分级是指采用规范、明确的方法区分数据的重要性和敏感度差异，并确定数据级别。数据分级有助于用户根据数据不同级别，确定数据的对外开放程度，以及在其生命周期的各个环节应采取的安全防护策略和管控措施，提高数据管理和安全防护水平，确保数据的完整性、保密性和可用性。</w:t>
      </w:r>
    </w:p>
    <w:p>
      <w:pPr>
        <w:ind w:firstLine="480" w:firstLineChars="200"/>
        <w:rPr>
          <w:rFonts w:hint="eastAsia" w:ascii="宋体" w:hAnsi="宋体"/>
          <w:szCs w:val="24"/>
        </w:rPr>
      </w:pPr>
      <w:r>
        <w:rPr>
          <w:rFonts w:hint="eastAsia" w:ascii="宋体" w:hAnsi="宋体"/>
          <w:szCs w:val="24"/>
        </w:rPr>
        <w:t>数据分级目录形成后，可以被应用在分类目录结果中，形成完整的分类分级目录。</w:t>
      </w:r>
    </w:p>
    <w:p>
      <w:pPr>
        <w:pStyle w:val="4"/>
        <w:numPr>
          <w:ilvl w:val="1"/>
          <w:numId w:val="0"/>
        </w:numPr>
        <w:ind w:leftChars="0"/>
        <w:rPr>
          <w:rFonts w:hint="eastAsia" w:ascii="宋体" w:hAnsi="宋体" w:eastAsia="宋体" w:cs="宋体"/>
        </w:rPr>
      </w:pPr>
      <w:bookmarkStart w:id="14" w:name="_Toc20226"/>
      <w:r>
        <w:rPr>
          <w:rFonts w:hint="eastAsia" w:ascii="宋体" w:hAnsi="宋体" w:eastAsia="宋体" w:cs="宋体"/>
          <w:lang w:val="en-US" w:eastAsia="zh-CN"/>
        </w:rPr>
        <w:t xml:space="preserve">3.4.4 </w:t>
      </w:r>
      <w:r>
        <w:rPr>
          <w:rFonts w:hint="eastAsia" w:ascii="宋体" w:hAnsi="宋体" w:eastAsia="宋体" w:cs="宋体"/>
        </w:rPr>
        <w:t>数据合规</w:t>
      </w:r>
      <w:bookmarkEnd w:id="14"/>
    </w:p>
    <w:p>
      <w:pPr>
        <w:ind w:firstLine="480" w:firstLineChars="200"/>
      </w:pPr>
      <w:r>
        <w:rPr>
          <w:rFonts w:hint="eastAsia"/>
        </w:rPr>
        <w:t>近几年各国在数据合规性方面的重视程度越来越高，我国大数据的行业应用愈加广泛，但不同国家、不同领域企业所面临的行业法规不同，其基本态度和法律要求宽严不一，为企业的合规工作带来很大难度，中国企业在参与经济全球化的过程中，面临敏感数据保护及合规在内的新挑战和压力，如何能够既遵守各国法律法规，又满足企业商业化需求实现敏感数据保护，降低企业经营的法律危险成了有待解决的难题。</w:t>
      </w:r>
    </w:p>
    <w:p>
      <w:pPr>
        <w:ind w:firstLine="480" w:firstLineChars="200"/>
      </w:pPr>
      <w:r>
        <w:rPr>
          <w:rFonts w:hint="eastAsia"/>
        </w:rPr>
        <w:t>对于跨国企业来说，首先，全面了解自身业务并且对前期的核查进行复盘。通过对自身企业数据的核查可以了解自身业务中涉及的每一项数据处理的行为是否符合行业管理条例及合规要求。其次，以当地用户的视角进行合规，充分减少法律与业务之间的沟通误差。</w:t>
      </w:r>
    </w:p>
    <w:p>
      <w:pPr>
        <w:ind w:firstLine="480" w:firstLineChars="200"/>
        <w:rPr>
          <w:rFonts w:hint="eastAsia"/>
        </w:rPr>
      </w:pPr>
      <w:r>
        <w:rPr>
          <w:rFonts w:hint="eastAsia"/>
        </w:rPr>
        <w:t>数据合规信息作为分类分级目录的备注信息，经常用于区分不同标准之间的数据分类分级方法，供使用人员具有良好的辨别能力，知晓分类分级的来源。</w:t>
      </w:r>
    </w:p>
    <w:p>
      <w:pPr>
        <w:pStyle w:val="3"/>
        <w:numPr>
          <w:ilvl w:val="1"/>
          <w:numId w:val="0"/>
        </w:numPr>
        <w:ind w:leftChars="0"/>
        <w:rPr>
          <w:rFonts w:hint="eastAsia" w:ascii="宋体" w:hAnsi="宋体" w:eastAsia="宋体" w:cs="宋体"/>
        </w:rPr>
      </w:pPr>
      <w:bookmarkStart w:id="15" w:name="_Toc9942"/>
      <w:r>
        <w:rPr>
          <w:rFonts w:hint="eastAsia" w:ascii="宋体" w:hAnsi="宋体" w:eastAsia="宋体" w:cs="宋体"/>
          <w:lang w:val="en-US" w:eastAsia="zh-CN"/>
        </w:rPr>
        <w:t xml:space="preserve">3.5 </w:t>
      </w:r>
      <w:r>
        <w:rPr>
          <w:rFonts w:hint="eastAsia" w:ascii="宋体" w:hAnsi="宋体" w:eastAsia="宋体" w:cs="宋体"/>
        </w:rPr>
        <w:t>PackData数据分类分级系统产品优势</w:t>
      </w:r>
      <w:bookmarkEnd w:id="15"/>
    </w:p>
    <w:p>
      <w:pPr>
        <w:ind w:firstLine="480" w:firstLineChars="200"/>
      </w:pPr>
      <w:r>
        <w:rPr>
          <w:rFonts w:hint="eastAsia"/>
        </w:rPr>
        <w:t>如今数据的价值、使用方式、使用环境和政策要求都在发生变化，敏感数据因其详细、准确等特点，面临诸多安全问题，派客动力分类分级管理系统通过对元数据的分类、分级以及合规操作，为不同领域不同行业的场景化安全防护提供必要保障。</w:t>
      </w:r>
    </w:p>
    <w:p>
      <w:pPr>
        <w:pStyle w:val="4"/>
        <w:numPr>
          <w:ilvl w:val="1"/>
          <w:numId w:val="0"/>
        </w:numPr>
        <w:ind w:leftChars="0"/>
        <w:rPr>
          <w:rFonts w:hint="eastAsia" w:ascii="宋体" w:hAnsi="宋体" w:eastAsia="宋体" w:cs="宋体"/>
        </w:rPr>
      </w:pPr>
      <w:bookmarkStart w:id="16" w:name="_Toc17494"/>
      <w:r>
        <w:rPr>
          <w:rFonts w:hint="eastAsia" w:ascii="宋体" w:hAnsi="宋体" w:eastAsia="宋体" w:cs="宋体"/>
          <w:lang w:val="en-US" w:eastAsia="zh-CN"/>
        </w:rPr>
        <w:t xml:space="preserve">3.5.1 </w:t>
      </w:r>
      <w:r>
        <w:rPr>
          <w:rFonts w:hint="eastAsia" w:ascii="宋体" w:hAnsi="宋体" w:eastAsia="宋体" w:cs="宋体"/>
        </w:rPr>
        <w:t>完整的数据分类分级体系</w:t>
      </w:r>
      <w:bookmarkEnd w:id="16"/>
    </w:p>
    <w:p>
      <w:pPr>
        <w:ind w:firstLine="480" w:firstLineChars="200"/>
        <w:rPr>
          <w:rFonts w:hint="eastAsia" w:ascii="宋体" w:hAnsi="宋体" w:eastAsia="宋体" w:cs="宋体"/>
        </w:rPr>
      </w:pPr>
      <w:r>
        <w:rPr>
          <w:rFonts w:hint="eastAsia" w:ascii="宋体" w:hAnsi="宋体" w:eastAsia="宋体" w:cs="宋体"/>
        </w:rPr>
        <w:t>PackData数据分类分级系统中的数据分类是从业务角度进行分析，按照企业的实际运营要求，先分析企业的业务系统，再根据业务情况，按照业务域、业务线、业务模型、业务指标、业务类、业务项等进行类别划分，最终将数据源中元数据（字段）与各类别进行挂载处理。</w:t>
      </w:r>
    </w:p>
    <w:p>
      <w:pPr>
        <w:ind w:firstLine="480" w:firstLineChars="200"/>
        <w:rPr>
          <w:rFonts w:hint="eastAsia" w:ascii="宋体" w:hAnsi="宋体" w:eastAsia="宋体" w:cs="宋体"/>
        </w:rPr>
      </w:pPr>
      <w:r>
        <w:rPr>
          <w:rFonts w:hint="eastAsia" w:ascii="宋体" w:hAnsi="宋体" w:eastAsia="宋体" w:cs="宋体"/>
        </w:rPr>
        <w:t>数据分级属于数据安全领域，称它为敏感等级更为贴切。企业中的数据有的密级程度高、有的密级程度低、有的可公开、有的不可公开，敏感等级不同的数据在对内使用时受到的保护策略有所不同，对外共享开放的程度也不同。因此，确定数据的不同级别，确定数据的对外开放程度，以及在其生命周期的各个环节应采取的安全防护策略和管控措施，能够提高数据管理和安全防护水平，确保数据的完整性、保密性和可用性。</w:t>
      </w:r>
    </w:p>
    <w:p>
      <w:pPr>
        <w:ind w:firstLine="480" w:firstLineChars="200"/>
        <w:rPr>
          <w:rFonts w:hint="eastAsia" w:ascii="宋体" w:hAnsi="宋体" w:eastAsia="宋体" w:cs="宋体"/>
        </w:rPr>
      </w:pPr>
      <w:r>
        <w:rPr>
          <w:rFonts w:hint="eastAsia" w:ascii="宋体" w:hAnsi="宋体" w:eastAsia="宋体" w:cs="宋体"/>
        </w:rPr>
        <w:t>在国家政策法规层面上来看，企业需要满足相关的法律法规，在行业层面上来看，企业需要满足相关的政策标准，而在企业内部，需要满足企业规范。通常情况下，数据合规操作中需要法务部门参与，或请一些外部的咨询公司帮助企业梳理相关的合规要求。若是跨国企业，还需要考虑其它国家或区域的法律，同时也要考虑到国内外相关法律法规的对标问题。</w:t>
      </w:r>
    </w:p>
    <w:p>
      <w:pPr>
        <w:ind w:firstLine="480" w:firstLineChars="200"/>
        <w:rPr>
          <w:rFonts w:hint="eastAsia" w:ascii="宋体" w:hAnsi="宋体" w:eastAsia="宋体" w:cs="宋体"/>
        </w:rPr>
      </w:pPr>
      <w:r>
        <w:rPr>
          <w:rFonts w:hint="eastAsia" w:ascii="宋体" w:hAnsi="宋体" w:eastAsia="宋体" w:cs="宋体"/>
        </w:rPr>
        <w:t>派客动力分类分级产品的分类、分级、合规目录，不是简单的分类目录、分级目录、合规目录的集合，而是将分类信息、分级信息、合规信息有效地结合在一起，形成一个完整的视图，每个节点信息都能很好地体现数据分类分级的原因、业务特征、技术特征，十分有利于管理和分类分级的扩展。</w:t>
      </w:r>
    </w:p>
    <w:p>
      <w:pPr>
        <w:pStyle w:val="4"/>
        <w:numPr>
          <w:ilvl w:val="1"/>
          <w:numId w:val="0"/>
        </w:numPr>
        <w:ind w:leftChars="0"/>
        <w:rPr>
          <w:rFonts w:hint="eastAsia" w:ascii="宋体" w:hAnsi="宋体" w:eastAsia="宋体" w:cs="宋体"/>
        </w:rPr>
      </w:pPr>
      <w:bookmarkStart w:id="17" w:name="_Toc4493"/>
      <w:r>
        <w:rPr>
          <w:rFonts w:hint="eastAsia" w:ascii="宋体" w:hAnsi="宋体" w:eastAsia="宋体" w:cs="宋体"/>
          <w:lang w:val="en-US" w:eastAsia="zh-CN"/>
        </w:rPr>
        <w:t xml:space="preserve">3.5.2 </w:t>
      </w:r>
      <w:r>
        <w:rPr>
          <w:rFonts w:hint="eastAsia" w:ascii="宋体" w:hAnsi="宋体" w:eastAsia="宋体" w:cs="宋体"/>
        </w:rPr>
        <w:t>自动化的数据分类分级方法</w:t>
      </w:r>
      <w:bookmarkEnd w:id="17"/>
    </w:p>
    <w:p>
      <w:pPr>
        <w:ind w:firstLine="480" w:firstLineChars="200"/>
      </w:pPr>
      <w:r>
        <w:rPr>
          <w:rFonts w:hint="eastAsia"/>
        </w:rPr>
        <w:t>数据分类分级工作经常面临大量的业务系统、数据库中的信息庞大，基础信息很难清晰描述，派客动力以技术为导向，在分类分级目录中采用技术语言描述节点的数据特征，支持多种数据特征描述方式。</w:t>
      </w:r>
    </w:p>
    <w:p>
      <w:pPr>
        <w:ind w:firstLine="480" w:firstLineChars="200"/>
        <w:rPr>
          <w:rFonts w:hint="eastAsia"/>
        </w:rPr>
      </w:pPr>
      <w:r>
        <w:rPr>
          <w:rFonts w:hint="eastAsia"/>
        </w:rPr>
        <w:t>数据分类分级平台根据数据特征在海量数据库中分析数据信息和元数据信息，将数据库中对象自动挂载到已经定义的分类分级目录中，极大地减少了人为地数据分类分级工作，是企业数据资产管理良好的技术手段。</w:t>
      </w:r>
    </w:p>
    <w:p>
      <w:pPr>
        <w:pStyle w:val="4"/>
        <w:numPr>
          <w:ilvl w:val="1"/>
          <w:numId w:val="0"/>
        </w:numPr>
        <w:ind w:leftChars="0"/>
        <w:rPr>
          <w:rFonts w:hint="eastAsia" w:ascii="宋体" w:hAnsi="宋体" w:eastAsia="宋体" w:cs="宋体"/>
        </w:rPr>
      </w:pPr>
      <w:bookmarkStart w:id="18" w:name="_Toc15025"/>
      <w:r>
        <w:rPr>
          <w:rFonts w:hint="eastAsia" w:ascii="宋体" w:hAnsi="宋体" w:eastAsia="宋体" w:cs="宋体"/>
          <w:lang w:val="en-US" w:eastAsia="zh-CN"/>
        </w:rPr>
        <w:t xml:space="preserve">3.5.3 </w:t>
      </w:r>
      <w:r>
        <w:rPr>
          <w:rFonts w:hint="eastAsia" w:ascii="宋体" w:hAnsi="宋体" w:eastAsia="宋体" w:cs="宋体"/>
        </w:rPr>
        <w:t>支持多样化的部署环境</w:t>
      </w:r>
      <w:bookmarkEnd w:id="18"/>
    </w:p>
    <w:p>
      <w:pPr>
        <w:ind w:firstLine="480" w:firstLineChars="200"/>
        <w:rPr>
          <w:rFonts w:hint="eastAsia" w:ascii="宋体" w:hAnsi="宋体" w:eastAsia="宋体" w:cs="宋体"/>
        </w:rPr>
      </w:pPr>
      <w:r>
        <w:rPr>
          <w:rFonts w:hint="eastAsia" w:ascii="宋体" w:hAnsi="宋体" w:eastAsia="宋体" w:cs="宋体"/>
        </w:rPr>
        <w:t>数据分类分级系统支持多种异构数据源，支持传统的关系型数据库，包括但不限于ORALE\MYSQL\DB2\SYBASE\INFOMIX等；还支持MPP数据库，如TERADATA、GREENPLUM\GBASE等；支持KEYVALUE数据库，如MONGODB、REDIS；支持大数据平台如HADOOP\TDH\CDP等；支持国产的数据库，如TIDB、OCEANBASE、高斯、达梦、人大金仓等。</w:t>
      </w:r>
    </w:p>
    <w:p>
      <w:pPr>
        <w:ind w:firstLine="480" w:firstLineChars="200"/>
        <w:rPr>
          <w:rFonts w:hint="eastAsia" w:ascii="宋体" w:hAnsi="宋体" w:eastAsia="宋体" w:cs="宋体"/>
        </w:rPr>
      </w:pPr>
      <w:r>
        <w:rPr>
          <w:rFonts w:hint="eastAsia" w:ascii="宋体" w:hAnsi="宋体" w:eastAsia="宋体" w:cs="宋体"/>
        </w:rPr>
        <w:t>数据分类分级软件可以在WINDOWS、REDHAT、CENTEOS中运行，也支持在麒麟、 统信等国产软件中运行。</w:t>
      </w:r>
    </w:p>
    <w:p>
      <w:pPr>
        <w:rPr>
          <w:rFonts w:hint="eastAsia" w:ascii="宋体" w:hAnsi="宋体" w:eastAsia="宋体" w:cs="宋体"/>
          <w:lang w:eastAsia="zh-CN"/>
        </w:rPr>
      </w:pPr>
      <w:r>
        <w:rPr>
          <w:rFonts w:hint="eastAsia" w:ascii="宋体" w:hAnsi="宋体" w:eastAsia="宋体" w:cs="宋体"/>
          <w:lang w:eastAsia="zh-CN"/>
        </w:rPr>
        <w:br w:type="page"/>
      </w:r>
    </w:p>
    <w:p>
      <w:pPr>
        <w:pStyle w:val="2"/>
        <w:numPr>
          <w:ilvl w:val="0"/>
          <w:numId w:val="0"/>
        </w:numPr>
        <w:ind w:leftChars="0"/>
        <w:rPr>
          <w:rFonts w:hint="eastAsia" w:ascii="宋体" w:hAnsi="宋体" w:eastAsia="宋体" w:cs="宋体"/>
        </w:rPr>
      </w:pPr>
      <w:bookmarkStart w:id="19" w:name="_Toc18204"/>
      <w:r>
        <w:rPr>
          <w:rFonts w:hint="eastAsia" w:ascii="宋体" w:hAnsi="宋体" w:eastAsia="宋体" w:cs="宋体"/>
          <w:lang w:eastAsia="zh-CN"/>
        </w:rPr>
        <w:t>第四章</w:t>
      </w:r>
      <w:r>
        <w:rPr>
          <w:rFonts w:hint="eastAsia" w:ascii="宋体" w:hAnsi="宋体" w:eastAsia="宋体" w:cs="宋体"/>
          <w:lang w:val="en-US" w:eastAsia="zh-CN"/>
        </w:rPr>
        <w:t xml:space="preserve"> </w:t>
      </w:r>
      <w:r>
        <w:rPr>
          <w:rFonts w:hint="eastAsia" w:ascii="宋体" w:hAnsi="宋体" w:eastAsia="宋体" w:cs="宋体"/>
        </w:rPr>
        <w:t>PackData数据分类分级系统教程</w:t>
      </w:r>
      <w:bookmarkEnd w:id="19"/>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rPr>
        <w:t>在本教程中，将充分演示当企业人员登录PackData 分类分级系统，创建分类分级版本、数据分类定义、敏感等级定义、法律法规定义、设置字段分类分级、查看分类分级报表等规范操作。</w:t>
      </w:r>
    </w:p>
    <w:p>
      <w:pPr>
        <w:pStyle w:val="3"/>
        <w:numPr>
          <w:ilvl w:val="1"/>
          <w:numId w:val="0"/>
        </w:numPr>
        <w:ind w:leftChars="0"/>
        <w:rPr>
          <w:rFonts w:hint="eastAsia" w:ascii="宋体" w:hAnsi="宋体" w:eastAsia="宋体" w:cs="宋体"/>
        </w:rPr>
      </w:pPr>
      <w:bookmarkStart w:id="20" w:name="_Toc7113"/>
      <w:r>
        <w:rPr>
          <w:rFonts w:hint="eastAsia" w:ascii="宋体" w:hAnsi="宋体" w:eastAsia="宋体" w:cs="宋体"/>
          <w:lang w:val="en-US" w:eastAsia="zh-CN"/>
        </w:rPr>
        <w:t xml:space="preserve">4.1 </w:t>
      </w:r>
      <w:r>
        <w:rPr>
          <w:rFonts w:hint="eastAsia" w:ascii="宋体" w:hAnsi="宋体" w:eastAsia="宋体" w:cs="宋体"/>
        </w:rPr>
        <w:t>产品概述</w:t>
      </w:r>
      <w:bookmarkEnd w:id="20"/>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ascii="宋体" w:hAnsi="宋体"/>
          <w:szCs w:val="24"/>
        </w:rPr>
        <w:t>P</w:t>
      </w:r>
      <w:r>
        <w:rPr>
          <w:rFonts w:hint="eastAsia" w:ascii="宋体" w:hAnsi="宋体"/>
          <w:szCs w:val="24"/>
        </w:rPr>
        <w:t>ackData分类分级系统在环境部署完成后，通过访问Web端访问数据分类分级系统地址，即可进入到平台登录界面。其核心架构主要包括数据分类、数据分级、数据合规等主流程功能，同时包括设置字段分级、查看分类分级报表等主要功能。</w:t>
      </w:r>
      <w:r>
        <w:rPr>
          <w:rFonts w:ascii="宋体" w:hAnsi="宋体"/>
          <w:szCs w:val="24"/>
        </w:rPr>
        <w:t>P</w:t>
      </w:r>
      <w:r>
        <w:rPr>
          <w:rFonts w:hint="eastAsia" w:ascii="宋体" w:hAnsi="宋体"/>
          <w:szCs w:val="24"/>
        </w:rPr>
        <w:t>ackData</w:t>
      </w:r>
      <w:r>
        <w:rPr>
          <w:rFonts w:ascii="宋体" w:hAnsi="宋体"/>
          <w:szCs w:val="24"/>
        </w:rPr>
        <w:t xml:space="preserve"> Masking</w:t>
      </w:r>
      <w:r>
        <w:rPr>
          <w:rFonts w:hint="eastAsia" w:ascii="宋体" w:hAnsi="宋体"/>
          <w:szCs w:val="24"/>
        </w:rPr>
        <w:t>数据分类分级系统提供了一系列接口，主要有统一的平台登录接口、</w:t>
      </w:r>
      <w:r>
        <w:rPr>
          <w:rFonts w:ascii="宋体" w:hAnsi="宋体"/>
          <w:szCs w:val="24"/>
        </w:rPr>
        <w:t>API</w:t>
      </w:r>
      <w:r>
        <w:rPr>
          <w:rFonts w:hint="eastAsia" w:ascii="宋体" w:hAnsi="宋体"/>
          <w:szCs w:val="24"/>
        </w:rPr>
        <w:t>接口等。</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产品功能包括几个部分：</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 xml:space="preserve">一：首页 </w:t>
      </w:r>
      <w: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二：版本管理</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三：分类分级目录管理</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四：数据源管理</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五：发现规则管理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rPr>
        <w:t>六：数据分类分级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rPr>
        <w:t>七：系统监控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rPr>
        <w:t>八：系统管理</w:t>
      </w:r>
    </w:p>
    <w:p>
      <w:pPr>
        <w:pStyle w:val="3"/>
        <w:numPr>
          <w:ilvl w:val="1"/>
          <w:numId w:val="0"/>
        </w:numPr>
        <w:ind w:leftChars="0"/>
        <w:rPr>
          <w:rFonts w:hint="eastAsia" w:ascii="宋体" w:hAnsi="宋体" w:eastAsia="宋体" w:cs="宋体"/>
        </w:rPr>
      </w:pPr>
      <w:bookmarkStart w:id="21" w:name="_Toc15269"/>
      <w:r>
        <w:rPr>
          <w:rFonts w:hint="eastAsia" w:ascii="宋体" w:hAnsi="宋体" w:eastAsia="宋体" w:cs="宋体"/>
          <w:lang w:val="en-US" w:eastAsia="zh-CN"/>
        </w:rPr>
        <w:t xml:space="preserve">4.2 </w:t>
      </w:r>
      <w:r>
        <w:rPr>
          <w:rFonts w:hint="eastAsia" w:ascii="宋体" w:hAnsi="宋体" w:eastAsia="宋体" w:cs="宋体"/>
        </w:rPr>
        <w:t>操作流程</w:t>
      </w:r>
      <w:bookmarkEnd w:id="21"/>
    </w:p>
    <w:p>
      <w:pPr>
        <w:jc w:val="left"/>
      </w:pPr>
      <w:r>
        <w:rPr>
          <w:rFonts w:hint="eastAsia"/>
        </w:rPr>
        <w:t>创建分类分级操作流程包含以下几个部分：</w:t>
      </w:r>
    </w:p>
    <w:p>
      <w:pPr>
        <w:pStyle w:val="4"/>
        <w:numPr>
          <w:ilvl w:val="0"/>
          <w:numId w:val="0"/>
        </w:numPr>
        <w:rPr>
          <w:rFonts w:hint="eastAsia" w:ascii="宋体" w:hAnsi="宋体" w:eastAsia="宋体" w:cs="宋体"/>
        </w:rPr>
      </w:pPr>
      <w:bookmarkStart w:id="22" w:name="_Toc8025"/>
      <w:r>
        <w:rPr>
          <w:rFonts w:hint="eastAsia" w:ascii="宋体" w:hAnsi="宋体" w:eastAsia="宋体" w:cs="宋体"/>
          <w:lang w:val="en-US" w:eastAsia="zh-CN"/>
        </w:rPr>
        <w:t xml:space="preserve">4.2.1 </w:t>
      </w:r>
      <w:r>
        <w:rPr>
          <w:rFonts w:hint="eastAsia" w:ascii="宋体" w:hAnsi="宋体" w:eastAsia="宋体" w:cs="宋体"/>
        </w:rPr>
        <w:t>分类分级体系定义</w:t>
      </w:r>
      <w:bookmarkEnd w:id="22"/>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分类分级体系的定义是整个软件的基础，通过定义分类分级体系，才能在此基础上对数据库的信息进行识别、挂载、展示、分析、跟踪。</w:t>
      </w:r>
    </w:p>
    <w:p>
      <w:pPr>
        <w:pStyle w:val="32"/>
        <w:numPr>
          <w:ilvl w:val="0"/>
          <w:numId w:val="8"/>
        </w:numPr>
        <w:ind w:firstLineChars="0"/>
      </w:pPr>
      <w:r>
        <w:rPr>
          <w:rFonts w:hint="eastAsia"/>
        </w:rPr>
        <w:t>定义分类分级版本：</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针对不同的分类分级体系做划分归类操作，用户可以根据需求在不同的版本下编辑满足用户自己的分类分级体系。每个分类分级版本可以包含多个业务域和业务系统。</w:t>
      </w:r>
    </w:p>
    <w:p>
      <w:pPr>
        <w:jc w:val="center"/>
      </w:pPr>
      <w:r>
        <w:drawing>
          <wp:inline distT="0" distB="0" distL="0" distR="0">
            <wp:extent cx="5274310" cy="2596515"/>
            <wp:effectExtent l="0" t="0" r="13970" b="9525"/>
            <wp:docPr id="8" name="图片 8"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 表格&#10;&#10;描述已自动生成"/>
                    <pic:cNvPicPr>
                      <a:picLocks noChangeAspect="1"/>
                    </pic:cNvPicPr>
                  </pic:nvPicPr>
                  <pic:blipFill>
                    <a:blip r:embed="rId11"/>
                    <a:stretch>
                      <a:fillRect/>
                    </a:stretch>
                  </pic:blipFill>
                  <pic:spPr>
                    <a:xfrm>
                      <a:off x="0" y="0"/>
                      <a:ext cx="5274310" cy="2596515"/>
                    </a:xfrm>
                    <a:prstGeom prst="rect">
                      <a:avLst/>
                    </a:prstGeom>
                  </pic:spPr>
                </pic:pic>
              </a:graphicData>
            </a:graphic>
          </wp:inline>
        </w:drawing>
      </w:r>
    </w:p>
    <w:p>
      <w:pPr>
        <w:jc w:val="center"/>
        <w:rPr>
          <w:rFonts w:hint="eastAsia" w:eastAsia="宋体"/>
          <w:b w:val="0"/>
          <w:bCs w:val="0"/>
          <w:sz w:val="20"/>
          <w:szCs w:val="20"/>
          <w:lang w:eastAsia="zh-CN"/>
        </w:rPr>
      </w:pPr>
      <w:r>
        <w:rPr>
          <w:rFonts w:hint="eastAsia"/>
          <w:b w:val="0"/>
          <w:bCs w:val="0"/>
          <w:sz w:val="20"/>
          <w:szCs w:val="20"/>
          <w:lang w:eastAsia="zh-CN"/>
        </w:rPr>
        <w:t>派客动力定义分类分级版本图</w:t>
      </w:r>
    </w:p>
    <w:p>
      <w:pPr>
        <w:pStyle w:val="32"/>
        <w:numPr>
          <w:ilvl w:val="0"/>
          <w:numId w:val="8"/>
        </w:numPr>
        <w:ind w:left="420" w:leftChars="0" w:hanging="420" w:firstLineChars="0"/>
      </w:pPr>
      <w:r>
        <w:rPr>
          <w:rFonts w:hint="eastAsia"/>
        </w:rPr>
        <w:t>分类目录定义：</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用户可将梳理好的数据分类标准直接导入系统，也可在系统中自定义分类标准，并标注各标准的相关属性</w:t>
      </w:r>
      <w:r>
        <w:t>。</w:t>
      </w:r>
    </w:p>
    <w:p>
      <w:pPr>
        <w:jc w:val="center"/>
      </w:pPr>
      <w:r>
        <w:drawing>
          <wp:inline distT="0" distB="0" distL="0" distR="0">
            <wp:extent cx="5274310" cy="2541905"/>
            <wp:effectExtent l="0" t="0" r="2540" b="0"/>
            <wp:docPr id="11" name="图片 1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应用程序&#10;&#10;描述已自动生成"/>
                    <pic:cNvPicPr>
                      <a:picLocks noChangeAspect="1"/>
                    </pic:cNvPicPr>
                  </pic:nvPicPr>
                  <pic:blipFill>
                    <a:blip r:embed="rId12"/>
                    <a:stretch>
                      <a:fillRect/>
                    </a:stretch>
                  </pic:blipFill>
                  <pic:spPr>
                    <a:xfrm>
                      <a:off x="0" y="0"/>
                      <a:ext cx="5274310" cy="2541905"/>
                    </a:xfrm>
                    <a:prstGeom prst="rect">
                      <a:avLst/>
                    </a:prstGeom>
                  </pic:spPr>
                </pic:pic>
              </a:graphicData>
            </a:graphic>
          </wp:inline>
        </w:drawing>
      </w:r>
    </w:p>
    <w:p>
      <w:pPr>
        <w:jc w:val="center"/>
        <w:rPr>
          <w:rFonts w:hint="eastAsia" w:eastAsia="宋体"/>
          <w:sz w:val="20"/>
          <w:szCs w:val="20"/>
          <w:lang w:eastAsia="zh-CN"/>
        </w:rPr>
      </w:pPr>
      <w:r>
        <w:rPr>
          <w:rFonts w:hint="eastAsia"/>
          <w:sz w:val="20"/>
          <w:szCs w:val="20"/>
          <w:lang w:eastAsia="zh-CN"/>
        </w:rPr>
        <w:t>派客动力数据分类目录图</w:t>
      </w:r>
    </w:p>
    <w:p>
      <w:pPr>
        <w:pStyle w:val="32"/>
        <w:numPr>
          <w:ilvl w:val="0"/>
          <w:numId w:val="8"/>
        </w:numPr>
        <w:ind w:firstLineChars="0"/>
      </w:pPr>
      <w:r>
        <w:rPr>
          <w:rFonts w:hint="eastAsia"/>
        </w:rPr>
        <w:t>分级目录定义：</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用于区分敏感数据（例如：身份证、银行卡号等信息）的敏感程度，更好的加以保护敏感数据。</w:t>
      </w:r>
    </w:p>
    <w:p>
      <w:pPr>
        <w:jc w:val="center"/>
      </w:pPr>
      <w:r>
        <w:drawing>
          <wp:inline distT="0" distB="0" distL="0" distR="0">
            <wp:extent cx="5274310" cy="2568575"/>
            <wp:effectExtent l="0" t="0" r="13970" b="6985"/>
            <wp:docPr id="10" name="图片 10" descr="表格&#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表格&#10;&#10;低可信度描述已自动生成"/>
                    <pic:cNvPicPr>
                      <a:picLocks noChangeAspect="1"/>
                    </pic:cNvPicPr>
                  </pic:nvPicPr>
                  <pic:blipFill>
                    <a:blip r:embed="rId13"/>
                    <a:stretch>
                      <a:fillRect/>
                    </a:stretch>
                  </pic:blipFill>
                  <pic:spPr>
                    <a:xfrm>
                      <a:off x="0" y="0"/>
                      <a:ext cx="5274310" cy="2568575"/>
                    </a:xfrm>
                    <a:prstGeom prst="rect">
                      <a:avLst/>
                    </a:prstGeom>
                  </pic:spPr>
                </pic:pic>
              </a:graphicData>
            </a:graphic>
          </wp:inline>
        </w:drawing>
      </w:r>
    </w:p>
    <w:p>
      <w:pPr>
        <w:jc w:val="center"/>
        <w:rPr>
          <w:rFonts w:hint="eastAsia" w:eastAsia="宋体"/>
          <w:sz w:val="20"/>
          <w:szCs w:val="20"/>
          <w:lang w:eastAsia="zh-CN"/>
        </w:rPr>
      </w:pPr>
      <w:r>
        <w:rPr>
          <w:rFonts w:hint="eastAsia"/>
          <w:sz w:val="20"/>
          <w:szCs w:val="20"/>
          <w:lang w:eastAsia="zh-CN"/>
        </w:rPr>
        <w:t>派客动力数据分级目录图</w:t>
      </w:r>
    </w:p>
    <w:p>
      <w:pPr>
        <w:pStyle w:val="32"/>
        <w:numPr>
          <w:ilvl w:val="0"/>
          <w:numId w:val="8"/>
        </w:numPr>
        <w:ind w:firstLineChars="0"/>
      </w:pPr>
      <w:r>
        <w:rPr>
          <w:rFonts w:hint="eastAsia"/>
        </w:rPr>
        <w:t>合规目录定义：</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在大数据环境下，作为生产资料的数据资源具有数据量巨大、数据变化快等特征，会导致大数据分析及应用场景更为复杂，因此必须遵守一定的法律法规以及道德标准，同时政府部门需要进一步完善法律法规，保障数据不被窃取、破坏和滥用，以及确保大数据系统的安全可靠运行，并发挥大数据的最大作用和价值。</w:t>
      </w:r>
    </w:p>
    <w:p>
      <w:pPr>
        <w:jc w:val="center"/>
      </w:pPr>
      <w:r>
        <w:drawing>
          <wp:inline distT="0" distB="0" distL="0" distR="0">
            <wp:extent cx="5274310" cy="2593340"/>
            <wp:effectExtent l="0" t="0" r="2540" b="0"/>
            <wp:docPr id="12" name="图片 12" descr="图形用户界面, 文本,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 电子邮件&#10;&#10;描述已自动生成"/>
                    <pic:cNvPicPr>
                      <a:picLocks noChangeAspect="1"/>
                    </pic:cNvPicPr>
                  </pic:nvPicPr>
                  <pic:blipFill>
                    <a:blip r:embed="rId14"/>
                    <a:stretch>
                      <a:fillRect/>
                    </a:stretch>
                  </pic:blipFill>
                  <pic:spPr>
                    <a:xfrm>
                      <a:off x="0" y="0"/>
                      <a:ext cx="5274310" cy="2593340"/>
                    </a:xfrm>
                    <a:prstGeom prst="rect">
                      <a:avLst/>
                    </a:prstGeom>
                  </pic:spPr>
                </pic:pic>
              </a:graphicData>
            </a:graphic>
          </wp:inline>
        </w:drawing>
      </w:r>
    </w:p>
    <w:p>
      <w:pPr>
        <w:jc w:val="center"/>
        <w:rPr>
          <w:rFonts w:hint="eastAsia" w:eastAsia="宋体"/>
          <w:sz w:val="20"/>
          <w:szCs w:val="20"/>
          <w:lang w:eastAsia="zh-CN"/>
        </w:rPr>
      </w:pPr>
      <w:r>
        <w:rPr>
          <w:rFonts w:hint="eastAsia"/>
          <w:sz w:val="20"/>
          <w:szCs w:val="20"/>
          <w:lang w:eastAsia="zh-CN"/>
        </w:rPr>
        <w:t>派客动力合规目录定义图</w:t>
      </w:r>
    </w:p>
    <w:p>
      <w:pPr>
        <w:pStyle w:val="32"/>
        <w:numPr>
          <w:ilvl w:val="0"/>
          <w:numId w:val="8"/>
        </w:numPr>
        <w:ind w:firstLineChars="0"/>
      </w:pPr>
      <w:r>
        <w:rPr>
          <w:rFonts w:hint="eastAsia"/>
        </w:rPr>
        <w:t>数据发现规则定义：</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数据作为企业的重要资产，分布在不同的业务域和业务系统中，但是从分类分级角度来看，同一个分类分级的节点，具有的特征是相同的，无论其分布在哪个系统中。因此，需要为每个数据分类的节点，定制其数据特征，该数据特征可以采用函数、程序、正则表达式等方式呈现。</w:t>
      </w:r>
    </w:p>
    <w:p>
      <w:pPr>
        <w:jc w:val="center"/>
      </w:pPr>
      <w:r>
        <w:drawing>
          <wp:inline distT="0" distB="0" distL="0" distR="0">
            <wp:extent cx="5274310" cy="2529205"/>
            <wp:effectExtent l="0" t="0" r="2540" b="4445"/>
            <wp:docPr id="14" name="图片 14"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文本, 应用程序, 电子邮件&#10;&#10;描述已自动生成"/>
                    <pic:cNvPicPr>
                      <a:picLocks noChangeAspect="1"/>
                    </pic:cNvPicPr>
                  </pic:nvPicPr>
                  <pic:blipFill>
                    <a:blip r:embed="rId15"/>
                    <a:stretch>
                      <a:fillRect/>
                    </a:stretch>
                  </pic:blipFill>
                  <pic:spPr>
                    <a:xfrm>
                      <a:off x="0" y="0"/>
                      <a:ext cx="5274310" cy="2529205"/>
                    </a:xfrm>
                    <a:prstGeom prst="rect">
                      <a:avLst/>
                    </a:prstGeom>
                  </pic:spPr>
                </pic:pic>
              </a:graphicData>
            </a:graphic>
          </wp:inline>
        </w:drawing>
      </w:r>
    </w:p>
    <w:p>
      <w:pPr>
        <w:jc w:val="center"/>
        <w:rPr>
          <w:rFonts w:hint="eastAsia" w:eastAsia="宋体"/>
          <w:sz w:val="20"/>
          <w:szCs w:val="15"/>
          <w:lang w:eastAsia="zh-CN"/>
        </w:rPr>
      </w:pPr>
      <w:r>
        <w:rPr>
          <w:rFonts w:hint="eastAsia"/>
          <w:sz w:val="20"/>
          <w:szCs w:val="15"/>
          <w:lang w:eastAsia="zh-CN"/>
        </w:rPr>
        <w:t>派客动力数据发现规则定义图</w:t>
      </w:r>
    </w:p>
    <w:p>
      <w:pPr>
        <w:pStyle w:val="32"/>
        <w:numPr>
          <w:ilvl w:val="0"/>
          <w:numId w:val="8"/>
        </w:numPr>
        <w:ind w:firstLineChars="0"/>
      </w:pPr>
      <w:r>
        <w:rPr>
          <w:rFonts w:hint="eastAsia"/>
        </w:rPr>
        <w:t>分类分级合规树的管理</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产品以分类目录为基础，将分级信息、合规信息、数据发现规则聚合在一起，为后面的数据发现、信息自动挂载、批量挂载等操作提供良好的基石。</w:t>
      </w:r>
    </w:p>
    <w:p>
      <w:pPr>
        <w:pStyle w:val="4"/>
        <w:numPr>
          <w:ilvl w:val="0"/>
          <w:numId w:val="0"/>
        </w:numPr>
        <w:rPr>
          <w:rFonts w:hint="eastAsia" w:ascii="宋体" w:hAnsi="宋体" w:eastAsia="宋体" w:cs="宋体"/>
        </w:rPr>
      </w:pPr>
      <w:bookmarkStart w:id="23" w:name="_Toc5012"/>
      <w:r>
        <w:rPr>
          <w:rFonts w:hint="eastAsia" w:ascii="宋体" w:hAnsi="宋体" w:eastAsia="宋体" w:cs="宋体"/>
        </w:rPr>
        <w:t>4.2.2 业务数据的管理</w:t>
      </w:r>
      <w:bookmarkEnd w:id="23"/>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 xml:space="preserve">通过分类分级定义后，产品中已经具备了相关的树状结构，每个节点中还包括了技术特征信息，在此基础上展开对业务数据的管理。 </w:t>
      </w:r>
    </w:p>
    <w:p>
      <w:pPr>
        <w:pStyle w:val="32"/>
        <w:numPr>
          <w:ilvl w:val="0"/>
          <w:numId w:val="8"/>
        </w:numPr>
        <w:ind w:firstLineChars="0"/>
      </w:pPr>
      <w:r>
        <w:rPr>
          <w:rFonts w:hint="eastAsia"/>
        </w:rPr>
        <w:t>数据源管理：</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管理员提供业务系统的数据库连接方式，包括I</w:t>
      </w:r>
      <w:r>
        <w:t>P</w:t>
      </w:r>
      <w:r>
        <w:rPr>
          <w:rFonts w:hint="eastAsia"/>
        </w:rPr>
        <w:t>、用户、密码、端口、数据库名、等等信息，录入到产品中，供数据发现使用。</w:t>
      </w:r>
    </w:p>
    <w:p>
      <w:pPr>
        <w:jc w:val="center"/>
      </w:pPr>
      <w:r>
        <w:drawing>
          <wp:inline distT="0" distB="0" distL="0" distR="0">
            <wp:extent cx="5274310" cy="2576195"/>
            <wp:effectExtent l="0" t="0" r="13970" b="14605"/>
            <wp:docPr id="15" name="图片 1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 电子邮件&#10;&#10;描述已自动生成"/>
                    <pic:cNvPicPr>
                      <a:picLocks noChangeAspect="1"/>
                    </pic:cNvPicPr>
                  </pic:nvPicPr>
                  <pic:blipFill>
                    <a:blip r:embed="rId16"/>
                    <a:stretch>
                      <a:fillRect/>
                    </a:stretch>
                  </pic:blipFill>
                  <pic:spPr>
                    <a:xfrm>
                      <a:off x="0" y="0"/>
                      <a:ext cx="5274310" cy="2576195"/>
                    </a:xfrm>
                    <a:prstGeom prst="rect">
                      <a:avLst/>
                    </a:prstGeom>
                  </pic:spPr>
                </pic:pic>
              </a:graphicData>
            </a:graphic>
          </wp:inline>
        </w:drawing>
      </w:r>
    </w:p>
    <w:p>
      <w:pPr>
        <w:jc w:val="center"/>
        <w:rPr>
          <w:rFonts w:hint="eastAsia" w:eastAsia="宋体"/>
          <w:sz w:val="20"/>
          <w:szCs w:val="15"/>
          <w:lang w:eastAsia="zh-CN"/>
        </w:rPr>
      </w:pPr>
      <w:r>
        <w:rPr>
          <w:rFonts w:hint="eastAsia"/>
          <w:sz w:val="20"/>
          <w:szCs w:val="15"/>
          <w:lang w:eastAsia="zh-CN"/>
        </w:rPr>
        <w:t>派客动力数据源管理图</w:t>
      </w:r>
    </w:p>
    <w:p>
      <w:pPr>
        <w:pStyle w:val="32"/>
        <w:numPr>
          <w:ilvl w:val="0"/>
          <w:numId w:val="8"/>
        </w:numPr>
        <w:ind w:firstLineChars="0"/>
      </w:pPr>
      <w:r>
        <w:rPr>
          <w:rFonts w:hint="eastAsia"/>
        </w:rPr>
        <w:t>数据发现：</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根据分类分级合规树中已经具备的技术特征信息，对数据库中的庞大信息做筛选、比对、分析，根据数据特征判断其分类归属。</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通过数据发现后，将已经识别的数据特征信息，直接挂载到分类分级目录中，形成企业资产信息。</w:t>
      </w:r>
    </w:p>
    <w:p>
      <w:pPr>
        <w:jc w:val="center"/>
      </w:pPr>
      <w:r>
        <w:drawing>
          <wp:inline distT="0" distB="0" distL="0" distR="0">
            <wp:extent cx="5274310" cy="2536190"/>
            <wp:effectExtent l="0" t="0" r="13970" b="8890"/>
            <wp:docPr id="16" name="图片 1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文本, 应用程序, 电子邮件&#10;&#10;描述已自动生成"/>
                    <pic:cNvPicPr>
                      <a:picLocks noChangeAspect="1"/>
                    </pic:cNvPicPr>
                  </pic:nvPicPr>
                  <pic:blipFill>
                    <a:blip r:embed="rId17"/>
                    <a:stretch>
                      <a:fillRect/>
                    </a:stretch>
                  </pic:blipFill>
                  <pic:spPr>
                    <a:xfrm>
                      <a:off x="0" y="0"/>
                      <a:ext cx="5274310" cy="2536190"/>
                    </a:xfrm>
                    <a:prstGeom prst="rect">
                      <a:avLst/>
                    </a:prstGeom>
                  </pic:spPr>
                </pic:pic>
              </a:graphicData>
            </a:graphic>
          </wp:inline>
        </w:drawing>
      </w:r>
    </w:p>
    <w:p>
      <w:pPr>
        <w:jc w:val="center"/>
        <w:rPr>
          <w:rFonts w:hint="eastAsia" w:eastAsia="宋体"/>
          <w:sz w:val="20"/>
          <w:szCs w:val="15"/>
          <w:lang w:eastAsia="zh-CN"/>
        </w:rPr>
      </w:pPr>
      <w:r>
        <w:rPr>
          <w:rFonts w:hint="eastAsia"/>
          <w:sz w:val="20"/>
          <w:szCs w:val="15"/>
          <w:lang w:eastAsia="zh-CN"/>
        </w:rPr>
        <w:t>派客动力数据发现图</w:t>
      </w:r>
    </w:p>
    <w:p>
      <w:pPr>
        <w:pStyle w:val="32"/>
        <w:numPr>
          <w:ilvl w:val="0"/>
          <w:numId w:val="8"/>
        </w:numPr>
        <w:ind w:firstLineChars="0"/>
        <w:rPr>
          <w:highlight w:val="none"/>
        </w:rPr>
      </w:pPr>
      <w:r>
        <w:rPr>
          <w:rFonts w:hint="eastAsia"/>
          <w:highlight w:val="none"/>
        </w:rPr>
        <w:t>分类分级调整：</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除了自动完成数据分类分级和自动挂载，产品还提供了手工的分类分级手段，用于调整分类分级结果信息，便于灵活地管理。</w:t>
      </w:r>
    </w:p>
    <w:p>
      <w:pPr>
        <w:jc w:val="center"/>
      </w:pPr>
      <w:r>
        <w:drawing>
          <wp:inline distT="0" distB="0" distL="0" distR="0">
            <wp:extent cx="5274310" cy="2552700"/>
            <wp:effectExtent l="0" t="0" r="2540" b="0"/>
            <wp:docPr id="18" name="图片 1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 应用程序&#10;&#10;描述已自动生成"/>
                    <pic:cNvPicPr>
                      <a:picLocks noChangeAspect="1"/>
                    </pic:cNvPicPr>
                  </pic:nvPicPr>
                  <pic:blipFill>
                    <a:blip r:embed="rId18"/>
                    <a:stretch>
                      <a:fillRect/>
                    </a:stretch>
                  </pic:blipFill>
                  <pic:spPr>
                    <a:xfrm>
                      <a:off x="0" y="0"/>
                      <a:ext cx="5274310" cy="2552700"/>
                    </a:xfrm>
                    <a:prstGeom prst="rect">
                      <a:avLst/>
                    </a:prstGeom>
                  </pic:spPr>
                </pic:pic>
              </a:graphicData>
            </a:graphic>
          </wp:inline>
        </w:drawing>
      </w:r>
    </w:p>
    <w:p>
      <w:pPr>
        <w:jc w:val="center"/>
        <w:rPr>
          <w:rFonts w:hint="eastAsia" w:eastAsia="宋体"/>
          <w:sz w:val="20"/>
          <w:szCs w:val="15"/>
          <w:lang w:eastAsia="zh-CN"/>
        </w:rPr>
      </w:pPr>
      <w:r>
        <w:rPr>
          <w:rFonts w:hint="eastAsia"/>
          <w:sz w:val="20"/>
          <w:szCs w:val="15"/>
          <w:lang w:eastAsia="zh-CN"/>
        </w:rPr>
        <w:t>派客动力分类分级调整图</w:t>
      </w:r>
    </w:p>
    <w:p>
      <w:pPr>
        <w:pStyle w:val="4"/>
        <w:numPr>
          <w:ilvl w:val="0"/>
          <w:numId w:val="0"/>
        </w:numPr>
        <w:rPr>
          <w:rFonts w:hint="eastAsia" w:ascii="宋体" w:hAnsi="宋体" w:eastAsia="宋体" w:cs="宋体"/>
        </w:rPr>
      </w:pPr>
      <w:bookmarkStart w:id="24" w:name="_Toc23888"/>
      <w:r>
        <w:rPr>
          <w:rFonts w:hint="eastAsia" w:ascii="宋体" w:hAnsi="宋体" w:eastAsia="宋体" w:cs="宋体"/>
        </w:rPr>
        <w:t>4.2.3 分类分级结果展示</w:t>
      </w:r>
      <w:bookmarkEnd w:id="24"/>
    </w:p>
    <w:p>
      <w:pPr>
        <w:pStyle w:val="32"/>
        <w:numPr>
          <w:ilvl w:val="0"/>
          <w:numId w:val="8"/>
        </w:numPr>
        <w:ind w:firstLineChars="0"/>
        <w:jc w:val="left"/>
      </w:pPr>
      <w:r>
        <w:rPr>
          <w:rFonts w:hint="eastAsia"/>
        </w:rPr>
        <w:t>版本信息展示：</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产品在首页中提供系统的概况信息，包括数据域、系统系统、分类树、分级树、数据库、表、字段等多个角度的概况数据。</w:t>
      </w:r>
    </w:p>
    <w:p>
      <w:pPr>
        <w:jc w:val="center"/>
      </w:pPr>
      <w:r>
        <w:drawing>
          <wp:inline distT="0" distB="0" distL="0" distR="0">
            <wp:extent cx="5274310" cy="2623185"/>
            <wp:effectExtent l="0" t="0" r="2540" b="5715"/>
            <wp:docPr id="19" name="图片 1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10;&#10;描述已自动生成"/>
                    <pic:cNvPicPr>
                      <a:picLocks noChangeAspect="1"/>
                    </pic:cNvPicPr>
                  </pic:nvPicPr>
                  <pic:blipFill>
                    <a:blip r:embed="rId19"/>
                    <a:stretch>
                      <a:fillRect/>
                    </a:stretch>
                  </pic:blipFill>
                  <pic:spPr>
                    <a:xfrm>
                      <a:off x="0" y="0"/>
                      <a:ext cx="5274310" cy="2623185"/>
                    </a:xfrm>
                    <a:prstGeom prst="rect">
                      <a:avLst/>
                    </a:prstGeom>
                  </pic:spPr>
                </pic:pic>
              </a:graphicData>
            </a:graphic>
          </wp:inline>
        </w:drawing>
      </w:r>
    </w:p>
    <w:p>
      <w:pPr>
        <w:jc w:val="center"/>
        <w:rPr>
          <w:rFonts w:hint="eastAsia" w:eastAsia="宋体"/>
          <w:sz w:val="20"/>
          <w:szCs w:val="15"/>
          <w:lang w:eastAsia="zh-CN"/>
        </w:rPr>
      </w:pPr>
      <w:r>
        <w:rPr>
          <w:rFonts w:hint="eastAsia"/>
          <w:sz w:val="20"/>
          <w:szCs w:val="15"/>
          <w:lang w:eastAsia="zh-CN"/>
        </w:rPr>
        <w:t>派客动力版本统计图</w:t>
      </w:r>
    </w:p>
    <w:p>
      <w:pPr>
        <w:pStyle w:val="32"/>
        <w:numPr>
          <w:ilvl w:val="0"/>
          <w:numId w:val="8"/>
        </w:numPr>
        <w:ind w:firstLineChars="0"/>
        <w:jc w:val="left"/>
      </w:pPr>
      <w:r>
        <w:rPr>
          <w:rFonts w:hint="eastAsia"/>
        </w:rPr>
        <w:t>分类分级合规树的展示：</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系统提供分类结果、分级结果、合规结果、发现规则信息的展示页面，用户可以根据数据分类、敏感等级和法律法规筛选信息。</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支持按版本、业务系统、数据库名、表名等内容，查询分类分级的结果信息。</w:t>
      </w:r>
    </w:p>
    <w:p>
      <w:pPr>
        <w:jc w:val="center"/>
      </w:pPr>
      <w:r>
        <w:drawing>
          <wp:inline distT="0" distB="0" distL="0" distR="0">
            <wp:extent cx="5274310" cy="2573020"/>
            <wp:effectExtent l="0" t="0" r="2540" b="0"/>
            <wp:docPr id="20" name="图片 20" descr="图形用户界面,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 电子邮件&#10;&#10;描述已自动生成"/>
                    <pic:cNvPicPr>
                      <a:picLocks noChangeAspect="1"/>
                    </pic:cNvPicPr>
                  </pic:nvPicPr>
                  <pic:blipFill>
                    <a:blip r:embed="rId20"/>
                    <a:stretch>
                      <a:fillRect/>
                    </a:stretch>
                  </pic:blipFill>
                  <pic:spPr>
                    <a:xfrm>
                      <a:off x="0" y="0"/>
                      <a:ext cx="5274310" cy="2573020"/>
                    </a:xfrm>
                    <a:prstGeom prst="rect">
                      <a:avLst/>
                    </a:prstGeom>
                  </pic:spPr>
                </pic:pic>
              </a:graphicData>
            </a:graphic>
          </wp:inline>
        </w:drawing>
      </w:r>
    </w:p>
    <w:p>
      <w:pPr>
        <w:jc w:val="center"/>
        <w:rPr>
          <w:rFonts w:hint="eastAsia" w:eastAsia="宋体"/>
          <w:sz w:val="20"/>
          <w:szCs w:val="15"/>
          <w:lang w:eastAsia="zh-CN"/>
        </w:rPr>
      </w:pPr>
      <w:r>
        <w:rPr>
          <w:rFonts w:hint="eastAsia"/>
          <w:sz w:val="20"/>
          <w:szCs w:val="15"/>
          <w:lang w:eastAsia="zh-CN"/>
        </w:rPr>
        <w:t>派客动力分类分级合规树的展示图</w:t>
      </w:r>
    </w:p>
    <w:p>
      <w:pPr>
        <w:pStyle w:val="32"/>
        <w:numPr>
          <w:ilvl w:val="0"/>
          <w:numId w:val="8"/>
        </w:numPr>
        <w:ind w:firstLineChars="0"/>
        <w:jc w:val="left"/>
      </w:pPr>
      <w:r>
        <w:rPr>
          <w:rFonts w:hint="eastAsia"/>
        </w:rPr>
        <w:t>业务报表</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系统支持用报表形式展示分类分级结果信息，数据可以导出。</w:t>
      </w:r>
    </w:p>
    <w:p>
      <w:pPr>
        <w:jc w:val="center"/>
      </w:pPr>
      <w:r>
        <w:drawing>
          <wp:inline distT="0" distB="0" distL="0" distR="0">
            <wp:extent cx="5274310" cy="2618105"/>
            <wp:effectExtent l="0" t="0" r="13970" b="3175"/>
            <wp:docPr id="21" name="图片 21" descr="C:\Users\dell\Desktop\WPS图片.jpg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dell\Desktop\WPS图片.jpgWPS图片"/>
                    <pic:cNvPicPr>
                      <a:picLocks noChangeAspect="1"/>
                    </pic:cNvPicPr>
                  </pic:nvPicPr>
                  <pic:blipFill>
                    <a:blip r:embed="rId21"/>
                    <a:srcRect/>
                    <a:stretch>
                      <a:fillRect/>
                    </a:stretch>
                  </pic:blipFill>
                  <pic:spPr>
                    <a:xfrm>
                      <a:off x="0" y="0"/>
                      <a:ext cx="5274310" cy="2618105"/>
                    </a:xfrm>
                    <a:prstGeom prst="rect">
                      <a:avLst/>
                    </a:prstGeom>
                  </pic:spPr>
                </pic:pic>
              </a:graphicData>
            </a:graphic>
          </wp:inline>
        </w:drawing>
      </w:r>
    </w:p>
    <w:p>
      <w:pPr>
        <w:jc w:val="center"/>
        <w:rPr>
          <w:rFonts w:hint="eastAsia" w:eastAsia="宋体"/>
          <w:sz w:val="20"/>
          <w:szCs w:val="15"/>
          <w:lang w:eastAsia="zh-CN"/>
        </w:rPr>
      </w:pPr>
      <w:r>
        <w:rPr>
          <w:rFonts w:hint="eastAsia"/>
          <w:sz w:val="20"/>
          <w:szCs w:val="15"/>
          <w:lang w:eastAsia="zh-CN"/>
        </w:rPr>
        <w:t>派客动力业务报表图</w:t>
      </w:r>
    </w:p>
    <w:p>
      <w:pPr>
        <w:rPr>
          <w:rFonts w:hint="eastAsia"/>
          <w:lang w:eastAsia="zh-CN"/>
        </w:rPr>
      </w:pPr>
      <w:r>
        <w:rPr>
          <w:rFonts w:hint="eastAsia"/>
          <w:lang w:eastAsia="zh-CN"/>
        </w:rPr>
        <w:br w:type="page"/>
      </w:r>
    </w:p>
    <w:p>
      <w:pPr>
        <w:pStyle w:val="2"/>
        <w:numPr>
          <w:ilvl w:val="0"/>
          <w:numId w:val="0"/>
        </w:numPr>
        <w:ind w:leftChars="0"/>
      </w:pPr>
      <w:bookmarkStart w:id="25" w:name="_Toc16261"/>
      <w:r>
        <w:rPr>
          <w:rFonts w:hint="eastAsia"/>
          <w:lang w:eastAsia="zh-CN"/>
        </w:rPr>
        <w:t>第五章</w:t>
      </w:r>
      <w:r>
        <w:rPr>
          <w:rFonts w:hint="eastAsia"/>
          <w:lang w:val="en-US" w:eastAsia="zh-CN"/>
        </w:rPr>
        <w:t xml:space="preserve"> </w:t>
      </w:r>
      <w:r>
        <w:rPr>
          <w:rFonts w:hint="eastAsia"/>
        </w:rPr>
        <w:t>场景化使用</w:t>
      </w:r>
      <w:bookmarkEnd w:id="25"/>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如今数据的价值、使用方式、使用环境和政策要求都在发生变化，敏感数据因其详细、准确等特点，面临诸多安全问题，派客动力分类分级管理系统通过对元数据的分类、分级以及合规操作，为不同领域不同行业的场景化安全防护提供必要保障。</w:t>
      </w:r>
    </w:p>
    <w:p>
      <w:pPr>
        <w:pStyle w:val="3"/>
        <w:numPr>
          <w:ilvl w:val="1"/>
          <w:numId w:val="0"/>
        </w:numPr>
        <w:ind w:leftChars="0"/>
        <w:rPr>
          <w:rFonts w:hint="eastAsia" w:ascii="宋体" w:hAnsi="宋体" w:eastAsia="宋体" w:cs="宋体"/>
        </w:rPr>
      </w:pPr>
      <w:bookmarkStart w:id="26" w:name="_Toc665"/>
      <w:r>
        <w:rPr>
          <w:rFonts w:hint="eastAsia" w:ascii="宋体" w:hAnsi="宋体" w:eastAsia="宋体" w:cs="宋体"/>
          <w:lang w:val="en-US" w:eastAsia="zh-CN"/>
        </w:rPr>
        <w:t xml:space="preserve">5.1 </w:t>
      </w:r>
      <w:r>
        <w:rPr>
          <w:rFonts w:hint="eastAsia" w:ascii="宋体" w:hAnsi="宋体" w:eastAsia="宋体" w:cs="宋体"/>
        </w:rPr>
        <w:t>合规分析</w:t>
      </w:r>
      <w:bookmarkEnd w:id="26"/>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近几年各国在数据合规性方面的重视程度越来越高，我国大数据的行业应用愈加广泛，但不同国家、不同领域企业所面临的行业法规不同，其基本态度和法律要求宽严不一，为企业的合规工作带来很大难度，中国企业在参与经济全球化的过程中，面临敏感数据保护及合规在内的新挑战和压力，如何能够既遵守各国法律法规，又满足企业商业化需求实现敏感数据保护，降低企业经营的法律危险成了有待解决的难题。</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对于跨国企业来说，首先，全面了解自身业务并且对前期的核查进行复盘。通过对自身企业数据的核查可以了解自身业务中涉及的每一项数据处理的行为是否符合行业管理条例及合规要求。其次，以当地用户的视角进行合规，充分减少法律与业务之间的沟通误差。</w:t>
      </w:r>
    </w:p>
    <w:p>
      <w:pPr>
        <w:pStyle w:val="3"/>
        <w:numPr>
          <w:ilvl w:val="1"/>
          <w:numId w:val="0"/>
        </w:numPr>
        <w:ind w:leftChars="0"/>
        <w:rPr>
          <w:rFonts w:hint="eastAsia" w:ascii="宋体" w:hAnsi="宋体" w:eastAsia="宋体" w:cs="宋体"/>
        </w:rPr>
      </w:pPr>
      <w:bookmarkStart w:id="27" w:name="_Toc17520"/>
      <w:r>
        <w:rPr>
          <w:rFonts w:hint="eastAsia" w:ascii="宋体" w:hAnsi="宋体" w:eastAsia="宋体" w:cs="宋体"/>
          <w:lang w:val="en-US" w:eastAsia="zh-CN"/>
        </w:rPr>
        <w:t xml:space="preserve">5.2 </w:t>
      </w:r>
      <w:r>
        <w:rPr>
          <w:rFonts w:hint="eastAsia" w:ascii="宋体" w:hAnsi="宋体" w:eastAsia="宋体" w:cs="宋体"/>
        </w:rPr>
        <w:t>业务系统/项目分析</w:t>
      </w:r>
      <w:bookmarkEnd w:id="27"/>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可以将数据的分类分级分成分类和分级两个维度来看，分类往往涉及到业务层面，而分级则更多则是涉及安全层面。所以企业在做分类分级之前，首先要对内部的业务系统进行分析，从业务层面辅助进行分类，再从安全层面了解到哪些数据为敏感数据、哪些数据为非敏感数据，从而进行数据的分级。</w:t>
      </w:r>
    </w:p>
    <w:p>
      <w:r>
        <w:rPr>
          <w:rFonts w:hint="eastAsia"/>
        </w:rPr>
        <w:t>对业务系统的分析可从以下几个方面着手：</w:t>
      </w:r>
    </w:p>
    <w:p>
      <w:pPr>
        <w:pStyle w:val="32"/>
        <w:numPr>
          <w:ilvl w:val="0"/>
          <w:numId w:val="9"/>
        </w:numPr>
        <w:ind w:firstLineChars="0"/>
      </w:pPr>
      <w:r>
        <w:rPr>
          <w:rFonts w:hint="eastAsia"/>
        </w:rPr>
        <w:t>要全面了解企业内部业务系统的数量，再根据自身业务情况分析出哪些业务系统涉及到内部管理，哪些业务系统涉及对外运营。</w:t>
      </w:r>
    </w:p>
    <w:p>
      <w:pPr>
        <w:pStyle w:val="32"/>
        <w:numPr>
          <w:ilvl w:val="0"/>
          <w:numId w:val="9"/>
        </w:numPr>
        <w:ind w:firstLineChars="0"/>
      </w:pPr>
      <w:r>
        <w:rPr>
          <w:rFonts w:hint="eastAsia"/>
        </w:rPr>
        <w:t>数据的分类分级往往需要具备两个能力：数据资产管理和安全态势感知。</w:t>
      </w:r>
    </w:p>
    <w:p>
      <w:pPr>
        <w:pStyle w:val="32"/>
        <w:ind w:left="780" w:firstLine="0" w:firstLineChars="0"/>
      </w:pPr>
      <w:r>
        <w:rPr>
          <w:rFonts w:hint="eastAsia"/>
        </w:rPr>
        <w:t>就数据资产管理讲，梳理业务系统的目的是让企业清楚自己内部业务系统的哪些数据哪些是内部使用，哪些是对外开放。这些数据在业务维度上有哪些共同点，是否可以按照数据分类的方法论进行统一管理。</w:t>
      </w:r>
    </w:p>
    <w:p>
      <w:pPr>
        <w:pStyle w:val="32"/>
        <w:ind w:left="780" w:firstLine="0" w:firstLineChars="0"/>
      </w:pPr>
      <w:r>
        <w:rPr>
          <w:rFonts w:hint="eastAsia"/>
        </w:rPr>
        <w:t>就安全态势感知来说，哪些内部人员具备相应的权限可以访问内部数据，对外开放的数据可以开放到什么层级是需要我们预先知晓的，因为不同敏感等级的数据，无论是内部使用还是对外开放，都需要做相应的安全策略，例如数据脱敏、数据库防火墙、网络防火墙、数据库审计、数据库加密等等。</w:t>
      </w:r>
    </w:p>
    <w:p>
      <w:pPr>
        <w:pStyle w:val="32"/>
        <w:numPr>
          <w:ilvl w:val="0"/>
          <w:numId w:val="9"/>
        </w:numPr>
        <w:ind w:firstLineChars="0"/>
      </w:pPr>
      <w:r>
        <w:rPr>
          <w:rFonts w:hint="eastAsia"/>
        </w:rPr>
        <w:t>要明确企业需要满足哪些合规要求。在国家层面上，企业需要满足相关的法律法规、在行业层面上，企业需要满足相关的政策标准，在企业内部需要满足企业规范。通常情况下，合规方面需要法务部门参与，或请一些外部的咨询公司帮助企业梳理相关的合规要求。甚至有些跨国企业，还需要考虑其它国家或区域的法律，同时也要考虑到国内外相关法律法规的对标问题。</w:t>
      </w:r>
    </w:p>
    <w:p>
      <w:pPr>
        <w:pStyle w:val="32"/>
        <w:numPr>
          <w:ilvl w:val="0"/>
          <w:numId w:val="9"/>
        </w:numPr>
        <w:ind w:firstLineChars="0"/>
      </w:pPr>
      <w:r>
        <w:rPr>
          <w:rFonts w:hint="eastAsia"/>
        </w:rPr>
        <w:t>要明确企业需要满足哪些运营要求。从经营层面讲，企业的宗旨是盈利，在大数据时代，企业需要利用信息化手段为自己获取更多的利益，无论是大数据平台、经营分析系统等都是谋利工具之一。企业需要知道自己信息化建设的目标在哪，才能更好地梳理数据家底，从而实现分类分级。</w:t>
      </w:r>
      <w:r>
        <w:t xml:space="preserve"> </w:t>
      </w:r>
    </w:p>
    <w:p>
      <w:pPr>
        <w:pStyle w:val="32"/>
        <w:numPr>
          <w:ilvl w:val="0"/>
          <w:numId w:val="9"/>
        </w:numPr>
        <w:ind w:firstLineChars="0"/>
      </w:pPr>
      <w:r>
        <w:rPr>
          <w:rFonts w:hint="eastAsia"/>
        </w:rPr>
        <w:t>在企业完成了数据的分类分级以后，能够将碎片数据形成资产化，实现数据的统一管理，提升数据质量，将数据价值最大化。能够保障并赋予企业合理的数据安全策略，让企业更安全地使用数据，同时又保障了数据的流通价值。</w:t>
      </w:r>
    </w:p>
    <w:p>
      <w:pPr>
        <w:pStyle w:val="3"/>
        <w:numPr>
          <w:ilvl w:val="1"/>
          <w:numId w:val="0"/>
        </w:numPr>
        <w:ind w:leftChars="0"/>
        <w:rPr>
          <w:rFonts w:hint="eastAsia" w:ascii="宋体" w:hAnsi="宋体" w:eastAsia="宋体" w:cs="宋体"/>
        </w:rPr>
      </w:pPr>
      <w:bookmarkStart w:id="28" w:name="_Toc17698"/>
      <w:r>
        <w:rPr>
          <w:rFonts w:hint="eastAsia" w:ascii="宋体" w:hAnsi="宋体" w:eastAsia="宋体" w:cs="宋体"/>
          <w:lang w:val="en-US" w:eastAsia="zh-CN"/>
        </w:rPr>
        <w:t xml:space="preserve">5.3 </w:t>
      </w:r>
      <w:r>
        <w:rPr>
          <w:rFonts w:hint="eastAsia" w:ascii="宋体" w:hAnsi="宋体" w:eastAsia="宋体" w:cs="宋体"/>
        </w:rPr>
        <w:t>数据源类型分析</w:t>
      </w:r>
      <w:bookmarkEnd w:id="28"/>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由于数据的来源不同，意味着对数据的掌控也就不同，更意味着我们对数据的访问机制也有所不同。数据源的特点决定数据采集与处理的技术选型，根据数据源的特点可将其分为以下四个维度进行分析：</w:t>
      </w:r>
    </w:p>
    <w:p>
      <w:pPr>
        <w:pStyle w:val="3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pPr>
      <w:r>
        <w:rPr>
          <w:rFonts w:hint="eastAsia"/>
          <w:lang w:val="en-US" w:eastAsia="zh-CN"/>
        </w:rPr>
        <w:t>1、</w:t>
      </w:r>
      <w:r>
        <w:rPr>
          <w:rFonts w:hint="eastAsia"/>
        </w:rPr>
        <w:t>从来源可分为内部数据和外部数据。</w:t>
      </w:r>
    </w:p>
    <w:p>
      <w:pPr>
        <w:keepNext w:val="0"/>
        <w:keepLines w:val="0"/>
        <w:pageBreakBefore w:val="0"/>
        <w:widowControl w:val="0"/>
        <w:kinsoku/>
        <w:wordWrap/>
        <w:overflowPunct/>
        <w:topLinePunct w:val="0"/>
        <w:autoSpaceDE/>
        <w:autoSpaceDN/>
        <w:bidi w:val="0"/>
        <w:adjustRightInd/>
        <w:snapToGrid/>
        <w:ind w:left="480" w:leftChars="200" w:firstLine="0" w:firstLineChars="0"/>
        <w:textAlignment w:val="auto"/>
      </w:pPr>
      <w:r>
        <w:rPr>
          <w:rFonts w:hint="eastAsia"/>
        </w:rPr>
        <w:t>内部数据包括企业内部所有业务系统所产生的各类数据，外部数据则包括企业上下游、外部第三方企业或机构传递的数据。无论是内部数据、还是外部数据，首先需要做到数据标准的统一，以此来对数据进行规范化地分类和分级分析。</w:t>
      </w:r>
    </w:p>
    <w:p>
      <w:pPr>
        <w:pStyle w:val="3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2、从结构可分为结构化数据、半结构化数据和非结构化数据。</w:t>
      </w:r>
    </w:p>
    <w:p>
      <w:pPr>
        <w:pStyle w:val="32"/>
        <w:keepNext w:val="0"/>
        <w:keepLines w:val="0"/>
        <w:pageBreakBefore w:val="0"/>
        <w:widowControl w:val="0"/>
        <w:numPr>
          <w:ilvl w:val="0"/>
          <w:numId w:val="0"/>
        </w:numPr>
        <w:kinsoku/>
        <w:wordWrap/>
        <w:overflowPunct/>
        <w:topLinePunct w:val="0"/>
        <w:autoSpaceDE/>
        <w:autoSpaceDN/>
        <w:bidi w:val="0"/>
        <w:adjustRightInd/>
        <w:snapToGrid/>
        <w:ind w:left="480" w:leftChars="200" w:firstLine="0" w:firstLineChars="0"/>
        <w:textAlignment w:val="auto"/>
        <w:rPr>
          <w:rFonts w:hint="eastAsia"/>
          <w:lang w:val="en-US" w:eastAsia="zh-CN"/>
        </w:rPr>
      </w:pPr>
      <w:r>
        <w:rPr>
          <w:rFonts w:hint="eastAsia"/>
          <w:lang w:val="en-US" w:eastAsia="zh-CN"/>
        </w:rPr>
        <w:t>结构化数据相对来说比较容易进行分类或分级处理，原因在于结构化数据就是二维表拥有完善的元数据，可以清晰看到每一项数据的归属；半结构化数据大多指xml、txt、csv、json、dbf等文件内容所包含的数据，这类数据最大的特点是无特定的元数据对每一列或者每一段数据进行定义，因此需要先对该类数据进行结构定义，再进行分类分级分析；非结构化数据往往指图片以及文档本身，这类数据在做分类分级分析之前，需要对其进行标签化处理。</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pPr>
      <w:r>
        <w:rPr>
          <w:rFonts w:hint="eastAsia"/>
          <w:lang w:val="en-US" w:eastAsia="zh-CN"/>
        </w:rPr>
        <w:t>3、</w:t>
      </w:r>
      <w:r>
        <w:rPr>
          <w:rFonts w:hint="eastAsia"/>
        </w:rPr>
        <w:t>从可变性可分为不可变可添加数据和可修改删除数据。</w:t>
      </w:r>
    </w:p>
    <w:p>
      <w:pPr>
        <w:keepNext w:val="0"/>
        <w:keepLines w:val="0"/>
        <w:pageBreakBefore w:val="0"/>
        <w:widowControl w:val="0"/>
        <w:kinsoku/>
        <w:wordWrap/>
        <w:overflowPunct/>
        <w:topLinePunct w:val="0"/>
        <w:autoSpaceDE/>
        <w:autoSpaceDN/>
        <w:bidi w:val="0"/>
        <w:adjustRightInd/>
        <w:snapToGrid/>
        <w:ind w:left="480" w:leftChars="200" w:firstLine="0" w:firstLineChars="0"/>
        <w:textAlignment w:val="auto"/>
      </w:pPr>
      <w:r>
        <w:rPr>
          <w:rFonts w:hint="eastAsia"/>
        </w:rPr>
        <w:t>不可变可添加数据往往指交易数据，一旦入库，则不允许发生改变；而可修改删除数据入库后仍可根据实际情况对其进行增、删、改等操作。在实际情况下，企业往往要考虑数据质量问题，因此无论是不可变可添加数据，还是可修改删除数据，在做数据分类分级时，都需要能够具备动态可跟踪能力。</w:t>
      </w:r>
    </w:p>
    <w:p>
      <w:pPr>
        <w:pStyle w:val="3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pPr>
      <w:r>
        <w:rPr>
          <w:rFonts w:hint="eastAsia"/>
          <w:lang w:val="en-US" w:eastAsia="zh-CN"/>
        </w:rPr>
        <w:t>4、</w:t>
      </w:r>
      <w:r>
        <w:rPr>
          <w:rFonts w:hint="eastAsia"/>
        </w:rPr>
        <w:t>从规模可分为大量数据和小量数据。</w:t>
      </w:r>
    </w:p>
    <w:p>
      <w:pPr>
        <w:keepNext w:val="0"/>
        <w:keepLines w:val="0"/>
        <w:pageBreakBefore w:val="0"/>
        <w:widowControl w:val="0"/>
        <w:kinsoku/>
        <w:wordWrap/>
        <w:overflowPunct/>
        <w:topLinePunct w:val="0"/>
        <w:autoSpaceDE/>
        <w:autoSpaceDN/>
        <w:bidi w:val="0"/>
        <w:adjustRightInd/>
        <w:snapToGrid/>
        <w:ind w:left="480" w:leftChars="200" w:firstLine="0" w:firstLineChars="0"/>
        <w:textAlignment w:val="auto"/>
      </w:pPr>
      <w:r>
        <w:rPr>
          <w:rFonts w:hint="eastAsia"/>
        </w:rPr>
        <w:t>大量数据的梳理需要大成本，小量数据的梳理需要小成本。在做数据分类分级分析时，需要明确企业内部是大量数据还是小量数据，从而决定在数据梳理时投入的人员、时间都是多少。</w:t>
      </w:r>
    </w:p>
    <w:p>
      <w:pPr>
        <w:pStyle w:val="3"/>
        <w:numPr>
          <w:ilvl w:val="1"/>
          <w:numId w:val="0"/>
        </w:numPr>
        <w:ind w:leftChars="0"/>
        <w:rPr>
          <w:rFonts w:hint="eastAsia" w:ascii="宋体" w:hAnsi="宋体" w:eastAsia="宋体" w:cs="宋体"/>
        </w:rPr>
      </w:pPr>
      <w:bookmarkStart w:id="29" w:name="_Toc31256"/>
      <w:r>
        <w:rPr>
          <w:rFonts w:hint="eastAsia" w:ascii="宋体" w:hAnsi="宋体" w:eastAsia="宋体" w:cs="宋体"/>
          <w:lang w:val="en-US" w:eastAsia="zh-CN"/>
        </w:rPr>
        <w:t xml:space="preserve">5.4 </w:t>
      </w:r>
      <w:r>
        <w:rPr>
          <w:rFonts w:hint="eastAsia" w:ascii="宋体" w:hAnsi="宋体" w:eastAsia="宋体" w:cs="宋体"/>
        </w:rPr>
        <w:t>多套分类分级体系</w:t>
      </w:r>
      <w:bookmarkEnd w:id="29"/>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在一个企业中，由于法律法规监管的关注点不同，本身可能存在一定冲突，企业需要建立多套分类分级体系来应对不同的监管要求，此项工作需要法务或咨询团队一起合作，根据企业的所在领域、位置及业务范围理出必须要遵守的法律法规以满足合规要求，因此需要建设多套分类分级体系，不同分类分级体系间既可以做到互不干扰，同时又可以满足标准对照。</w:t>
      </w:r>
    </w:p>
    <w:p>
      <w:pPr>
        <w:pStyle w:val="2"/>
        <w:numPr>
          <w:ilvl w:val="0"/>
          <w:numId w:val="0"/>
        </w:numPr>
        <w:ind w:leftChars="0"/>
        <w:rPr>
          <w:rFonts w:hint="eastAsia"/>
          <w:lang w:eastAsia="zh-CN"/>
        </w:rPr>
      </w:pPr>
      <w:bookmarkStart w:id="30" w:name="_Toc22786"/>
      <w:r>
        <w:rPr>
          <w:rFonts w:hint="eastAsia"/>
          <w:lang w:eastAsia="zh-CN"/>
        </w:rPr>
        <w:t>第六章</w:t>
      </w:r>
      <w:r>
        <w:rPr>
          <w:rFonts w:hint="eastAsia"/>
          <w:lang w:val="en-US" w:eastAsia="zh-CN"/>
        </w:rPr>
        <w:t xml:space="preserve"> </w:t>
      </w:r>
      <w:r>
        <w:rPr>
          <w:rFonts w:hint="eastAsia"/>
          <w:lang w:eastAsia="zh-CN"/>
        </w:rPr>
        <w:t>服务能力</w:t>
      </w:r>
      <w:bookmarkEnd w:id="30"/>
    </w:p>
    <w:p>
      <w:pPr>
        <w:pStyle w:val="3"/>
        <w:numPr>
          <w:ilvl w:val="1"/>
          <w:numId w:val="0"/>
        </w:numPr>
        <w:ind w:leftChars="0"/>
        <w:rPr>
          <w:rFonts w:hint="eastAsia" w:ascii="宋体" w:hAnsi="宋体" w:eastAsia="宋体" w:cs="宋体"/>
        </w:rPr>
      </w:pPr>
      <w:bookmarkStart w:id="31" w:name="_Toc6672"/>
      <w:r>
        <w:rPr>
          <w:rFonts w:hint="eastAsia" w:ascii="宋体" w:hAnsi="宋体" w:eastAsia="宋体" w:cs="宋体"/>
          <w:lang w:val="en-US" w:eastAsia="zh-CN"/>
        </w:rPr>
        <w:t xml:space="preserve">6.1 </w:t>
      </w:r>
      <w:r>
        <w:rPr>
          <w:rFonts w:hint="eastAsia" w:ascii="宋体" w:hAnsi="宋体" w:eastAsia="宋体" w:cs="宋体"/>
        </w:rPr>
        <w:t>数据资产管理</w:t>
      </w:r>
      <w:bookmarkEnd w:id="31"/>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分类分级不仅大大提升了数据的使用能力，也是数据保护工作中的一个关键部分，是建立统一、准确、完善数据架构和业务架构的基础。企业可利用有效的数据分类分级方法，依据自身业务特点对内部数据进行归类处理，从而满足自身运营需求和监管要求，最终实现数据资产管理，保障数据质量，打破数据孤岛，将碎片化的数据形成资产。</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派客动力分类分级管理系统支持企业全景数据资产梳理，并具备对数据的动态跟踪、持续分类分级的能力，同时支持用户根据实际场景、建设多套分类分级结构，满足企业自身运营需要与合规管控要求。</w:t>
      </w:r>
    </w:p>
    <w:p>
      <w:pPr>
        <w:pStyle w:val="3"/>
        <w:numPr>
          <w:ilvl w:val="1"/>
          <w:numId w:val="0"/>
        </w:numPr>
        <w:ind w:leftChars="0"/>
        <w:rPr>
          <w:rFonts w:hint="eastAsia" w:ascii="宋体" w:hAnsi="宋体" w:eastAsia="宋体" w:cs="宋体"/>
        </w:rPr>
      </w:pPr>
      <w:bookmarkStart w:id="32" w:name="_Toc30706"/>
      <w:r>
        <w:rPr>
          <w:rFonts w:hint="eastAsia" w:ascii="宋体" w:hAnsi="宋体" w:eastAsia="宋体" w:cs="宋体"/>
          <w:lang w:val="en-US" w:eastAsia="zh-CN"/>
        </w:rPr>
        <w:t xml:space="preserve">6.2 </w:t>
      </w:r>
      <w:r>
        <w:rPr>
          <w:rFonts w:hint="eastAsia" w:ascii="宋体" w:hAnsi="宋体" w:eastAsia="宋体" w:cs="宋体"/>
        </w:rPr>
        <w:t>安全态势感知</w:t>
      </w:r>
      <w:bookmarkEnd w:id="32"/>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派客动力分类分级管理系统可对企业内部业务系统进行敏感数据梳理，并可根据实际业务需求及合规要求制定出多套分类分级体系，区分出哪些数据可以对外提供服务，哪些数据可供内部使用，根据其不同的敏感数据等级，对元数据划分出不同的安全等级，制定不同的数据安全保护策略，为后续的数据处理工作奠定扎实的基础。</w:t>
      </w:r>
    </w:p>
    <w:p>
      <w:pPr>
        <w:rPr>
          <w:rFonts w:hint="eastAsia" w:ascii="宋体" w:hAnsi="宋体" w:eastAsia="宋体" w:cs="宋体"/>
          <w:lang w:eastAsia="zh-CN"/>
        </w:rPr>
      </w:pPr>
      <w:r>
        <w:rPr>
          <w:rFonts w:hint="eastAsia" w:ascii="宋体" w:hAnsi="宋体" w:eastAsia="宋体" w:cs="宋体"/>
          <w:lang w:eastAsia="zh-CN"/>
        </w:rPr>
        <w:br w:type="page"/>
      </w:r>
    </w:p>
    <w:p>
      <w:pPr>
        <w:pStyle w:val="2"/>
        <w:numPr>
          <w:ilvl w:val="0"/>
          <w:numId w:val="0"/>
        </w:numPr>
        <w:ind w:leftChars="0"/>
        <w:rPr>
          <w:rFonts w:hint="eastAsia" w:ascii="宋体" w:hAnsi="宋体" w:eastAsia="宋体" w:cs="宋体"/>
        </w:rPr>
      </w:pPr>
      <w:bookmarkStart w:id="33" w:name="_Toc3031"/>
      <w:r>
        <w:rPr>
          <w:rFonts w:hint="eastAsia" w:ascii="宋体" w:hAnsi="宋体" w:eastAsia="宋体" w:cs="宋体"/>
          <w:lang w:eastAsia="zh-CN"/>
        </w:rPr>
        <w:t>第七章</w:t>
      </w:r>
      <w:r>
        <w:rPr>
          <w:rFonts w:hint="eastAsia" w:ascii="宋体" w:hAnsi="宋体" w:eastAsia="宋体" w:cs="宋体"/>
          <w:lang w:val="en-US" w:eastAsia="zh-CN"/>
        </w:rPr>
        <w:t xml:space="preserve"> </w:t>
      </w:r>
      <w:r>
        <w:rPr>
          <w:rFonts w:hint="eastAsia" w:ascii="宋体" w:hAnsi="宋体" w:eastAsia="宋体" w:cs="宋体"/>
        </w:rPr>
        <w:t>PackData数据分类分级系统部署</w:t>
      </w:r>
      <w:bookmarkEnd w:id="33"/>
    </w:p>
    <w:p>
      <w:pPr>
        <w:pStyle w:val="3"/>
        <w:numPr>
          <w:ilvl w:val="1"/>
          <w:numId w:val="0"/>
        </w:numPr>
        <w:ind w:leftChars="0"/>
        <w:rPr>
          <w:rFonts w:hint="eastAsia" w:ascii="宋体" w:hAnsi="宋体" w:eastAsia="宋体" w:cs="宋体"/>
        </w:rPr>
      </w:pPr>
      <w:bookmarkStart w:id="34" w:name="_Toc43319904"/>
      <w:bookmarkStart w:id="35" w:name="_Toc21881"/>
      <w:r>
        <w:rPr>
          <w:rFonts w:hint="eastAsia" w:ascii="宋体" w:hAnsi="宋体" w:eastAsia="宋体" w:cs="宋体"/>
          <w:lang w:val="en-US" w:eastAsia="zh-CN"/>
        </w:rPr>
        <w:t xml:space="preserve">7.1 </w:t>
      </w:r>
      <w:r>
        <w:rPr>
          <w:rFonts w:hint="eastAsia" w:ascii="宋体" w:hAnsi="宋体" w:eastAsia="宋体" w:cs="宋体"/>
        </w:rPr>
        <w:t>配置PackData 分类分级平台概述</w:t>
      </w:r>
      <w:bookmarkEnd w:id="34"/>
      <w:bookmarkEnd w:id="35"/>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szCs w:val="24"/>
        </w:rPr>
      </w:pPr>
      <w:r>
        <w:rPr>
          <w:rFonts w:hint="eastAsia" w:ascii="宋体" w:hAnsi="宋体"/>
          <w:szCs w:val="24"/>
        </w:rPr>
        <w:t>PackDada</w:t>
      </w:r>
      <w:r>
        <w:rPr>
          <w:rFonts w:ascii="宋体" w:hAnsi="宋体"/>
          <w:szCs w:val="24"/>
        </w:rPr>
        <w:t xml:space="preserve"> M</w:t>
      </w:r>
      <w:r>
        <w:rPr>
          <w:rFonts w:hint="eastAsia" w:ascii="宋体" w:hAnsi="宋体"/>
          <w:szCs w:val="24"/>
        </w:rPr>
        <w:t>asking分类分级平台部署环境支持Windows、Linux、Unix等主流操作系统，支持麒麟、统信等国产系统，与华为T</w:t>
      </w:r>
      <w:r>
        <w:rPr>
          <w:rFonts w:ascii="宋体" w:hAnsi="宋体"/>
          <w:szCs w:val="24"/>
        </w:rPr>
        <w:t>AISHAN</w:t>
      </w:r>
      <w:r>
        <w:rPr>
          <w:rFonts w:hint="eastAsia" w:ascii="宋体" w:hAnsi="宋体"/>
          <w:szCs w:val="24"/>
        </w:rPr>
        <w:t>服务器具有良好的适配性，整体架构灵活，性能高效稳定。</w:t>
      </w:r>
    </w:p>
    <w:p>
      <w:pPr>
        <w:pStyle w:val="3"/>
        <w:numPr>
          <w:ilvl w:val="1"/>
          <w:numId w:val="0"/>
        </w:numPr>
        <w:ind w:leftChars="0"/>
        <w:rPr>
          <w:rFonts w:hint="eastAsia" w:ascii="宋体" w:hAnsi="宋体" w:eastAsia="宋体" w:cs="宋体"/>
        </w:rPr>
      </w:pPr>
      <w:bookmarkStart w:id="36" w:name="_Toc43319905"/>
      <w:bookmarkStart w:id="37" w:name="_Toc32468"/>
      <w:r>
        <w:rPr>
          <w:rFonts w:hint="eastAsia" w:ascii="宋体" w:hAnsi="宋体" w:eastAsia="宋体" w:cs="宋体"/>
          <w:lang w:val="en-US" w:eastAsia="zh-CN"/>
        </w:rPr>
        <w:t xml:space="preserve">7.2 </w:t>
      </w:r>
      <w:r>
        <w:rPr>
          <w:rFonts w:hint="eastAsia" w:ascii="宋体" w:hAnsi="宋体" w:eastAsia="宋体" w:cs="宋体"/>
        </w:rPr>
        <w:t>部署PackData 分类分级平台</w:t>
      </w:r>
      <w:bookmarkEnd w:id="36"/>
      <w:bookmarkEnd w:id="37"/>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Cs w:val="24"/>
        </w:rPr>
      </w:pPr>
      <w:r>
        <w:rPr>
          <w:rFonts w:hint="eastAsia" w:ascii="宋体" w:hAnsi="宋体" w:eastAsia="宋体" w:cs="宋体"/>
          <w:szCs w:val="24"/>
        </w:rPr>
        <w:t>部署PackData分类分级平台需要先部署平台环境，部署环境需要完成以下几点：</w:t>
      </w:r>
    </w:p>
    <w:p>
      <w:pPr>
        <w:pStyle w:val="32"/>
        <w:numPr>
          <w:ilvl w:val="0"/>
          <w:numId w:val="10"/>
        </w:numPr>
        <w:ind w:firstLineChars="0"/>
        <w:rPr>
          <w:rFonts w:hint="eastAsia" w:ascii="宋体" w:hAnsi="宋体" w:eastAsia="宋体" w:cs="宋体"/>
        </w:rPr>
      </w:pPr>
      <w:r>
        <w:rPr>
          <w:rFonts w:hint="eastAsia" w:ascii="宋体" w:hAnsi="宋体" w:eastAsia="宋体" w:cs="宋体"/>
        </w:rPr>
        <w:t>安装MySQL</w:t>
      </w:r>
    </w:p>
    <w:p>
      <w:pPr>
        <w:pStyle w:val="32"/>
        <w:numPr>
          <w:ilvl w:val="0"/>
          <w:numId w:val="10"/>
        </w:numPr>
        <w:ind w:firstLineChars="0"/>
        <w:rPr>
          <w:rFonts w:hint="eastAsia" w:ascii="宋体" w:hAnsi="宋体" w:eastAsia="宋体" w:cs="宋体"/>
        </w:rPr>
      </w:pPr>
      <w:r>
        <w:rPr>
          <w:rFonts w:hint="eastAsia" w:ascii="宋体" w:hAnsi="宋体" w:eastAsia="宋体" w:cs="宋体"/>
        </w:rPr>
        <w:t>安装Redis</w:t>
      </w:r>
    </w:p>
    <w:p>
      <w:pPr>
        <w:pStyle w:val="32"/>
        <w:numPr>
          <w:ilvl w:val="0"/>
          <w:numId w:val="10"/>
        </w:numPr>
        <w:ind w:firstLineChars="0"/>
        <w:rPr>
          <w:rFonts w:hint="eastAsia" w:ascii="宋体" w:hAnsi="宋体" w:eastAsia="宋体" w:cs="宋体"/>
        </w:rPr>
      </w:pPr>
      <w:r>
        <w:rPr>
          <w:rFonts w:hint="eastAsia" w:ascii="宋体" w:hAnsi="宋体" w:eastAsia="宋体" w:cs="宋体"/>
        </w:rPr>
        <w:t>部署分类分级平台</w:t>
      </w:r>
    </w:p>
    <w:p>
      <w:pPr>
        <w:pStyle w:val="3"/>
        <w:numPr>
          <w:ilvl w:val="1"/>
          <w:numId w:val="0"/>
        </w:numPr>
        <w:ind w:leftChars="0"/>
        <w:rPr>
          <w:rFonts w:hint="eastAsia" w:ascii="宋体" w:hAnsi="宋体" w:eastAsia="宋体" w:cs="宋体"/>
        </w:rPr>
      </w:pPr>
      <w:bookmarkStart w:id="38" w:name="_Toc28018"/>
      <w:r>
        <w:rPr>
          <w:rFonts w:hint="eastAsia" w:ascii="宋体" w:hAnsi="宋体" w:eastAsia="宋体" w:cs="宋体"/>
          <w:lang w:val="en-US" w:eastAsia="zh-CN"/>
        </w:rPr>
        <w:t xml:space="preserve">7.3 </w:t>
      </w:r>
      <w:r>
        <w:rPr>
          <w:rFonts w:hint="eastAsia" w:ascii="宋体" w:hAnsi="宋体" w:eastAsia="宋体" w:cs="宋体"/>
        </w:rPr>
        <w:t>硬件环境</w:t>
      </w:r>
      <w:bookmarkEnd w:id="38"/>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rPr>
      </w:pPr>
      <w:r>
        <w:rPr>
          <w:rFonts w:hint="eastAsia" w:ascii="宋体" w:hAnsi="宋体" w:eastAsia="宋体" w:cs="宋体"/>
        </w:rPr>
        <w:t>分类分级产品需要连接多类数据库，需要完成大量的数据比对分析，在硬件上提出了以下需要：</w:t>
      </w:r>
    </w:p>
    <w:p>
      <w:pPr>
        <w:numPr>
          <w:ilvl w:val="0"/>
          <w:numId w:val="11"/>
        </w:numPr>
        <w:ind w:left="420" w:leftChars="0" w:hanging="420" w:firstLineChars="0"/>
        <w:rPr>
          <w:rFonts w:hint="eastAsia" w:ascii="宋体" w:hAnsi="宋体" w:eastAsia="宋体" w:cs="宋体"/>
        </w:rPr>
      </w:pPr>
      <w:r>
        <w:rPr>
          <w:rFonts w:hint="eastAsia" w:ascii="宋体" w:hAnsi="宋体" w:eastAsia="宋体" w:cs="宋体"/>
        </w:rPr>
        <w:t xml:space="preserve">最小配置：  CPU8核  16G内存  200G硬盘  </w:t>
      </w:r>
    </w:p>
    <w:p>
      <w:pPr>
        <w:numPr>
          <w:ilvl w:val="0"/>
          <w:numId w:val="11"/>
        </w:numPr>
        <w:ind w:left="420" w:leftChars="0" w:hanging="420" w:firstLineChars="0"/>
        <w:rPr>
          <w:rFonts w:hint="eastAsia" w:ascii="宋体" w:hAnsi="宋体" w:eastAsia="宋体" w:cs="宋体"/>
        </w:rPr>
      </w:pPr>
      <w:r>
        <w:rPr>
          <w:rFonts w:hint="eastAsia" w:ascii="宋体" w:hAnsi="宋体" w:eastAsia="宋体" w:cs="宋体"/>
        </w:rPr>
        <w:t>建议配置：  CPU16核  32G内存  1T硬盘</w:t>
      </w:r>
    </w:p>
    <w:p>
      <w:pPr>
        <w:rPr>
          <w:rFonts w:hint="eastAsia"/>
          <w:sz w:val="44"/>
          <w:szCs w:val="44"/>
          <w:lang w:eastAsia="zh-CN"/>
        </w:rPr>
      </w:pPr>
      <w:r>
        <w:rPr>
          <w:rFonts w:hint="eastAsia"/>
          <w:sz w:val="44"/>
          <w:szCs w:val="44"/>
          <w:lang w:eastAsia="zh-CN"/>
        </w:rPr>
        <w:br w:type="page"/>
      </w:r>
    </w:p>
    <w:p>
      <w:pPr>
        <w:pStyle w:val="2"/>
        <w:numPr>
          <w:ilvl w:val="0"/>
          <w:numId w:val="0"/>
        </w:numPr>
        <w:ind w:leftChars="0"/>
        <w:rPr>
          <w:sz w:val="44"/>
          <w:szCs w:val="44"/>
        </w:rPr>
      </w:pPr>
      <w:bookmarkStart w:id="39" w:name="_Toc10556"/>
      <w:r>
        <w:rPr>
          <w:rFonts w:hint="eastAsia"/>
          <w:sz w:val="44"/>
          <w:szCs w:val="44"/>
          <w:lang w:eastAsia="zh-CN"/>
        </w:rPr>
        <w:t>第八章</w:t>
      </w:r>
      <w:r>
        <w:rPr>
          <w:rFonts w:hint="eastAsia"/>
          <w:sz w:val="44"/>
          <w:szCs w:val="44"/>
          <w:lang w:val="en-US" w:eastAsia="zh-CN"/>
        </w:rPr>
        <w:t xml:space="preserve"> </w:t>
      </w:r>
      <w:r>
        <w:rPr>
          <w:rFonts w:hint="eastAsia"/>
          <w:sz w:val="44"/>
          <w:szCs w:val="44"/>
        </w:rPr>
        <w:t>关于我们</w:t>
      </w:r>
      <w:bookmarkEnd w:id="39"/>
    </w:p>
    <w:p>
      <w:pPr>
        <w:pStyle w:val="3"/>
        <w:numPr>
          <w:ilvl w:val="1"/>
          <w:numId w:val="0"/>
        </w:numPr>
        <w:ind w:leftChars="0"/>
        <w:rPr>
          <w:rFonts w:hint="eastAsia" w:ascii="宋体" w:hAnsi="宋体" w:eastAsia="宋体" w:cs="宋体"/>
        </w:rPr>
      </w:pPr>
      <w:bookmarkStart w:id="40" w:name="_Toc18396"/>
      <w:r>
        <w:rPr>
          <w:rFonts w:hint="eastAsia" w:ascii="宋体" w:hAnsi="宋体" w:eastAsia="宋体" w:cs="宋体"/>
          <w:lang w:val="en-US" w:eastAsia="zh-CN"/>
        </w:rPr>
        <w:t xml:space="preserve">8.1 </w:t>
      </w:r>
      <w:r>
        <w:rPr>
          <w:rFonts w:hint="eastAsia" w:ascii="宋体" w:hAnsi="宋体" w:eastAsia="宋体" w:cs="宋体"/>
        </w:rPr>
        <w:t>联系我们</w:t>
      </w:r>
      <w:bookmarkEnd w:id="40"/>
    </w:p>
    <w:p>
      <w:pPr>
        <w:numPr>
          <w:ilvl w:val="0"/>
          <w:numId w:val="0"/>
        </w:numPr>
        <w:ind w:leftChars="0"/>
        <w:rPr>
          <w:rFonts w:hint="eastAsia" w:ascii="宋体" w:hAnsi="宋体" w:eastAsia="宋体" w:cs="宋体"/>
          <w:color w:val="FFFFFF"/>
          <w:sz w:val="24"/>
          <w:szCs w:val="24"/>
          <w:shd w:val="clear" w:color="auto" w:fill="4B4D4D"/>
        </w:rPr>
      </w:pPr>
      <w:r>
        <w:rPr>
          <w:rFonts w:hint="eastAsia" w:ascii="宋体" w:hAnsi="宋体" w:eastAsia="宋体" w:cs="宋体"/>
          <w:sz w:val="24"/>
          <w:szCs w:val="24"/>
        </w:rPr>
        <w:t>客户热线：</w:t>
      </w:r>
      <w:r>
        <w:rPr>
          <w:rFonts w:hint="eastAsia" w:ascii="宋体" w:hAnsi="宋体" w:cs="宋体"/>
          <w:sz w:val="24"/>
          <w:szCs w:val="24"/>
          <w:lang w:val="en-US" w:eastAsia="zh-CN"/>
        </w:rPr>
        <w:t xml:space="preserve"> </w:t>
      </w:r>
      <w:r>
        <w:rPr>
          <w:rFonts w:hint="eastAsia" w:ascii="宋体" w:hAnsi="宋体" w:eastAsia="宋体" w:cs="宋体"/>
          <w:color w:val="0070C0"/>
          <w:sz w:val="24"/>
          <w:szCs w:val="24"/>
        </w:rPr>
        <w:t xml:space="preserve">400 0123 830 </w:t>
      </w:r>
    </w:p>
    <w:p>
      <w:pPr>
        <w:numPr>
          <w:ilvl w:val="0"/>
          <w:numId w:val="0"/>
        </w:numPr>
        <w:ind w:leftChars="0"/>
        <w:rPr>
          <w:rFonts w:hint="eastAsia" w:ascii="宋体" w:hAnsi="宋体" w:eastAsia="宋体" w:cs="宋体"/>
          <w:sz w:val="24"/>
          <w:szCs w:val="24"/>
        </w:rPr>
      </w:pPr>
      <w:r>
        <w:rPr>
          <w:rFonts w:hint="eastAsia" w:ascii="宋体" w:hAnsi="宋体" w:eastAsia="宋体" w:cs="宋体"/>
          <w:sz w:val="24"/>
          <w:szCs w:val="24"/>
        </w:rPr>
        <w:t>总部地址： 北京市通州区北皇木厂街1号院1号楼12层1201</w:t>
      </w:r>
    </w:p>
    <w:p>
      <w:pPr>
        <w:numPr>
          <w:ilvl w:val="0"/>
          <w:numId w:val="0"/>
        </w:numPr>
        <w:ind w:leftChars="0"/>
        <w:rPr>
          <w:rFonts w:hint="eastAsia" w:ascii="宋体" w:hAnsi="宋体" w:eastAsia="宋体" w:cs="宋体"/>
          <w:sz w:val="24"/>
          <w:szCs w:val="24"/>
        </w:rPr>
      </w:pPr>
      <w:r>
        <w:rPr>
          <w:rFonts w:hint="eastAsia" w:ascii="宋体" w:hAnsi="宋体" w:eastAsia="宋体" w:cs="宋体"/>
          <w:sz w:val="24"/>
          <w:szCs w:val="24"/>
        </w:rPr>
        <w:t>沈阳研发中心：沈阳市昆明湖街9号</w:t>
      </w:r>
    </w:p>
    <w:p>
      <w:pPr>
        <w:numPr>
          <w:ilvl w:val="0"/>
          <w:numId w:val="0"/>
        </w:numPr>
        <w:ind w:leftChars="0"/>
        <w:rPr>
          <w:rFonts w:hint="eastAsia" w:ascii="宋体" w:hAnsi="宋体" w:eastAsia="宋体" w:cs="宋体"/>
          <w:sz w:val="24"/>
          <w:szCs w:val="24"/>
        </w:rPr>
      </w:pPr>
      <w:r>
        <w:rPr>
          <w:rFonts w:hint="eastAsia" w:ascii="宋体" w:hAnsi="宋体" w:eastAsia="宋体" w:cs="宋体"/>
          <w:sz w:val="24"/>
          <w:szCs w:val="24"/>
        </w:rPr>
        <w:t>上海研发中心：上海市汇源路188号1号楼2楼</w:t>
      </w:r>
    </w:p>
    <w:p>
      <w:pPr>
        <w:rPr>
          <w:rFonts w:hint="default" w:ascii="宋体" w:hAnsi="宋体" w:eastAsia="宋体" w:cs="宋体"/>
          <w:sz w:val="24"/>
          <w:szCs w:val="24"/>
          <w:lang w:val="en-US" w:eastAsia="zh-CN"/>
        </w:rPr>
      </w:pPr>
      <w:r>
        <w:rPr>
          <w:rFonts w:hint="eastAsia" w:ascii="宋体" w:hAnsi="宋体" w:cs="宋体"/>
          <w:sz w:val="24"/>
          <w:szCs w:val="24"/>
          <w:lang w:val="en-US" w:eastAsia="zh-CN"/>
        </w:rPr>
        <w:t xml:space="preserve">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7" w:type="dxa"/>
          </w:tcPr>
          <w:p>
            <w:pPr>
              <w:spacing w:line="276" w:lineRule="auto"/>
              <w:jc w:val="center"/>
              <w:rPr>
                <w:rFonts w:ascii="宋体" w:hAnsi="宋体"/>
                <w:sz w:val="20"/>
                <w:szCs w:val="20"/>
              </w:rPr>
            </w:pPr>
            <w:r>
              <w:rPr>
                <w:rFonts w:hint="eastAsia" w:ascii="宋体" w:hAnsi="宋体"/>
                <w:sz w:val="20"/>
                <w:szCs w:val="20"/>
              </w:rPr>
              <w:t>获取更多数据安全相关资讯</w:t>
            </w:r>
          </w:p>
          <w:p>
            <w:pPr>
              <w:spacing w:line="276" w:lineRule="auto"/>
              <w:jc w:val="center"/>
              <w:rPr>
                <w:rFonts w:ascii="宋体" w:hAnsi="宋体"/>
                <w:sz w:val="20"/>
              </w:rPr>
            </w:pPr>
            <w:r>
              <w:rPr>
                <w:rFonts w:hint="eastAsia" w:ascii="宋体" w:hAnsi="宋体"/>
                <w:sz w:val="20"/>
                <w:szCs w:val="20"/>
              </w:rPr>
              <w:t>请关注派客动力科技公众号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7" w:type="dxa"/>
          </w:tcPr>
          <w:p>
            <w:pPr>
              <w:jc w:val="center"/>
              <w:rPr>
                <w:rFonts w:ascii="宋体" w:hAnsi="宋体"/>
                <w:sz w:val="20"/>
              </w:rPr>
            </w:pPr>
            <w:r>
              <w:rPr>
                <w:rFonts w:ascii="宋体" w:hAnsi="宋体"/>
                <w:sz w:val="20"/>
              </w:rPr>
              <w:drawing>
                <wp:inline distT="0" distB="0" distL="0" distR="0">
                  <wp:extent cx="1744980" cy="1745615"/>
                  <wp:effectExtent l="0" t="0" r="7620" b="6985"/>
                  <wp:docPr id="3" name="图片 3" descr="F:\workspace\AI\logo新\logo新\二维码.jpg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workspace\AI\logo新\logo新\二维码.jpg二维码"/>
                          <pic:cNvPicPr>
                            <a:picLocks noChangeAspect="1" noChangeArrowheads="1"/>
                          </pic:cNvPicPr>
                        </pic:nvPicPr>
                        <pic:blipFill>
                          <a:blip r:embed="rId22"/>
                          <a:srcRect/>
                          <a:stretch>
                            <a:fillRect/>
                          </a:stretch>
                        </pic:blipFill>
                        <pic:spPr>
                          <a:xfrm>
                            <a:off x="0" y="0"/>
                            <a:ext cx="1744980" cy="1765163"/>
                          </a:xfrm>
                          <a:prstGeom prst="rect">
                            <a:avLst/>
                          </a:prstGeom>
                          <a:noFill/>
                          <a:ln>
                            <a:noFill/>
                          </a:ln>
                        </pic:spPr>
                      </pic:pic>
                    </a:graphicData>
                  </a:graphic>
                </wp:inline>
              </w:drawing>
            </w:r>
          </w:p>
        </w:tc>
      </w:tr>
    </w:tbl>
    <w:p>
      <w:pPr>
        <w:rPr>
          <w:rFonts w:ascii="宋体" w:hAnsi="宋体"/>
          <w:sz w:val="20"/>
        </w:rPr>
      </w:pPr>
    </w:p>
    <w:p/>
    <w:sectPr>
      <w:headerReference r:id="rId5" w:type="default"/>
      <w:footerReference r:id="rId6" w:type="default"/>
      <w:pgSz w:w="11906" w:h="16838"/>
      <w:pgMar w:top="1440" w:right="1800" w:bottom="1440" w:left="1800" w:header="850" w:footer="992" w:gutter="0"/>
      <w:cols w:space="425" w:num="1"/>
      <w:titlePg/>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dobe 楷体 Std R">
    <w:panose1 w:val="02020400000000000000"/>
    <w:charset w:val="86"/>
    <w:family w:val="roman"/>
    <w:pitch w:val="default"/>
    <w:sig w:usb0="00000001" w:usb1="0A0F1810" w:usb2="00000016" w:usb3="00000000" w:csb0="00060007"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jc w:val="center"/>
      <w:rPr>
        <w:rFonts w:ascii="Adobe 楷体 Std R" w:hAnsi="Adobe 楷体 Std R" w:eastAsia="Adobe 楷体 Std R" w:cs="Tahoma"/>
      </w:rPr>
    </w:pPr>
    <w:r>
      <w:rPr>
        <w:rFonts w:hint="eastAsia" w:ascii="微软雅黑" w:hAnsi="微软雅黑" w:eastAsia="微软雅黑" w:cs="微软雅黑"/>
      </w:rPr>
      <w:t>派客动力科技 领先的数据管理专家</w:t>
    </w:r>
    <w:r>
      <w:rPr>
        <w:rFonts w:ascii="Adobe 楷体 Std R" w:hAnsi="Adobe 楷体 Std R" w:eastAsia="Adobe 楷体 Std R" w:cs="Tahoma"/>
      </w:rPr>
      <w:t xml:space="preserve"> | www.packdt.com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rPr>
      <w:drawing>
        <wp:anchor distT="0" distB="0" distL="114300" distR="114300" simplePos="0" relativeHeight="251660288" behindDoc="0" locked="0" layoutInCell="1" allowOverlap="1">
          <wp:simplePos x="0" y="0"/>
          <wp:positionH relativeFrom="margin">
            <wp:posOffset>4637405</wp:posOffset>
          </wp:positionH>
          <wp:positionV relativeFrom="margin">
            <wp:posOffset>-612140</wp:posOffset>
          </wp:positionV>
          <wp:extent cx="1252220" cy="433070"/>
          <wp:effectExtent l="0" t="0" r="12700" b="9525"/>
          <wp:wrapNone/>
          <wp:docPr id="4" name="图片 4" descr="F:\workspace\AI\logo新\派客动力LOGO-2021-7-01 (2).png派客动力LOGO-2021-7-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workspace\AI\logo新\派客动力LOGO-2021-7-01 (2).png派客动力LOGO-2021-7-01 (2)"/>
                  <pic:cNvPicPr>
                    <a:picLocks noChangeAspect="1" noChangeArrowheads="1"/>
                  </pic:cNvPicPr>
                </pic:nvPicPr>
                <pic:blipFill>
                  <a:blip r:embed="rId1"/>
                  <a:srcRect/>
                  <a:stretch>
                    <a:fillRect/>
                  </a:stretch>
                </pic:blipFill>
                <pic:spPr>
                  <a:xfrm>
                    <a:off x="0" y="0"/>
                    <a:ext cx="1252220" cy="433070"/>
                  </a:xfrm>
                  <a:prstGeom prst="rect">
                    <a:avLst/>
                  </a:prstGeom>
                  <a:noFill/>
                  <a:ln>
                    <a:noFill/>
                  </a:ln>
                </pic:spPr>
              </pic:pic>
            </a:graphicData>
          </a:graphic>
        </wp:anchor>
      </w:drawing>
    </w:r>
    <w:r>
      <w:rPr>
        <w:rFonts w:hint="eastAsia"/>
      </w:rPr>
      <w:t>派客动力数据分类分级入门指南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289FAC"/>
    <w:multiLevelType w:val="singleLevel"/>
    <w:tmpl w:val="D0289FAC"/>
    <w:lvl w:ilvl="0" w:tentative="0">
      <w:start w:val="1"/>
      <w:numFmt w:val="bullet"/>
      <w:lvlText w:val=""/>
      <w:lvlJc w:val="left"/>
      <w:pPr>
        <w:ind w:left="420" w:hanging="420"/>
      </w:pPr>
      <w:rPr>
        <w:rFonts w:hint="default" w:ascii="Wingdings" w:hAnsi="Wingdings"/>
      </w:rPr>
    </w:lvl>
  </w:abstractNum>
  <w:abstractNum w:abstractNumId="1">
    <w:nsid w:val="25DE6678"/>
    <w:multiLevelType w:val="multilevel"/>
    <w:tmpl w:val="25DE6678"/>
    <w:lvl w:ilvl="0" w:tentative="0">
      <w:start w:val="1"/>
      <w:numFmt w:val="decimal"/>
      <w:lvlText w:val="%1."/>
      <w:lvlJc w:val="left"/>
      <w:pPr>
        <w:ind w:left="420" w:hanging="420"/>
      </w:pPr>
      <w:rPr>
        <w:rFonts w:hint="default"/>
      </w:rPr>
    </w:lvl>
    <w:lvl w:ilvl="1" w:tentative="0">
      <w:start w:val="4"/>
      <w:numFmt w:val="decimal"/>
      <w:isLgl/>
      <w:lvlText w:val="%1.%2"/>
      <w:lvlJc w:val="left"/>
      <w:pPr>
        <w:ind w:left="972" w:hanging="972"/>
      </w:pPr>
      <w:rPr>
        <w:rFonts w:hint="default"/>
      </w:rPr>
    </w:lvl>
    <w:lvl w:ilvl="2" w:tentative="0">
      <w:start w:val="3"/>
      <w:numFmt w:val="decimal"/>
      <w:isLgl/>
      <w:lvlText w:val="%1.%2.%3"/>
      <w:lvlJc w:val="left"/>
      <w:pPr>
        <w:ind w:left="972" w:hanging="972"/>
      </w:pPr>
      <w:rPr>
        <w:rFonts w:hint="default"/>
      </w:rPr>
    </w:lvl>
    <w:lvl w:ilvl="3" w:tentative="0">
      <w:start w:val="1"/>
      <w:numFmt w:val="decimal"/>
      <w:isLgl/>
      <w:lvlText w:val="%1.%2.%3.%4"/>
      <w:lvlJc w:val="left"/>
      <w:pPr>
        <w:ind w:left="972" w:hanging="972"/>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2">
    <w:nsid w:val="2614002E"/>
    <w:multiLevelType w:val="multilevel"/>
    <w:tmpl w:val="2614002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29FE33DB"/>
    <w:multiLevelType w:val="multilevel"/>
    <w:tmpl w:val="29FE33DB"/>
    <w:lvl w:ilvl="0" w:tentative="0">
      <w:start w:val="1"/>
      <w:numFmt w:val="chineseCountingThousand"/>
      <w:pStyle w:val="2"/>
      <w:suff w:val="nothing"/>
      <w:lvlText w:val="第%1章"/>
      <w:lvlJc w:val="left"/>
      <w:pPr>
        <w:ind w:left="0" w:firstLine="0"/>
      </w:pPr>
      <w:rPr>
        <w:rFonts w:hint="eastAsia"/>
      </w:rPr>
    </w:lvl>
    <w:lvl w:ilvl="1" w:tentative="0">
      <w:start w:val="1"/>
      <w:numFmt w:val="none"/>
      <w:suff w:val="nothing"/>
      <w:lvlText w:val="2."/>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pStyle w:val="5"/>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4">
    <w:nsid w:val="2D3E2F1F"/>
    <w:multiLevelType w:val="singleLevel"/>
    <w:tmpl w:val="2D3E2F1F"/>
    <w:lvl w:ilvl="0" w:tentative="0">
      <w:start w:val="1"/>
      <w:numFmt w:val="bullet"/>
      <w:lvlText w:val=""/>
      <w:lvlJc w:val="left"/>
      <w:pPr>
        <w:ind w:left="420" w:hanging="420"/>
      </w:pPr>
      <w:rPr>
        <w:rFonts w:hint="default" w:ascii="Wingdings" w:hAnsi="Wingdings"/>
      </w:rPr>
    </w:lvl>
  </w:abstractNum>
  <w:abstractNum w:abstractNumId="5">
    <w:nsid w:val="358F6332"/>
    <w:multiLevelType w:val="multilevel"/>
    <w:tmpl w:val="358F6332"/>
    <w:lvl w:ilvl="0" w:tentative="0">
      <w:start w:val="1"/>
      <w:numFmt w:val="chineseCountingThousand"/>
      <w:suff w:val="nothing"/>
      <w:lvlText w:val="第%1章"/>
      <w:lvlJc w:val="left"/>
      <w:pPr>
        <w:ind w:left="0" w:firstLine="0"/>
      </w:pPr>
      <w:rPr>
        <w:rFonts w:hint="eastAsia"/>
      </w:rPr>
    </w:lvl>
    <w:lvl w:ilvl="1" w:tentative="0">
      <w:start w:val="1"/>
      <w:numFmt w:val="decimal"/>
      <w:pStyle w:val="4"/>
      <w:isLgl/>
      <w:suff w:val="nothing"/>
      <w:lvlText w:val="3.4.%2"/>
      <w:lvlJc w:val="left"/>
      <w:pPr>
        <w:ind w:left="0" w:firstLine="0"/>
      </w:pPr>
      <w:rPr>
        <w:rFonts w:hint="eastAsia"/>
      </w:rPr>
    </w:lvl>
    <w:lvl w:ilvl="2" w:tentative="0">
      <w:start w:val="1"/>
      <w:numFmt w:val="decimal"/>
      <w:suff w:val="nothing"/>
      <w:lvlText w:val="3.5.%3"/>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
    <w:nsid w:val="37E9250A"/>
    <w:multiLevelType w:val="multilevel"/>
    <w:tmpl w:val="37E9250A"/>
    <w:lvl w:ilvl="0" w:tentative="0">
      <w:start w:val="1"/>
      <w:numFmt w:val="chineseCountingThousand"/>
      <w:suff w:val="nothing"/>
      <w:lvlText w:val="第%1章"/>
      <w:lvlJc w:val="left"/>
      <w:pPr>
        <w:ind w:left="0" w:firstLine="0"/>
      </w:pPr>
      <w:rPr>
        <w:rFonts w:hint="eastAsia"/>
      </w:rPr>
    </w:lvl>
    <w:lvl w:ilvl="1" w:tentative="0">
      <w:start w:val="1"/>
      <w:numFmt w:val="decimal"/>
      <w:isLgl/>
      <w:suff w:val="nothing"/>
      <w:lvlText w:val="2.4.%2"/>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7">
    <w:nsid w:val="4200D492"/>
    <w:multiLevelType w:val="singleLevel"/>
    <w:tmpl w:val="4200D492"/>
    <w:lvl w:ilvl="0" w:tentative="0">
      <w:start w:val="1"/>
      <w:numFmt w:val="bullet"/>
      <w:lvlText w:val=""/>
      <w:lvlJc w:val="left"/>
      <w:pPr>
        <w:ind w:left="420" w:hanging="420"/>
      </w:pPr>
      <w:rPr>
        <w:rFonts w:hint="default" w:ascii="Wingdings" w:hAnsi="Wingdings"/>
      </w:rPr>
    </w:lvl>
  </w:abstractNum>
  <w:abstractNum w:abstractNumId="8">
    <w:nsid w:val="4AAD1BB7"/>
    <w:multiLevelType w:val="multilevel"/>
    <w:tmpl w:val="4AAD1BB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5DD91C00"/>
    <w:multiLevelType w:val="multilevel"/>
    <w:tmpl w:val="5DD91C00"/>
    <w:lvl w:ilvl="0" w:tentative="0">
      <w:start w:val="1"/>
      <w:numFmt w:val="bullet"/>
      <w:lvlText w:val=""/>
      <w:lvlJc w:val="left"/>
      <w:pPr>
        <w:ind w:left="420" w:hanging="420"/>
      </w:pPr>
      <w:rPr>
        <w:rFonts w:hint="default" w:ascii="Wingdings" w:hAnsi="Wingdings"/>
        <w:color w:val="0070C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5EEE0E64"/>
    <w:multiLevelType w:val="multilevel"/>
    <w:tmpl w:val="5EEE0E64"/>
    <w:lvl w:ilvl="0" w:tentative="0">
      <w:start w:val="1"/>
      <w:numFmt w:val="chineseCountingThousand"/>
      <w:suff w:val="nothing"/>
      <w:lvlText w:val="第%1章"/>
      <w:lvlJc w:val="left"/>
      <w:pPr>
        <w:ind w:left="0" w:firstLine="0"/>
      </w:pPr>
      <w:rPr>
        <w:rFonts w:hint="eastAsia"/>
      </w:rPr>
    </w:lvl>
    <w:lvl w:ilvl="1" w:tentative="0">
      <w:start w:val="1"/>
      <w:numFmt w:val="decimal"/>
      <w:pStyle w:val="3"/>
      <w:isLgl/>
      <w:suff w:val="nothing"/>
      <w:lvlText w:val="2.%2"/>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3"/>
  </w:num>
  <w:num w:numId="2">
    <w:abstractNumId w:val="10"/>
  </w:num>
  <w:num w:numId="3">
    <w:abstractNumId w:val="5"/>
  </w:num>
  <w:num w:numId="4">
    <w:abstractNumId w:val="7"/>
  </w:num>
  <w:num w:numId="5">
    <w:abstractNumId w:val="6"/>
    <w:lvlOverride w:ilvl="0">
      <w:lvl w:ilvl="0" w:tentative="1">
        <w:start w:val="1"/>
        <w:numFmt w:val="chineseCountingThousand"/>
        <w:suff w:val="nothing"/>
        <w:lvlText w:val="第%1章"/>
        <w:lvlJc w:val="left"/>
        <w:pPr>
          <w:ind w:left="0" w:firstLine="0"/>
        </w:pPr>
        <w:rPr>
          <w:rFonts w:hint="eastAsia"/>
        </w:rPr>
      </w:lvl>
    </w:lvlOverride>
    <w:lvlOverride w:ilvl="1">
      <w:lvl w:ilvl="1" w:tentative="1">
        <w:start w:val="1"/>
        <w:numFmt w:val="decimal"/>
        <w:isLgl/>
        <w:suff w:val="nothing"/>
        <w:lvlText w:val="2.1.%2"/>
        <w:lvlJc w:val="left"/>
        <w:pPr>
          <w:ind w:left="0" w:firstLine="0"/>
        </w:pPr>
        <w:rPr>
          <w:rFonts w:hint="eastAsia"/>
        </w:rPr>
      </w:lvl>
    </w:lvlOverride>
    <w:lvlOverride w:ilvl="2">
      <w:lvl w:ilvl="2" w:tentative="1">
        <w:start w:val="1"/>
        <w:numFmt w:val="none"/>
        <w:suff w:val="nothing"/>
        <w:lvlText w:val=""/>
        <w:lvlJc w:val="left"/>
        <w:pPr>
          <w:ind w:left="0" w:firstLine="0"/>
        </w:pPr>
        <w:rPr>
          <w:rFonts w:hint="eastAsia"/>
        </w:rPr>
      </w:lvl>
    </w:lvlOverride>
    <w:lvlOverride w:ilvl="3">
      <w:lvl w:ilvl="3" w:tentative="1">
        <w:start w:val="1"/>
        <w:numFmt w:val="none"/>
        <w:suff w:val="nothing"/>
        <w:lvlText w:val=""/>
        <w:lvlJc w:val="left"/>
        <w:pPr>
          <w:ind w:left="0" w:firstLine="0"/>
        </w:pPr>
        <w:rPr>
          <w:rFonts w:hint="eastAsia"/>
        </w:rPr>
      </w:lvl>
    </w:lvlOverride>
    <w:lvlOverride w:ilvl="4">
      <w:lvl w:ilvl="4" w:tentative="1">
        <w:start w:val="1"/>
        <w:numFmt w:val="none"/>
        <w:suff w:val="nothing"/>
        <w:lvlText w:val=""/>
        <w:lvlJc w:val="left"/>
        <w:pPr>
          <w:ind w:left="0" w:firstLine="0"/>
        </w:pPr>
        <w:rPr>
          <w:rFonts w:hint="eastAsia"/>
        </w:rPr>
      </w:lvl>
    </w:lvlOverride>
    <w:lvlOverride w:ilvl="5">
      <w:lvl w:ilvl="5" w:tentative="1">
        <w:start w:val="1"/>
        <w:numFmt w:val="none"/>
        <w:suff w:val="nothing"/>
        <w:lvlText w:val=""/>
        <w:lvlJc w:val="left"/>
        <w:pPr>
          <w:ind w:left="0" w:firstLine="0"/>
        </w:pPr>
        <w:rPr>
          <w:rFonts w:hint="eastAsia"/>
        </w:rPr>
      </w:lvl>
    </w:lvlOverride>
    <w:lvlOverride w:ilvl="6">
      <w:lvl w:ilvl="6" w:tentative="1">
        <w:start w:val="1"/>
        <w:numFmt w:val="none"/>
        <w:suff w:val="nothing"/>
        <w:lvlText w:val=""/>
        <w:lvlJc w:val="left"/>
        <w:pPr>
          <w:ind w:left="0" w:firstLine="0"/>
        </w:pPr>
        <w:rPr>
          <w:rFonts w:hint="eastAsia"/>
        </w:rPr>
      </w:lvl>
    </w:lvlOverride>
    <w:lvlOverride w:ilvl="7">
      <w:lvl w:ilvl="7" w:tentative="1">
        <w:start w:val="1"/>
        <w:numFmt w:val="none"/>
        <w:suff w:val="nothing"/>
        <w:lvlText w:val=""/>
        <w:lvlJc w:val="left"/>
        <w:pPr>
          <w:ind w:left="0" w:firstLine="0"/>
        </w:pPr>
        <w:rPr>
          <w:rFonts w:hint="eastAsia"/>
        </w:rPr>
      </w:lvl>
    </w:lvlOverride>
    <w:lvlOverride w:ilvl="8">
      <w:lvl w:ilvl="8" w:tentative="1">
        <w:start w:val="1"/>
        <w:numFmt w:val="none"/>
        <w:suff w:val="nothing"/>
        <w:lvlText w:val=""/>
        <w:lvlJc w:val="left"/>
        <w:pPr>
          <w:ind w:left="0" w:firstLine="0"/>
        </w:pPr>
        <w:rPr>
          <w:rFonts w:hint="eastAsia"/>
        </w:rPr>
      </w:lvl>
    </w:lvlOverride>
  </w:num>
  <w:num w:numId="6">
    <w:abstractNumId w:val="4"/>
  </w:num>
  <w:num w:numId="7">
    <w:abstractNumId w:val="9"/>
  </w:num>
  <w:num w:numId="8">
    <w:abstractNumId w:val="1"/>
  </w:num>
  <w:num w:numId="9">
    <w:abstractNumId w:val="8"/>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135"/>
    <w:rsid w:val="00001730"/>
    <w:rsid w:val="00003EE6"/>
    <w:rsid w:val="000041A3"/>
    <w:rsid w:val="0000494B"/>
    <w:rsid w:val="00007FCB"/>
    <w:rsid w:val="00014B30"/>
    <w:rsid w:val="0001685C"/>
    <w:rsid w:val="0001748C"/>
    <w:rsid w:val="0002146C"/>
    <w:rsid w:val="0002546B"/>
    <w:rsid w:val="00026B31"/>
    <w:rsid w:val="00030069"/>
    <w:rsid w:val="00032333"/>
    <w:rsid w:val="0003401A"/>
    <w:rsid w:val="00036660"/>
    <w:rsid w:val="0003669C"/>
    <w:rsid w:val="00036BB6"/>
    <w:rsid w:val="0004035A"/>
    <w:rsid w:val="00040F4E"/>
    <w:rsid w:val="0004276F"/>
    <w:rsid w:val="000438AF"/>
    <w:rsid w:val="00045C7A"/>
    <w:rsid w:val="000475F3"/>
    <w:rsid w:val="00056917"/>
    <w:rsid w:val="00062697"/>
    <w:rsid w:val="00064B73"/>
    <w:rsid w:val="00065885"/>
    <w:rsid w:val="00067D32"/>
    <w:rsid w:val="00071062"/>
    <w:rsid w:val="00071182"/>
    <w:rsid w:val="000800E0"/>
    <w:rsid w:val="000803D7"/>
    <w:rsid w:val="000814CB"/>
    <w:rsid w:val="0008162F"/>
    <w:rsid w:val="00086D55"/>
    <w:rsid w:val="00087DA2"/>
    <w:rsid w:val="000904D6"/>
    <w:rsid w:val="000938AD"/>
    <w:rsid w:val="000A15EF"/>
    <w:rsid w:val="000A1A12"/>
    <w:rsid w:val="000A2229"/>
    <w:rsid w:val="000A22B4"/>
    <w:rsid w:val="000A417F"/>
    <w:rsid w:val="000A55AF"/>
    <w:rsid w:val="000B3786"/>
    <w:rsid w:val="000B4D4C"/>
    <w:rsid w:val="000B61D6"/>
    <w:rsid w:val="000B677D"/>
    <w:rsid w:val="000C75CB"/>
    <w:rsid w:val="000C765A"/>
    <w:rsid w:val="000C7CA0"/>
    <w:rsid w:val="000D0AA5"/>
    <w:rsid w:val="000D0B89"/>
    <w:rsid w:val="000D1286"/>
    <w:rsid w:val="000D221F"/>
    <w:rsid w:val="000D22B8"/>
    <w:rsid w:val="000D274E"/>
    <w:rsid w:val="000D2A7C"/>
    <w:rsid w:val="000D5363"/>
    <w:rsid w:val="000D5746"/>
    <w:rsid w:val="000E0189"/>
    <w:rsid w:val="000E120D"/>
    <w:rsid w:val="000E1E87"/>
    <w:rsid w:val="000E3301"/>
    <w:rsid w:val="000E3AC6"/>
    <w:rsid w:val="000E461F"/>
    <w:rsid w:val="000E4CD8"/>
    <w:rsid w:val="000E7045"/>
    <w:rsid w:val="000F074C"/>
    <w:rsid w:val="000F0920"/>
    <w:rsid w:val="000F102E"/>
    <w:rsid w:val="000F2705"/>
    <w:rsid w:val="000F5DFF"/>
    <w:rsid w:val="000F6B36"/>
    <w:rsid w:val="001013C8"/>
    <w:rsid w:val="0010253F"/>
    <w:rsid w:val="00105FCC"/>
    <w:rsid w:val="0010658C"/>
    <w:rsid w:val="00113468"/>
    <w:rsid w:val="001137AD"/>
    <w:rsid w:val="00114772"/>
    <w:rsid w:val="00117491"/>
    <w:rsid w:val="001207F0"/>
    <w:rsid w:val="0012106A"/>
    <w:rsid w:val="00121194"/>
    <w:rsid w:val="0012119C"/>
    <w:rsid w:val="00121276"/>
    <w:rsid w:val="00123A8A"/>
    <w:rsid w:val="0012647C"/>
    <w:rsid w:val="001309CC"/>
    <w:rsid w:val="00132F87"/>
    <w:rsid w:val="00134ABD"/>
    <w:rsid w:val="00134BEA"/>
    <w:rsid w:val="0013703C"/>
    <w:rsid w:val="001418B8"/>
    <w:rsid w:val="00142081"/>
    <w:rsid w:val="001437F6"/>
    <w:rsid w:val="001441F5"/>
    <w:rsid w:val="0014666D"/>
    <w:rsid w:val="001501EB"/>
    <w:rsid w:val="00150F81"/>
    <w:rsid w:val="00153B57"/>
    <w:rsid w:val="00154F90"/>
    <w:rsid w:val="0015606D"/>
    <w:rsid w:val="00157575"/>
    <w:rsid w:val="00157ADC"/>
    <w:rsid w:val="001633D2"/>
    <w:rsid w:val="00163E9E"/>
    <w:rsid w:val="00167D01"/>
    <w:rsid w:val="00172C9D"/>
    <w:rsid w:val="00174210"/>
    <w:rsid w:val="00181320"/>
    <w:rsid w:val="00182A41"/>
    <w:rsid w:val="00186A57"/>
    <w:rsid w:val="00187070"/>
    <w:rsid w:val="00191524"/>
    <w:rsid w:val="00192408"/>
    <w:rsid w:val="00192E2E"/>
    <w:rsid w:val="0019477E"/>
    <w:rsid w:val="00197E97"/>
    <w:rsid w:val="001A2B4B"/>
    <w:rsid w:val="001A443E"/>
    <w:rsid w:val="001A5AA7"/>
    <w:rsid w:val="001B034C"/>
    <w:rsid w:val="001B435B"/>
    <w:rsid w:val="001B7078"/>
    <w:rsid w:val="001C306E"/>
    <w:rsid w:val="001C3508"/>
    <w:rsid w:val="001C3615"/>
    <w:rsid w:val="001C78A8"/>
    <w:rsid w:val="001C7B96"/>
    <w:rsid w:val="001D1572"/>
    <w:rsid w:val="001D201D"/>
    <w:rsid w:val="001D3F77"/>
    <w:rsid w:val="001D5713"/>
    <w:rsid w:val="001E0AB2"/>
    <w:rsid w:val="001F48E8"/>
    <w:rsid w:val="001F4E8F"/>
    <w:rsid w:val="002007F2"/>
    <w:rsid w:val="002009CD"/>
    <w:rsid w:val="00201804"/>
    <w:rsid w:val="00201DF9"/>
    <w:rsid w:val="002039D0"/>
    <w:rsid w:val="00211344"/>
    <w:rsid w:val="00212E07"/>
    <w:rsid w:val="002141D9"/>
    <w:rsid w:val="00214803"/>
    <w:rsid w:val="00216FC4"/>
    <w:rsid w:val="00217552"/>
    <w:rsid w:val="00217978"/>
    <w:rsid w:val="00217EDB"/>
    <w:rsid w:val="00224EB2"/>
    <w:rsid w:val="002261E2"/>
    <w:rsid w:val="002272A8"/>
    <w:rsid w:val="00230A22"/>
    <w:rsid w:val="002313F4"/>
    <w:rsid w:val="002354C6"/>
    <w:rsid w:val="00241547"/>
    <w:rsid w:val="00242E22"/>
    <w:rsid w:val="002509F8"/>
    <w:rsid w:val="00250E27"/>
    <w:rsid w:val="00251B93"/>
    <w:rsid w:val="00256BAE"/>
    <w:rsid w:val="00260475"/>
    <w:rsid w:val="002613D5"/>
    <w:rsid w:val="00261E27"/>
    <w:rsid w:val="00262E35"/>
    <w:rsid w:val="0026322C"/>
    <w:rsid w:val="00264B3B"/>
    <w:rsid w:val="00264C96"/>
    <w:rsid w:val="00265317"/>
    <w:rsid w:val="00266853"/>
    <w:rsid w:val="0027078A"/>
    <w:rsid w:val="00273E54"/>
    <w:rsid w:val="00274A32"/>
    <w:rsid w:val="00274AA9"/>
    <w:rsid w:val="00275344"/>
    <w:rsid w:val="0027567C"/>
    <w:rsid w:val="002774DD"/>
    <w:rsid w:val="0028034B"/>
    <w:rsid w:val="002809CE"/>
    <w:rsid w:val="00280AE5"/>
    <w:rsid w:val="00283B2E"/>
    <w:rsid w:val="00284F3B"/>
    <w:rsid w:val="00287EB4"/>
    <w:rsid w:val="00292A92"/>
    <w:rsid w:val="002938D7"/>
    <w:rsid w:val="00297812"/>
    <w:rsid w:val="00297C8C"/>
    <w:rsid w:val="00297E51"/>
    <w:rsid w:val="002A51DD"/>
    <w:rsid w:val="002A526B"/>
    <w:rsid w:val="002A53FD"/>
    <w:rsid w:val="002A6888"/>
    <w:rsid w:val="002A73E1"/>
    <w:rsid w:val="002B15D2"/>
    <w:rsid w:val="002B239B"/>
    <w:rsid w:val="002B241B"/>
    <w:rsid w:val="002B3C26"/>
    <w:rsid w:val="002B7439"/>
    <w:rsid w:val="002B7DE3"/>
    <w:rsid w:val="002C1BA5"/>
    <w:rsid w:val="002C4EBE"/>
    <w:rsid w:val="002C65A2"/>
    <w:rsid w:val="002C77E2"/>
    <w:rsid w:val="002D1DB4"/>
    <w:rsid w:val="002D3D33"/>
    <w:rsid w:val="002E2FBC"/>
    <w:rsid w:val="002E3919"/>
    <w:rsid w:val="002E3EF7"/>
    <w:rsid w:val="002E4747"/>
    <w:rsid w:val="002E7911"/>
    <w:rsid w:val="002F12BA"/>
    <w:rsid w:val="002F325F"/>
    <w:rsid w:val="002F3A16"/>
    <w:rsid w:val="002F4A76"/>
    <w:rsid w:val="002F5F95"/>
    <w:rsid w:val="00302A70"/>
    <w:rsid w:val="00304C8B"/>
    <w:rsid w:val="00310472"/>
    <w:rsid w:val="00310D9C"/>
    <w:rsid w:val="0031152D"/>
    <w:rsid w:val="00317139"/>
    <w:rsid w:val="003172FB"/>
    <w:rsid w:val="0032028C"/>
    <w:rsid w:val="0032076B"/>
    <w:rsid w:val="00323BC4"/>
    <w:rsid w:val="003246F9"/>
    <w:rsid w:val="00325766"/>
    <w:rsid w:val="00327648"/>
    <w:rsid w:val="00331A19"/>
    <w:rsid w:val="003320BB"/>
    <w:rsid w:val="003332AB"/>
    <w:rsid w:val="003408E0"/>
    <w:rsid w:val="00340D3F"/>
    <w:rsid w:val="00341839"/>
    <w:rsid w:val="00342807"/>
    <w:rsid w:val="00342AC0"/>
    <w:rsid w:val="00345FA6"/>
    <w:rsid w:val="003472A6"/>
    <w:rsid w:val="00353EB9"/>
    <w:rsid w:val="00361DD8"/>
    <w:rsid w:val="00361F68"/>
    <w:rsid w:val="00366198"/>
    <w:rsid w:val="003679D0"/>
    <w:rsid w:val="00372B81"/>
    <w:rsid w:val="003824D9"/>
    <w:rsid w:val="003825CA"/>
    <w:rsid w:val="00384C76"/>
    <w:rsid w:val="0038548A"/>
    <w:rsid w:val="00390247"/>
    <w:rsid w:val="003914F3"/>
    <w:rsid w:val="003936B6"/>
    <w:rsid w:val="00393788"/>
    <w:rsid w:val="0039505B"/>
    <w:rsid w:val="00395C89"/>
    <w:rsid w:val="00397E96"/>
    <w:rsid w:val="003A30C8"/>
    <w:rsid w:val="003A568B"/>
    <w:rsid w:val="003A5891"/>
    <w:rsid w:val="003A7062"/>
    <w:rsid w:val="003B0675"/>
    <w:rsid w:val="003B1F65"/>
    <w:rsid w:val="003B51DD"/>
    <w:rsid w:val="003B63DA"/>
    <w:rsid w:val="003B67F6"/>
    <w:rsid w:val="003B6950"/>
    <w:rsid w:val="003C1B20"/>
    <w:rsid w:val="003C4BFF"/>
    <w:rsid w:val="003C6BCF"/>
    <w:rsid w:val="003D022D"/>
    <w:rsid w:val="003D3CB6"/>
    <w:rsid w:val="003D4270"/>
    <w:rsid w:val="003D4C10"/>
    <w:rsid w:val="003E3123"/>
    <w:rsid w:val="003F0A89"/>
    <w:rsid w:val="003F3BD0"/>
    <w:rsid w:val="003F4DD5"/>
    <w:rsid w:val="003F4F04"/>
    <w:rsid w:val="003F79C0"/>
    <w:rsid w:val="0040088A"/>
    <w:rsid w:val="00400DB3"/>
    <w:rsid w:val="00400DC4"/>
    <w:rsid w:val="00401C1D"/>
    <w:rsid w:val="00401D22"/>
    <w:rsid w:val="00402C7D"/>
    <w:rsid w:val="00404556"/>
    <w:rsid w:val="00404FEC"/>
    <w:rsid w:val="004110B0"/>
    <w:rsid w:val="00411261"/>
    <w:rsid w:val="00411CD1"/>
    <w:rsid w:val="00413DE0"/>
    <w:rsid w:val="00423EAC"/>
    <w:rsid w:val="0042439E"/>
    <w:rsid w:val="00425541"/>
    <w:rsid w:val="004255B0"/>
    <w:rsid w:val="004275CF"/>
    <w:rsid w:val="0043014B"/>
    <w:rsid w:val="004341CE"/>
    <w:rsid w:val="00437EBC"/>
    <w:rsid w:val="00444E4E"/>
    <w:rsid w:val="00445B16"/>
    <w:rsid w:val="00447114"/>
    <w:rsid w:val="00452E62"/>
    <w:rsid w:val="004540CC"/>
    <w:rsid w:val="004574E5"/>
    <w:rsid w:val="00461135"/>
    <w:rsid w:val="0046248F"/>
    <w:rsid w:val="004627D3"/>
    <w:rsid w:val="004644E8"/>
    <w:rsid w:val="00465415"/>
    <w:rsid w:val="004674F2"/>
    <w:rsid w:val="00471798"/>
    <w:rsid w:val="00471984"/>
    <w:rsid w:val="00471F97"/>
    <w:rsid w:val="0047295E"/>
    <w:rsid w:val="0047729D"/>
    <w:rsid w:val="00483373"/>
    <w:rsid w:val="004843C9"/>
    <w:rsid w:val="0048593E"/>
    <w:rsid w:val="00490D68"/>
    <w:rsid w:val="00492041"/>
    <w:rsid w:val="004930DA"/>
    <w:rsid w:val="00496730"/>
    <w:rsid w:val="00496BD6"/>
    <w:rsid w:val="004978DB"/>
    <w:rsid w:val="004A04D6"/>
    <w:rsid w:val="004A1168"/>
    <w:rsid w:val="004A1650"/>
    <w:rsid w:val="004A1FFA"/>
    <w:rsid w:val="004A3494"/>
    <w:rsid w:val="004A3862"/>
    <w:rsid w:val="004A7997"/>
    <w:rsid w:val="004B0B19"/>
    <w:rsid w:val="004B31FF"/>
    <w:rsid w:val="004B3775"/>
    <w:rsid w:val="004B55A0"/>
    <w:rsid w:val="004B6C24"/>
    <w:rsid w:val="004B7325"/>
    <w:rsid w:val="004C1BC3"/>
    <w:rsid w:val="004C1C54"/>
    <w:rsid w:val="004C2406"/>
    <w:rsid w:val="004C345D"/>
    <w:rsid w:val="004C4AC9"/>
    <w:rsid w:val="004C4E4B"/>
    <w:rsid w:val="004C7001"/>
    <w:rsid w:val="004D784A"/>
    <w:rsid w:val="004D7EC1"/>
    <w:rsid w:val="004E0461"/>
    <w:rsid w:val="004E0B70"/>
    <w:rsid w:val="004E13F1"/>
    <w:rsid w:val="004E2917"/>
    <w:rsid w:val="004E4414"/>
    <w:rsid w:val="004F6426"/>
    <w:rsid w:val="004F69C2"/>
    <w:rsid w:val="00501E5C"/>
    <w:rsid w:val="005072B5"/>
    <w:rsid w:val="00511311"/>
    <w:rsid w:val="005125A6"/>
    <w:rsid w:val="00512D38"/>
    <w:rsid w:val="0051377D"/>
    <w:rsid w:val="00514D8F"/>
    <w:rsid w:val="00515D63"/>
    <w:rsid w:val="00515D9A"/>
    <w:rsid w:val="005167F2"/>
    <w:rsid w:val="00520B2F"/>
    <w:rsid w:val="00523443"/>
    <w:rsid w:val="005245AA"/>
    <w:rsid w:val="00533B22"/>
    <w:rsid w:val="00535D24"/>
    <w:rsid w:val="00537A1E"/>
    <w:rsid w:val="0054075D"/>
    <w:rsid w:val="00543267"/>
    <w:rsid w:val="00543983"/>
    <w:rsid w:val="0054651F"/>
    <w:rsid w:val="00547EFC"/>
    <w:rsid w:val="00550BD2"/>
    <w:rsid w:val="00553008"/>
    <w:rsid w:val="0055549E"/>
    <w:rsid w:val="005573E2"/>
    <w:rsid w:val="005640CC"/>
    <w:rsid w:val="00564199"/>
    <w:rsid w:val="00565869"/>
    <w:rsid w:val="00565F7F"/>
    <w:rsid w:val="005667F6"/>
    <w:rsid w:val="00566CCA"/>
    <w:rsid w:val="00566D12"/>
    <w:rsid w:val="005706DC"/>
    <w:rsid w:val="00572180"/>
    <w:rsid w:val="005737FF"/>
    <w:rsid w:val="0057501E"/>
    <w:rsid w:val="00575243"/>
    <w:rsid w:val="00577ECD"/>
    <w:rsid w:val="005843D2"/>
    <w:rsid w:val="00584854"/>
    <w:rsid w:val="00584E5B"/>
    <w:rsid w:val="00585CDD"/>
    <w:rsid w:val="005863C4"/>
    <w:rsid w:val="00586C36"/>
    <w:rsid w:val="0059166C"/>
    <w:rsid w:val="005920DC"/>
    <w:rsid w:val="0059231C"/>
    <w:rsid w:val="0059246F"/>
    <w:rsid w:val="00594F35"/>
    <w:rsid w:val="005A4BEA"/>
    <w:rsid w:val="005B3334"/>
    <w:rsid w:val="005B4365"/>
    <w:rsid w:val="005B4969"/>
    <w:rsid w:val="005B5891"/>
    <w:rsid w:val="005B75CE"/>
    <w:rsid w:val="005B7F39"/>
    <w:rsid w:val="005C0D42"/>
    <w:rsid w:val="005C2ECF"/>
    <w:rsid w:val="005C33B7"/>
    <w:rsid w:val="005D27BA"/>
    <w:rsid w:val="005D776B"/>
    <w:rsid w:val="005E4922"/>
    <w:rsid w:val="005E5664"/>
    <w:rsid w:val="005F1E40"/>
    <w:rsid w:val="005F259A"/>
    <w:rsid w:val="005F2884"/>
    <w:rsid w:val="005F431F"/>
    <w:rsid w:val="005F4D08"/>
    <w:rsid w:val="005F7CB5"/>
    <w:rsid w:val="006003B3"/>
    <w:rsid w:val="00602576"/>
    <w:rsid w:val="006067B8"/>
    <w:rsid w:val="006104EF"/>
    <w:rsid w:val="006134B7"/>
    <w:rsid w:val="00614599"/>
    <w:rsid w:val="0061475B"/>
    <w:rsid w:val="00615CF9"/>
    <w:rsid w:val="00616F11"/>
    <w:rsid w:val="00622348"/>
    <w:rsid w:val="00623246"/>
    <w:rsid w:val="00630146"/>
    <w:rsid w:val="006330A0"/>
    <w:rsid w:val="006360D5"/>
    <w:rsid w:val="006370E8"/>
    <w:rsid w:val="006409A0"/>
    <w:rsid w:val="00640C43"/>
    <w:rsid w:val="00640C7F"/>
    <w:rsid w:val="0064268F"/>
    <w:rsid w:val="00643BB9"/>
    <w:rsid w:val="00644044"/>
    <w:rsid w:val="0064482A"/>
    <w:rsid w:val="00647CF6"/>
    <w:rsid w:val="00650495"/>
    <w:rsid w:val="006507C5"/>
    <w:rsid w:val="00650B41"/>
    <w:rsid w:val="00653FC5"/>
    <w:rsid w:val="006571C4"/>
    <w:rsid w:val="0065726D"/>
    <w:rsid w:val="006573A3"/>
    <w:rsid w:val="006574DA"/>
    <w:rsid w:val="00660A3E"/>
    <w:rsid w:val="006624CA"/>
    <w:rsid w:val="006639E5"/>
    <w:rsid w:val="00664ACF"/>
    <w:rsid w:val="00666424"/>
    <w:rsid w:val="0066714D"/>
    <w:rsid w:val="00670CF7"/>
    <w:rsid w:val="0067396B"/>
    <w:rsid w:val="00676B73"/>
    <w:rsid w:val="00684058"/>
    <w:rsid w:val="00684922"/>
    <w:rsid w:val="00685506"/>
    <w:rsid w:val="00690A03"/>
    <w:rsid w:val="00691EAF"/>
    <w:rsid w:val="00691F91"/>
    <w:rsid w:val="00693D65"/>
    <w:rsid w:val="006A1EC0"/>
    <w:rsid w:val="006A3D4B"/>
    <w:rsid w:val="006A5E99"/>
    <w:rsid w:val="006A7BE9"/>
    <w:rsid w:val="006B0336"/>
    <w:rsid w:val="006B1709"/>
    <w:rsid w:val="006B6791"/>
    <w:rsid w:val="006B67C6"/>
    <w:rsid w:val="006B784E"/>
    <w:rsid w:val="006C1310"/>
    <w:rsid w:val="006C3598"/>
    <w:rsid w:val="006C5693"/>
    <w:rsid w:val="006D0461"/>
    <w:rsid w:val="006D203C"/>
    <w:rsid w:val="006D268C"/>
    <w:rsid w:val="006D2975"/>
    <w:rsid w:val="006D5447"/>
    <w:rsid w:val="006D6A11"/>
    <w:rsid w:val="006E24D6"/>
    <w:rsid w:val="006E2CD8"/>
    <w:rsid w:val="006E3613"/>
    <w:rsid w:val="006E3F02"/>
    <w:rsid w:val="006E5A70"/>
    <w:rsid w:val="006E7563"/>
    <w:rsid w:val="006F3312"/>
    <w:rsid w:val="006F381D"/>
    <w:rsid w:val="006F7D7D"/>
    <w:rsid w:val="0070096C"/>
    <w:rsid w:val="00701DA9"/>
    <w:rsid w:val="00703C94"/>
    <w:rsid w:val="007110B8"/>
    <w:rsid w:val="0071131E"/>
    <w:rsid w:val="00711335"/>
    <w:rsid w:val="0071575A"/>
    <w:rsid w:val="0072056F"/>
    <w:rsid w:val="00720C18"/>
    <w:rsid w:val="0072132F"/>
    <w:rsid w:val="00724671"/>
    <w:rsid w:val="00733691"/>
    <w:rsid w:val="0073468C"/>
    <w:rsid w:val="00737871"/>
    <w:rsid w:val="0074369D"/>
    <w:rsid w:val="00744316"/>
    <w:rsid w:val="00745EB4"/>
    <w:rsid w:val="00747D14"/>
    <w:rsid w:val="007516DA"/>
    <w:rsid w:val="007526B3"/>
    <w:rsid w:val="00754D1A"/>
    <w:rsid w:val="00756248"/>
    <w:rsid w:val="00756528"/>
    <w:rsid w:val="00760950"/>
    <w:rsid w:val="00763433"/>
    <w:rsid w:val="00765FB2"/>
    <w:rsid w:val="00766EEB"/>
    <w:rsid w:val="00766F66"/>
    <w:rsid w:val="00771B7A"/>
    <w:rsid w:val="00771F96"/>
    <w:rsid w:val="007768E0"/>
    <w:rsid w:val="0077794A"/>
    <w:rsid w:val="0078281E"/>
    <w:rsid w:val="00783C98"/>
    <w:rsid w:val="007857A5"/>
    <w:rsid w:val="00793D0A"/>
    <w:rsid w:val="007954BE"/>
    <w:rsid w:val="007A07B4"/>
    <w:rsid w:val="007A4054"/>
    <w:rsid w:val="007A498A"/>
    <w:rsid w:val="007A539F"/>
    <w:rsid w:val="007A557C"/>
    <w:rsid w:val="007A7E2E"/>
    <w:rsid w:val="007B1AF3"/>
    <w:rsid w:val="007B20C8"/>
    <w:rsid w:val="007B3264"/>
    <w:rsid w:val="007C0743"/>
    <w:rsid w:val="007C16A6"/>
    <w:rsid w:val="007C1EEC"/>
    <w:rsid w:val="007C21A2"/>
    <w:rsid w:val="007C2FCF"/>
    <w:rsid w:val="007C657F"/>
    <w:rsid w:val="007C6A9B"/>
    <w:rsid w:val="007C7E34"/>
    <w:rsid w:val="007D1332"/>
    <w:rsid w:val="007D4F4D"/>
    <w:rsid w:val="007D7907"/>
    <w:rsid w:val="007D7B5C"/>
    <w:rsid w:val="007E2E6E"/>
    <w:rsid w:val="007E2F57"/>
    <w:rsid w:val="007E3F50"/>
    <w:rsid w:val="007E6132"/>
    <w:rsid w:val="007E6B86"/>
    <w:rsid w:val="007F1D12"/>
    <w:rsid w:val="007F399D"/>
    <w:rsid w:val="007F4C37"/>
    <w:rsid w:val="007F760E"/>
    <w:rsid w:val="00800CC3"/>
    <w:rsid w:val="008143F1"/>
    <w:rsid w:val="00815B81"/>
    <w:rsid w:val="00816F6B"/>
    <w:rsid w:val="008224D8"/>
    <w:rsid w:val="00823067"/>
    <w:rsid w:val="008230E0"/>
    <w:rsid w:val="00823556"/>
    <w:rsid w:val="008235AA"/>
    <w:rsid w:val="00824BCC"/>
    <w:rsid w:val="008250B2"/>
    <w:rsid w:val="00827453"/>
    <w:rsid w:val="008312DF"/>
    <w:rsid w:val="0083227B"/>
    <w:rsid w:val="008350DD"/>
    <w:rsid w:val="00835B0B"/>
    <w:rsid w:val="008366C8"/>
    <w:rsid w:val="00841587"/>
    <w:rsid w:val="008441B2"/>
    <w:rsid w:val="00847178"/>
    <w:rsid w:val="00854377"/>
    <w:rsid w:val="008552FD"/>
    <w:rsid w:val="008564FF"/>
    <w:rsid w:val="0085797A"/>
    <w:rsid w:val="008648F1"/>
    <w:rsid w:val="008661E3"/>
    <w:rsid w:val="00866A5D"/>
    <w:rsid w:val="00867070"/>
    <w:rsid w:val="00870118"/>
    <w:rsid w:val="008705E9"/>
    <w:rsid w:val="00873002"/>
    <w:rsid w:val="00873141"/>
    <w:rsid w:val="00882744"/>
    <w:rsid w:val="00882EC2"/>
    <w:rsid w:val="00882ED7"/>
    <w:rsid w:val="00884013"/>
    <w:rsid w:val="0089061F"/>
    <w:rsid w:val="008975E1"/>
    <w:rsid w:val="008A2976"/>
    <w:rsid w:val="008A39ED"/>
    <w:rsid w:val="008A5F37"/>
    <w:rsid w:val="008A5FAC"/>
    <w:rsid w:val="008A777D"/>
    <w:rsid w:val="008A78F2"/>
    <w:rsid w:val="008B1289"/>
    <w:rsid w:val="008B18B2"/>
    <w:rsid w:val="008B32C2"/>
    <w:rsid w:val="008B4C00"/>
    <w:rsid w:val="008B5D9B"/>
    <w:rsid w:val="008B69A4"/>
    <w:rsid w:val="008C18F0"/>
    <w:rsid w:val="008C235F"/>
    <w:rsid w:val="008C2C46"/>
    <w:rsid w:val="008C2F0B"/>
    <w:rsid w:val="008D292E"/>
    <w:rsid w:val="008D3C45"/>
    <w:rsid w:val="008D4B53"/>
    <w:rsid w:val="008D598B"/>
    <w:rsid w:val="008D689A"/>
    <w:rsid w:val="008E033D"/>
    <w:rsid w:val="008E0F35"/>
    <w:rsid w:val="008E130D"/>
    <w:rsid w:val="008E34ED"/>
    <w:rsid w:val="008E3504"/>
    <w:rsid w:val="008E36CF"/>
    <w:rsid w:val="008E57F2"/>
    <w:rsid w:val="008F3762"/>
    <w:rsid w:val="008F5016"/>
    <w:rsid w:val="008F65EB"/>
    <w:rsid w:val="008F696B"/>
    <w:rsid w:val="008F6A52"/>
    <w:rsid w:val="008F6A8B"/>
    <w:rsid w:val="008F6DB9"/>
    <w:rsid w:val="008F7F4E"/>
    <w:rsid w:val="009006B5"/>
    <w:rsid w:val="00901489"/>
    <w:rsid w:val="00903D4F"/>
    <w:rsid w:val="00906891"/>
    <w:rsid w:val="00917C65"/>
    <w:rsid w:val="00920544"/>
    <w:rsid w:val="00921B95"/>
    <w:rsid w:val="00922661"/>
    <w:rsid w:val="0092274F"/>
    <w:rsid w:val="00923CCB"/>
    <w:rsid w:val="00924F70"/>
    <w:rsid w:val="00925FF4"/>
    <w:rsid w:val="009261A9"/>
    <w:rsid w:val="009264E2"/>
    <w:rsid w:val="009274A6"/>
    <w:rsid w:val="00932E7D"/>
    <w:rsid w:val="00933773"/>
    <w:rsid w:val="00934E2F"/>
    <w:rsid w:val="0094039B"/>
    <w:rsid w:val="00941911"/>
    <w:rsid w:val="0094647F"/>
    <w:rsid w:val="00946F56"/>
    <w:rsid w:val="00951175"/>
    <w:rsid w:val="009527D9"/>
    <w:rsid w:val="0095394A"/>
    <w:rsid w:val="00954640"/>
    <w:rsid w:val="00955980"/>
    <w:rsid w:val="00957B59"/>
    <w:rsid w:val="00961350"/>
    <w:rsid w:val="00961366"/>
    <w:rsid w:val="009633FC"/>
    <w:rsid w:val="0096508F"/>
    <w:rsid w:val="009656A1"/>
    <w:rsid w:val="00971FFA"/>
    <w:rsid w:val="00972EE0"/>
    <w:rsid w:val="0097698B"/>
    <w:rsid w:val="00980F96"/>
    <w:rsid w:val="0098217E"/>
    <w:rsid w:val="00982BAD"/>
    <w:rsid w:val="00982E31"/>
    <w:rsid w:val="00987071"/>
    <w:rsid w:val="00987295"/>
    <w:rsid w:val="0099009C"/>
    <w:rsid w:val="0099045B"/>
    <w:rsid w:val="00991706"/>
    <w:rsid w:val="009931A9"/>
    <w:rsid w:val="00997ADE"/>
    <w:rsid w:val="009A0310"/>
    <w:rsid w:val="009A059D"/>
    <w:rsid w:val="009A1CE5"/>
    <w:rsid w:val="009A323B"/>
    <w:rsid w:val="009A545F"/>
    <w:rsid w:val="009A637E"/>
    <w:rsid w:val="009A7189"/>
    <w:rsid w:val="009B1B93"/>
    <w:rsid w:val="009B1EA1"/>
    <w:rsid w:val="009B333B"/>
    <w:rsid w:val="009B46B4"/>
    <w:rsid w:val="009B7717"/>
    <w:rsid w:val="009C130C"/>
    <w:rsid w:val="009D2885"/>
    <w:rsid w:val="009D2AAA"/>
    <w:rsid w:val="009D448A"/>
    <w:rsid w:val="009D4E55"/>
    <w:rsid w:val="009D74B4"/>
    <w:rsid w:val="009E07BD"/>
    <w:rsid w:val="009E408E"/>
    <w:rsid w:val="009E4790"/>
    <w:rsid w:val="009E6186"/>
    <w:rsid w:val="009F08C4"/>
    <w:rsid w:val="009F1C7E"/>
    <w:rsid w:val="009F7C36"/>
    <w:rsid w:val="009F7F18"/>
    <w:rsid w:val="00A0124C"/>
    <w:rsid w:val="00A0360C"/>
    <w:rsid w:val="00A047BD"/>
    <w:rsid w:val="00A06636"/>
    <w:rsid w:val="00A10DAD"/>
    <w:rsid w:val="00A11EEA"/>
    <w:rsid w:val="00A12488"/>
    <w:rsid w:val="00A14216"/>
    <w:rsid w:val="00A16B1B"/>
    <w:rsid w:val="00A1718B"/>
    <w:rsid w:val="00A21E83"/>
    <w:rsid w:val="00A229FB"/>
    <w:rsid w:val="00A31C7C"/>
    <w:rsid w:val="00A337F0"/>
    <w:rsid w:val="00A33994"/>
    <w:rsid w:val="00A34284"/>
    <w:rsid w:val="00A3441F"/>
    <w:rsid w:val="00A34885"/>
    <w:rsid w:val="00A36C54"/>
    <w:rsid w:val="00A37ECE"/>
    <w:rsid w:val="00A37FE2"/>
    <w:rsid w:val="00A40144"/>
    <w:rsid w:val="00A43FCD"/>
    <w:rsid w:val="00A44350"/>
    <w:rsid w:val="00A4568F"/>
    <w:rsid w:val="00A4611A"/>
    <w:rsid w:val="00A46A16"/>
    <w:rsid w:val="00A46B5B"/>
    <w:rsid w:val="00A51DC0"/>
    <w:rsid w:val="00A52818"/>
    <w:rsid w:val="00A53FA8"/>
    <w:rsid w:val="00A540A6"/>
    <w:rsid w:val="00A5520E"/>
    <w:rsid w:val="00A558BF"/>
    <w:rsid w:val="00A5797D"/>
    <w:rsid w:val="00A6468F"/>
    <w:rsid w:val="00A6528F"/>
    <w:rsid w:val="00A657DF"/>
    <w:rsid w:val="00A708C2"/>
    <w:rsid w:val="00A736C5"/>
    <w:rsid w:val="00A76DDA"/>
    <w:rsid w:val="00A86AA3"/>
    <w:rsid w:val="00A87572"/>
    <w:rsid w:val="00A9090A"/>
    <w:rsid w:val="00A9294C"/>
    <w:rsid w:val="00A96E3F"/>
    <w:rsid w:val="00AA164A"/>
    <w:rsid w:val="00AA24C3"/>
    <w:rsid w:val="00AA421D"/>
    <w:rsid w:val="00AA4A41"/>
    <w:rsid w:val="00AA5AD1"/>
    <w:rsid w:val="00AB0132"/>
    <w:rsid w:val="00AB17CB"/>
    <w:rsid w:val="00AB1E7C"/>
    <w:rsid w:val="00AB2FA0"/>
    <w:rsid w:val="00AB312A"/>
    <w:rsid w:val="00AB5A44"/>
    <w:rsid w:val="00AC0851"/>
    <w:rsid w:val="00AC2012"/>
    <w:rsid w:val="00AC30DC"/>
    <w:rsid w:val="00AC477C"/>
    <w:rsid w:val="00AC4E59"/>
    <w:rsid w:val="00AD0E90"/>
    <w:rsid w:val="00AD4C44"/>
    <w:rsid w:val="00AE298C"/>
    <w:rsid w:val="00AE5E4C"/>
    <w:rsid w:val="00AE7872"/>
    <w:rsid w:val="00AF1399"/>
    <w:rsid w:val="00AF281B"/>
    <w:rsid w:val="00AF3009"/>
    <w:rsid w:val="00AF3600"/>
    <w:rsid w:val="00AF4276"/>
    <w:rsid w:val="00AF626E"/>
    <w:rsid w:val="00B006C8"/>
    <w:rsid w:val="00B00F88"/>
    <w:rsid w:val="00B0560F"/>
    <w:rsid w:val="00B06417"/>
    <w:rsid w:val="00B10C04"/>
    <w:rsid w:val="00B11B1B"/>
    <w:rsid w:val="00B12637"/>
    <w:rsid w:val="00B141F3"/>
    <w:rsid w:val="00B14DA1"/>
    <w:rsid w:val="00B15079"/>
    <w:rsid w:val="00B1617D"/>
    <w:rsid w:val="00B16EFC"/>
    <w:rsid w:val="00B23D95"/>
    <w:rsid w:val="00B24198"/>
    <w:rsid w:val="00B243A8"/>
    <w:rsid w:val="00B2632A"/>
    <w:rsid w:val="00B2772D"/>
    <w:rsid w:val="00B33E86"/>
    <w:rsid w:val="00B35922"/>
    <w:rsid w:val="00B457A6"/>
    <w:rsid w:val="00B46E43"/>
    <w:rsid w:val="00B5167F"/>
    <w:rsid w:val="00B54039"/>
    <w:rsid w:val="00B56034"/>
    <w:rsid w:val="00B56C76"/>
    <w:rsid w:val="00B65E89"/>
    <w:rsid w:val="00B66242"/>
    <w:rsid w:val="00B66767"/>
    <w:rsid w:val="00B71EBF"/>
    <w:rsid w:val="00B74F30"/>
    <w:rsid w:val="00B756B1"/>
    <w:rsid w:val="00B75E77"/>
    <w:rsid w:val="00B77BDD"/>
    <w:rsid w:val="00B8128C"/>
    <w:rsid w:val="00B85FF1"/>
    <w:rsid w:val="00B86374"/>
    <w:rsid w:val="00B86BEC"/>
    <w:rsid w:val="00B872A2"/>
    <w:rsid w:val="00B87504"/>
    <w:rsid w:val="00B90AF0"/>
    <w:rsid w:val="00B91553"/>
    <w:rsid w:val="00B924D4"/>
    <w:rsid w:val="00B9420D"/>
    <w:rsid w:val="00B945B9"/>
    <w:rsid w:val="00B948A6"/>
    <w:rsid w:val="00B959C1"/>
    <w:rsid w:val="00BA08F3"/>
    <w:rsid w:val="00BA3E3A"/>
    <w:rsid w:val="00BA66B9"/>
    <w:rsid w:val="00BA7F8F"/>
    <w:rsid w:val="00BB13A5"/>
    <w:rsid w:val="00BB159E"/>
    <w:rsid w:val="00BB1AE7"/>
    <w:rsid w:val="00BB25F0"/>
    <w:rsid w:val="00BB3039"/>
    <w:rsid w:val="00BB3262"/>
    <w:rsid w:val="00BB32BB"/>
    <w:rsid w:val="00BB339E"/>
    <w:rsid w:val="00BB4228"/>
    <w:rsid w:val="00BB5E6F"/>
    <w:rsid w:val="00BB7838"/>
    <w:rsid w:val="00BC2576"/>
    <w:rsid w:val="00BC2AE2"/>
    <w:rsid w:val="00BC40D1"/>
    <w:rsid w:val="00BC422D"/>
    <w:rsid w:val="00BC6850"/>
    <w:rsid w:val="00BC6A10"/>
    <w:rsid w:val="00BC73EB"/>
    <w:rsid w:val="00BD044F"/>
    <w:rsid w:val="00BD14D9"/>
    <w:rsid w:val="00BD37F8"/>
    <w:rsid w:val="00BD3975"/>
    <w:rsid w:val="00BD574C"/>
    <w:rsid w:val="00BE283C"/>
    <w:rsid w:val="00BE4E7E"/>
    <w:rsid w:val="00BF0DCC"/>
    <w:rsid w:val="00BF5260"/>
    <w:rsid w:val="00BF6D86"/>
    <w:rsid w:val="00C00CD9"/>
    <w:rsid w:val="00C05AF9"/>
    <w:rsid w:val="00C12FD1"/>
    <w:rsid w:val="00C134A5"/>
    <w:rsid w:val="00C13858"/>
    <w:rsid w:val="00C201AA"/>
    <w:rsid w:val="00C208BE"/>
    <w:rsid w:val="00C26E09"/>
    <w:rsid w:val="00C309D8"/>
    <w:rsid w:val="00C30D19"/>
    <w:rsid w:val="00C31514"/>
    <w:rsid w:val="00C3181C"/>
    <w:rsid w:val="00C32544"/>
    <w:rsid w:val="00C37576"/>
    <w:rsid w:val="00C3766B"/>
    <w:rsid w:val="00C40A8E"/>
    <w:rsid w:val="00C40F5A"/>
    <w:rsid w:val="00C44417"/>
    <w:rsid w:val="00C45F29"/>
    <w:rsid w:val="00C4784C"/>
    <w:rsid w:val="00C51085"/>
    <w:rsid w:val="00C523F0"/>
    <w:rsid w:val="00C53ED8"/>
    <w:rsid w:val="00C5467C"/>
    <w:rsid w:val="00C5516C"/>
    <w:rsid w:val="00C5693C"/>
    <w:rsid w:val="00C56C3D"/>
    <w:rsid w:val="00C577D4"/>
    <w:rsid w:val="00C601D8"/>
    <w:rsid w:val="00C60B60"/>
    <w:rsid w:val="00C63FCB"/>
    <w:rsid w:val="00C64C65"/>
    <w:rsid w:val="00C65459"/>
    <w:rsid w:val="00C656BD"/>
    <w:rsid w:val="00C65779"/>
    <w:rsid w:val="00C6706D"/>
    <w:rsid w:val="00C758BC"/>
    <w:rsid w:val="00C77B9E"/>
    <w:rsid w:val="00C77C6C"/>
    <w:rsid w:val="00C77F36"/>
    <w:rsid w:val="00C806E4"/>
    <w:rsid w:val="00C80DE1"/>
    <w:rsid w:val="00C82567"/>
    <w:rsid w:val="00C83871"/>
    <w:rsid w:val="00C86D0D"/>
    <w:rsid w:val="00C87080"/>
    <w:rsid w:val="00C90A0B"/>
    <w:rsid w:val="00C90B49"/>
    <w:rsid w:val="00C93627"/>
    <w:rsid w:val="00C94AA6"/>
    <w:rsid w:val="00C9616D"/>
    <w:rsid w:val="00C970D9"/>
    <w:rsid w:val="00C97D4A"/>
    <w:rsid w:val="00CB0C06"/>
    <w:rsid w:val="00CB0CA8"/>
    <w:rsid w:val="00CB2394"/>
    <w:rsid w:val="00CB3E2E"/>
    <w:rsid w:val="00CB43AE"/>
    <w:rsid w:val="00CC11A1"/>
    <w:rsid w:val="00CC1753"/>
    <w:rsid w:val="00CC3A04"/>
    <w:rsid w:val="00CC7718"/>
    <w:rsid w:val="00CD00F2"/>
    <w:rsid w:val="00CD0397"/>
    <w:rsid w:val="00CD2FB0"/>
    <w:rsid w:val="00CD3FA6"/>
    <w:rsid w:val="00CD54EA"/>
    <w:rsid w:val="00CD5A7D"/>
    <w:rsid w:val="00CE1BD6"/>
    <w:rsid w:val="00CE395C"/>
    <w:rsid w:val="00CE50DD"/>
    <w:rsid w:val="00CE6D13"/>
    <w:rsid w:val="00CE7959"/>
    <w:rsid w:val="00CF2FEB"/>
    <w:rsid w:val="00CF3C83"/>
    <w:rsid w:val="00CF41F9"/>
    <w:rsid w:val="00CF4584"/>
    <w:rsid w:val="00D031B1"/>
    <w:rsid w:val="00D05F6D"/>
    <w:rsid w:val="00D07612"/>
    <w:rsid w:val="00D10B2F"/>
    <w:rsid w:val="00D10EF0"/>
    <w:rsid w:val="00D150A6"/>
    <w:rsid w:val="00D17108"/>
    <w:rsid w:val="00D1725F"/>
    <w:rsid w:val="00D21082"/>
    <w:rsid w:val="00D21909"/>
    <w:rsid w:val="00D23907"/>
    <w:rsid w:val="00D23A04"/>
    <w:rsid w:val="00D257FA"/>
    <w:rsid w:val="00D30C3D"/>
    <w:rsid w:val="00D30EF2"/>
    <w:rsid w:val="00D325F2"/>
    <w:rsid w:val="00D34D8D"/>
    <w:rsid w:val="00D34FB4"/>
    <w:rsid w:val="00D357C0"/>
    <w:rsid w:val="00D36A23"/>
    <w:rsid w:val="00D44DF1"/>
    <w:rsid w:val="00D46DDE"/>
    <w:rsid w:val="00D470DD"/>
    <w:rsid w:val="00D473E2"/>
    <w:rsid w:val="00D475BA"/>
    <w:rsid w:val="00D479F6"/>
    <w:rsid w:val="00D53C77"/>
    <w:rsid w:val="00D5415D"/>
    <w:rsid w:val="00D56472"/>
    <w:rsid w:val="00D56CB9"/>
    <w:rsid w:val="00D57112"/>
    <w:rsid w:val="00D60624"/>
    <w:rsid w:val="00D62652"/>
    <w:rsid w:val="00D62BE3"/>
    <w:rsid w:val="00D63B62"/>
    <w:rsid w:val="00D67166"/>
    <w:rsid w:val="00D70ADE"/>
    <w:rsid w:val="00D70AE5"/>
    <w:rsid w:val="00D70CB0"/>
    <w:rsid w:val="00D73A0E"/>
    <w:rsid w:val="00D82E20"/>
    <w:rsid w:val="00D83A30"/>
    <w:rsid w:val="00D84007"/>
    <w:rsid w:val="00D84601"/>
    <w:rsid w:val="00D84A6D"/>
    <w:rsid w:val="00D92D9E"/>
    <w:rsid w:val="00D932E8"/>
    <w:rsid w:val="00D96587"/>
    <w:rsid w:val="00D96DAF"/>
    <w:rsid w:val="00D971D2"/>
    <w:rsid w:val="00DA2E9A"/>
    <w:rsid w:val="00DA3871"/>
    <w:rsid w:val="00DA4103"/>
    <w:rsid w:val="00DA4B55"/>
    <w:rsid w:val="00DB0B43"/>
    <w:rsid w:val="00DB19A2"/>
    <w:rsid w:val="00DB1E9B"/>
    <w:rsid w:val="00DB360C"/>
    <w:rsid w:val="00DB4EF8"/>
    <w:rsid w:val="00DB72D3"/>
    <w:rsid w:val="00DC0C2A"/>
    <w:rsid w:val="00DC5D70"/>
    <w:rsid w:val="00DC7978"/>
    <w:rsid w:val="00DD012C"/>
    <w:rsid w:val="00DD0434"/>
    <w:rsid w:val="00DD0C71"/>
    <w:rsid w:val="00DD0F11"/>
    <w:rsid w:val="00DD5CF8"/>
    <w:rsid w:val="00DE02B6"/>
    <w:rsid w:val="00DE0FD2"/>
    <w:rsid w:val="00DE1678"/>
    <w:rsid w:val="00DE2A3F"/>
    <w:rsid w:val="00DE37E0"/>
    <w:rsid w:val="00DE4C83"/>
    <w:rsid w:val="00DE5394"/>
    <w:rsid w:val="00DE5425"/>
    <w:rsid w:val="00DE543E"/>
    <w:rsid w:val="00DE5BC2"/>
    <w:rsid w:val="00DF04A9"/>
    <w:rsid w:val="00DF08ED"/>
    <w:rsid w:val="00DF4C05"/>
    <w:rsid w:val="00DF58B0"/>
    <w:rsid w:val="00DF6176"/>
    <w:rsid w:val="00DF6E2A"/>
    <w:rsid w:val="00E003B6"/>
    <w:rsid w:val="00E03205"/>
    <w:rsid w:val="00E03CF0"/>
    <w:rsid w:val="00E10663"/>
    <w:rsid w:val="00E11B66"/>
    <w:rsid w:val="00E23CD4"/>
    <w:rsid w:val="00E23DB0"/>
    <w:rsid w:val="00E248E7"/>
    <w:rsid w:val="00E24BDC"/>
    <w:rsid w:val="00E27551"/>
    <w:rsid w:val="00E302DA"/>
    <w:rsid w:val="00E34892"/>
    <w:rsid w:val="00E37487"/>
    <w:rsid w:val="00E42A9A"/>
    <w:rsid w:val="00E45B43"/>
    <w:rsid w:val="00E50131"/>
    <w:rsid w:val="00E5162F"/>
    <w:rsid w:val="00E530EB"/>
    <w:rsid w:val="00E57E5A"/>
    <w:rsid w:val="00E6087C"/>
    <w:rsid w:val="00E60FB3"/>
    <w:rsid w:val="00E66E7E"/>
    <w:rsid w:val="00E70BFB"/>
    <w:rsid w:val="00E7100B"/>
    <w:rsid w:val="00E7208C"/>
    <w:rsid w:val="00E7308F"/>
    <w:rsid w:val="00E75614"/>
    <w:rsid w:val="00E76806"/>
    <w:rsid w:val="00E77A1F"/>
    <w:rsid w:val="00E81749"/>
    <w:rsid w:val="00E84F37"/>
    <w:rsid w:val="00E86D91"/>
    <w:rsid w:val="00E92397"/>
    <w:rsid w:val="00E9270E"/>
    <w:rsid w:val="00E92C6A"/>
    <w:rsid w:val="00E9328F"/>
    <w:rsid w:val="00E949DE"/>
    <w:rsid w:val="00E95D69"/>
    <w:rsid w:val="00E975DB"/>
    <w:rsid w:val="00EA66CF"/>
    <w:rsid w:val="00EB094A"/>
    <w:rsid w:val="00EB2421"/>
    <w:rsid w:val="00EB24BD"/>
    <w:rsid w:val="00EB326A"/>
    <w:rsid w:val="00EB3FAA"/>
    <w:rsid w:val="00EB7271"/>
    <w:rsid w:val="00EC0424"/>
    <w:rsid w:val="00EC247E"/>
    <w:rsid w:val="00EC3FEE"/>
    <w:rsid w:val="00EC57A9"/>
    <w:rsid w:val="00EC5A02"/>
    <w:rsid w:val="00EC64D1"/>
    <w:rsid w:val="00EC67F6"/>
    <w:rsid w:val="00EC6CB8"/>
    <w:rsid w:val="00ED07C5"/>
    <w:rsid w:val="00ED3118"/>
    <w:rsid w:val="00ED3EFD"/>
    <w:rsid w:val="00ED5DE2"/>
    <w:rsid w:val="00ED75EB"/>
    <w:rsid w:val="00EE1A6C"/>
    <w:rsid w:val="00EE208F"/>
    <w:rsid w:val="00EE3A05"/>
    <w:rsid w:val="00EE7A94"/>
    <w:rsid w:val="00EF0A5B"/>
    <w:rsid w:val="00EF2570"/>
    <w:rsid w:val="00EF3F26"/>
    <w:rsid w:val="00EF5C8C"/>
    <w:rsid w:val="00EF6384"/>
    <w:rsid w:val="00EF669E"/>
    <w:rsid w:val="00F0043A"/>
    <w:rsid w:val="00F022D9"/>
    <w:rsid w:val="00F03B45"/>
    <w:rsid w:val="00F05602"/>
    <w:rsid w:val="00F0596C"/>
    <w:rsid w:val="00F1491C"/>
    <w:rsid w:val="00F15859"/>
    <w:rsid w:val="00F16B4C"/>
    <w:rsid w:val="00F17522"/>
    <w:rsid w:val="00F178E4"/>
    <w:rsid w:val="00F17C23"/>
    <w:rsid w:val="00F22610"/>
    <w:rsid w:val="00F22B9C"/>
    <w:rsid w:val="00F238BD"/>
    <w:rsid w:val="00F3161F"/>
    <w:rsid w:val="00F319FF"/>
    <w:rsid w:val="00F32192"/>
    <w:rsid w:val="00F32C8B"/>
    <w:rsid w:val="00F3686B"/>
    <w:rsid w:val="00F41DE6"/>
    <w:rsid w:val="00F454E1"/>
    <w:rsid w:val="00F47FDB"/>
    <w:rsid w:val="00F520BA"/>
    <w:rsid w:val="00F52EEA"/>
    <w:rsid w:val="00F541E4"/>
    <w:rsid w:val="00F557F7"/>
    <w:rsid w:val="00F56F45"/>
    <w:rsid w:val="00F642F5"/>
    <w:rsid w:val="00F64DC2"/>
    <w:rsid w:val="00F707A8"/>
    <w:rsid w:val="00F70F50"/>
    <w:rsid w:val="00F74C03"/>
    <w:rsid w:val="00F74C3E"/>
    <w:rsid w:val="00F8005A"/>
    <w:rsid w:val="00F802FD"/>
    <w:rsid w:val="00F8132D"/>
    <w:rsid w:val="00F81F34"/>
    <w:rsid w:val="00F82775"/>
    <w:rsid w:val="00F8575C"/>
    <w:rsid w:val="00F97094"/>
    <w:rsid w:val="00FA2059"/>
    <w:rsid w:val="00FA3609"/>
    <w:rsid w:val="00FB0C6A"/>
    <w:rsid w:val="00FB5F6C"/>
    <w:rsid w:val="00FB665F"/>
    <w:rsid w:val="00FB7F3A"/>
    <w:rsid w:val="00FC0D99"/>
    <w:rsid w:val="00FC174C"/>
    <w:rsid w:val="00FC1D1E"/>
    <w:rsid w:val="00FC20D8"/>
    <w:rsid w:val="00FC3861"/>
    <w:rsid w:val="00FC440E"/>
    <w:rsid w:val="00FD37C3"/>
    <w:rsid w:val="00FD4BC0"/>
    <w:rsid w:val="00FD5A3D"/>
    <w:rsid w:val="00FD6928"/>
    <w:rsid w:val="00FD724A"/>
    <w:rsid w:val="00FD72CB"/>
    <w:rsid w:val="00FE05FE"/>
    <w:rsid w:val="00FE4500"/>
    <w:rsid w:val="00FE4E27"/>
    <w:rsid w:val="00FE754A"/>
    <w:rsid w:val="00FE76C7"/>
    <w:rsid w:val="00FF209F"/>
    <w:rsid w:val="00FF2D5F"/>
    <w:rsid w:val="00FF58C2"/>
    <w:rsid w:val="00FF5D9C"/>
    <w:rsid w:val="00FF795B"/>
    <w:rsid w:val="01A9799D"/>
    <w:rsid w:val="16197D29"/>
    <w:rsid w:val="1B3A2BAC"/>
    <w:rsid w:val="1D6B604E"/>
    <w:rsid w:val="1FAF18AF"/>
    <w:rsid w:val="3A5E02BC"/>
    <w:rsid w:val="668E3BA7"/>
    <w:rsid w:val="7DC756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0"/>
      <w:lang w:val="en-US" w:eastAsia="zh-CN" w:bidi="ar-SA"/>
    </w:rPr>
  </w:style>
  <w:style w:type="paragraph" w:styleId="2">
    <w:name w:val="heading 1"/>
    <w:basedOn w:val="1"/>
    <w:next w:val="1"/>
    <w:link w:val="26"/>
    <w:qFormat/>
    <w:uiPriority w:val="0"/>
    <w:pPr>
      <w:keepNext/>
      <w:keepLines/>
      <w:numPr>
        <w:ilvl w:val="0"/>
        <w:numId w:val="1"/>
      </w:numPr>
      <w:spacing w:before="340" w:after="330" w:line="578" w:lineRule="auto"/>
      <w:outlineLvl w:val="0"/>
    </w:pPr>
    <w:rPr>
      <w:b/>
      <w:kern w:val="44"/>
      <w:sz w:val="44"/>
    </w:rPr>
  </w:style>
  <w:style w:type="paragraph" w:styleId="3">
    <w:name w:val="heading 2"/>
    <w:basedOn w:val="1"/>
    <w:next w:val="1"/>
    <w:link w:val="31"/>
    <w:unhideWhenUsed/>
    <w:qFormat/>
    <w:uiPriority w:val="9"/>
    <w:pPr>
      <w:keepNext/>
      <w:keepLines/>
      <w:numPr>
        <w:ilvl w:val="1"/>
        <w:numId w:val="2"/>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unhideWhenUsed/>
    <w:qFormat/>
    <w:uiPriority w:val="9"/>
    <w:pPr>
      <w:keepNext/>
      <w:keepLines/>
      <w:numPr>
        <w:ilvl w:val="1"/>
        <w:numId w:val="3"/>
      </w:numPr>
      <w:spacing w:before="260" w:after="260" w:line="416" w:lineRule="auto"/>
      <w:outlineLvl w:val="2"/>
    </w:pPr>
    <w:rPr>
      <w:b/>
      <w:bCs/>
      <w:sz w:val="32"/>
      <w:szCs w:val="32"/>
    </w:rPr>
  </w:style>
  <w:style w:type="paragraph" w:styleId="5">
    <w:name w:val="heading 4"/>
    <w:basedOn w:val="1"/>
    <w:next w:val="1"/>
    <w:link w:val="36"/>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7"/>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8"/>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39"/>
    <w:semiHidden/>
    <w:unhideWhenUsed/>
    <w:qFormat/>
    <w:uiPriority w:val="9"/>
    <w:pPr>
      <w:keepNext/>
      <w:keepLines/>
      <w:numPr>
        <w:ilvl w:val="6"/>
        <w:numId w:val="1"/>
      </w:numPr>
      <w:spacing w:before="240" w:after="64" w:line="320" w:lineRule="auto"/>
      <w:outlineLvl w:val="6"/>
    </w:pPr>
    <w:rPr>
      <w:b/>
      <w:bCs/>
      <w:szCs w:val="24"/>
    </w:rPr>
  </w:style>
  <w:style w:type="paragraph" w:styleId="9">
    <w:name w:val="heading 8"/>
    <w:basedOn w:val="1"/>
    <w:next w:val="1"/>
    <w:link w:val="40"/>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34"/>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link w:val="41"/>
    <w:qFormat/>
    <w:uiPriority w:val="0"/>
    <w:pPr>
      <w:widowControl/>
      <w:jc w:val="left"/>
    </w:pPr>
    <w:rPr>
      <w:rFonts w:ascii="宋体" w:hAnsi="宋体"/>
      <w:szCs w:val="24"/>
      <w:lang w:val="zh-CN" w:eastAsia="zh-CN"/>
    </w:rPr>
  </w:style>
  <w:style w:type="paragraph" w:styleId="12">
    <w:name w:val="annotation text"/>
    <w:basedOn w:val="1"/>
    <w:link w:val="42"/>
    <w:semiHidden/>
    <w:unhideWhenUsed/>
    <w:qFormat/>
    <w:uiPriority w:val="99"/>
    <w:pPr>
      <w:jc w:val="left"/>
    </w:pPr>
  </w:style>
  <w:style w:type="paragraph" w:styleId="13">
    <w:name w:val="toc 3"/>
    <w:basedOn w:val="1"/>
    <w:next w:val="1"/>
    <w:unhideWhenUsed/>
    <w:qFormat/>
    <w:uiPriority w:val="39"/>
    <w:pPr>
      <w:ind w:left="840" w:leftChars="400"/>
    </w:pPr>
  </w:style>
  <w:style w:type="paragraph" w:styleId="14">
    <w:name w:val="Balloon Text"/>
    <w:basedOn w:val="1"/>
    <w:link w:val="44"/>
    <w:semiHidden/>
    <w:unhideWhenUsed/>
    <w:qFormat/>
    <w:uiPriority w:val="99"/>
    <w:pPr>
      <w:spacing w:line="240" w:lineRule="auto"/>
    </w:pPr>
    <w:rPr>
      <w:sz w:val="18"/>
      <w:szCs w:val="18"/>
    </w:rPr>
  </w:style>
  <w:style w:type="paragraph" w:styleId="15">
    <w:name w:val="footer"/>
    <w:basedOn w:val="1"/>
    <w:link w:val="28"/>
    <w:unhideWhenUsed/>
    <w:qFormat/>
    <w:uiPriority w:val="0"/>
    <w:pPr>
      <w:tabs>
        <w:tab w:val="center" w:pos="4153"/>
        <w:tab w:val="right" w:pos="8306"/>
      </w:tabs>
      <w:snapToGrid w:val="0"/>
      <w:spacing w:line="240" w:lineRule="auto"/>
      <w:jc w:val="left"/>
    </w:pPr>
    <w:rPr>
      <w:sz w:val="18"/>
      <w:szCs w:val="18"/>
    </w:rPr>
  </w:style>
  <w:style w:type="paragraph" w:styleId="16">
    <w:name w:val="header"/>
    <w:basedOn w:val="1"/>
    <w:link w:val="2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Title"/>
    <w:basedOn w:val="1"/>
    <w:next w:val="1"/>
    <w:link w:val="30"/>
    <w:qFormat/>
    <w:uiPriority w:val="10"/>
    <w:pPr>
      <w:spacing w:before="240" w:after="60"/>
      <w:jc w:val="center"/>
      <w:outlineLvl w:val="0"/>
    </w:pPr>
    <w:rPr>
      <w:rFonts w:asciiTheme="majorHAnsi" w:hAnsiTheme="majorHAnsi" w:cstheme="majorBidi"/>
      <w:b/>
      <w:bCs/>
      <w:sz w:val="32"/>
      <w:szCs w:val="32"/>
    </w:rPr>
  </w:style>
  <w:style w:type="paragraph" w:styleId="20">
    <w:name w:val="annotation subject"/>
    <w:basedOn w:val="12"/>
    <w:next w:val="12"/>
    <w:link w:val="43"/>
    <w:semiHidden/>
    <w:unhideWhenUsed/>
    <w:qFormat/>
    <w:uiPriority w:val="99"/>
    <w:rPr>
      <w:b/>
      <w:bCs/>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unhideWhenUsed/>
    <w:qFormat/>
    <w:uiPriority w:val="99"/>
    <w:rPr>
      <w:color w:val="0563C1" w:themeColor="hyperlink"/>
      <w:u w:val="single"/>
      <w14:textFill>
        <w14:solidFill>
          <w14:schemeClr w14:val="hlink"/>
        </w14:solidFill>
      </w14:textFill>
    </w:rPr>
  </w:style>
  <w:style w:type="character" w:styleId="25">
    <w:name w:val="annotation reference"/>
    <w:basedOn w:val="23"/>
    <w:semiHidden/>
    <w:unhideWhenUsed/>
    <w:qFormat/>
    <w:uiPriority w:val="99"/>
    <w:rPr>
      <w:sz w:val="21"/>
      <w:szCs w:val="21"/>
    </w:rPr>
  </w:style>
  <w:style w:type="character" w:customStyle="1" w:styleId="26">
    <w:name w:val="标题 1 字符"/>
    <w:basedOn w:val="23"/>
    <w:link w:val="2"/>
    <w:qFormat/>
    <w:uiPriority w:val="0"/>
    <w:rPr>
      <w:rFonts w:ascii="Times New Roman" w:hAnsi="Times New Roman" w:eastAsia="宋体" w:cs="Times New Roman"/>
      <w:b/>
      <w:kern w:val="44"/>
      <w:sz w:val="44"/>
      <w:szCs w:val="20"/>
    </w:rPr>
  </w:style>
  <w:style w:type="character" w:customStyle="1" w:styleId="27">
    <w:name w:val="页眉 字符"/>
    <w:basedOn w:val="23"/>
    <w:link w:val="16"/>
    <w:qFormat/>
    <w:uiPriority w:val="99"/>
    <w:rPr>
      <w:rFonts w:ascii="Times New Roman" w:hAnsi="Times New Roman" w:eastAsia="宋体" w:cs="Times New Roman"/>
      <w:sz w:val="18"/>
      <w:szCs w:val="18"/>
    </w:rPr>
  </w:style>
  <w:style w:type="character" w:customStyle="1" w:styleId="28">
    <w:name w:val="页脚 字符"/>
    <w:basedOn w:val="23"/>
    <w:link w:val="15"/>
    <w:uiPriority w:val="99"/>
    <w:rPr>
      <w:rFonts w:ascii="Times New Roman" w:hAnsi="Times New Roman" w:eastAsia="宋体" w:cs="Times New Roman"/>
      <w:sz w:val="18"/>
      <w:szCs w:val="18"/>
    </w:rPr>
  </w:style>
  <w:style w:type="paragraph" w:customStyle="1" w:styleId="2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30">
    <w:name w:val="标题 字符"/>
    <w:basedOn w:val="23"/>
    <w:link w:val="19"/>
    <w:qFormat/>
    <w:uiPriority w:val="10"/>
    <w:rPr>
      <w:rFonts w:eastAsia="宋体" w:asciiTheme="majorHAnsi" w:hAnsiTheme="majorHAnsi" w:cstheme="majorBidi"/>
      <w:b/>
      <w:bCs/>
      <w:sz w:val="32"/>
      <w:szCs w:val="32"/>
    </w:rPr>
  </w:style>
  <w:style w:type="character" w:customStyle="1" w:styleId="31">
    <w:name w:val="标题 2 字符"/>
    <w:basedOn w:val="23"/>
    <w:link w:val="3"/>
    <w:qFormat/>
    <w:uiPriority w:val="9"/>
    <w:rPr>
      <w:rFonts w:asciiTheme="majorHAnsi" w:hAnsiTheme="majorHAnsi" w:eastAsiaTheme="majorEastAsia" w:cstheme="majorBidi"/>
      <w:b/>
      <w:bCs/>
      <w:sz w:val="32"/>
      <w:szCs w:val="32"/>
    </w:rPr>
  </w:style>
  <w:style w:type="paragraph" w:styleId="32">
    <w:name w:val="List Paragraph"/>
    <w:basedOn w:val="1"/>
    <w:qFormat/>
    <w:uiPriority w:val="34"/>
    <w:pPr>
      <w:ind w:firstLine="420" w:firstLineChars="200"/>
    </w:pPr>
  </w:style>
  <w:style w:type="paragraph" w:customStyle="1" w:styleId="33">
    <w:name w:val="文档正文"/>
    <w:basedOn w:val="1"/>
    <w:qFormat/>
    <w:uiPriority w:val="0"/>
    <w:pPr>
      <w:jc w:val="left"/>
    </w:pPr>
    <w:rPr>
      <w:rFonts w:ascii="宋体"/>
    </w:rPr>
  </w:style>
  <w:style w:type="character" w:customStyle="1" w:styleId="34">
    <w:name w:val="标题 9 字符"/>
    <w:basedOn w:val="23"/>
    <w:link w:val="10"/>
    <w:qFormat/>
    <w:uiPriority w:val="9"/>
    <w:rPr>
      <w:rFonts w:asciiTheme="majorHAnsi" w:hAnsiTheme="majorHAnsi" w:eastAsiaTheme="majorEastAsia" w:cstheme="majorBidi"/>
      <w:szCs w:val="21"/>
    </w:rPr>
  </w:style>
  <w:style w:type="character" w:customStyle="1" w:styleId="35">
    <w:name w:val="标题 3 字符"/>
    <w:basedOn w:val="23"/>
    <w:link w:val="4"/>
    <w:qFormat/>
    <w:uiPriority w:val="9"/>
    <w:rPr>
      <w:rFonts w:ascii="Times New Roman" w:hAnsi="Times New Roman" w:eastAsia="宋体" w:cs="Times New Roman"/>
      <w:b/>
      <w:bCs/>
      <w:sz w:val="32"/>
      <w:szCs w:val="32"/>
    </w:rPr>
  </w:style>
  <w:style w:type="character" w:customStyle="1" w:styleId="36">
    <w:name w:val="标题 4 字符"/>
    <w:basedOn w:val="23"/>
    <w:link w:val="5"/>
    <w:qFormat/>
    <w:uiPriority w:val="9"/>
    <w:rPr>
      <w:rFonts w:asciiTheme="majorHAnsi" w:hAnsiTheme="majorHAnsi" w:eastAsiaTheme="majorEastAsia" w:cstheme="majorBidi"/>
      <w:b/>
      <w:bCs/>
      <w:sz w:val="28"/>
      <w:szCs w:val="28"/>
    </w:rPr>
  </w:style>
  <w:style w:type="character" w:customStyle="1" w:styleId="37">
    <w:name w:val="标题 5 字符"/>
    <w:basedOn w:val="23"/>
    <w:link w:val="6"/>
    <w:semiHidden/>
    <w:qFormat/>
    <w:uiPriority w:val="9"/>
    <w:rPr>
      <w:rFonts w:ascii="Times New Roman" w:hAnsi="Times New Roman" w:eastAsia="宋体" w:cs="Times New Roman"/>
      <w:b/>
      <w:bCs/>
      <w:sz w:val="28"/>
      <w:szCs w:val="28"/>
    </w:rPr>
  </w:style>
  <w:style w:type="character" w:customStyle="1" w:styleId="38">
    <w:name w:val="标题 6 字符"/>
    <w:basedOn w:val="23"/>
    <w:link w:val="7"/>
    <w:semiHidden/>
    <w:qFormat/>
    <w:uiPriority w:val="9"/>
    <w:rPr>
      <w:rFonts w:asciiTheme="majorHAnsi" w:hAnsiTheme="majorHAnsi" w:eastAsiaTheme="majorEastAsia" w:cstheme="majorBidi"/>
      <w:b/>
      <w:bCs/>
      <w:sz w:val="24"/>
      <w:szCs w:val="24"/>
    </w:rPr>
  </w:style>
  <w:style w:type="character" w:customStyle="1" w:styleId="39">
    <w:name w:val="标题 7 字符"/>
    <w:basedOn w:val="23"/>
    <w:link w:val="8"/>
    <w:semiHidden/>
    <w:qFormat/>
    <w:uiPriority w:val="9"/>
    <w:rPr>
      <w:rFonts w:ascii="Times New Roman" w:hAnsi="Times New Roman" w:eastAsia="宋体" w:cs="Times New Roman"/>
      <w:b/>
      <w:bCs/>
      <w:sz w:val="24"/>
      <w:szCs w:val="24"/>
    </w:rPr>
  </w:style>
  <w:style w:type="character" w:customStyle="1" w:styleId="40">
    <w:name w:val="标题 8 字符"/>
    <w:basedOn w:val="23"/>
    <w:link w:val="9"/>
    <w:semiHidden/>
    <w:qFormat/>
    <w:uiPriority w:val="9"/>
    <w:rPr>
      <w:rFonts w:asciiTheme="majorHAnsi" w:hAnsiTheme="majorHAnsi" w:eastAsiaTheme="majorEastAsia" w:cstheme="majorBidi"/>
      <w:sz w:val="24"/>
      <w:szCs w:val="24"/>
    </w:rPr>
  </w:style>
  <w:style w:type="character" w:customStyle="1" w:styleId="41">
    <w:name w:val="正文缩进 字符"/>
    <w:link w:val="11"/>
    <w:qFormat/>
    <w:uiPriority w:val="0"/>
    <w:rPr>
      <w:rFonts w:ascii="宋体" w:hAnsi="宋体" w:eastAsia="宋体" w:cs="Times New Roman"/>
      <w:sz w:val="24"/>
      <w:szCs w:val="24"/>
      <w:lang w:val="zh-CN" w:eastAsia="zh-CN"/>
    </w:rPr>
  </w:style>
  <w:style w:type="character" w:customStyle="1" w:styleId="42">
    <w:name w:val="批注文字 字符"/>
    <w:basedOn w:val="23"/>
    <w:link w:val="12"/>
    <w:semiHidden/>
    <w:qFormat/>
    <w:uiPriority w:val="99"/>
    <w:rPr>
      <w:rFonts w:ascii="Times New Roman" w:hAnsi="Times New Roman" w:eastAsia="宋体" w:cs="Times New Roman"/>
      <w:sz w:val="24"/>
      <w:szCs w:val="20"/>
    </w:rPr>
  </w:style>
  <w:style w:type="character" w:customStyle="1" w:styleId="43">
    <w:name w:val="批注主题 字符"/>
    <w:basedOn w:val="42"/>
    <w:link w:val="20"/>
    <w:semiHidden/>
    <w:qFormat/>
    <w:uiPriority w:val="99"/>
    <w:rPr>
      <w:rFonts w:ascii="Times New Roman" w:hAnsi="Times New Roman" w:eastAsia="宋体" w:cs="Times New Roman"/>
      <w:b/>
      <w:bCs/>
      <w:sz w:val="24"/>
      <w:szCs w:val="20"/>
    </w:rPr>
  </w:style>
  <w:style w:type="character" w:customStyle="1" w:styleId="44">
    <w:name w:val="批注框文本 字符"/>
    <w:basedOn w:val="23"/>
    <w:link w:val="14"/>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721B2B-7902-4BBD-A5D3-D62986D61F94}">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1958</Words>
  <Characters>11167</Characters>
  <Lines>93</Lines>
  <Paragraphs>26</Paragraphs>
  <TotalTime>1523</TotalTime>
  <ScaleCrop>false</ScaleCrop>
  <LinksUpToDate>false</LinksUpToDate>
  <CharactersWithSpaces>13099</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2020-06-18T00:53:00Z</dcterms:created>
  <dc:creator>Dell</dc:creator>
  <cp:lastModifiedBy>Yue.</cp:lastModifiedBy>
  <dcterms:modified xsi:type="dcterms:W3CDTF">2022-02-22T09:48:44Z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4A12DF70085945629F151E3BD9ACBCFA</vt:lpwstr>
  </property>
</Properties>
</file>