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</w:p>
    <w:p>
      <w:pPr>
        <w:tabs>
          <w:tab w:val="left" w:pos="720"/>
        </w:tabs>
        <w:jc w:val="center"/>
        <w:rPr>
          <w:rFonts w:ascii="宋体" w:hAnsi="宋体"/>
          <w:b/>
          <w:bCs/>
          <w:kern w:val="0"/>
          <w:lang w:val="en-US" w:eastAsia="en-US"/>
        </w:rPr>
      </w:pPr>
      <w:r>
        <w:rPr>
          <w:rFonts w:ascii="宋体" w:hAnsi="宋体"/>
          <w:kern w:val="0"/>
          <w:lang w:val="en-US" w:eastAsia="en-US"/>
        </w:rPr>
        <w:drawing>
          <wp:inline distT="0" distB="0" distL="0" distR="0">
            <wp:extent cx="2743200" cy="666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rPr>
          <w:rFonts w:hint="eastAsia" w:ascii="宋体" w:hAnsi="宋体"/>
          <w:b/>
          <w:sz w:val="44"/>
          <w:szCs w:val="44"/>
          <w:u w:val="thick"/>
        </w:rPr>
      </w:pPr>
    </w:p>
    <w:p>
      <w:pPr>
        <w:widowControl/>
        <w:snapToGrid w:val="0"/>
        <w:spacing w:before="100" w:beforeAutospacing="1" w:after="100" w:afterAutospacing="1"/>
        <w:ind w:left="-73" w:leftChars="-35" w:firstLine="172" w:firstLineChars="33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 w:cs="Arial"/>
          <w:b/>
          <w:color w:val="000000"/>
          <w:kern w:val="0"/>
          <w:sz w:val="52"/>
          <w:szCs w:val="52"/>
        </w:rPr>
        <w:t>云时通中台V</w:t>
      </w:r>
      <w:r>
        <w:rPr>
          <w:rFonts w:ascii="宋体" w:hAnsi="宋体" w:cs="Arial"/>
          <w:b/>
          <w:color w:val="000000"/>
          <w:kern w:val="0"/>
          <w:sz w:val="52"/>
          <w:szCs w:val="52"/>
        </w:rPr>
        <w:t>1.0</w:t>
      </w:r>
      <w:r>
        <w:rPr>
          <w:rFonts w:hint="eastAsia" w:ascii="宋体" w:hAnsi="宋体" w:cs="Arial"/>
          <w:b/>
          <w:color w:val="000000"/>
          <w:kern w:val="0"/>
          <w:sz w:val="52"/>
          <w:szCs w:val="52"/>
        </w:rPr>
        <w:t>系统</w:t>
      </w:r>
    </w:p>
    <w:p>
      <w:pPr>
        <w:widowControl/>
        <w:snapToGrid w:val="0"/>
        <w:spacing w:before="100" w:beforeAutospacing="1" w:after="100" w:afterAutospacing="1"/>
        <w:ind w:left="-73" w:leftChars="-35" w:firstLine="172" w:firstLineChars="33"/>
        <w:jc w:val="center"/>
        <w:rPr>
          <w:rFonts w:ascii="宋体" w:hAnsi="宋体" w:cs="Arial"/>
          <w:b/>
          <w:color w:val="000000"/>
          <w:kern w:val="0"/>
          <w:sz w:val="52"/>
          <w:szCs w:val="52"/>
        </w:rPr>
      </w:pPr>
      <w:r>
        <w:rPr>
          <w:rFonts w:hint="eastAsia" w:ascii="宋体" w:hAnsi="宋体" w:cs="Arial"/>
          <w:b/>
          <w:color w:val="000000"/>
          <w:kern w:val="0"/>
          <w:sz w:val="52"/>
          <w:szCs w:val="52"/>
        </w:rPr>
        <w:t>操作手册</w:t>
      </w:r>
    </w:p>
    <w:p>
      <w:pPr>
        <w:widowControl/>
        <w:snapToGrid w:val="0"/>
        <w:spacing w:before="100" w:beforeAutospacing="1" w:after="100" w:afterAutospacing="1"/>
        <w:ind w:left="-73" w:leftChars="-35" w:firstLine="146" w:firstLineChars="33"/>
        <w:jc w:val="center"/>
        <w:rPr>
          <w:rFonts w:ascii="宋体" w:hAnsi="宋体" w:cs="Arial"/>
          <w:b/>
          <w:color w:val="000000"/>
          <w:kern w:val="0"/>
          <w:sz w:val="44"/>
          <w:szCs w:val="44"/>
        </w:rPr>
      </w:pPr>
    </w:p>
    <w:p>
      <w:pPr>
        <w:widowControl/>
        <w:snapToGrid w:val="0"/>
        <w:spacing w:before="100" w:beforeAutospacing="1" w:after="100" w:afterAutospacing="1"/>
        <w:ind w:left="-73" w:leftChars="-35" w:firstLine="146" w:firstLineChars="33"/>
        <w:jc w:val="center"/>
        <w:rPr>
          <w:rFonts w:ascii="宋体" w:hAnsi="宋体" w:cs="Arial"/>
          <w:b/>
          <w:color w:val="000000"/>
          <w:kern w:val="0"/>
          <w:sz w:val="44"/>
          <w:szCs w:val="44"/>
        </w:rPr>
      </w:pPr>
    </w:p>
    <w:p>
      <w:pPr>
        <w:widowControl/>
        <w:snapToGrid w:val="0"/>
        <w:spacing w:before="100" w:beforeAutospacing="1" w:after="100" w:afterAutospacing="1"/>
        <w:ind w:left="-73" w:leftChars="-35" w:firstLine="146" w:firstLineChars="33"/>
        <w:jc w:val="center"/>
        <w:rPr>
          <w:rFonts w:hint="eastAsia" w:ascii="宋体" w:hAnsi="宋体" w:cs="Arial"/>
          <w:b/>
          <w:color w:val="000000"/>
          <w:kern w:val="0"/>
          <w:sz w:val="44"/>
          <w:szCs w:val="44"/>
        </w:rPr>
      </w:pPr>
    </w:p>
    <w:p>
      <w:pPr>
        <w:widowControl/>
        <w:tabs>
          <w:tab w:val="left" w:pos="6916"/>
        </w:tabs>
        <w:overflowPunct w:val="0"/>
        <w:autoSpaceDE w:val="0"/>
        <w:autoSpaceDN w:val="0"/>
        <w:adjustRightInd w:val="0"/>
        <w:spacing w:before="120"/>
        <w:ind w:firstLine="3600" w:firstLineChars="1800"/>
        <w:jc w:val="left"/>
        <w:textAlignment w:val="baseline"/>
        <w:rPr>
          <w:rFonts w:ascii="宋体" w:hAnsi="宋体"/>
          <w:kern w:val="0"/>
          <w:sz w:val="20"/>
          <w:szCs w:val="20"/>
        </w:rPr>
      </w:pPr>
      <w:r>
        <w:rPr>
          <w:rFonts w:hint="eastAsia" w:ascii="宋体" w:hAnsi="宋体"/>
          <w:kern w:val="0"/>
          <w:sz w:val="20"/>
          <w:szCs w:val="20"/>
        </w:rPr>
        <w:t>作者：</w:t>
      </w:r>
      <w:r>
        <w:rPr>
          <w:rFonts w:ascii="宋体" w:hAnsi="宋体"/>
          <w:kern w:val="0"/>
          <w:sz w:val="20"/>
          <w:szCs w:val="20"/>
        </w:rPr>
        <w:t xml:space="preserve">           </w:t>
      </w:r>
    </w:p>
    <w:p>
      <w:pPr>
        <w:widowControl/>
        <w:overflowPunct w:val="0"/>
        <w:autoSpaceDE w:val="0"/>
        <w:autoSpaceDN w:val="0"/>
        <w:adjustRightInd w:val="0"/>
        <w:spacing w:before="120"/>
        <w:ind w:firstLine="3570" w:firstLineChars="1700"/>
        <w:jc w:val="left"/>
        <w:textAlignment w:val="baseline"/>
        <w:rPr>
          <w:rFonts w:ascii="宋体" w:hAnsi="宋体"/>
          <w:kern w:val="0"/>
          <w:sz w:val="20"/>
          <w:szCs w:val="20"/>
        </w:rPr>
      </w:pPr>
      <w:r>
        <w:rPr>
          <w:rFonts w:ascii="宋体" w:hAnsi="宋体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43815</wp:posOffset>
                </wp:positionV>
                <wp:extent cx="2252345" cy="0"/>
                <wp:effectExtent l="12700" t="13335" r="11430" b="571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2345" cy="0"/>
                        </a:xfrm>
                        <a:prstGeom prst="line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pt;margin-top:3.45pt;height:0pt;width:177.35pt;z-index:251659264;mso-width-relative:page;mso-height-relative:page;" filled="f" stroked="t" coordsize="21600,21600" o:gfxdata="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H4rEKNUAAAAHAQAADwAAAAAAAAABACAAAAAiAAAAZHJzL2Rvd25yZXYueG1sUEsBAhQAFAAA&#10;AAgAh07iQDz+EfvyAQAAxAMAAA4AAAAAAAAAAQAgAAAAJAEAAGRycy9lMm9Eb2MueG1sUEsFBgAA&#10;AAAGAAYAWQEAAIg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kern w:val="0"/>
          <w:sz w:val="20"/>
          <w:szCs w:val="20"/>
        </w:rPr>
        <w:t>建立日期</w:t>
      </w:r>
      <w:r>
        <w:rPr>
          <w:rFonts w:ascii="宋体" w:hAnsi="宋体"/>
          <w:kern w:val="0"/>
          <w:sz w:val="20"/>
          <w:szCs w:val="20"/>
        </w:rPr>
        <w:t>:</w:t>
      </w:r>
      <w:r>
        <w:rPr>
          <w:rFonts w:ascii="宋体" w:hAnsi="宋体"/>
          <w:kern w:val="0"/>
          <w:sz w:val="20"/>
          <w:szCs w:val="20"/>
        </w:rPr>
        <w:tab/>
      </w:r>
      <w:r>
        <w:rPr>
          <w:rFonts w:ascii="宋体" w:hAnsi="宋体"/>
          <w:kern w:val="0"/>
          <w:sz w:val="20"/>
          <w:szCs w:val="20"/>
        </w:rPr>
        <w:t xml:space="preserve">     2022-03-24</w:t>
      </w:r>
    </w:p>
    <w:p>
      <w:pPr>
        <w:widowControl/>
        <w:tabs>
          <w:tab w:val="left" w:pos="4320"/>
        </w:tabs>
        <w:overflowPunct w:val="0"/>
        <w:autoSpaceDE w:val="0"/>
        <w:autoSpaceDN w:val="0"/>
        <w:adjustRightInd w:val="0"/>
        <w:spacing w:before="120"/>
        <w:ind w:firstLine="3570" w:firstLineChars="1700"/>
        <w:jc w:val="left"/>
        <w:textAlignment w:val="baseline"/>
        <w:rPr>
          <w:rFonts w:hint="eastAsia" w:ascii="宋体" w:hAnsi="宋体"/>
          <w:kern w:val="0"/>
          <w:sz w:val="20"/>
          <w:szCs w:val="20"/>
        </w:rPr>
      </w:pPr>
      <w:r>
        <w:rPr>
          <w:rFonts w:ascii="宋体" w:hAnsi="宋体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36195</wp:posOffset>
                </wp:positionV>
                <wp:extent cx="2251710" cy="0"/>
                <wp:effectExtent l="9525" t="13335" r="5715" b="571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4.75pt;margin-top:2.85pt;height:0pt;width:177.3pt;z-index:251660288;mso-width-relative:page;mso-height-relative:page;" filled="f" stroked="t" coordsize="21600,21600" o:gfxdata="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ULHPtQAAAAHAQAADwAAAAAAAAABACAAAAAiAAAAZHJzL2Rvd25yZXYueG1sUEsBAhQAFAAAAAgA&#10;h07iQL3S7wXwAQAAxAMAAA4AAAAAAAAAAQAgAAAAIwEAAGRycy9lMm9Eb2MueG1sUEsFBgAAAAAG&#10;AAYAWQEAAIU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kern w:val="0"/>
          <w:sz w:val="20"/>
          <w:szCs w:val="20"/>
        </w:rPr>
        <w:t>最终变更日期</w:t>
      </w:r>
      <w:r>
        <w:rPr>
          <w:rFonts w:ascii="宋体" w:hAnsi="宋体"/>
          <w:kern w:val="0"/>
          <w:sz w:val="20"/>
          <w:szCs w:val="20"/>
        </w:rPr>
        <w:t>:</w:t>
      </w:r>
      <w:bookmarkStart w:id="0" w:name="DocControlNumber"/>
      <w:r>
        <w:rPr>
          <w:rFonts w:hint="eastAsia" w:ascii="宋体" w:hAnsi="宋体"/>
          <w:kern w:val="0"/>
          <w:sz w:val="20"/>
          <w:szCs w:val="20"/>
        </w:rPr>
        <w:t xml:space="preserve"> </w:t>
      </w:r>
    </w:p>
    <w:bookmarkEnd w:id="0"/>
    <w:p>
      <w:pPr>
        <w:widowControl/>
        <w:tabs>
          <w:tab w:val="left" w:pos="5358"/>
        </w:tabs>
        <w:overflowPunct w:val="0"/>
        <w:autoSpaceDE w:val="0"/>
        <w:autoSpaceDN w:val="0"/>
        <w:adjustRightInd w:val="0"/>
        <w:spacing w:before="120"/>
        <w:ind w:firstLine="3570" w:firstLineChars="1700"/>
        <w:jc w:val="left"/>
        <w:textAlignment w:val="baseline"/>
        <w:rPr>
          <w:rFonts w:ascii="宋体" w:hAnsi="宋体"/>
          <w:kern w:val="0"/>
          <w:sz w:val="20"/>
          <w:szCs w:val="20"/>
        </w:rPr>
      </w:pPr>
      <w:r>
        <w:rPr>
          <w:rFonts w:ascii="宋体" w:hAnsi="宋体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315595</wp:posOffset>
                </wp:positionV>
                <wp:extent cx="2251710" cy="0"/>
                <wp:effectExtent l="5080" t="5080" r="10160" b="1397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65pt;margin-top:24.85pt;height:0pt;width:177.3pt;z-index:251662336;mso-width-relative:page;mso-height-relative:page;" filled="f" stroked="t" coordsize="21600,21600" o:gfxdata="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2cP0DXAAAACQEAAA8AAAAAAAAAAQAgAAAAIgAAAGRycy9kb3ducmV2LnhtbFBLAQIUABQA&#10;AAAIAIdO4kDUqdgr8QEAAMQDAAAOAAAAAAAAAAEAIAAAACYBAABkcnMvZTJvRG9jLnhtbFBLBQYA&#10;AAAABgAGAFkBAACJ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5080</wp:posOffset>
                </wp:positionV>
                <wp:extent cx="2251710" cy="0"/>
                <wp:effectExtent l="7620" t="8890" r="7620" b="1016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1pt;margin-top:0.4pt;height:0pt;width:177.3pt;z-index:251661312;mso-width-relative:page;mso-height-relative:page;" filled="f" stroked="t" coordsize="21600,21600" o:gfxdata="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jnlK0wAAAAUBAAAPAAAAAAAAAAEAIAAAACIAAABkcnMvZG93bnJldi54bWxQSwECFAAUAAAACACH&#10;TuJAOV+oZfABAADEAwAADgAAAAAAAAABACAAAAAiAQAAZHJzL2Uyb0RvYy54bWxQSwUGAAAAAAYA&#10;BgBZAQAAhA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kern w:val="0"/>
          <w:sz w:val="20"/>
          <w:szCs w:val="20"/>
        </w:rPr>
        <w:t>版本</w:t>
      </w:r>
      <w:r>
        <w:rPr>
          <w:rFonts w:ascii="宋体" w:hAnsi="宋体"/>
          <w:kern w:val="0"/>
          <w:sz w:val="20"/>
          <w:szCs w:val="20"/>
        </w:rPr>
        <w:t>:</w:t>
      </w:r>
      <w:r>
        <w:rPr>
          <w:rFonts w:ascii="宋体" w:hAnsi="宋体"/>
          <w:kern w:val="0"/>
          <w:sz w:val="20"/>
          <w:szCs w:val="20"/>
        </w:rPr>
        <w:tab/>
      </w:r>
      <w:r>
        <w:rPr>
          <w:rFonts w:hint="eastAsia" w:ascii="宋体" w:hAnsi="宋体"/>
          <w:kern w:val="0"/>
          <w:sz w:val="20"/>
          <w:szCs w:val="20"/>
        </w:rPr>
        <w:t>V1.0</w:t>
      </w:r>
    </w:p>
    <w:p>
      <w:pPr>
        <w:widowControl/>
        <w:tabs>
          <w:tab w:val="left" w:pos="720"/>
        </w:tabs>
        <w:jc w:val="center"/>
        <w:rPr>
          <w:rFonts w:ascii="宋体" w:hAnsi="宋体"/>
          <w:kern w:val="0"/>
        </w:rPr>
      </w:pPr>
    </w:p>
    <w:p>
      <w:pPr>
        <w:widowControl/>
        <w:tabs>
          <w:tab w:val="left" w:pos="720"/>
        </w:tabs>
        <w:jc w:val="center"/>
        <w:rPr>
          <w:rFonts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hint="eastAsia" w:ascii="宋体" w:hAnsi="宋体"/>
          <w:kern w:val="0"/>
        </w:rPr>
      </w:pPr>
    </w:p>
    <w:p>
      <w:pPr>
        <w:widowControl/>
        <w:tabs>
          <w:tab w:val="left" w:pos="720"/>
        </w:tabs>
        <w:jc w:val="left"/>
        <w:rPr>
          <w:rFonts w:ascii="宋体" w:hAnsi="宋体"/>
          <w:kern w:val="0"/>
        </w:rPr>
      </w:pPr>
    </w:p>
    <w:p>
      <w:pPr>
        <w:widowControl/>
        <w:tabs>
          <w:tab w:val="left" w:pos="720"/>
        </w:tabs>
        <w:jc w:val="both"/>
        <w:rPr>
          <w:rFonts w:hint="default" w:ascii="宋体" w:hAnsi="宋体"/>
          <w:b/>
          <w:bCs/>
          <w:color w:val="FF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  <w:t>使用该镜像创建好服务器后</w:t>
      </w:r>
    </w:p>
    <w:p>
      <w:pPr>
        <w:widowControl/>
        <w:tabs>
          <w:tab w:val="left" w:pos="720"/>
        </w:tabs>
        <w:jc w:val="both"/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  <w:t>必须开放端口：</w:t>
      </w:r>
    </w:p>
    <w:p>
      <w:pPr>
        <w:widowControl/>
        <w:tabs>
          <w:tab w:val="left" w:pos="720"/>
        </w:tabs>
        <w:jc w:val="both"/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  <w:t>8080    (服务端口)</w:t>
      </w:r>
    </w:p>
    <w:p>
      <w:pPr>
        <w:widowControl/>
        <w:tabs>
          <w:tab w:val="left" w:pos="720"/>
        </w:tabs>
        <w:jc w:val="both"/>
        <w:rPr>
          <w:rFonts w:hint="default" w:ascii="宋体" w:hAnsi="宋体"/>
          <w:b/>
          <w:bCs/>
          <w:color w:val="FF0000"/>
          <w:kern w:val="0"/>
          <w:sz w:val="44"/>
          <w:szCs w:val="44"/>
          <w:lang w:val="en-US" w:eastAsia="zh-CN"/>
        </w:rPr>
      </w:pPr>
    </w:p>
    <w:p>
      <w:pPr>
        <w:widowControl/>
        <w:tabs>
          <w:tab w:val="left" w:pos="720"/>
        </w:tabs>
        <w:jc w:val="both"/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  <w:t>访问地址</w:t>
      </w:r>
    </w:p>
    <w:p>
      <w:pPr>
        <w:widowControl/>
        <w:tabs>
          <w:tab w:val="left" w:pos="720"/>
        </w:tabs>
        <w:jc w:val="both"/>
        <w:rPr>
          <w:rFonts w:hint="eastAsia" w:ascii="宋体" w:hAnsi="宋体"/>
          <w:kern w:val="0"/>
          <w:sz w:val="18"/>
          <w:szCs w:val="18"/>
        </w:rPr>
      </w:pPr>
      <w:r>
        <w:rPr>
          <w:rFonts w:hint="eastAsia" w:ascii="宋体" w:hAnsi="宋体"/>
          <w:b/>
          <w:bCs/>
          <w:color w:val="FF0000"/>
          <w:kern w:val="0"/>
          <w:sz w:val="44"/>
          <w:szCs w:val="44"/>
          <w:lang w:val="en-US" w:eastAsia="zh-CN"/>
        </w:rPr>
        <w:t>公网ip:8080</w:t>
      </w:r>
      <w:bookmarkStart w:id="50" w:name="_GoBack"/>
      <w:bookmarkEnd w:id="50"/>
    </w:p>
    <w:p>
      <w:pPr>
        <w:pageBreakBefore/>
        <w:rPr>
          <w:rFonts w:ascii="宋体" w:hAnsi="宋体" w:cs="Arial"/>
          <w:b/>
          <w:bCs/>
          <w:sz w:val="32"/>
          <w:szCs w:val="32"/>
          <w:lang w:val="en-GB"/>
        </w:rPr>
      </w:pPr>
      <w:r>
        <w:rPr>
          <w:rFonts w:hint="eastAsia" w:ascii="宋体" w:hAnsi="宋体" w:cs="Arial"/>
          <w:b/>
          <w:bCs/>
          <w:sz w:val="32"/>
          <w:szCs w:val="32"/>
          <w:lang w:val="en-GB"/>
        </w:rPr>
        <w:t>文档控制</w:t>
      </w:r>
    </w:p>
    <w:tbl>
      <w:tblPr>
        <w:tblStyle w:val="10"/>
        <w:tblW w:w="0" w:type="auto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808080" w:sz="2" w:space="0"/>
          <w:insideV w:val="single" w:color="80808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410"/>
        <w:gridCol w:w="1984"/>
        <w:gridCol w:w="273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808080" w:sz="2" w:space="0"/>
            <w:insideV w:val="single" w:color="808080" w:sz="2" w:space="0"/>
          </w:tblBorders>
        </w:tblPrEx>
        <w:tc>
          <w:tcPr>
            <w:tcW w:w="2410" w:type="dxa"/>
            <w:shd w:val="clear" w:color="auto" w:fill="D5DCE4"/>
            <w:vAlign w:val="center"/>
          </w:tcPr>
          <w:p>
            <w:pPr>
              <w:spacing w:after="120"/>
              <w:ind w:firstLine="663" w:firstLineChars="3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文档名称</w:t>
            </w:r>
          </w:p>
        </w:tc>
        <w:tc>
          <w:tcPr>
            <w:tcW w:w="7130" w:type="dxa"/>
            <w:gridSpan w:val="3"/>
            <w:vAlign w:val="center"/>
          </w:tcPr>
          <w:p>
            <w:pPr>
              <w:spacing w:after="120"/>
              <w:rPr>
                <w:rFonts w:ascii="宋体" w:hAnsi="宋体" w:cs="Arial"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sz w:val="22"/>
                <w:szCs w:val="22"/>
                <w:lang w:val="en-GB"/>
              </w:rPr>
              <w:t>云时通</w:t>
            </w:r>
            <w:r>
              <w:rPr>
                <w:rFonts w:hint="eastAsia" w:ascii="宋体" w:hAnsi="宋体" w:cs="Arial"/>
                <w:sz w:val="22"/>
                <w:szCs w:val="22"/>
                <w:lang w:val="en-US" w:eastAsia="zh-CN"/>
              </w:rPr>
              <w:t>订单</w:t>
            </w:r>
            <w:r>
              <w:rPr>
                <w:rFonts w:hint="eastAsia" w:ascii="宋体" w:hAnsi="宋体" w:cs="Arial"/>
                <w:sz w:val="22"/>
                <w:szCs w:val="22"/>
                <w:lang w:val="en-GB"/>
              </w:rPr>
              <w:t>中台V</w:t>
            </w:r>
            <w:r>
              <w:rPr>
                <w:rFonts w:ascii="宋体" w:hAnsi="宋体" w:cs="Arial"/>
                <w:sz w:val="22"/>
                <w:szCs w:val="22"/>
                <w:lang w:val="en-GB"/>
              </w:rPr>
              <w:t>1.0</w:t>
            </w:r>
            <w:r>
              <w:rPr>
                <w:rFonts w:hint="eastAsia" w:ascii="宋体" w:hAnsi="宋体" w:cs="Arial"/>
                <w:sz w:val="22"/>
                <w:szCs w:val="22"/>
                <w:lang w:val="en-GB"/>
              </w:rPr>
              <w:t>系统操作手册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808080" w:sz="2" w:space="0"/>
            <w:insideV w:val="single" w:color="80808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shd w:val="clear" w:color="auto" w:fill="D5DCE4"/>
            <w:vAlign w:val="center"/>
          </w:tcPr>
          <w:p>
            <w:pPr>
              <w:spacing w:after="120"/>
              <w:ind w:firstLine="221" w:firstLineChars="10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起草</w:t>
            </w:r>
            <w:r>
              <w:rPr>
                <w:rFonts w:ascii="宋体" w:hAnsi="宋体" w:cs="Arial"/>
                <w:b/>
                <w:sz w:val="22"/>
                <w:szCs w:val="22"/>
                <w:lang w:val="en-GB"/>
              </w:rPr>
              <w:t>人或修订人</w:t>
            </w:r>
          </w:p>
        </w:tc>
        <w:tc>
          <w:tcPr>
            <w:tcW w:w="2410" w:type="dxa"/>
            <w:tcBorders>
              <w:top w:val="single" w:color="808080" w:sz="2" w:space="0"/>
              <w:bottom w:val="single" w:color="808080" w:sz="2" w:space="0"/>
            </w:tcBorders>
            <w:shd w:val="clear" w:color="auto" w:fill="auto"/>
            <w:vAlign w:val="center"/>
          </w:tcPr>
          <w:p>
            <w:pPr>
              <w:spacing w:after="120"/>
              <w:rPr>
                <w:rFonts w:ascii="宋体" w:hAnsi="宋体" w:cs="Arial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shd w:val="clear" w:color="auto" w:fill="D5DCE4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日期</w:t>
            </w:r>
          </w:p>
        </w:tc>
        <w:tc>
          <w:tcPr>
            <w:tcW w:w="2736" w:type="dxa"/>
            <w:tcBorders>
              <w:top w:val="single" w:color="808080" w:sz="2" w:space="0"/>
              <w:bottom w:val="single" w:color="808080" w:sz="2" w:space="0"/>
            </w:tcBorders>
            <w:vAlign w:val="center"/>
          </w:tcPr>
          <w:p>
            <w:pPr>
              <w:spacing w:after="120"/>
              <w:ind w:firstLine="220" w:firstLineChars="100"/>
              <w:rPr>
                <w:rFonts w:ascii="宋体" w:hAnsi="宋体" w:cs="Arial"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sz w:val="22"/>
                <w:szCs w:val="22"/>
                <w:lang w:val="en-GB"/>
              </w:rPr>
              <w:t>2</w:t>
            </w:r>
            <w:r>
              <w:rPr>
                <w:rFonts w:ascii="宋体" w:hAnsi="宋体" w:cs="Arial"/>
                <w:sz w:val="22"/>
                <w:szCs w:val="22"/>
                <w:lang w:val="en-GB"/>
              </w:rPr>
              <w:t>0220324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808080" w:sz="2" w:space="0"/>
            <w:insideV w:val="single" w:color="80808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shd w:val="clear" w:color="auto" w:fill="D5DCE4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审核</w:t>
            </w:r>
            <w:r>
              <w:rPr>
                <w:rFonts w:ascii="宋体" w:hAnsi="宋体" w:cs="Arial"/>
                <w:b/>
                <w:sz w:val="22"/>
                <w:szCs w:val="22"/>
                <w:lang w:val="en-GB"/>
              </w:rPr>
              <w:t>人</w:t>
            </w:r>
          </w:p>
        </w:tc>
        <w:tc>
          <w:tcPr>
            <w:tcW w:w="2410" w:type="dxa"/>
            <w:tcBorders>
              <w:top w:val="single" w:color="808080" w:sz="2" w:space="0"/>
              <w:bottom w:val="single" w:color="808080" w:sz="2" w:space="0"/>
            </w:tcBorders>
            <w:shd w:val="clear" w:color="auto" w:fill="auto"/>
          </w:tcPr>
          <w:p>
            <w:pPr>
              <w:spacing w:after="120"/>
              <w:ind w:firstLine="221" w:firstLineChars="1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shd w:val="clear" w:color="auto" w:fill="D5DCE4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日期</w:t>
            </w:r>
          </w:p>
        </w:tc>
        <w:tc>
          <w:tcPr>
            <w:tcW w:w="2736" w:type="dxa"/>
            <w:tcBorders>
              <w:top w:val="single" w:color="808080" w:sz="2" w:space="0"/>
              <w:bottom w:val="single" w:color="808080" w:sz="2" w:space="0"/>
            </w:tcBorders>
          </w:tcPr>
          <w:p>
            <w:pPr>
              <w:spacing w:after="120"/>
              <w:ind w:firstLine="221" w:firstLineChars="1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808080" w:sz="2" w:space="0"/>
            <w:insideV w:val="single" w:color="80808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shd w:val="clear" w:color="auto" w:fill="D5DCE4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批准</w:t>
            </w:r>
            <w:r>
              <w:rPr>
                <w:rFonts w:ascii="宋体" w:hAnsi="宋体" w:cs="Arial"/>
                <w:b/>
                <w:sz w:val="22"/>
                <w:szCs w:val="22"/>
                <w:lang w:val="en-GB"/>
              </w:rPr>
              <w:t>人</w:t>
            </w:r>
          </w:p>
        </w:tc>
        <w:tc>
          <w:tcPr>
            <w:tcW w:w="2410" w:type="dxa"/>
            <w:tcBorders>
              <w:top w:val="single" w:color="808080" w:sz="2" w:space="0"/>
              <w:bottom w:val="single" w:color="808080" w:sz="2" w:space="0"/>
            </w:tcBorders>
            <w:shd w:val="clear" w:color="auto" w:fill="auto"/>
          </w:tcPr>
          <w:p>
            <w:pPr>
              <w:spacing w:after="120"/>
              <w:ind w:firstLine="221" w:firstLineChars="1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shd w:val="clear" w:color="auto" w:fill="D5DCE4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日期</w:t>
            </w:r>
          </w:p>
        </w:tc>
        <w:tc>
          <w:tcPr>
            <w:tcW w:w="2736" w:type="dxa"/>
            <w:tcBorders>
              <w:top w:val="single" w:color="808080" w:sz="2" w:space="0"/>
              <w:bottom w:val="single" w:color="808080" w:sz="2" w:space="0"/>
            </w:tcBorders>
          </w:tcPr>
          <w:p>
            <w:pPr>
              <w:spacing w:after="120"/>
              <w:ind w:firstLine="221" w:firstLineChars="1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808080" w:sz="2" w:space="0"/>
            <w:insideV w:val="single" w:color="80808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shd w:val="clear" w:color="auto" w:fill="D5DCE4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生效</w:t>
            </w:r>
            <w:r>
              <w:rPr>
                <w:rFonts w:ascii="宋体" w:hAnsi="宋体" w:cs="Arial"/>
                <w:b/>
                <w:sz w:val="22"/>
                <w:szCs w:val="22"/>
                <w:lang w:val="en-GB"/>
              </w:rPr>
              <w:t>日期</w:t>
            </w:r>
          </w:p>
        </w:tc>
        <w:tc>
          <w:tcPr>
            <w:tcW w:w="2410" w:type="dxa"/>
            <w:tcBorders>
              <w:top w:val="single" w:color="808080" w:sz="2" w:space="0"/>
              <w:bottom w:val="single" w:color="auto" w:sz="12" w:space="0"/>
            </w:tcBorders>
            <w:shd w:val="clear" w:color="auto" w:fill="auto"/>
          </w:tcPr>
          <w:p>
            <w:pPr>
              <w:spacing w:after="120"/>
              <w:ind w:firstLine="221" w:firstLineChars="1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shd w:val="clear" w:color="auto" w:fill="D5DCE4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颁发</w:t>
            </w:r>
            <w:r>
              <w:rPr>
                <w:rFonts w:ascii="宋体" w:hAnsi="宋体" w:cs="Arial"/>
                <w:b/>
                <w:sz w:val="22"/>
                <w:szCs w:val="22"/>
                <w:lang w:val="en-GB"/>
              </w:rPr>
              <w:t>部门</w:t>
            </w:r>
          </w:p>
        </w:tc>
        <w:tc>
          <w:tcPr>
            <w:tcW w:w="2736" w:type="dxa"/>
            <w:tcBorders>
              <w:top w:val="single" w:color="808080" w:sz="2" w:space="0"/>
              <w:bottom w:val="single" w:color="auto" w:sz="12" w:space="0"/>
            </w:tcBorders>
          </w:tcPr>
          <w:p>
            <w:pPr>
              <w:spacing w:after="120"/>
              <w:ind w:firstLine="221" w:firstLineChars="100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</w:tr>
    </w:tbl>
    <w:p>
      <w:pPr>
        <w:spacing w:after="120"/>
        <w:rPr>
          <w:rFonts w:ascii="宋体" w:hAnsi="宋体" w:cs="Arial"/>
          <w:b/>
          <w:sz w:val="32"/>
          <w:szCs w:val="32"/>
          <w:lang w:val="en-GB"/>
        </w:rPr>
      </w:pPr>
    </w:p>
    <w:p>
      <w:pPr>
        <w:spacing w:after="120"/>
        <w:rPr>
          <w:rFonts w:ascii="宋体" w:hAnsi="宋体" w:cs="Arial"/>
          <w:b/>
          <w:sz w:val="32"/>
          <w:szCs w:val="32"/>
          <w:lang w:val="en-GB"/>
        </w:rPr>
      </w:pPr>
      <w:r>
        <w:rPr>
          <w:rFonts w:hint="eastAsia" w:ascii="宋体" w:hAnsi="宋体" w:cs="Arial"/>
          <w:b/>
          <w:sz w:val="32"/>
          <w:szCs w:val="32"/>
          <w:lang w:val="en-GB"/>
        </w:rPr>
        <w:t>版本信息</w:t>
      </w:r>
    </w:p>
    <w:tbl>
      <w:tblPr>
        <w:tblStyle w:val="10"/>
        <w:tblW w:w="9540" w:type="dxa"/>
        <w:tblInd w:w="10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1188"/>
        <w:gridCol w:w="3492"/>
        <w:gridCol w:w="27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shd w:val="clear" w:color="auto" w:fill="D5DCE4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修改日期</w:t>
            </w:r>
          </w:p>
        </w:tc>
        <w:tc>
          <w:tcPr>
            <w:tcW w:w="1188" w:type="dxa"/>
            <w:shd w:val="clear" w:color="auto" w:fill="D5DCE4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版本</w:t>
            </w:r>
          </w:p>
        </w:tc>
        <w:tc>
          <w:tcPr>
            <w:tcW w:w="3492" w:type="dxa"/>
            <w:shd w:val="clear" w:color="auto" w:fill="D5DCE4"/>
            <w:vAlign w:val="center"/>
          </w:tcPr>
          <w:p>
            <w:pPr>
              <w:spacing w:after="120"/>
              <w:ind w:left="-2" w:leftChars="-1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变更记录</w:t>
            </w:r>
          </w:p>
        </w:tc>
        <w:tc>
          <w:tcPr>
            <w:tcW w:w="2700" w:type="dxa"/>
            <w:shd w:val="clear" w:color="auto" w:fill="D5DCE4"/>
            <w:vAlign w:val="center"/>
          </w:tcPr>
          <w:p>
            <w:pPr>
              <w:spacing w:after="120"/>
              <w:ind w:left="-2" w:leftChars="-1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  <w:r>
              <w:rPr>
                <w:rFonts w:hint="eastAsia" w:ascii="宋体" w:hAnsi="宋体" w:cs="Arial"/>
                <w:b/>
                <w:sz w:val="22"/>
                <w:szCs w:val="22"/>
                <w:lang w:val="en-GB"/>
              </w:rPr>
              <w:t>作者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188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3492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700" w:type="dxa"/>
            <w:vAlign w:val="center"/>
          </w:tcPr>
          <w:p>
            <w:pPr>
              <w:spacing w:after="120"/>
              <w:jc w:val="center"/>
              <w:rPr>
                <w:rFonts w:ascii="宋体" w:hAnsi="宋体" w:cs="Arial"/>
                <w:bCs/>
                <w:sz w:val="22"/>
                <w:szCs w:val="22"/>
                <w:lang w:val="en-GB"/>
              </w:rPr>
            </w:pPr>
          </w:p>
        </w:tc>
      </w:tr>
    </w:tbl>
    <w:p>
      <w:pPr>
        <w:widowControl/>
        <w:tabs>
          <w:tab w:val="left" w:pos="720"/>
        </w:tabs>
        <w:jc w:val="center"/>
        <w:rPr>
          <w:rFonts w:ascii="宋体" w:hAnsi="宋体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567" w:right="737" w:bottom="346" w:left="1134" w:header="312" w:footer="459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t>目录</w:t>
      </w:r>
    </w:p>
    <w:p>
      <w:pPr>
        <w:pStyle w:val="9"/>
        <w:rPr>
          <w:rFonts w:asciiTheme="minorHAnsi" w:hAnsiTheme="minorHAnsi" w:eastAsiaTheme="minorEastAsia" w:cstheme="minorBidi"/>
          <w:b w:val="0"/>
          <w:bCs w:val="0"/>
          <w:kern w:val="2"/>
          <w:sz w:val="21"/>
          <w:lang w:val="en-US" w:eastAsia="zh-CN"/>
        </w:rPr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"_Toc101356887" </w:instrText>
      </w:r>
      <w:r>
        <w:fldChar w:fldCharType="separate"/>
      </w:r>
      <w:r>
        <w:rPr>
          <w:rStyle w:val="13"/>
          <w:rFonts w:ascii="宋体" w:hAnsi="宋体" w:eastAsia="宋体"/>
        </w:rPr>
        <w:t>1.1 订单配置</w:t>
      </w:r>
      <w:r>
        <w:tab/>
      </w:r>
      <w:r>
        <w:fldChar w:fldCharType="begin"/>
      </w:r>
      <w:r>
        <w:instrText xml:space="preserve"> PAGEREF _Toc101356887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"_Toc101356888" </w:instrText>
      </w:r>
      <w:r>
        <w:fldChar w:fldCharType="separate"/>
      </w:r>
      <w:r>
        <w:rPr>
          <w:rStyle w:val="13"/>
          <w:rFonts w:ascii="宋体" w:hAnsi="宋体"/>
        </w:rPr>
        <w:t>1.1.1 订单场景配置</w:t>
      </w:r>
      <w:r>
        <w:tab/>
      </w:r>
      <w:r>
        <w:fldChar w:fldCharType="begin"/>
      </w:r>
      <w:r>
        <w:instrText xml:space="preserve"> PAGEREF _Toc101356888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"_Toc101356889" </w:instrText>
      </w:r>
      <w:r>
        <w:fldChar w:fldCharType="separate"/>
      </w:r>
      <w:r>
        <w:rPr>
          <w:rStyle w:val="13"/>
          <w:rFonts w:ascii="宋体" w:hAnsi="宋体"/>
        </w:rPr>
        <w:t>1.1.2 订单行类型配置</w:t>
      </w:r>
      <w:r>
        <w:tab/>
      </w:r>
      <w:r>
        <w:fldChar w:fldCharType="begin"/>
      </w:r>
      <w:r>
        <w:instrText xml:space="preserve"> PAGEREF _Toc101356889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b w:val="0"/>
          <w:bCs w:val="0"/>
          <w:kern w:val="2"/>
          <w:sz w:val="21"/>
          <w:lang w:val="en-US" w:eastAsia="zh-CN"/>
        </w:rPr>
      </w:pPr>
      <w:r>
        <w:fldChar w:fldCharType="begin"/>
      </w:r>
      <w:r>
        <w:instrText xml:space="preserve"> HYPERLINK \l "_Toc101356890" </w:instrText>
      </w:r>
      <w:r>
        <w:fldChar w:fldCharType="separate"/>
      </w:r>
      <w:r>
        <w:rPr>
          <w:rStyle w:val="13"/>
          <w:rFonts w:ascii="宋体" w:hAnsi="宋体" w:eastAsia="宋体"/>
        </w:rPr>
        <w:t>1.2 B端销售订单管理</w:t>
      </w:r>
      <w:r>
        <w:tab/>
      </w:r>
      <w:r>
        <w:fldChar w:fldCharType="begin"/>
      </w:r>
      <w:r>
        <w:instrText xml:space="preserve"> PAGEREF _Toc101356890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"_Toc101356891" </w:instrText>
      </w:r>
      <w:r>
        <w:fldChar w:fldCharType="separate"/>
      </w:r>
      <w:r>
        <w:rPr>
          <w:rStyle w:val="13"/>
          <w:rFonts w:ascii="宋体" w:hAnsi="宋体"/>
        </w:rPr>
        <w:t>1.2.1 B端销售订单列表</w:t>
      </w:r>
      <w:r>
        <w:tab/>
      </w:r>
      <w:r>
        <w:fldChar w:fldCharType="begin"/>
      </w:r>
      <w:r>
        <w:instrText xml:space="preserve"> PAGEREF _Toc101356891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"_Toc101356892" </w:instrText>
      </w:r>
      <w:r>
        <w:fldChar w:fldCharType="separate"/>
      </w:r>
      <w:r>
        <w:rPr>
          <w:rStyle w:val="13"/>
          <w:rFonts w:ascii="宋体" w:hAnsi="宋体"/>
        </w:rPr>
        <w:t>1.2.2 B端销售订单暂挂查询</w:t>
      </w:r>
      <w:r>
        <w:tab/>
      </w:r>
      <w:r>
        <w:fldChar w:fldCharType="begin"/>
      </w:r>
      <w:r>
        <w:instrText xml:space="preserve"> PAGEREF _Toc101356892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"_Toc101356893" </w:instrText>
      </w:r>
      <w:r>
        <w:fldChar w:fldCharType="separate"/>
      </w:r>
      <w:r>
        <w:rPr>
          <w:rStyle w:val="13"/>
          <w:rFonts w:ascii="宋体" w:hAnsi="宋体"/>
        </w:rPr>
        <w:t>1.2.3 B端销售订单配货</w:t>
      </w:r>
      <w:r>
        <w:tab/>
      </w:r>
      <w:r>
        <w:fldChar w:fldCharType="begin"/>
      </w:r>
      <w:r>
        <w:instrText xml:space="preserve"> PAGEREF _Toc101356893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"_Toc101356894" </w:instrText>
      </w:r>
      <w:r>
        <w:fldChar w:fldCharType="separate"/>
      </w:r>
      <w:r>
        <w:rPr>
          <w:rStyle w:val="13"/>
          <w:rFonts w:ascii="宋体" w:hAnsi="宋体"/>
        </w:rPr>
        <w:t>1.2.4 B端销售订单发货</w:t>
      </w:r>
      <w:r>
        <w:tab/>
      </w:r>
      <w:r>
        <w:fldChar w:fldCharType="begin"/>
      </w:r>
      <w:r>
        <w:instrText xml:space="preserve"> PAGEREF _Toc101356894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b w:val="0"/>
          <w:bCs w:val="0"/>
          <w:kern w:val="2"/>
          <w:sz w:val="21"/>
          <w:lang w:val="en-US" w:eastAsia="zh-CN"/>
        </w:rPr>
      </w:pPr>
      <w:r>
        <w:fldChar w:fldCharType="begin"/>
      </w:r>
      <w:r>
        <w:instrText xml:space="preserve"> HYPERLINK \l "_Toc101356895" </w:instrText>
      </w:r>
      <w:r>
        <w:fldChar w:fldCharType="separate"/>
      </w:r>
      <w:r>
        <w:rPr>
          <w:rStyle w:val="13"/>
          <w:rFonts w:ascii="宋体" w:hAnsi="宋体" w:eastAsia="宋体"/>
        </w:rPr>
        <w:t>1.3 C端销售订单管理</w:t>
      </w:r>
      <w:r>
        <w:tab/>
      </w:r>
      <w:r>
        <w:fldChar w:fldCharType="begin"/>
      </w:r>
      <w:r>
        <w:instrText xml:space="preserve"> PAGEREF _Toc101356895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"_Toc101356896" </w:instrText>
      </w:r>
      <w:r>
        <w:fldChar w:fldCharType="separate"/>
      </w:r>
      <w:r>
        <w:rPr>
          <w:rStyle w:val="13"/>
          <w:rFonts w:ascii="宋体" w:hAnsi="宋体"/>
        </w:rPr>
        <w:t>1.3.1 C端销售订单列表</w:t>
      </w:r>
      <w:r>
        <w:tab/>
      </w:r>
      <w:r>
        <w:fldChar w:fldCharType="begin"/>
      </w:r>
      <w:r>
        <w:instrText xml:space="preserve"> PAGEREF _Toc101356896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"_Toc101356897" </w:instrText>
      </w:r>
      <w:r>
        <w:fldChar w:fldCharType="separate"/>
      </w:r>
      <w:r>
        <w:rPr>
          <w:rStyle w:val="13"/>
          <w:rFonts w:ascii="宋体" w:hAnsi="宋体"/>
        </w:rPr>
        <w:t>1.3.2 C端销售订单配货</w:t>
      </w:r>
      <w:r>
        <w:tab/>
      </w:r>
      <w:r>
        <w:fldChar w:fldCharType="begin"/>
      </w:r>
      <w:r>
        <w:instrText xml:space="preserve"> PAGEREF _Toc101356897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"_Toc101356898" </w:instrText>
      </w:r>
      <w:r>
        <w:fldChar w:fldCharType="separate"/>
      </w:r>
      <w:r>
        <w:rPr>
          <w:rStyle w:val="13"/>
          <w:rFonts w:ascii="宋体" w:hAnsi="宋体"/>
        </w:rPr>
        <w:t>1.3.3 C端销售订单发货</w:t>
      </w:r>
      <w:r>
        <w:tab/>
      </w:r>
      <w:r>
        <w:fldChar w:fldCharType="begin"/>
      </w:r>
      <w:r>
        <w:instrText xml:space="preserve"> PAGEREF _Toc101356898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b w:val="0"/>
          <w:bCs w:val="0"/>
          <w:kern w:val="2"/>
          <w:sz w:val="21"/>
          <w:lang w:val="en-US" w:eastAsia="zh-CN"/>
        </w:rPr>
      </w:pPr>
      <w:r>
        <w:fldChar w:fldCharType="begin"/>
      </w:r>
      <w:r>
        <w:instrText xml:space="preserve"> HYPERLINK \l "_Toc101356899" </w:instrText>
      </w:r>
      <w:r>
        <w:fldChar w:fldCharType="separate"/>
      </w:r>
      <w:r>
        <w:rPr>
          <w:rStyle w:val="13"/>
          <w:rFonts w:ascii="宋体" w:hAnsi="宋体" w:eastAsia="宋体"/>
        </w:rPr>
        <w:t>1.4 集团内订单</w:t>
      </w:r>
      <w:r>
        <w:tab/>
      </w:r>
      <w:r>
        <w:fldChar w:fldCharType="begin"/>
      </w:r>
      <w:r>
        <w:instrText xml:space="preserve"> PAGEREF _Toc101356899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"_Toc101356900" </w:instrText>
      </w:r>
      <w:r>
        <w:fldChar w:fldCharType="separate"/>
      </w:r>
      <w:r>
        <w:rPr>
          <w:rStyle w:val="13"/>
          <w:rFonts w:ascii="宋体" w:hAnsi="宋体"/>
        </w:rPr>
        <w:t>1.4.1 集团内销售订单列表</w:t>
      </w:r>
      <w:r>
        <w:tab/>
      </w:r>
      <w:r>
        <w:fldChar w:fldCharType="begin"/>
      </w:r>
      <w:r>
        <w:instrText xml:space="preserve"> PAGEREF _Toc101356900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"_Toc101356901" </w:instrText>
      </w:r>
      <w:r>
        <w:fldChar w:fldCharType="separate"/>
      </w:r>
      <w:r>
        <w:rPr>
          <w:rStyle w:val="13"/>
          <w:rFonts w:ascii="宋体" w:hAnsi="宋体"/>
        </w:rPr>
        <w:t>1.4.2 集团内销售订单配货</w:t>
      </w:r>
      <w:r>
        <w:tab/>
      </w:r>
      <w:r>
        <w:fldChar w:fldCharType="begin"/>
      </w:r>
      <w:r>
        <w:instrText xml:space="preserve"> PAGEREF _Toc101356901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"_Toc101356902" </w:instrText>
      </w:r>
      <w:r>
        <w:fldChar w:fldCharType="separate"/>
      </w:r>
      <w:r>
        <w:rPr>
          <w:rStyle w:val="13"/>
          <w:rFonts w:ascii="宋体" w:hAnsi="宋体"/>
        </w:rPr>
        <w:t>1.4.3 集团内销售订单发货</w:t>
      </w:r>
      <w:r>
        <w:tab/>
      </w:r>
      <w:r>
        <w:fldChar w:fldCharType="begin"/>
      </w:r>
      <w:r>
        <w:instrText xml:space="preserve"> PAGEREF _Toc101356902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b w:val="0"/>
          <w:bCs w:val="0"/>
          <w:kern w:val="2"/>
          <w:sz w:val="21"/>
          <w:lang w:val="en-US" w:eastAsia="zh-CN"/>
        </w:rPr>
      </w:pPr>
      <w:r>
        <w:fldChar w:fldCharType="begin"/>
      </w:r>
      <w:r>
        <w:instrText xml:space="preserve"> HYPERLINK \l "_Toc101356903" </w:instrText>
      </w:r>
      <w:r>
        <w:fldChar w:fldCharType="separate"/>
      </w:r>
      <w:r>
        <w:rPr>
          <w:rStyle w:val="13"/>
          <w:rFonts w:ascii="宋体" w:hAnsi="宋体" w:eastAsia="宋体"/>
        </w:rPr>
        <w:t>1.5 销售退货管理</w:t>
      </w:r>
      <w:r>
        <w:tab/>
      </w:r>
      <w:r>
        <w:fldChar w:fldCharType="begin"/>
      </w:r>
      <w:r>
        <w:instrText xml:space="preserve"> PAGEREF _Toc101356903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"_Toc101356904" </w:instrText>
      </w:r>
      <w:r>
        <w:fldChar w:fldCharType="separate"/>
      </w:r>
      <w:r>
        <w:rPr>
          <w:rStyle w:val="13"/>
          <w:rFonts w:ascii="宋体" w:hAnsi="宋体"/>
        </w:rPr>
        <w:t>1.5.1 退款退货订单列表</w:t>
      </w:r>
      <w:r>
        <w:tab/>
      </w:r>
      <w:r>
        <w:fldChar w:fldCharType="begin"/>
      </w:r>
      <w:r>
        <w:instrText xml:space="preserve"> PAGEREF _Toc101356904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"_Toc101356905" </w:instrText>
      </w:r>
      <w:r>
        <w:fldChar w:fldCharType="separate"/>
      </w:r>
      <w:r>
        <w:rPr>
          <w:rStyle w:val="13"/>
          <w:rFonts w:ascii="宋体" w:hAnsi="宋体"/>
        </w:rPr>
        <w:t>1.5.2 退货订单收货</w:t>
      </w:r>
      <w:r>
        <w:tab/>
      </w:r>
      <w:r>
        <w:fldChar w:fldCharType="begin"/>
      </w:r>
      <w:r>
        <w:instrText xml:space="preserve"> PAGEREF _Toc101356905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"_Toc101356906" </w:instrText>
      </w:r>
      <w:r>
        <w:fldChar w:fldCharType="separate"/>
      </w:r>
      <w:r>
        <w:rPr>
          <w:rStyle w:val="13"/>
          <w:rFonts w:ascii="宋体" w:hAnsi="宋体"/>
        </w:rPr>
        <w:t>1.5.3 退货收货单列表</w:t>
      </w:r>
      <w:r>
        <w:tab/>
      </w:r>
      <w:r>
        <w:fldChar w:fldCharType="begin"/>
      </w:r>
      <w:r>
        <w:instrText xml:space="preserve"> PAGEREF _Toc101356906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ascii="宋体" w:hAnsi="宋体"/>
          <w:sz w:val="44"/>
          <w:szCs w:val="44"/>
        </w:rPr>
        <w:br w:type="page"/>
      </w:r>
    </w:p>
    <w:p>
      <w:pPr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订单中心操作手册</w:t>
      </w:r>
    </w:p>
    <w:p>
      <w:pPr>
        <w:pStyle w:val="3"/>
        <w:spacing w:before="120" w:after="120"/>
        <w:rPr>
          <w:rFonts w:hint="default" w:ascii="宋体" w:hAnsi="宋体" w:eastAsia="宋体"/>
        </w:rPr>
      </w:pPr>
      <w:bookmarkStart w:id="1" w:name="_Toc101356887"/>
      <w:bookmarkStart w:id="2" w:name="_Toc71270318"/>
      <w:bookmarkStart w:id="3" w:name="_Toc5303"/>
      <w:bookmarkStart w:id="4" w:name="_Toc2399"/>
      <w:r>
        <w:rPr>
          <w:rFonts w:hint="default" w:ascii="宋体" w:hAnsi="宋体" w:eastAsia="宋体"/>
        </w:rPr>
        <w:t xml:space="preserve">1.1 </w:t>
      </w:r>
      <w:r>
        <w:rPr>
          <w:rFonts w:ascii="宋体" w:hAnsi="宋体" w:eastAsia="宋体"/>
        </w:rPr>
        <w:t>订单配置</w:t>
      </w:r>
      <w:bookmarkEnd w:id="1"/>
      <w:bookmarkEnd w:id="2"/>
      <w:bookmarkEnd w:id="3"/>
      <w:bookmarkEnd w:id="4"/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此功能用于设置订单场景，订单的不同来源类型，调用不同的场景类型，然后加载这一个场景类型下的场景策略。</w:t>
      </w:r>
    </w:p>
    <w:p>
      <w:pPr>
        <w:spacing w:before="156" w:beforeLines="50" w:after="156" w:afterLines="50"/>
        <w:ind w:firstLine="590" w:firstLineChars="245"/>
        <w:rPr>
          <w:rFonts w:ascii="宋体" w:hAnsi="宋体"/>
          <w:b/>
          <w:bCs/>
          <w:color w:val="3366FF"/>
          <w:sz w:val="24"/>
        </w:rPr>
      </w:pPr>
      <w:bookmarkStart w:id="5" w:name="_Hlk70336883"/>
      <w:r>
        <w:rPr>
          <w:rFonts w:hint="eastAsia" w:ascii="宋体" w:hAnsi="宋体"/>
          <w:b/>
          <w:bCs/>
          <w:color w:val="3366FF"/>
          <w:sz w:val="24"/>
        </w:rPr>
        <w:t>步骤：【订单中心】</w:t>
      </w:r>
      <w:r>
        <w:rPr>
          <w:rFonts w:ascii="宋体" w:hAnsi="宋体"/>
          <w:b/>
          <w:bCs/>
          <w:color w:val="3366FF"/>
          <w:sz w:val="24"/>
        </w:rPr>
        <w:sym w:font="Wingdings" w:char="F0E0"/>
      </w:r>
      <w:r>
        <w:rPr>
          <w:rFonts w:hint="eastAsia" w:ascii="宋体" w:hAnsi="宋体"/>
          <w:b/>
          <w:bCs/>
          <w:color w:val="3366FF"/>
          <w:sz w:val="24"/>
        </w:rPr>
        <w:t>【订单配置】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6" w:name="_Toc71270319"/>
      <w:bookmarkStart w:id="7" w:name="_Toc101356888"/>
      <w:r>
        <w:rPr>
          <w:rFonts w:ascii="宋体" w:hAnsi="宋体"/>
          <w:sz w:val="28"/>
          <w:szCs w:val="28"/>
        </w:rPr>
        <w:t xml:space="preserve">1.1.1 </w:t>
      </w:r>
      <w:bookmarkEnd w:id="6"/>
      <w:r>
        <w:rPr>
          <w:rFonts w:hint="eastAsia" w:ascii="宋体" w:hAnsi="宋体"/>
          <w:sz w:val="28"/>
          <w:szCs w:val="28"/>
        </w:rPr>
        <w:t>订单场景配置</w:t>
      </w:r>
      <w:bookmarkEnd w:id="7"/>
    </w:p>
    <w:p>
      <w:pPr>
        <w:ind w:firstLine="420" w:firstLineChars="200"/>
      </w:pPr>
      <w:r>
        <w:rPr>
          <w:rFonts w:hint="eastAsia"/>
        </w:rPr>
        <w:t>此功能用于设置不同订单场景类型下的各种策略，如发货策略、信用检查策略、配货策略、价格修订策略等。</w:t>
      </w:r>
    </w:p>
    <w:bookmarkEnd w:id="5"/>
    <w:p>
      <w:pPr>
        <w:snapToGrid w:val="0"/>
        <w:ind w:firstLine="420" w:firstLineChars="200"/>
      </w:pPr>
      <w:r>
        <w:rPr>
          <w:rFonts w:hint="eastAsia"/>
        </w:rPr>
        <w:t xml:space="preserve"> </w:t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打开系统菜单-订单中心-场景配置-订单场景配置，进入配置界面；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20580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输入查询条件，点击【查询】，即可查询到订单类型对应的各种订单处理策略；</w:t>
      </w:r>
    </w:p>
    <w:p>
      <w:pPr>
        <w:numPr>
          <w:ilvl w:val="0"/>
          <w:numId w:val="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【重置】可以清空已输入查询条件；</w:t>
      </w:r>
    </w:p>
    <w:p>
      <w:pPr>
        <w:numPr>
          <w:ilvl w:val="0"/>
          <w:numId w:val="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【新增】按钮，可以设置新的订单类型，填写好相关处理策略等信息点击保存，“启用”状态的订单场景就可以在订单创建的时候投入使用；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22713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r="4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【编辑】按钮，选择明细行，点击该按钮可以进行订单场景中相关信息的编辑；</w:t>
      </w:r>
    </w:p>
    <w:p>
      <w:pPr>
        <w:numPr>
          <w:ilvl w:val="0"/>
          <w:numId w:val="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【删除】按钮，选择明细行，点击该按钮将已有的订单场景删除掉。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8" w:name="_Toc101356889"/>
      <w:r>
        <w:rPr>
          <w:rFonts w:ascii="宋体" w:hAnsi="宋体"/>
          <w:sz w:val="28"/>
          <w:szCs w:val="28"/>
        </w:rPr>
        <w:t>1.1.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订单行类型配置</w:t>
      </w:r>
      <w:bookmarkEnd w:id="8"/>
    </w:p>
    <w:p>
      <w:pPr>
        <w:ind w:firstLine="420" w:firstLineChars="200"/>
      </w:pPr>
      <w:r>
        <w:rPr>
          <w:rFonts w:hint="eastAsia"/>
        </w:rPr>
        <w:t>此功能用于设置不同订单行类型下的商品类型、出库策略和价格策略等。</w:t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打开系统菜单-订单中心-场景配置-订单行类型配置，进入配置界面；</w:t>
      </w:r>
    </w:p>
    <w:p>
      <w:pPr>
        <w:numPr>
          <w:ilvl w:val="0"/>
          <w:numId w:val="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输入查询条件，点击【查询】，即可查询到行类型对应的商品类型及处理策略；</w:t>
      </w:r>
    </w:p>
    <w:p>
      <w:pPr>
        <w:numPr>
          <w:ilvl w:val="0"/>
          <w:numId w:val="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【重置】可以清空已输入查询条件；</w:t>
      </w:r>
    </w:p>
    <w:p>
      <w:pPr>
        <w:numPr>
          <w:ilvl w:val="0"/>
          <w:numId w:val="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【新增】按钮，可以设置新的行类型，填写好所有信息后点击保存，“启用”状态的订单场景就可以对订单中商品进行对应处理；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22872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【编辑】按钮，选择明细行，点击该按钮可以进行订单场景中相关信息的编辑；</w:t>
      </w:r>
    </w:p>
    <w:p>
      <w:pPr>
        <w:numPr>
          <w:ilvl w:val="0"/>
          <w:numId w:val="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【删除】按钮，选择明细行，点击该按钮将已有的订单场景删除掉。</w:t>
      </w:r>
    </w:p>
    <w:p>
      <w:pPr>
        <w:snapToGrid w:val="0"/>
        <w:rPr>
          <w:rFonts w:ascii="宋体" w:hAnsi="宋体"/>
          <w:szCs w:val="21"/>
        </w:rPr>
      </w:pPr>
    </w:p>
    <w:p>
      <w:pPr>
        <w:pStyle w:val="3"/>
        <w:spacing w:before="120" w:after="120"/>
        <w:rPr>
          <w:rFonts w:hint="default" w:ascii="宋体" w:hAnsi="宋体" w:eastAsia="宋体"/>
        </w:rPr>
      </w:pPr>
      <w:bookmarkStart w:id="9" w:name="_Toc71270320"/>
      <w:bookmarkStart w:id="10" w:name="_Toc13396"/>
      <w:bookmarkStart w:id="11" w:name="_Toc101356890"/>
      <w:bookmarkStart w:id="12" w:name="_Toc12677"/>
      <w:r>
        <w:rPr>
          <w:rFonts w:hint="default" w:ascii="宋体" w:hAnsi="宋体" w:eastAsia="宋体"/>
        </w:rPr>
        <w:t xml:space="preserve">1.2 </w:t>
      </w:r>
      <w:bookmarkEnd w:id="9"/>
      <w:r>
        <w:rPr>
          <w:rFonts w:ascii="宋体" w:hAnsi="宋体" w:eastAsia="宋体"/>
        </w:rPr>
        <w:t>B端销售订单管理</w:t>
      </w:r>
      <w:bookmarkEnd w:id="10"/>
      <w:bookmarkEnd w:id="11"/>
      <w:bookmarkEnd w:id="12"/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此功能用于B端销售订单的创建、暂挂、查询，方便对所有渠道的B端订单进行管理。</w:t>
      </w:r>
    </w:p>
    <w:p>
      <w:pPr>
        <w:spacing w:before="156" w:beforeLines="50" w:after="156" w:afterLines="50"/>
        <w:ind w:firstLine="590" w:firstLineChars="245"/>
        <w:rPr>
          <w:rFonts w:ascii="宋体" w:hAnsi="宋体"/>
        </w:rPr>
      </w:pPr>
      <w:r>
        <w:rPr>
          <w:rFonts w:hint="eastAsia" w:ascii="宋体" w:hAnsi="宋体"/>
          <w:b/>
          <w:bCs/>
          <w:color w:val="3366FF"/>
          <w:sz w:val="24"/>
        </w:rPr>
        <w:t>步骤：【订单中心】</w:t>
      </w:r>
      <w:r>
        <w:rPr>
          <w:rFonts w:ascii="宋体" w:hAnsi="宋体"/>
          <w:b/>
          <w:bCs/>
          <w:color w:val="3366FF"/>
          <w:sz w:val="24"/>
        </w:rPr>
        <w:sym w:font="Wingdings" w:char="F0E0"/>
      </w:r>
      <w:r>
        <w:rPr>
          <w:rFonts w:hint="eastAsia" w:ascii="宋体" w:hAnsi="宋体"/>
          <w:b/>
          <w:bCs/>
          <w:color w:val="3366FF"/>
          <w:sz w:val="24"/>
        </w:rPr>
        <w:t>【B端销售订单管理】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13" w:name="_Toc71270321"/>
      <w:bookmarkStart w:id="14" w:name="_Toc101356891"/>
      <w:r>
        <w:rPr>
          <w:rFonts w:ascii="宋体" w:hAnsi="宋体"/>
          <w:sz w:val="28"/>
          <w:szCs w:val="28"/>
        </w:rPr>
        <w:t xml:space="preserve">1.2.1 </w:t>
      </w:r>
      <w:bookmarkEnd w:id="13"/>
      <w:r>
        <w:rPr>
          <w:rFonts w:hint="eastAsia" w:ascii="宋体" w:hAnsi="宋体"/>
          <w:sz w:val="28"/>
          <w:szCs w:val="28"/>
        </w:rPr>
        <w:t>B端销售订单列表</w:t>
      </w:r>
      <w:bookmarkEnd w:id="14"/>
    </w:p>
    <w:p>
      <w:pPr>
        <w:ind w:firstLine="420" w:firstLineChars="200"/>
      </w:pPr>
      <w:r>
        <w:rPr>
          <w:rFonts w:hint="eastAsia"/>
        </w:rPr>
        <w:t>此功能用于查询B端订单信息，并且创建新订单、对订单进行暂挂等处理。</w:t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bookmarkStart w:id="15" w:name="_Toc71270322"/>
      <w:r>
        <w:rPr>
          <w:rFonts w:hint="eastAsia" w:ascii="宋体" w:hAnsi="宋体"/>
          <w:szCs w:val="21"/>
        </w:rPr>
        <w:t>打开系统菜单-订单中心-B端销售订单管理-销售订单列表，进入列表界面；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输入查询条件，点击【查询】，可以根据相关字段进行销售订单的查询；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【重置】可以清空已输入查询条件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【编辑】按钮，选择“草稿和暂挂”状态的订单行，点击该按钮可以修改该销售订单信息；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【提交】按钮，选择“草稿”状态的订单行，点击该按钮，订单状态变为“已确认”，或被系统暂挂，变成“暂挂”状态；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【取消】按钮，选择“草稿”或“暂挂”状态的订单行，点击该按钮，在弹框中填写取消原因，可取消订单；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【关闭】按钮，选择“已确认”状态的订单行，点击该按钮，在弹框中填写关闭原因，可关闭订单；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【暂挂】按钮，选择“草稿”或“已确认”状态的订单行，点击该按钮，可将订单变为“暂挂”状态；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【导出】按钮，选择订单行，点击该按钮，可将销售订单明细导出Excel表格。</w:t>
      </w:r>
    </w:p>
    <w:p>
      <w:pPr>
        <w:numPr>
          <w:ilvl w:val="0"/>
          <w:numId w:val="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【常规订单新建】按钮，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22847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填写基本信息，其中需要先选择业务员才可以选择关联到业务员的客户；</w:t>
      </w:r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填写订单明细，添加商品时，需要注意商品是否是一件代发，关乎到不同的配货和发货流程；</w:t>
      </w:r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填写完相关信息之后，点击【保存】，此销售订单存为“草稿”状态，不能做后续操作；</w:t>
      </w:r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点击【提交】，系统会进行暂挂标准的校验，如果有触发暂挂的标准会将订单状态标记为“暂挂”，如果没有则是“已确认”状态。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16" w:name="_Toc101356892"/>
      <w:r>
        <w:rPr>
          <w:rFonts w:ascii="宋体" w:hAnsi="宋体"/>
          <w:sz w:val="28"/>
          <w:szCs w:val="28"/>
        </w:rPr>
        <w:t>1.2.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B端销售订单暂挂查询</w:t>
      </w:r>
      <w:bookmarkEnd w:id="16"/>
    </w:p>
    <w:p>
      <w:r>
        <w:rPr>
          <w:rFonts w:hint="eastAsia"/>
        </w:rPr>
        <w:t>此功能用于暂挂订单明细行的查询和释放，方便对暂挂的订单明细行进行管理。</w:t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打开系统菜单-订单中心-B端销售订单管理-销售订单暂挂查询，进入暂挂查询界面；</w:t>
      </w:r>
    </w:p>
    <w:p>
      <w:pPr>
        <w:numPr>
          <w:ilvl w:val="0"/>
          <w:numId w:val="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【编辑】按钮，选中订单明细行，点击该按钮，可对暂挂订单进行编辑；</w:t>
      </w:r>
    </w:p>
    <w:p>
      <w:pPr>
        <w:numPr>
          <w:ilvl w:val="0"/>
          <w:numId w:val="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【释放选中行】按钮，选中订单明细行，点击该按钮，可释放所选的暂挂订单明细行；</w:t>
      </w:r>
    </w:p>
    <w:p>
      <w:pPr>
        <w:numPr>
          <w:ilvl w:val="0"/>
          <w:numId w:val="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【释放选中订单的所有暂挂】按钮，选中订单行，点击该按钮，可释放明细行所在订单的所有释放。</w:t>
      </w:r>
      <w:bookmarkEnd w:id="15"/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17" w:name="_Toc101356893"/>
      <w:r>
        <w:rPr>
          <w:rFonts w:ascii="宋体" w:hAnsi="宋体"/>
          <w:sz w:val="28"/>
          <w:szCs w:val="28"/>
        </w:rPr>
        <w:t>1.2.</w:t>
      </w: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B端销售订单配货</w:t>
      </w:r>
      <w:bookmarkEnd w:id="17"/>
    </w:p>
    <w:p>
      <w:r>
        <w:rPr>
          <w:rFonts w:hint="eastAsia"/>
        </w:rPr>
        <w:t>此功能用于B端非一件代发订单商品的配货管理，一件代发商品不需要配货，所以配货信息不显示。</w:t>
      </w:r>
    </w:p>
    <w:p>
      <w:pPr>
        <w:tabs>
          <w:tab w:val="left" w:pos="312"/>
        </w:tabs>
        <w:snapToGrid w:val="0"/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5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打开系统菜单-订单中心-B端销售订单管理-销售订单列表-某销售订单号，进入该销售订单详情界面；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20561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【手工配货】按钮，选中订单行，点击该按钮，可对该商品自行选择配货仓库和配货数量，配货完成后可在下方配货信息栏查看配货信息。</w:t>
      </w:r>
    </w:p>
    <w:p>
      <w:r>
        <w:drawing>
          <wp:inline distT="0" distB="0" distL="0" distR="0">
            <wp:extent cx="5274310" cy="18192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【自动配货】按钮，选中订单某明细行，点击该按钮，系统会进行自动配货，可在下方配货信息栏查看配货信息。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18" w:name="_Toc101356894"/>
      <w:r>
        <w:rPr>
          <w:rFonts w:ascii="宋体" w:hAnsi="宋体"/>
          <w:sz w:val="28"/>
          <w:szCs w:val="28"/>
        </w:rPr>
        <w:t>1.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4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B端销售订单发货</w:t>
      </w:r>
      <w:bookmarkEnd w:id="18"/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此功能用于B端订单商品的发货或发货单查询。</w:t>
      </w:r>
    </w:p>
    <w:p>
      <w:pPr>
        <w:numPr>
          <w:ilvl w:val="0"/>
          <w:numId w:val="6"/>
        </w:numPr>
      </w:pPr>
      <w:r>
        <w:rPr>
          <w:rFonts w:hint="eastAsia"/>
        </w:rPr>
        <w:t>非一件代发商品的发货</w:t>
      </w:r>
    </w:p>
    <w:p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 w:ascii="宋体" w:hAnsi="宋体"/>
          <w:szCs w:val="21"/>
        </w:rPr>
        <w:t>打开系统菜单-订单中心-发货单管理-订单发货，进入发货界面</w:t>
      </w:r>
      <w:r>
        <w:t>；</w:t>
      </w:r>
    </w:p>
    <w:p>
      <w:pPr>
        <w:numPr>
          <w:ilvl w:val="0"/>
          <w:numId w:val="7"/>
        </w:numPr>
      </w:pPr>
      <w:r>
        <w:rPr>
          <w:rFonts w:hint="eastAsia"/>
        </w:rPr>
        <w:t>【生成发货单按钮】，根据</w:t>
      </w:r>
      <w:r>
        <w:t>销售订单号</w:t>
      </w:r>
      <w:r>
        <w:rPr>
          <w:rFonts w:hint="eastAsia"/>
        </w:rPr>
        <w:t>或其他查询信息</w:t>
      </w:r>
      <w:r>
        <w:t>，</w:t>
      </w:r>
      <w:r>
        <w:rPr>
          <w:rFonts w:hint="eastAsia"/>
        </w:rPr>
        <w:t>选择待发货的销售订单，</w:t>
      </w:r>
      <w:r>
        <w:t>选择明细行，点击【生成发货单】进入发货单新建界面；</w:t>
      </w:r>
    </w:p>
    <w:p>
      <w:r>
        <w:drawing>
          <wp:inline distT="0" distB="0" distL="0" distR="0">
            <wp:extent cx="5274310" cy="15525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在发货单新建界面，增加或检查修改</w:t>
      </w:r>
      <w:r>
        <w:t>相关收货信息，点击【保存】存为“草稿”发货单，点击【提交】存为“待发货”发货单，页面跳转发货单列表；</w:t>
      </w:r>
    </w:p>
    <w:p>
      <w:r>
        <w:drawing>
          <wp:inline distT="0" distB="0" distL="0" distR="0">
            <wp:extent cx="5274310" cy="9201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在发货单列表界面，</w:t>
      </w:r>
    </w:p>
    <w:p>
      <w:pPr>
        <w:ind w:firstLine="210" w:firstLineChars="100"/>
      </w:pPr>
      <w:r>
        <w:rPr>
          <w:rFonts w:hint="eastAsia"/>
        </w:rPr>
        <w:t>【编辑】按钮，选中“草稿”状态的发货单，点击该按钮，将发货单进行修改；</w:t>
      </w:r>
    </w:p>
    <w:p>
      <w:pPr>
        <w:ind w:firstLine="210" w:firstLineChars="100"/>
      </w:pPr>
      <w:r>
        <w:rPr>
          <w:rFonts w:hint="eastAsia"/>
        </w:rPr>
        <w:t>【取消】按钮，选中发货单，点击该按钮，可取消此发货单；</w:t>
      </w:r>
    </w:p>
    <w:p>
      <w:r>
        <w:rPr>
          <w:rFonts w:hint="eastAsia"/>
        </w:rPr>
        <w:t xml:space="preserve">  【确认】按钮，选中“草稿”状态的发货单，点击该按钮，可将该发货单变成“待发货”状态；</w:t>
      </w:r>
    </w:p>
    <w:p>
      <w:r>
        <w:rPr>
          <w:rFonts w:hint="eastAsia"/>
        </w:rPr>
        <w:t xml:space="preserve">  【撤销确认】按钮，选中“待发货”状态的发货单，点击该按钮，可将该发货单变成“草稿”状态；</w:t>
      </w:r>
    </w:p>
    <w:p>
      <w:r>
        <w:rPr>
          <w:rFonts w:hint="eastAsia"/>
        </w:rPr>
        <w:t xml:space="preserve">  </w:t>
      </w:r>
      <w:r>
        <w:t>【发货】</w:t>
      </w:r>
      <w:r>
        <w:rPr>
          <w:rFonts w:hint="eastAsia"/>
        </w:rPr>
        <w:t>按钮，选中“待发货”状态的发货单，点击该按钮，完成发货出库，</w:t>
      </w:r>
      <w:r>
        <w:t>发货单状态变更为“已发货”</w:t>
      </w:r>
      <w:r>
        <w:rPr>
          <w:rFonts w:hint="eastAsia"/>
        </w:rPr>
        <w:t>；</w:t>
      </w:r>
    </w:p>
    <w:p>
      <w:r>
        <w:rPr>
          <w:rFonts w:hint="eastAsia"/>
        </w:rPr>
        <w:t xml:space="preserve">  【签收】按钮，选中“已发货”状态的发货单，点击该按钮，完成签收，发货单状态变更为“已签收”。</w:t>
      </w:r>
    </w:p>
    <w:p>
      <w:pPr>
        <w:numPr>
          <w:ilvl w:val="0"/>
          <w:numId w:val="7"/>
        </w:numPr>
      </w:pPr>
      <w:r>
        <w:t>点击</w:t>
      </w:r>
      <w:r>
        <w:rPr>
          <w:rFonts w:hint="eastAsia"/>
        </w:rPr>
        <w:t>销售单号对应的</w:t>
      </w:r>
      <w:r>
        <w:t>“已发货”</w:t>
      </w:r>
      <w:r>
        <w:rPr>
          <w:rFonts w:hint="eastAsia"/>
        </w:rPr>
        <w:t>状态</w:t>
      </w:r>
      <w:r>
        <w:t>的发货单</w:t>
      </w:r>
      <w:r>
        <w:rPr>
          <w:rFonts w:hint="eastAsia"/>
        </w:rPr>
        <w:t>号，进入发货单详情</w:t>
      </w:r>
      <w:r>
        <w:t>界面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5274310" cy="18738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选择</w:t>
      </w:r>
      <w:r>
        <w:rPr>
          <w:rFonts w:hint="eastAsia"/>
        </w:rPr>
        <w:t>订单</w:t>
      </w:r>
      <w:r>
        <w:t>明细</w:t>
      </w:r>
      <w:r>
        <w:rPr>
          <w:rFonts w:hint="eastAsia"/>
        </w:rPr>
        <w:t>行</w:t>
      </w:r>
      <w:r>
        <w:t>，</w:t>
      </w:r>
      <w:r>
        <w:rPr>
          <w:rFonts w:hint="eastAsia"/>
        </w:rPr>
        <w:t>在下方物流信息栏，</w:t>
      </w:r>
      <w:r>
        <w:t>添加物流信息</w:t>
      </w:r>
      <w:r>
        <w:rPr>
          <w:rFonts w:hint="eastAsia"/>
        </w:rPr>
        <w:t>，完成发货流程</w:t>
      </w:r>
      <w:r>
        <w:t>。</w:t>
      </w:r>
    </w:p>
    <w:p>
      <w:pPr>
        <w:numPr>
          <w:ilvl w:val="0"/>
          <w:numId w:val="6"/>
        </w:numPr>
      </w:pPr>
      <w:r>
        <w:rPr>
          <w:rFonts w:hint="eastAsia"/>
        </w:rPr>
        <w:t>一件代发商品的发货</w:t>
      </w:r>
    </w:p>
    <w:p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8"/>
        </w:numPr>
      </w:pPr>
      <w:r>
        <w:t>打开</w:t>
      </w:r>
      <w:r>
        <w:rPr>
          <w:rFonts w:hint="eastAsia"/>
        </w:rPr>
        <w:t>供应商协同门户菜单-</w:t>
      </w:r>
      <w:r>
        <w:t>一件代发订单协同</w:t>
      </w:r>
      <w:r>
        <w:rPr>
          <w:rFonts w:hint="eastAsia"/>
        </w:rPr>
        <w:t>，进入发货</w:t>
      </w:r>
      <w:r>
        <w:t>界面；</w:t>
      </w:r>
    </w:p>
    <w:p>
      <w:pPr>
        <w:numPr>
          <w:ilvl w:val="0"/>
          <w:numId w:val="8"/>
        </w:numPr>
      </w:pPr>
      <w:r>
        <w:rPr>
          <w:rFonts w:hint="eastAsia"/>
        </w:rPr>
        <w:t>【批量导入发货】按钮，输入查询条件，筛选待</w:t>
      </w:r>
      <w:r>
        <w:t>发货的销售订单，</w:t>
      </w:r>
      <w:r>
        <w:rPr>
          <w:rFonts w:hint="eastAsia"/>
        </w:rPr>
        <w:t>可</w:t>
      </w:r>
      <w:r>
        <w:t>选择</w:t>
      </w:r>
      <w:r>
        <w:rPr>
          <w:rFonts w:hint="eastAsia"/>
        </w:rPr>
        <w:t>多</w:t>
      </w:r>
      <w:r>
        <w:t>明细行，点击</w:t>
      </w:r>
      <w:r>
        <w:rPr>
          <w:rFonts w:hint="eastAsia"/>
        </w:rPr>
        <w:t>该按钮</w:t>
      </w:r>
      <w:r>
        <w:t>进行</w:t>
      </w:r>
      <w:r>
        <w:rPr>
          <w:rFonts w:hint="eastAsia"/>
        </w:rPr>
        <w:t>批量</w:t>
      </w:r>
      <w:r>
        <w:t>发货</w:t>
      </w:r>
      <w:r>
        <w:rPr>
          <w:rFonts w:hint="eastAsia"/>
        </w:rPr>
        <w:t>界面；</w:t>
      </w:r>
    </w:p>
    <w:p>
      <w:pPr>
        <w:jc w:val="center"/>
      </w:pPr>
      <w:r>
        <w:drawing>
          <wp:inline distT="0" distB="0" distL="0" distR="0">
            <wp:extent cx="4895850" cy="2952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【模板下载】按钮，</w:t>
      </w:r>
      <w:r>
        <w:t>点击</w:t>
      </w:r>
      <w:r>
        <w:rPr>
          <w:rFonts w:hint="eastAsia"/>
        </w:rPr>
        <w:t>该按钮</w:t>
      </w:r>
      <w:r>
        <w:t>，</w:t>
      </w:r>
      <w:r>
        <w:rPr>
          <w:rFonts w:hint="eastAsia"/>
        </w:rPr>
        <w:t>下载</w:t>
      </w:r>
      <w:r>
        <w:t>EXCEL</w:t>
      </w:r>
      <w:r>
        <w:rPr>
          <w:rFonts w:hint="eastAsia"/>
        </w:rPr>
        <w:t>发货信息模板</w:t>
      </w:r>
      <w:r>
        <w:t>，</w:t>
      </w:r>
      <w:r>
        <w:rPr>
          <w:rFonts w:hint="eastAsia"/>
        </w:rPr>
        <w:t>包括</w:t>
      </w:r>
      <w:r>
        <w:t>订单编号（</w:t>
      </w:r>
      <w:r>
        <w:rPr>
          <w:rFonts w:hint="eastAsia"/>
        </w:rPr>
        <w:t>需</w:t>
      </w:r>
      <w:r>
        <w:t>发货的销售订单号）、商品编号（订单明细中的商品编号）、发货数量、快递公司（需要和云时通维护的快递公司名称一致）和快递单号；</w:t>
      </w:r>
    </w:p>
    <w:p>
      <w:r>
        <w:rPr>
          <w:rFonts w:hint="eastAsia"/>
        </w:rPr>
        <w:t>【＋选择文件】按钮，</w:t>
      </w:r>
      <w:r>
        <w:t>点击</w:t>
      </w:r>
      <w:r>
        <w:rPr>
          <w:rFonts w:hint="eastAsia"/>
        </w:rPr>
        <w:t>该按钮，</w:t>
      </w:r>
      <w:r>
        <w:t>把填好的EXCEL</w:t>
      </w:r>
      <w:r>
        <w:rPr>
          <w:rFonts w:hint="eastAsia"/>
        </w:rPr>
        <w:t>发货信息模板</w:t>
      </w:r>
      <w:r>
        <w:t>进</w:t>
      </w:r>
      <w:r>
        <w:rPr>
          <w:rFonts w:hint="eastAsia"/>
        </w:rPr>
        <w:t>行</w:t>
      </w:r>
      <w:r>
        <w:t>【上传】，则发货成功。</w:t>
      </w:r>
    </w:p>
    <w:p>
      <w:pPr>
        <w:snapToGrid w:val="0"/>
        <w:rPr>
          <w:rFonts w:ascii="宋体" w:hAnsi="宋体"/>
          <w:szCs w:val="21"/>
        </w:rPr>
      </w:pPr>
    </w:p>
    <w:p>
      <w:pPr>
        <w:pStyle w:val="3"/>
        <w:spacing w:before="120" w:after="120"/>
        <w:rPr>
          <w:rFonts w:hint="default" w:ascii="宋体" w:hAnsi="宋体" w:eastAsia="宋体"/>
        </w:rPr>
      </w:pPr>
      <w:bookmarkStart w:id="19" w:name="_Toc71270323"/>
      <w:bookmarkStart w:id="20" w:name="_Toc4636"/>
      <w:bookmarkStart w:id="21" w:name="_Toc101356895"/>
      <w:bookmarkStart w:id="22" w:name="_Toc6550"/>
      <w:r>
        <w:rPr>
          <w:rFonts w:hint="default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default" w:ascii="宋体" w:hAnsi="宋体" w:eastAsia="宋体"/>
        </w:rPr>
        <w:t>3</w:t>
      </w:r>
      <w:r>
        <w:rPr>
          <w:rFonts w:ascii="宋体" w:hAnsi="宋体" w:eastAsia="宋体"/>
        </w:rPr>
        <w:t xml:space="preserve"> </w:t>
      </w:r>
      <w:bookmarkEnd w:id="19"/>
      <w:r>
        <w:rPr>
          <w:rFonts w:ascii="宋体" w:hAnsi="宋体" w:eastAsia="宋体"/>
        </w:rPr>
        <w:t>C端销售订单管理</w:t>
      </w:r>
      <w:bookmarkEnd w:id="20"/>
      <w:bookmarkEnd w:id="21"/>
      <w:bookmarkEnd w:id="22"/>
    </w:p>
    <w:p>
      <w:pPr>
        <w:ind w:firstLine="420" w:firstLineChars="200"/>
      </w:pPr>
      <w:r>
        <w:rPr>
          <w:rFonts w:hint="eastAsia" w:ascii="宋体" w:hAnsi="宋体"/>
          <w:szCs w:val="21"/>
        </w:rPr>
        <w:t>此功能用于C端销售订单的暂挂、查询，方便对所有渠道的C端订单进行管理</w:t>
      </w:r>
      <w:r>
        <w:rPr>
          <w:rFonts w:hint="eastAsia"/>
        </w:rPr>
        <w:t>。</w:t>
      </w:r>
    </w:p>
    <w:p>
      <w:pPr>
        <w:spacing w:before="156" w:beforeLines="50" w:after="156" w:afterLines="50"/>
        <w:ind w:firstLine="590" w:firstLineChars="245"/>
        <w:rPr>
          <w:rFonts w:ascii="宋体" w:hAnsi="宋体"/>
          <w:b/>
          <w:bCs/>
          <w:color w:val="3366FF"/>
          <w:sz w:val="24"/>
        </w:rPr>
      </w:pPr>
      <w:r>
        <w:rPr>
          <w:rFonts w:hint="eastAsia" w:ascii="宋体" w:hAnsi="宋体"/>
          <w:b/>
          <w:bCs/>
          <w:color w:val="3366FF"/>
          <w:sz w:val="24"/>
        </w:rPr>
        <w:t>步骤：【订单中心】</w:t>
      </w:r>
      <w:r>
        <w:rPr>
          <w:rFonts w:ascii="宋体" w:hAnsi="宋体"/>
          <w:b/>
          <w:bCs/>
          <w:color w:val="3366FF"/>
          <w:sz w:val="24"/>
        </w:rPr>
        <w:sym w:font="Wingdings" w:char="F0E0"/>
      </w:r>
      <w:r>
        <w:rPr>
          <w:rFonts w:hint="eastAsia" w:ascii="宋体" w:hAnsi="宋体"/>
          <w:b/>
          <w:bCs/>
          <w:color w:val="3366FF"/>
          <w:sz w:val="24"/>
        </w:rPr>
        <w:t>【C端销售订单管理】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23" w:name="_Toc71270324"/>
      <w:bookmarkStart w:id="24" w:name="_Toc101356896"/>
      <w:r>
        <w:rPr>
          <w:rFonts w:ascii="宋体" w:hAnsi="宋体"/>
          <w:sz w:val="28"/>
          <w:szCs w:val="28"/>
        </w:rPr>
        <w:t xml:space="preserve">1.3.1 </w:t>
      </w:r>
      <w:bookmarkEnd w:id="23"/>
      <w:r>
        <w:rPr>
          <w:rFonts w:hint="eastAsia" w:ascii="宋体" w:hAnsi="宋体"/>
          <w:sz w:val="28"/>
          <w:szCs w:val="28"/>
        </w:rPr>
        <w:t>C端销售订单列表</w:t>
      </w:r>
      <w:bookmarkEnd w:id="24"/>
    </w:p>
    <w:p>
      <w:pPr>
        <w:ind w:firstLine="420" w:firstLineChars="200"/>
      </w:pPr>
      <w:r>
        <w:rPr>
          <w:rFonts w:hint="eastAsia"/>
        </w:rPr>
        <w:t>此功能用于查询C端销售订单信息，如订单状态、订单行信息及订单详情等。</w:t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打开系统菜单-订单中心-C端销售订单管理-C端销售订单列表，进入C端销售订单列表界面；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输入查询条件，点击【查询】，可以根据相关字段信息进行销售订单的查询，C端订单来源有APP、PC商城、营业厅、小程序；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【重置】可以清空已输入查询条件；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点击每个订单行左边的“＋”标识，可以看到商品明细，注意一下是否“一件代发”；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【暂挂】按钮，选择明细行，点击该按钮可以将C端的订单进行手工暂挂，系统也会自动校验进行暂挂处理；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【相关发货单】按钮，选择明细行，针对“已发货和已签收”状态的订单，点击该按钮可以查看其销售订单相关的发货单信息；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【导出】按钮，选择明细行，点击该按钮将销售订单明细导出Excel表格；</w:t>
      </w:r>
    </w:p>
    <w:p>
      <w:pPr>
        <w:numPr>
          <w:ilvl w:val="0"/>
          <w:numId w:val="9"/>
        </w:numPr>
        <w:tabs>
          <w:tab w:val="clear" w:pos="312"/>
        </w:tabs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【暂挂查询】按钮，选择明细行，点击该按钮针对“暂挂”状态的C端销售订单进行查询：</w:t>
      </w:r>
    </w:p>
    <w:p>
      <w:pPr>
        <w:tabs>
          <w:tab w:val="left" w:pos="312"/>
        </w:tabs>
        <w:snapToGrid w:val="0"/>
        <w:rPr>
          <w:rFonts w:ascii="宋体" w:hAnsi="宋体"/>
          <w:szCs w:val="21"/>
        </w:rPr>
      </w:pP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12998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【编辑】按钮，选中订单明细行，点击该按钮，可对暂挂订单进行编辑；</w:t>
      </w:r>
    </w:p>
    <w:p>
      <w:pPr>
        <w:snapToGrid w:val="0"/>
        <w:ind w:left="21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【释放选中行】按钮，选中订单明细行，点击该按钮，可释放所选的暂挂订单明细行；</w:t>
      </w:r>
    </w:p>
    <w:p>
      <w:pPr>
        <w:snapToGrid w:val="0"/>
        <w:ind w:left="21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【释放选中订单的所有暂挂】按钮，选中订单行，点击该按钮，可释放明细行所在订单的所有释放。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25" w:name="_Toc101356897"/>
      <w:r>
        <w:rPr>
          <w:rFonts w:ascii="宋体" w:hAnsi="宋体"/>
          <w:sz w:val="28"/>
          <w:szCs w:val="28"/>
        </w:rPr>
        <w:t>1.</w:t>
      </w: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C端销售订单配货</w:t>
      </w:r>
      <w:bookmarkEnd w:id="25"/>
    </w:p>
    <w:p>
      <w:pPr>
        <w:tabs>
          <w:tab w:val="left" w:pos="312"/>
        </w:tabs>
        <w:snapToGrid w:val="0"/>
      </w:pPr>
      <w:r>
        <w:rPr>
          <w:rFonts w:hint="eastAsia"/>
        </w:rPr>
        <w:t>此功能用于查看C端非一件代发订单商品的配货信息，采取系统自动配货策略，一件代发商品不需要配货，所以配货信息不显示。</w:t>
      </w:r>
    </w:p>
    <w:p>
      <w:pPr>
        <w:tabs>
          <w:tab w:val="left" w:pos="312"/>
        </w:tabs>
        <w:snapToGrid w:val="0"/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10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打开系统菜单-订单中心-C端销售订单管理-C端销售订单列表-某销售订单号，进入该销售订单详情界面；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1990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napToGrid w:val="0"/>
      </w:pPr>
      <w:r>
        <w:rPr>
          <w:rFonts w:hint="eastAsia"/>
        </w:rPr>
        <w:t>C端订单采取系统自动配货，点击订单明细下的订单行可在下方配货信息栏查看配货信息。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26" w:name="_Toc71270325"/>
      <w:bookmarkStart w:id="27" w:name="_Toc101356898"/>
      <w:r>
        <w:rPr>
          <w:rFonts w:ascii="宋体" w:hAnsi="宋体"/>
          <w:sz w:val="28"/>
          <w:szCs w:val="28"/>
        </w:rPr>
        <w:t>1.3.</w:t>
      </w: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 xml:space="preserve"> </w:t>
      </w:r>
      <w:bookmarkEnd w:id="26"/>
      <w:r>
        <w:rPr>
          <w:rFonts w:hint="eastAsia" w:ascii="宋体" w:hAnsi="宋体"/>
          <w:sz w:val="28"/>
          <w:szCs w:val="28"/>
        </w:rPr>
        <w:t>C端销售订单发货</w:t>
      </w:r>
      <w:bookmarkEnd w:id="27"/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此功能用于C端订单商品的发货。</w:t>
      </w:r>
    </w:p>
    <w:p>
      <w:pPr>
        <w:numPr>
          <w:ilvl w:val="0"/>
          <w:numId w:val="6"/>
        </w:numPr>
      </w:pPr>
      <w:r>
        <w:rPr>
          <w:rFonts w:hint="eastAsia"/>
        </w:rPr>
        <w:t>非一件代发商品的发货</w:t>
      </w:r>
    </w:p>
    <w:p>
      <w:r>
        <w:rPr>
          <w:rFonts w:hint="eastAsia"/>
          <w:b/>
          <w:bCs/>
          <w:szCs w:val="21"/>
        </w:rPr>
        <w:t>操作步骤：</w:t>
      </w:r>
    </w:p>
    <w:p>
      <w:r>
        <w:rPr>
          <w:rFonts w:hint="eastAsia" w:ascii="宋体" w:hAnsi="宋体"/>
          <w:szCs w:val="21"/>
        </w:rPr>
        <w:t>① 打开系统菜单-订单中心-发货单管理-订单发货，进入发货界面</w:t>
      </w:r>
      <w:r>
        <w:t>；</w:t>
      </w:r>
    </w:p>
    <w:p>
      <w:r>
        <w:rPr>
          <w:rFonts w:hint="eastAsia"/>
        </w:rPr>
        <w:t>② 【生成发货单按钮】，根据</w:t>
      </w:r>
      <w:r>
        <w:t>销售订单号</w:t>
      </w:r>
      <w:r>
        <w:rPr>
          <w:rFonts w:hint="eastAsia"/>
        </w:rPr>
        <w:t>或其他查询信息</w:t>
      </w:r>
      <w:r>
        <w:t>，</w:t>
      </w:r>
      <w:r>
        <w:rPr>
          <w:rFonts w:hint="eastAsia"/>
        </w:rPr>
        <w:t>选择待发货的销售订单，</w:t>
      </w:r>
      <w:r>
        <w:t>选择明细行，点击【生成发货单】进入发货单新建界面；</w:t>
      </w:r>
    </w:p>
    <w:p>
      <w:r>
        <w:drawing>
          <wp:inline distT="0" distB="0" distL="0" distR="0">
            <wp:extent cx="5274310" cy="16052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③ 在发货单新建界面，检查</w:t>
      </w:r>
      <w:r>
        <w:t>相关收货信息，点击【保存】存为“草稿”发货单，点击【提交】存为“待发货”发货单，页面跳转发货单列表；</w:t>
      </w:r>
    </w:p>
    <w:p>
      <w:r>
        <w:drawing>
          <wp:inline distT="0" distB="0" distL="0" distR="0">
            <wp:extent cx="5274310" cy="15316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④ 在发货单列表界面，</w:t>
      </w:r>
    </w:p>
    <w:p>
      <w:r>
        <w:rPr>
          <w:rFonts w:hint="eastAsia"/>
        </w:rPr>
        <w:t xml:space="preserve">  【编辑】按钮，选中“草稿”状态的发货单，点击该按钮，将发货单进行修改；</w:t>
      </w:r>
    </w:p>
    <w:p>
      <w:pPr>
        <w:ind w:firstLine="210" w:firstLineChars="100"/>
      </w:pPr>
      <w:r>
        <w:rPr>
          <w:rFonts w:hint="eastAsia"/>
        </w:rPr>
        <w:t>【取消】按钮，选中发货单，点击该按钮，可取消此发货单；</w:t>
      </w:r>
    </w:p>
    <w:p>
      <w:r>
        <w:rPr>
          <w:rFonts w:hint="eastAsia"/>
        </w:rPr>
        <w:t xml:space="preserve">  【确认】按钮，选中“草稿”状态的发货单，点击该按钮，可将该发货单变成“待发货”状态；</w:t>
      </w:r>
    </w:p>
    <w:p>
      <w:r>
        <w:rPr>
          <w:rFonts w:hint="eastAsia"/>
        </w:rPr>
        <w:t xml:space="preserve">  【撤销确认】按钮，选中“待发货”状态的发货单，点击该按钮，可将该发货单变成“草稿”状态；</w:t>
      </w:r>
    </w:p>
    <w:p>
      <w:r>
        <w:rPr>
          <w:rFonts w:hint="eastAsia"/>
        </w:rPr>
        <w:t xml:space="preserve">  </w:t>
      </w:r>
      <w:r>
        <w:t>【发货】</w:t>
      </w:r>
      <w:r>
        <w:rPr>
          <w:rFonts w:hint="eastAsia"/>
        </w:rPr>
        <w:t>按钮，选中“待发货”状态的发货单，点击该按钮，完成发货出库，</w:t>
      </w:r>
      <w:r>
        <w:t>发货单状态变更为“已发货”</w:t>
      </w:r>
    </w:p>
    <w:p>
      <w:r>
        <w:rPr>
          <w:rFonts w:hint="eastAsia"/>
        </w:rPr>
        <w:t xml:space="preserve">⑤ </w:t>
      </w:r>
      <w:r>
        <w:t>点击</w:t>
      </w:r>
      <w:r>
        <w:rPr>
          <w:rFonts w:hint="eastAsia"/>
        </w:rPr>
        <w:t>销售单号对应的</w:t>
      </w:r>
      <w:r>
        <w:t>“已发货”</w:t>
      </w:r>
      <w:r>
        <w:rPr>
          <w:rFonts w:hint="eastAsia"/>
        </w:rPr>
        <w:t>状态</w:t>
      </w:r>
      <w:r>
        <w:t>的发货单</w:t>
      </w:r>
      <w:r>
        <w:rPr>
          <w:rFonts w:hint="eastAsia"/>
        </w:rPr>
        <w:t>号，进入发货单详情</w:t>
      </w:r>
      <w:r>
        <w:t>界面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5274310" cy="21215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选择</w:t>
      </w:r>
      <w:r>
        <w:rPr>
          <w:rFonts w:hint="eastAsia"/>
        </w:rPr>
        <w:t>订单</w:t>
      </w:r>
      <w:r>
        <w:t>明细</w:t>
      </w:r>
      <w:r>
        <w:rPr>
          <w:rFonts w:hint="eastAsia"/>
        </w:rPr>
        <w:t>行</w:t>
      </w:r>
      <w:r>
        <w:t>，</w:t>
      </w:r>
      <w:r>
        <w:rPr>
          <w:rFonts w:hint="eastAsia"/>
        </w:rPr>
        <w:t>在下方物流信息栏，</w:t>
      </w:r>
      <w:r>
        <w:t>添加物流信息</w:t>
      </w:r>
      <w:r>
        <w:rPr>
          <w:rFonts w:hint="eastAsia"/>
        </w:rPr>
        <w:t>，完成发货流程</w:t>
      </w:r>
      <w:r>
        <w:t>。</w:t>
      </w:r>
    </w:p>
    <w:p>
      <w:pPr>
        <w:numPr>
          <w:ilvl w:val="0"/>
          <w:numId w:val="6"/>
        </w:numPr>
      </w:pPr>
      <w:r>
        <w:rPr>
          <w:rFonts w:hint="eastAsia"/>
        </w:rPr>
        <w:t>一件代发商品的发货</w:t>
      </w:r>
    </w:p>
    <w:p>
      <w:r>
        <w:rPr>
          <w:rFonts w:hint="eastAsia"/>
          <w:b/>
          <w:bCs/>
          <w:szCs w:val="21"/>
        </w:rPr>
        <w:t>操作步骤：</w:t>
      </w:r>
    </w:p>
    <w:p>
      <w:r>
        <w:rPr>
          <w:rFonts w:hint="eastAsia"/>
        </w:rPr>
        <w:t xml:space="preserve">① </w:t>
      </w:r>
      <w:r>
        <w:t>打开</w:t>
      </w:r>
      <w:r>
        <w:rPr>
          <w:rFonts w:hint="eastAsia"/>
        </w:rPr>
        <w:t>供应商协同门户菜单-</w:t>
      </w:r>
      <w:r>
        <w:t>一件代发订单协同</w:t>
      </w:r>
      <w:r>
        <w:rPr>
          <w:rFonts w:hint="eastAsia"/>
        </w:rPr>
        <w:t>，进入发货</w:t>
      </w:r>
      <w:r>
        <w:t>界面；</w:t>
      </w:r>
    </w:p>
    <w:p>
      <w:r>
        <w:rPr>
          <w:rFonts w:hint="eastAsia"/>
        </w:rPr>
        <w:t>② 【批量导入发货】按钮，输入查询条件，筛选待</w:t>
      </w:r>
      <w:r>
        <w:t>发货的销售订单，</w:t>
      </w:r>
      <w:r>
        <w:rPr>
          <w:rFonts w:hint="eastAsia"/>
        </w:rPr>
        <w:t>可</w:t>
      </w:r>
      <w:r>
        <w:t>选择</w:t>
      </w:r>
      <w:r>
        <w:rPr>
          <w:rFonts w:hint="eastAsia"/>
        </w:rPr>
        <w:t>多</w:t>
      </w:r>
      <w:r>
        <w:t>明细行，点击</w:t>
      </w:r>
      <w:r>
        <w:rPr>
          <w:rFonts w:hint="eastAsia"/>
        </w:rPr>
        <w:t>该按钮</w:t>
      </w:r>
      <w:r>
        <w:t>进行</w:t>
      </w:r>
      <w:r>
        <w:rPr>
          <w:rFonts w:hint="eastAsia"/>
        </w:rPr>
        <w:t>批量</w:t>
      </w:r>
      <w:r>
        <w:t>发货</w:t>
      </w:r>
      <w:r>
        <w:rPr>
          <w:rFonts w:hint="eastAsia"/>
        </w:rPr>
        <w:t>界面；</w:t>
      </w:r>
    </w:p>
    <w:p>
      <w:pPr>
        <w:jc w:val="center"/>
      </w:pPr>
      <w:r>
        <w:drawing>
          <wp:inline distT="0" distB="0" distL="0" distR="0">
            <wp:extent cx="4895850" cy="2952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③ 【模板下载】按钮，</w:t>
      </w:r>
      <w:r>
        <w:t>点击</w:t>
      </w:r>
      <w:r>
        <w:rPr>
          <w:rFonts w:hint="eastAsia"/>
        </w:rPr>
        <w:t>该按钮</w:t>
      </w:r>
      <w:r>
        <w:t>，</w:t>
      </w:r>
      <w:r>
        <w:rPr>
          <w:rFonts w:hint="eastAsia"/>
        </w:rPr>
        <w:t>下载</w:t>
      </w:r>
      <w:r>
        <w:t>EXCEL</w:t>
      </w:r>
      <w:r>
        <w:rPr>
          <w:rFonts w:hint="eastAsia"/>
        </w:rPr>
        <w:t>发货信息模板</w:t>
      </w:r>
      <w:r>
        <w:t>，</w:t>
      </w:r>
      <w:r>
        <w:rPr>
          <w:rFonts w:hint="eastAsia"/>
        </w:rPr>
        <w:t>包括</w:t>
      </w:r>
      <w:r>
        <w:t>订单编号（</w:t>
      </w:r>
      <w:r>
        <w:rPr>
          <w:rFonts w:hint="eastAsia"/>
        </w:rPr>
        <w:t>需</w:t>
      </w:r>
      <w:r>
        <w:t>发货的销售订单号）、商品编号（订单明细中的商品编号）、发货数量、快递公司（需要和云时通维护的快递公司名称一致）和快递单号；</w:t>
      </w:r>
    </w:p>
    <w:p>
      <w:pPr>
        <w:numPr>
          <w:ilvl w:val="0"/>
          <w:numId w:val="8"/>
        </w:numPr>
      </w:pPr>
      <w:r>
        <w:rPr>
          <w:rFonts w:hint="eastAsia"/>
        </w:rPr>
        <w:t>【＋选择文件】按钮，</w:t>
      </w:r>
      <w:r>
        <w:t>点击</w:t>
      </w:r>
      <w:r>
        <w:rPr>
          <w:rFonts w:hint="eastAsia"/>
        </w:rPr>
        <w:t>该按钮，</w:t>
      </w:r>
      <w:r>
        <w:t>把填好的EXCEL</w:t>
      </w:r>
      <w:r>
        <w:rPr>
          <w:rFonts w:hint="eastAsia"/>
        </w:rPr>
        <w:t>发货信息模板</w:t>
      </w:r>
      <w:r>
        <w:t>进</w:t>
      </w:r>
      <w:r>
        <w:rPr>
          <w:rFonts w:hint="eastAsia"/>
        </w:rPr>
        <w:t>行</w:t>
      </w:r>
      <w:r>
        <w:t>【上传】，则发货成功。</w:t>
      </w:r>
    </w:p>
    <w:p>
      <w:pPr>
        <w:snapToGrid w:val="0"/>
        <w:rPr>
          <w:rFonts w:ascii="宋体" w:hAnsi="宋体"/>
          <w:szCs w:val="21"/>
        </w:rPr>
      </w:pPr>
    </w:p>
    <w:p>
      <w:pPr>
        <w:pStyle w:val="3"/>
        <w:spacing w:before="120" w:after="120"/>
        <w:rPr>
          <w:rFonts w:hint="default" w:ascii="宋体" w:hAnsi="宋体" w:eastAsia="宋体"/>
        </w:rPr>
      </w:pPr>
      <w:bookmarkStart w:id="28" w:name="_Toc71270326"/>
      <w:bookmarkStart w:id="29" w:name="_Toc23301"/>
      <w:bookmarkStart w:id="30" w:name="_Toc101356899"/>
      <w:bookmarkStart w:id="31" w:name="_Toc32283"/>
      <w:r>
        <w:rPr>
          <w:rFonts w:hint="default" w:ascii="宋体" w:hAnsi="宋体" w:eastAsia="宋体"/>
        </w:rPr>
        <w:t xml:space="preserve">1.4 </w:t>
      </w:r>
      <w:bookmarkEnd w:id="28"/>
      <w:r>
        <w:rPr>
          <w:rFonts w:ascii="宋体" w:hAnsi="宋体" w:eastAsia="宋体"/>
        </w:rPr>
        <w:t>集团内订单</w:t>
      </w:r>
      <w:bookmarkEnd w:id="29"/>
      <w:bookmarkEnd w:id="30"/>
      <w:bookmarkEnd w:id="31"/>
    </w:p>
    <w:p>
      <w:pPr>
        <w:pStyle w:val="17"/>
        <w:spacing w:before="156" w:beforeLines="50"/>
        <w:ind w:firstLine="630" w:firstLineChars="300"/>
        <w:rPr>
          <w:rFonts w:ascii="宋体" w:hAnsi="宋体"/>
        </w:rPr>
      </w:pPr>
      <w:r>
        <w:rPr>
          <w:rFonts w:hint="eastAsia" w:ascii="宋体" w:hAnsi="宋体"/>
        </w:rPr>
        <w:t>此功能用于分子公司与总部间交易形成的集团内订单的查询、配货及发货。</w:t>
      </w:r>
    </w:p>
    <w:p>
      <w:pPr>
        <w:spacing w:before="156" w:beforeLines="50" w:after="156" w:afterLines="50"/>
        <w:ind w:firstLine="590" w:firstLineChars="245"/>
        <w:rPr>
          <w:rFonts w:ascii="宋体" w:hAnsi="宋体"/>
        </w:rPr>
      </w:pPr>
      <w:r>
        <w:rPr>
          <w:rFonts w:hint="eastAsia" w:ascii="宋体" w:hAnsi="宋体"/>
          <w:b/>
          <w:bCs/>
          <w:color w:val="3366FF"/>
          <w:sz w:val="24"/>
        </w:rPr>
        <w:t>步骤：【订单中心】</w:t>
      </w:r>
      <w:r>
        <w:rPr>
          <w:rFonts w:ascii="宋体" w:hAnsi="宋体"/>
          <w:b/>
          <w:bCs/>
          <w:color w:val="3366FF"/>
          <w:sz w:val="24"/>
        </w:rPr>
        <w:sym w:font="Wingdings" w:char="F0E0"/>
      </w:r>
      <w:r>
        <w:rPr>
          <w:rFonts w:hint="eastAsia" w:ascii="宋体" w:hAnsi="宋体"/>
          <w:b/>
          <w:bCs/>
          <w:color w:val="3366FF"/>
          <w:sz w:val="24"/>
        </w:rPr>
        <w:t>【集团内销售订单管理】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32" w:name="_Toc71270327"/>
      <w:bookmarkStart w:id="33" w:name="_Toc101356900"/>
      <w:bookmarkStart w:id="34" w:name="_Hlk70322370"/>
      <w:r>
        <w:rPr>
          <w:rFonts w:ascii="宋体" w:hAnsi="宋体"/>
          <w:sz w:val="28"/>
          <w:szCs w:val="28"/>
        </w:rPr>
        <w:t>1.4.1</w:t>
      </w:r>
      <w:r>
        <w:rPr>
          <w:rFonts w:hint="eastAsia" w:ascii="宋体" w:hAnsi="宋体"/>
          <w:sz w:val="28"/>
          <w:szCs w:val="28"/>
        </w:rPr>
        <w:t xml:space="preserve"> </w:t>
      </w:r>
      <w:bookmarkEnd w:id="32"/>
      <w:r>
        <w:rPr>
          <w:rFonts w:hint="eastAsia" w:ascii="宋体" w:hAnsi="宋体"/>
          <w:sz w:val="28"/>
          <w:szCs w:val="28"/>
        </w:rPr>
        <w:t>集团内销售订单列表</w:t>
      </w:r>
      <w:bookmarkEnd w:id="33"/>
    </w:p>
    <w:bookmarkEnd w:id="34"/>
    <w:p>
      <w:pPr>
        <w:pStyle w:val="17"/>
        <w:ind w:left="314"/>
        <w:rPr>
          <w:rFonts w:ascii="宋体" w:hAnsi="宋体"/>
        </w:rPr>
      </w:pPr>
      <w:r>
        <w:rPr>
          <w:rFonts w:hint="eastAsia"/>
        </w:rPr>
        <w:t>此功能用于查询集团内订单销售订单信息，并且可对订单进行暂挂等处理。</w:t>
      </w:r>
    </w:p>
    <w:p>
      <w:pPr>
        <w:pStyle w:val="17"/>
      </w:pPr>
      <w:r>
        <w:drawing>
          <wp:inline distT="0" distB="0" distL="0" distR="0">
            <wp:extent cx="5274310" cy="15722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打开系统菜单-订单中心-集团内销售订单管理-集团内订单列表，进入集团内订单列表界面；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输入查询条件，可根据采购单号，点击【查询】按钮，集团内订单来源有：项目公司间内采购订单和项目公司向总部的采购；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【重置】可以清空已输入查询条件；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【编辑】按钮，选择“草稿”或“暂挂”状态的订单行，点击该按钮可以进行集团内订单的修改；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【提交】按钮，选择“草稿”状态的订单行，点击该按钮，订单状态变为“已确认”或因系统暂挂变为“已暂挂”；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【取消】按钮，选择“草稿”或“暂挂”状态的订单行，点击该按钮，在弹框中填写取消原因，可取消订单；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【关闭】按钮，选择“已确认”状态的订单行，点击该按钮，在弹框中填写关闭原因，可关闭订单；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【暂挂】按钮，选择“草稿”或“已确认”状态的订单行，点击该按钮，可将订单变为“暂挂”状态；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【相关发货单】按钮，选择明细行，针对“已发货和已签收”状态的订单，点击该按钮可以查看其销售订单相关的发货单信息；</w:t>
      </w:r>
    </w:p>
    <w:p>
      <w:pPr>
        <w:numPr>
          <w:ilvl w:val="0"/>
          <w:numId w:val="11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【暂挂查询】按钮，选择“暂挂”状态的订单，点击该按钮，进入销售订单暂挂查询界面：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1374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【编辑】按钮，选中订单明细行，点击该按钮，可对暂挂订单进行编辑；</w:t>
      </w:r>
    </w:p>
    <w:p>
      <w:pPr>
        <w:snapToGrid w:val="0"/>
        <w:ind w:left="21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【释放选中行】按钮，选中订单明细行，点击该按钮，可释放所选的暂挂订单明细行；</w:t>
      </w:r>
    </w:p>
    <w:p>
      <w:pPr>
        <w:snapToGrid w:val="0"/>
        <w:ind w:left="210"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【释放选中订单的所有暂挂】按钮，选中订单行，点击该按钮，可释放明细行所在订单的所有释放。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35" w:name="_Toc71270328"/>
      <w:bookmarkStart w:id="36" w:name="_Toc101356901"/>
      <w:r>
        <w:rPr>
          <w:rFonts w:ascii="宋体" w:hAnsi="宋体"/>
          <w:sz w:val="28"/>
          <w:szCs w:val="28"/>
        </w:rPr>
        <w:t xml:space="preserve">1.4.2 </w:t>
      </w:r>
      <w:bookmarkEnd w:id="35"/>
      <w:r>
        <w:rPr>
          <w:rFonts w:hint="eastAsia" w:ascii="宋体" w:hAnsi="宋体"/>
          <w:sz w:val="28"/>
          <w:szCs w:val="28"/>
        </w:rPr>
        <w:t>集团内销售订单配货</w:t>
      </w:r>
      <w:bookmarkEnd w:id="36"/>
    </w:p>
    <w:p>
      <w:pPr>
        <w:pStyle w:val="17"/>
        <w:ind w:left="314"/>
        <w:rPr>
          <w:rFonts w:ascii="宋体" w:hAnsi="宋体"/>
        </w:rPr>
      </w:pPr>
      <w:r>
        <w:rPr>
          <w:rFonts w:hint="eastAsia" w:ascii="宋体" w:hAnsi="宋体"/>
        </w:rPr>
        <w:t>　</w:t>
      </w:r>
      <w:r>
        <w:rPr>
          <w:rFonts w:hint="eastAsia"/>
        </w:rPr>
        <w:t>此功能用于集团内订单商品的配货管理，默认自动配货，也可进行手工配货或总部生成采购单。</w:t>
      </w:r>
    </w:p>
    <w:p>
      <w:pPr>
        <w:pStyle w:val="17"/>
      </w:pPr>
      <w:r>
        <w:drawing>
          <wp:inline distT="0" distB="0" distL="0" distR="0">
            <wp:extent cx="5274310" cy="20948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1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打开系统菜单-订单中心-集团内订单管理-集团内订单列表-某销售订单号，进入该集团内销售单详情界面；</w:t>
      </w:r>
    </w:p>
    <w:p>
      <w:pPr>
        <w:numPr>
          <w:ilvl w:val="0"/>
          <w:numId w:val="1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点击商品明细行，因采取系统自动配货策略，在配货信息栏可看到配货信息，可点击【删除】按钮，进行其他配货方式；</w:t>
      </w:r>
    </w:p>
    <w:p>
      <w:pPr>
        <w:numPr>
          <w:ilvl w:val="0"/>
          <w:numId w:val="12"/>
        </w:numPr>
        <w:snapToGrid w:val="0"/>
        <w:rPr>
          <w:rFonts w:ascii="宋体" w:hAnsi="宋体"/>
          <w:szCs w:val="21"/>
        </w:rPr>
      </w:pPr>
      <w:r>
        <w:rPr>
          <w:rFonts w:hint="eastAsia"/>
        </w:rPr>
        <w:t>【手工配货】按钮，选中订单行，点击该按钮，可对该商品自行选择配货仓库和配货数量，配货完成后可在下方配货信息栏查看配货信息。</w:t>
      </w:r>
    </w:p>
    <w:p>
      <w:pPr>
        <w:numPr>
          <w:ilvl w:val="0"/>
          <w:numId w:val="12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【生成采购订单】按钮，</w:t>
      </w:r>
      <w:r>
        <w:rPr>
          <w:rFonts w:hint="eastAsia"/>
        </w:rPr>
        <w:t>选中订单行，点击该按钮，可对该商品进行供应商和采购数量的选择，生成总部的对外采购订单。</w:t>
      </w:r>
    </w:p>
    <w:p>
      <w:pPr>
        <w:snapToGrid w:val="0"/>
        <w:rPr>
          <w:rFonts w:ascii="宋体" w:hAnsi="宋体"/>
          <w:b/>
          <w:bCs/>
          <w:sz w:val="28"/>
          <w:szCs w:val="28"/>
        </w:rPr>
      </w:pP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37" w:name="_Toc101356902"/>
      <w:r>
        <w:rPr>
          <w:rFonts w:ascii="宋体" w:hAnsi="宋体"/>
          <w:sz w:val="28"/>
          <w:szCs w:val="28"/>
        </w:rPr>
        <w:t>1.4.</w:t>
      </w: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集团内销售订单发货</w:t>
      </w:r>
      <w:bookmarkEnd w:id="37"/>
    </w:p>
    <w:p>
      <w:r>
        <w:rPr>
          <w:rFonts w:hint="eastAsia"/>
        </w:rPr>
        <w:t>此功能用于集团内订单采用内部仓库出库的情境，对商品进行发货或发货单查询。</w:t>
      </w:r>
    </w:p>
    <w:p>
      <w:r>
        <w:rPr>
          <w:rFonts w:hint="eastAsia"/>
          <w:b/>
          <w:bCs/>
          <w:szCs w:val="21"/>
        </w:rPr>
        <w:t>操作步骤：</w:t>
      </w:r>
    </w:p>
    <w:p>
      <w:r>
        <w:rPr>
          <w:rFonts w:hint="eastAsia" w:ascii="宋体" w:hAnsi="宋体"/>
          <w:szCs w:val="21"/>
        </w:rPr>
        <w:t>① 打开系统菜单-订单中心-发货单管理-订单发货，进入发货界面</w:t>
      </w:r>
      <w:r>
        <w:t>；</w:t>
      </w:r>
    </w:p>
    <w:p>
      <w:r>
        <w:rPr>
          <w:rFonts w:hint="eastAsia"/>
        </w:rPr>
        <w:t>② 【生成发货单按钮】，根据</w:t>
      </w:r>
      <w:r>
        <w:t>销售订单号</w:t>
      </w:r>
      <w:r>
        <w:rPr>
          <w:rFonts w:hint="eastAsia"/>
        </w:rPr>
        <w:t>或其他查询信息</w:t>
      </w:r>
      <w:r>
        <w:t>，</w:t>
      </w:r>
      <w:r>
        <w:rPr>
          <w:rFonts w:hint="eastAsia"/>
        </w:rPr>
        <w:t>选择待发货的销售订单，</w:t>
      </w:r>
      <w:r>
        <w:t>选择明细行，点击【生成发货单】进入发货单新建界面；</w:t>
      </w:r>
    </w:p>
    <w:p>
      <w:r>
        <w:drawing>
          <wp:inline distT="0" distB="0" distL="0" distR="0">
            <wp:extent cx="5274310" cy="1284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③ 在发货单新建界面，增加或检查修改</w:t>
      </w:r>
      <w:r>
        <w:t>相关收货信息，点击【保存】存为“草稿”发货单，点击【提交】存为“待发货”发货单，页面跳转发货单列表；</w:t>
      </w:r>
    </w:p>
    <w:p>
      <w:r>
        <w:rPr>
          <w:rFonts w:hint="eastAsia"/>
        </w:rPr>
        <w:t>④ 在发货单列表界面，</w:t>
      </w:r>
    </w:p>
    <w:p>
      <w:pPr>
        <w:ind w:firstLine="210" w:firstLineChars="100"/>
      </w:pPr>
      <w:r>
        <w:rPr>
          <w:rFonts w:hint="eastAsia"/>
        </w:rPr>
        <w:t>【编辑】按钮，选中“草稿”状态的发货单，点击该按钮，将发货单进行修改；</w:t>
      </w:r>
    </w:p>
    <w:p>
      <w:pPr>
        <w:ind w:firstLine="210" w:firstLineChars="100"/>
      </w:pPr>
      <w:r>
        <w:rPr>
          <w:rFonts w:hint="eastAsia"/>
        </w:rPr>
        <w:t>【取消】按钮，选中发货单，点击该按钮，可取消此发货单；</w:t>
      </w:r>
    </w:p>
    <w:p>
      <w:r>
        <w:rPr>
          <w:rFonts w:hint="eastAsia"/>
        </w:rPr>
        <w:t xml:space="preserve">  【确认】按钮，选中“草稿”状态的发货单，点击该按钮，可将该发货单变成“待发货”状态；</w:t>
      </w:r>
    </w:p>
    <w:p>
      <w:r>
        <w:rPr>
          <w:rFonts w:hint="eastAsia"/>
        </w:rPr>
        <w:t xml:space="preserve">  【撤销确认】按钮，选中“待发货”状态的发货单，点击该按钮，可将该发货单变成“草稿”状态；</w:t>
      </w:r>
    </w:p>
    <w:p>
      <w:r>
        <w:rPr>
          <w:rFonts w:hint="eastAsia"/>
        </w:rPr>
        <w:t xml:space="preserve">  </w:t>
      </w:r>
      <w:r>
        <w:t>【发货】</w:t>
      </w:r>
      <w:r>
        <w:rPr>
          <w:rFonts w:hint="eastAsia"/>
        </w:rPr>
        <w:t>按钮，选中“待发货”状态的发货单，点击该按钮，完成发货出库，</w:t>
      </w:r>
      <w:r>
        <w:t>发货单状态变更为“已发货”</w:t>
      </w:r>
      <w:r>
        <w:rPr>
          <w:rFonts w:hint="eastAsia"/>
        </w:rPr>
        <w:t>；</w:t>
      </w:r>
    </w:p>
    <w:p>
      <w:r>
        <w:rPr>
          <w:rFonts w:hint="eastAsia"/>
        </w:rPr>
        <w:t xml:space="preserve">⑤ </w:t>
      </w:r>
      <w:r>
        <w:t>点击</w:t>
      </w:r>
      <w:r>
        <w:rPr>
          <w:rFonts w:hint="eastAsia"/>
        </w:rPr>
        <w:t>销售单号对应的</w:t>
      </w:r>
      <w:r>
        <w:t>“已发货”</w:t>
      </w:r>
      <w:r>
        <w:rPr>
          <w:rFonts w:hint="eastAsia"/>
        </w:rPr>
        <w:t>状态</w:t>
      </w:r>
      <w:r>
        <w:t>的发货单</w:t>
      </w:r>
      <w:r>
        <w:rPr>
          <w:rFonts w:hint="eastAsia"/>
        </w:rPr>
        <w:t>号，进入发货单详情</w:t>
      </w:r>
      <w:r>
        <w:t>界面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5274310" cy="1873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/>
          <w:sz w:val="28"/>
          <w:szCs w:val="28"/>
        </w:rPr>
      </w:pPr>
      <w:r>
        <w:t>选择</w:t>
      </w:r>
      <w:r>
        <w:rPr>
          <w:rFonts w:hint="eastAsia"/>
        </w:rPr>
        <w:t>订单</w:t>
      </w:r>
      <w:r>
        <w:t>明细</w:t>
      </w:r>
      <w:r>
        <w:rPr>
          <w:rFonts w:hint="eastAsia"/>
        </w:rPr>
        <w:t>行</w:t>
      </w:r>
      <w:r>
        <w:t>，</w:t>
      </w:r>
      <w:r>
        <w:rPr>
          <w:rFonts w:hint="eastAsia"/>
        </w:rPr>
        <w:t>在下方物流信息栏，</w:t>
      </w:r>
      <w:r>
        <w:t>添加物流信息</w:t>
      </w:r>
      <w:r>
        <w:rPr>
          <w:rFonts w:hint="eastAsia"/>
        </w:rPr>
        <w:t>，完成发货流程</w:t>
      </w:r>
      <w:r>
        <w:t>。</w:t>
      </w:r>
    </w:p>
    <w:p>
      <w:pPr>
        <w:pStyle w:val="3"/>
        <w:spacing w:before="120" w:after="120"/>
        <w:rPr>
          <w:rFonts w:hint="default" w:ascii="宋体" w:hAnsi="宋体" w:eastAsia="宋体"/>
        </w:rPr>
      </w:pPr>
      <w:bookmarkStart w:id="38" w:name="_Hlk70321686"/>
      <w:bookmarkStart w:id="39" w:name="_Toc32669"/>
      <w:bookmarkStart w:id="40" w:name="_Toc71270329"/>
      <w:bookmarkStart w:id="41" w:name="_Toc20780"/>
      <w:bookmarkStart w:id="42" w:name="_Toc101356903"/>
      <w:r>
        <w:rPr>
          <w:rFonts w:hint="default" w:ascii="宋体" w:hAnsi="宋体" w:eastAsia="宋体"/>
        </w:rPr>
        <w:t xml:space="preserve">1.5 </w:t>
      </w:r>
      <w:bookmarkEnd w:id="38"/>
      <w:bookmarkEnd w:id="39"/>
      <w:bookmarkEnd w:id="40"/>
      <w:r>
        <w:rPr>
          <w:rFonts w:ascii="宋体" w:hAnsi="宋体" w:eastAsia="宋体"/>
        </w:rPr>
        <w:t>销售退货管理</w:t>
      </w:r>
      <w:bookmarkEnd w:id="41"/>
      <w:bookmarkEnd w:id="42"/>
    </w:p>
    <w:p>
      <w:r>
        <w:rPr>
          <w:rFonts w:hint="eastAsia"/>
        </w:rPr>
        <w:t>此功能用于退货退款的逆向订单的管理，主要包括退货订单的查询、退货收货单的查询、退货单的收货。</w:t>
      </w:r>
    </w:p>
    <w:p>
      <w:pPr>
        <w:spacing w:before="156" w:beforeLines="50" w:after="156" w:afterLines="50"/>
        <w:ind w:firstLine="590" w:firstLineChars="245"/>
        <w:rPr>
          <w:rFonts w:ascii="宋体" w:hAnsi="宋体"/>
        </w:rPr>
      </w:pPr>
      <w:r>
        <w:rPr>
          <w:rFonts w:hint="eastAsia" w:ascii="宋体" w:hAnsi="宋体"/>
          <w:b/>
          <w:bCs/>
          <w:color w:val="3366FF"/>
          <w:sz w:val="24"/>
        </w:rPr>
        <w:t>步骤：【订单中心】</w:t>
      </w:r>
      <w:r>
        <w:rPr>
          <w:rFonts w:ascii="宋体" w:hAnsi="宋体"/>
          <w:b/>
          <w:bCs/>
          <w:color w:val="3366FF"/>
          <w:sz w:val="24"/>
        </w:rPr>
        <w:sym w:font="Wingdings" w:char="F0E0"/>
      </w:r>
      <w:r>
        <w:rPr>
          <w:rFonts w:hint="eastAsia" w:ascii="宋体" w:hAnsi="宋体"/>
          <w:b/>
          <w:bCs/>
          <w:color w:val="3366FF"/>
          <w:sz w:val="24"/>
        </w:rPr>
        <w:t>【销售退货管理】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43" w:name="_Toc71270330"/>
      <w:bookmarkStart w:id="44" w:name="_Toc101356904"/>
      <w:r>
        <w:rPr>
          <w:rFonts w:ascii="宋体" w:hAnsi="宋体"/>
          <w:sz w:val="28"/>
          <w:szCs w:val="28"/>
        </w:rPr>
        <w:t>1.5.1</w:t>
      </w:r>
      <w:r>
        <w:rPr>
          <w:rFonts w:hint="eastAsia" w:ascii="宋体" w:hAnsi="宋体"/>
          <w:sz w:val="28"/>
          <w:szCs w:val="28"/>
        </w:rPr>
        <w:t xml:space="preserve"> </w:t>
      </w:r>
      <w:bookmarkEnd w:id="43"/>
      <w:r>
        <w:rPr>
          <w:rFonts w:hint="eastAsia" w:ascii="宋体" w:hAnsi="宋体"/>
          <w:sz w:val="28"/>
          <w:szCs w:val="28"/>
        </w:rPr>
        <w:t>退款退货订单列表</w:t>
      </w:r>
      <w:bookmarkEnd w:id="44"/>
    </w:p>
    <w:p>
      <w:pPr>
        <w:pStyle w:val="17"/>
        <w:ind w:left="314"/>
      </w:pPr>
      <w:r>
        <w:rPr>
          <w:rFonts w:hint="eastAsia" w:ascii="宋体" w:hAnsi="宋体"/>
        </w:rPr>
        <w:t>此功能用于退货订单的信息查询，可对退订单进行批准退款、拒绝退款等业务操作。</w:t>
      </w: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打开系统菜单-订单中心-销售退货管理-退款退货订单列表，进入退订单列表界面；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12528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输入查询条件如销售订单号等，点击【查询】按钮，即可查询到相关退订单；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【重置】可以清空已输入查询条件；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【编辑】按钮，选择“草稿和暂挂”状态的退订单行，点击该按钮可以进行订单的修改；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【提交】按钮，选择“草稿和已拒绝”状态的退订单行，点击该按钮将提交审批，状态变更为“审批中”，针对C端以外的退订单；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【批准退货】按钮，选择“审批中”状态的退订单行，点击该按钮，退订单的状态变更为“待退货”，针对C端以外的退订单；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【拒绝退货】按钮，选择“审批中”状态的退订单行，点击该按钮，退订单状态变更为“已拒绝”，针对C端以外的退订单；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【批准退款】按钮，选择“待退款”状态的退订单行，点击该按钮，退订单的状态变更为“批准退款”；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【拒绝退款】按钮，选择“待退款”状态的退订单行，点击该按钮，退订单状态变更为“拒绝退款”；</w:t>
      </w:r>
    </w:p>
    <w:p>
      <w:pPr>
        <w:numPr>
          <w:ilvl w:val="0"/>
          <w:numId w:val="13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【取消】按钮，选择“草稿”或“已取消”状态的退订单行，点击该按钮，退订单状态变更为“已取消”，针对C端以外的退订单。</w:t>
      </w: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45" w:name="_Toc71270331"/>
      <w:bookmarkStart w:id="46" w:name="_Toc101356905"/>
      <w:r>
        <w:rPr>
          <w:rFonts w:ascii="宋体" w:hAnsi="宋体"/>
          <w:sz w:val="28"/>
          <w:szCs w:val="28"/>
        </w:rPr>
        <w:t xml:space="preserve">1.5.2 </w:t>
      </w:r>
      <w:bookmarkEnd w:id="45"/>
      <w:r>
        <w:rPr>
          <w:rFonts w:hint="eastAsia" w:ascii="宋体" w:hAnsi="宋体"/>
          <w:sz w:val="28"/>
          <w:szCs w:val="28"/>
        </w:rPr>
        <w:t>退货订单收货</w:t>
      </w:r>
      <w:bookmarkEnd w:id="46"/>
    </w:p>
    <w:p>
      <w:pPr>
        <w:pStyle w:val="17"/>
        <w:ind w:left="314"/>
        <w:rPr>
          <w:rFonts w:ascii="宋体" w:hAnsi="宋体"/>
        </w:rPr>
      </w:pPr>
      <w:r>
        <w:rPr>
          <w:rFonts w:hint="eastAsia" w:ascii="宋体" w:hAnsi="宋体"/>
        </w:rPr>
        <w:t>　此功能用于需要退货的退订单，生成退货收货单。</w:t>
      </w:r>
    </w:p>
    <w:p>
      <w:pPr>
        <w:pStyle w:val="17"/>
      </w:pPr>
    </w:p>
    <w:p>
      <w:pPr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操作步骤：</w:t>
      </w:r>
      <w:bookmarkStart w:id="47" w:name="_Toc71270332"/>
      <w:bookmarkStart w:id="48" w:name="_Toc27155"/>
    </w:p>
    <w:p>
      <w:pPr>
        <w:numPr>
          <w:ilvl w:val="0"/>
          <w:numId w:val="1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打开系统菜单-订单中心-销售退货管理-退货订单收货，进入退货收货单生成界面；</w:t>
      </w:r>
    </w:p>
    <w:p>
      <w:pPr>
        <w:numPr>
          <w:ilvl w:val="0"/>
          <w:numId w:val="1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输入查询条件，如退货订单号，点击【查询】，可查询到相关退订单；</w:t>
      </w:r>
    </w:p>
    <w:p>
      <w:pPr>
        <w:numPr>
          <w:ilvl w:val="0"/>
          <w:numId w:val="14"/>
        </w:numPr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【生成退货收库单】按钮，选择退订单行，点击该按钮，进入退货收库单新增界面；</w:t>
      </w:r>
    </w:p>
    <w:p>
      <w:pPr>
        <w:snapToGrid w:val="0"/>
        <w:rPr>
          <w:rFonts w:ascii="宋体" w:hAnsi="宋体"/>
          <w:szCs w:val="21"/>
        </w:rPr>
      </w:pPr>
      <w:r>
        <w:drawing>
          <wp:inline distT="0" distB="0" distL="0" distR="0">
            <wp:extent cx="5274310" cy="21767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napToGrid w:val="0"/>
        <w:rPr>
          <w:b/>
          <w:bCs/>
          <w:szCs w:val="21"/>
        </w:rPr>
      </w:pPr>
      <w:r>
        <w:rPr>
          <w:rFonts w:hint="eastAsia" w:ascii="宋体" w:hAnsi="宋体"/>
          <w:szCs w:val="21"/>
        </w:rPr>
        <w:t>填写相关信息后，点击【保存】，存为“草稿”状态的退货订单收货单，自动跳转退货收货单列表界面。</w:t>
      </w:r>
    </w:p>
    <w:p>
      <w:pPr>
        <w:snapToGrid w:val="0"/>
        <w:rPr>
          <w:b/>
          <w:bCs/>
          <w:szCs w:val="21"/>
        </w:rPr>
      </w:pPr>
    </w:p>
    <w:p>
      <w:pPr>
        <w:pStyle w:val="4"/>
        <w:spacing w:before="120" w:after="120"/>
        <w:rPr>
          <w:rFonts w:ascii="宋体" w:hAnsi="宋体"/>
          <w:sz w:val="28"/>
          <w:szCs w:val="28"/>
        </w:rPr>
      </w:pPr>
      <w:bookmarkStart w:id="49" w:name="_Toc101356906"/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.5.3 退货收货单列表</w:t>
      </w:r>
      <w:bookmarkEnd w:id="49"/>
    </w:p>
    <w:p>
      <w:pPr>
        <w:rPr>
          <w:rFonts w:ascii="宋体" w:hAnsi="宋体"/>
        </w:rPr>
      </w:pPr>
      <w:r>
        <w:rPr>
          <w:rFonts w:hint="eastAsia" w:ascii="宋体" w:hAnsi="宋体"/>
        </w:rPr>
        <w:t>此功能用于退货收货单的查询、签收等功能。</w:t>
      </w:r>
    </w:p>
    <w:p>
      <w:pPr>
        <w:numPr>
          <w:ilvl w:val="0"/>
          <w:numId w:val="15"/>
        </w:numPr>
      </w:pPr>
      <w:r>
        <w:rPr>
          <w:rFonts w:hint="eastAsia" w:ascii="宋体" w:hAnsi="宋体"/>
          <w:szCs w:val="21"/>
        </w:rPr>
        <w:t>打开系统菜单-订单中心-销售退货管理-退货收货单列表，进入退货收货单列表界面</w:t>
      </w:r>
      <w:r>
        <w:t>；</w:t>
      </w:r>
    </w:p>
    <w:p>
      <w:pPr>
        <w:numPr>
          <w:ilvl w:val="0"/>
          <w:numId w:val="15"/>
        </w:numPr>
      </w:pPr>
      <w:r>
        <w:rPr>
          <w:rFonts w:hint="eastAsia"/>
        </w:rPr>
        <w:t>输入查询条件，如退货订单号，点击【查询】，可查到相关退货收货单；</w:t>
      </w:r>
    </w:p>
    <w:p>
      <w:pPr>
        <w:numPr>
          <w:ilvl w:val="0"/>
          <w:numId w:val="15"/>
        </w:numPr>
      </w:pPr>
      <w:r>
        <w:rPr>
          <w:rFonts w:hint="eastAsia"/>
        </w:rPr>
        <w:t>【编辑】按钮，选择“草稿”状态的退货收货单，点击该按钮，</w:t>
      </w:r>
      <w:r>
        <w:t>进入编辑页面维护</w:t>
      </w:r>
      <w:r>
        <w:rPr>
          <w:rFonts w:hint="eastAsia"/>
        </w:rPr>
        <w:t>收货</w:t>
      </w:r>
      <w:r>
        <w:t>信息</w:t>
      </w:r>
      <w:r>
        <w:rPr>
          <w:rFonts w:hint="eastAsia"/>
        </w:rPr>
        <w:t>、明细信息等；</w:t>
      </w:r>
    </w:p>
    <w:p>
      <w:r>
        <w:drawing>
          <wp:inline distT="0" distB="0" distL="0" distR="0">
            <wp:extent cx="5274310" cy="2161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5"/>
        </w:numPr>
      </w:pPr>
      <w:r>
        <w:rPr>
          <w:rFonts w:hint="eastAsia"/>
        </w:rPr>
        <w:t>【取消】按钮，选择“草稿”状态的</w:t>
      </w:r>
      <w:r>
        <w:t>退</w:t>
      </w:r>
      <w:r>
        <w:rPr>
          <w:rFonts w:hint="eastAsia"/>
        </w:rPr>
        <w:t>货收货单，点击该按钮，退货收货单</w:t>
      </w:r>
      <w:r>
        <w:t>状态变更为“已取消”</w:t>
      </w:r>
      <w:r>
        <w:rPr>
          <w:rFonts w:hint="eastAsia"/>
        </w:rPr>
        <w:t>；</w:t>
      </w:r>
    </w:p>
    <w:p>
      <w:pPr>
        <w:numPr>
          <w:ilvl w:val="0"/>
          <w:numId w:val="15"/>
        </w:numPr>
      </w:pPr>
      <w:r>
        <w:rPr>
          <w:rFonts w:hint="eastAsia"/>
        </w:rPr>
        <w:t>【签收】按钮，选择退货收货单，点击该按钮，退货收货单状态变更为“已完成”。</w:t>
      </w:r>
      <w:bookmarkEnd w:id="47"/>
      <w:bookmarkEnd w:id="4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77470</wp:posOffset>
              </wp:positionV>
              <wp:extent cx="6629400" cy="0"/>
              <wp:effectExtent l="9525" t="10795" r="9525" b="8255"/>
              <wp:wrapNone/>
              <wp:docPr id="31" name="直接连接符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9pt;margin-top:6.1pt;height:0pt;width:522pt;z-index:251659264;mso-width-relative:page;mso-height-relative:page;" filled="f" stroked="t" coordsize="21600,21600" o:gfxdata="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dmiwv1QAAAAoB&#10;AAAPAAAAAAAAAAEAIAAAACIAAABkcnMvZG93bnJldi54bWxQSwECFAAUAAAACACHTuJA3gOZ2eUB&#10;AACsAwAADgAAAAAAAAABACAAAAAkAQAAZHJzL2Uyb0RvYy54bWxQSwUGAAAAAAYABgBZAQAAewUA&#10;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left" w:pos="-180"/>
        <w:tab w:val="center" w:pos="4153"/>
        <w:tab w:val="right" w:pos="8306"/>
      </w:tabs>
      <w:snapToGrid w:val="0"/>
      <w:ind w:right="-359" w:rightChars="-171"/>
      <w:jc w:val="left"/>
      <w:rPr>
        <w:rFonts w:hint="eastAsia"/>
        <w:sz w:val="18"/>
        <w:szCs w:val="18"/>
      </w:rPr>
    </w:pPr>
    <w:r>
      <w:rPr>
        <w:rFonts w:hint="eastAsia"/>
        <w:kern w:val="0"/>
        <w:sz w:val="18"/>
        <w:szCs w:val="18"/>
      </w:rPr>
      <w:t xml:space="preserve">                                  </w:t>
    </w:r>
    <w:r>
      <w:rPr>
        <w:kern w:val="0"/>
        <w:sz w:val="18"/>
        <w:szCs w:val="18"/>
      </w:rPr>
      <w:t xml:space="preserve"> </w:t>
    </w:r>
    <w:r>
      <w:rPr>
        <w:rFonts w:hint="eastAsia"/>
        <w:kern w:val="0"/>
        <w:sz w:val="18"/>
        <w:szCs w:val="18"/>
      </w:rPr>
      <w:t xml:space="preserve">               </w:t>
    </w:r>
    <w:r>
      <w:rPr>
        <w:rFonts w:hint="eastAsia"/>
        <w:sz w:val="18"/>
        <w:szCs w:val="18"/>
      </w:rPr>
      <w:t>第</w:t>
    </w:r>
    <w:r>
      <w:rPr>
        <w:sz w:val="18"/>
        <w:szCs w:val="18"/>
      </w:rPr>
      <w:fldChar w:fldCharType="begin"/>
    </w:r>
    <w:r>
      <w:rPr>
        <w:rStyle w:val="12"/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rStyle w:val="12"/>
        <w:sz w:val="18"/>
        <w:szCs w:val="18"/>
        <w:lang w:val="en-US" w:eastAsia="zh-CN"/>
      </w:rPr>
      <w:t>10</w:t>
    </w:r>
    <w:r>
      <w:rPr>
        <w:sz w:val="18"/>
        <w:szCs w:val="18"/>
      </w:rPr>
      <w:fldChar w:fldCharType="end"/>
    </w:r>
    <w:r>
      <w:rPr>
        <w:rStyle w:val="12"/>
        <w:rFonts w:hint="eastAsia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</w:pPr>
    <w:r>
      <w:rPr>
        <w:lang w:val="en-US" w:eastAsia="zh-CN"/>
      </w:rPr>
      <w:t xml:space="preserve">                    </w:t>
    </w:r>
    <w:r>
      <w:rPr>
        <w:rFonts w:hint="eastAsia" w:ascii="宋体" w:hAnsi="宋体" w:cs="宋体"/>
        <w:sz w:val="24"/>
      </w:rPr>
      <w:t>云时通中台V</w:t>
    </w:r>
    <w:r>
      <w:rPr>
        <w:rFonts w:ascii="宋体" w:hAnsi="宋体" w:cs="宋体"/>
        <w:sz w:val="24"/>
      </w:rPr>
      <w:t>1.0</w:t>
    </w:r>
    <w:r>
      <w:rPr>
        <w:rFonts w:hint="eastAsia" w:ascii="宋体" w:hAnsi="宋体" w:cs="宋体"/>
        <w:sz w:val="24"/>
      </w:rPr>
      <w:t>系统</w:t>
    </w:r>
    <w:r>
      <w:rPr>
        <w:lang w:val="en-US" w:eastAsia="zh-CN"/>
      </w:rPr>
      <w:t xml:space="preserve">                    </w:t>
    </w:r>
    <w:r>
      <w:rPr>
        <w:sz w:val="20"/>
        <w:szCs w:val="20"/>
        <w:lang w:val="en-US" w:eastAsia="zh-CN"/>
      </w:rPr>
      <w:drawing>
        <wp:inline distT="0" distB="0" distL="0" distR="0">
          <wp:extent cx="876300" cy="311150"/>
          <wp:effectExtent l="0" t="0" r="0" b="0"/>
          <wp:docPr id="30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 w:eastAsia="zh-CN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9B640D"/>
    <w:multiLevelType w:val="singleLevel"/>
    <w:tmpl w:val="929B64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1ABC4B0"/>
    <w:multiLevelType w:val="singleLevel"/>
    <w:tmpl w:val="C1ABC4B0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">
    <w:nsid w:val="C8E90DD3"/>
    <w:multiLevelType w:val="singleLevel"/>
    <w:tmpl w:val="C8E90D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65E10D9"/>
    <w:multiLevelType w:val="singleLevel"/>
    <w:tmpl w:val="E65E10D9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">
    <w:nsid w:val="F09C44E7"/>
    <w:multiLevelType w:val="singleLevel"/>
    <w:tmpl w:val="F09C44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FFCE908B"/>
    <w:multiLevelType w:val="singleLevel"/>
    <w:tmpl w:val="FFCE90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816755C"/>
    <w:multiLevelType w:val="multilevel"/>
    <w:tmpl w:val="0816755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bCs w:val="0"/>
      </w:rPr>
    </w:lvl>
    <w:lvl w:ilvl="1" w:tentative="0">
      <w:start w:val="4"/>
      <w:numFmt w:val="decimal"/>
      <w:isLgl/>
      <w:lvlText w:val="%1.%2"/>
      <w:lvlJc w:val="left"/>
      <w:pPr>
        <w:ind w:left="648" w:hanging="648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0816F49F"/>
    <w:multiLevelType w:val="singleLevel"/>
    <w:tmpl w:val="0816F49F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1CD957D8"/>
    <w:multiLevelType w:val="multilevel"/>
    <w:tmpl w:val="1CD957D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5"/>
      <w:numFmt w:val="decimal"/>
      <w:isLgl/>
      <w:lvlText w:val="%1.%2"/>
      <w:lvlJc w:val="left"/>
      <w:pPr>
        <w:ind w:left="840" w:hanging="840"/>
      </w:pPr>
      <w:rPr>
        <w:rFonts w:hint="default"/>
      </w:rPr>
    </w:lvl>
    <w:lvl w:ilvl="2" w:tentative="0">
      <w:start w:val="2"/>
      <w:numFmt w:val="decimal"/>
      <w:isLgl/>
      <w:lvlText w:val="%1.%2.%3"/>
      <w:lvlJc w:val="left"/>
      <w:pPr>
        <w:ind w:left="840" w:hanging="84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840" w:hanging="84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272CD87C"/>
    <w:multiLevelType w:val="singleLevel"/>
    <w:tmpl w:val="272CD8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31B402DC"/>
    <w:multiLevelType w:val="multilevel"/>
    <w:tmpl w:val="31B402DC"/>
    <w:lvl w:ilvl="0" w:tentative="0">
      <w:start w:val="1"/>
      <w:numFmt w:val="decimal"/>
      <w:lvlText w:val="%1."/>
      <w:lvlJc w:val="left"/>
      <w:pPr>
        <w:ind w:left="630" w:hanging="420"/>
      </w:pPr>
    </w:lvl>
    <w:lvl w:ilvl="1" w:tentative="0">
      <w:start w:val="3"/>
      <w:numFmt w:val="decimal"/>
      <w:isLgl/>
      <w:lvlText w:val="%1.%2"/>
      <w:lvlJc w:val="left"/>
      <w:pPr>
        <w:ind w:left="840" w:hanging="84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840" w:hanging="84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840" w:hanging="84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41796E33"/>
    <w:multiLevelType w:val="multilevel"/>
    <w:tmpl w:val="41796E33"/>
    <w:lvl w:ilvl="0" w:tentative="0">
      <w:start w:val="1"/>
      <w:numFmt w:val="decimal"/>
      <w:lvlText w:val="%1."/>
      <w:lvlJc w:val="left"/>
      <w:pPr>
        <w:ind w:left="516" w:hanging="516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16" w:hanging="516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D0DCF80"/>
    <w:multiLevelType w:val="singleLevel"/>
    <w:tmpl w:val="4D0DCF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70024F19"/>
    <w:multiLevelType w:val="multilevel"/>
    <w:tmpl w:val="70024F1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9713037"/>
    <w:multiLevelType w:val="singleLevel"/>
    <w:tmpl w:val="797130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14"/>
  </w:num>
  <w:num w:numId="12">
    <w:abstractNumId w:val="6"/>
  </w:num>
  <w:num w:numId="13">
    <w:abstractNumId w:val="11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5ZTNhM2E1ZWNmYTlmNjAyYTRhYTJkYzZkZWIyZWUifQ=="/>
  </w:docVars>
  <w:rsids>
    <w:rsidRoot w:val="00802948"/>
    <w:rsid w:val="00315D9B"/>
    <w:rsid w:val="005A10D3"/>
    <w:rsid w:val="00802948"/>
    <w:rsid w:val="0819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snapToGrid w:val="0"/>
      <w:spacing w:before="80" w:after="60"/>
      <w:outlineLvl w:val="1"/>
    </w:pPr>
    <w:rPr>
      <w:rFonts w:hint="eastAsia" w:ascii="Arial" w:hAnsi="Arial" w:eastAsia="黑体"/>
      <w:b/>
      <w:sz w:val="32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/>
      <w:kern w:val="0"/>
      <w:sz w:val="22"/>
      <w:szCs w:val="22"/>
    </w:rPr>
  </w:style>
  <w:style w:type="paragraph" w:styleId="6">
    <w:name w:val="footer"/>
    <w:basedOn w:val="1"/>
    <w:link w:val="1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="等线" w:hAnsi="等线" w:eastAsia="等线"/>
      <w:kern w:val="0"/>
      <w:sz w:val="22"/>
      <w:szCs w:val="22"/>
    </w:rPr>
  </w:style>
  <w:style w:type="paragraph" w:styleId="9">
    <w:name w:val="toc 2"/>
    <w:basedOn w:val="1"/>
    <w:next w:val="1"/>
    <w:unhideWhenUsed/>
    <w:uiPriority w:val="39"/>
    <w:pPr>
      <w:widowControl/>
      <w:tabs>
        <w:tab w:val="right" w:leader="dot" w:pos="10025"/>
      </w:tabs>
      <w:spacing w:after="100" w:line="259" w:lineRule="auto"/>
      <w:ind w:left="220"/>
      <w:jc w:val="left"/>
    </w:pPr>
    <w:rPr>
      <w:rFonts w:ascii="等线" w:hAnsi="等线" w:eastAsia="等线"/>
      <w:b/>
      <w:bCs/>
      <w:kern w:val="0"/>
      <w:sz w:val="22"/>
      <w:szCs w:val="22"/>
      <w:lang w:val="en-US" w:eastAsia="zh-CN"/>
    </w:rPr>
  </w:style>
  <w:style w:type="character" w:styleId="12">
    <w:name w:val="page number"/>
    <w:basedOn w:val="11"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0"/>
    <w:rPr>
      <w:rFonts w:ascii="Arial" w:hAnsi="Arial" w:eastAsia="黑体" w:cs="Times New Roman"/>
      <w:b/>
      <w:sz w:val="32"/>
      <w:szCs w:val="24"/>
    </w:rPr>
  </w:style>
  <w:style w:type="character" w:customStyle="1" w:styleId="16">
    <w:name w:val="标题 3 字符"/>
    <w:basedOn w:val="11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7">
    <w:name w:val="p0"/>
    <w:basedOn w:val="1"/>
    <w:uiPriority w:val="0"/>
    <w:pPr>
      <w:widowControl/>
    </w:pPr>
    <w:rPr>
      <w:kern w:val="0"/>
      <w:szCs w:val="21"/>
    </w:rPr>
  </w:style>
  <w:style w:type="character" w:customStyle="1" w:styleId="18">
    <w:name w:val="页眉 字符"/>
    <w:basedOn w:val="11"/>
    <w:link w:val="7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字符"/>
    <w:basedOn w:val="11"/>
    <w:link w:val="6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6575</Words>
  <Characters>6797</Characters>
  <Lines>60</Lines>
  <Paragraphs>17</Paragraphs>
  <TotalTime>6</TotalTime>
  <ScaleCrop>false</ScaleCrop>
  <LinksUpToDate>false</LinksUpToDate>
  <CharactersWithSpaces>6919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2022-04-15T05:29:00Z</dcterms:created>
  <dc:creator>佳宁 万</dc:creator>
  <cp:lastModifiedBy>远方</cp:lastModifiedBy>
  <dcterms:modified xsi:type="dcterms:W3CDTF">2022-05-07T07:19:01Z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362E063C2E08495FB1660AFC07D8BDDF</vt:lpwstr>
  </property>
</Properties>
</file>