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07CF6" w:rsidRPr="00207CF6" w:rsidRDefault="00207CF6" w:rsidP="00207CF6">
      <w:pPr>
        <w:widowControl/>
        <w:spacing w:before="390" w:after="150" w:line="540" w:lineRule="atLeast"/>
        <w:jc w:val="left"/>
        <w:outlineLvl w:val="0"/>
        <w:rPr>
          <w:rFonts w:ascii="宋体" w:eastAsia="宋体" w:hAnsi="宋体" w:cs="宋体"/>
          <w:b/>
          <w:bCs/>
          <w:kern w:val="36"/>
          <w:sz w:val="42"/>
          <w:szCs w:val="42"/>
        </w:rPr>
      </w:pPr>
      <w:r w:rsidRPr="00207CF6">
        <w:rPr>
          <w:rFonts w:ascii="宋体" w:eastAsia="宋体" w:hAnsi="宋体" w:cs="宋体"/>
          <w:b/>
          <w:bCs/>
          <w:kern w:val="36"/>
          <w:sz w:val="42"/>
          <w:szCs w:val="42"/>
        </w:rPr>
        <w:t>1、使用场景</w:t>
      </w:r>
    </w:p>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科目不仅可用于根据不同准则建立多套COA科目体系，例如支持建立IFRS和国内会计准则科目；也可用来存储不同准则的分析指标、校验科目等信息。</w:t>
      </w:r>
    </w:p>
    <w:p w:rsidR="00207CF6" w:rsidRPr="00207CF6" w:rsidRDefault="00207CF6" w:rsidP="00207CF6">
      <w:pPr>
        <w:widowControl/>
        <w:spacing w:before="390" w:after="150" w:line="540" w:lineRule="atLeast"/>
        <w:jc w:val="left"/>
        <w:outlineLvl w:val="0"/>
        <w:rPr>
          <w:rFonts w:ascii="宋体" w:eastAsia="宋体" w:hAnsi="宋体" w:cs="宋体"/>
          <w:b/>
          <w:bCs/>
          <w:kern w:val="36"/>
          <w:sz w:val="42"/>
          <w:szCs w:val="42"/>
        </w:rPr>
      </w:pPr>
      <w:r w:rsidRPr="00207CF6">
        <w:rPr>
          <w:rFonts w:ascii="宋体" w:eastAsia="宋体" w:hAnsi="宋体" w:cs="宋体"/>
          <w:b/>
          <w:bCs/>
          <w:kern w:val="36"/>
          <w:sz w:val="42"/>
          <w:szCs w:val="42"/>
        </w:rPr>
        <w:t>2、属性说明</w:t>
      </w:r>
    </w:p>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科目维度包含多种属性设置，如定义计算类型、在其他维度上的时间汇总方式、数据类型、科目关联变动类型的写入范围、末级成员是否向上合计、数据的计算顺序等。</w:t>
      </w:r>
    </w:p>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fldChar w:fldCharType="begin"/>
      </w:r>
      <w:r w:rsidRPr="00207CF6">
        <w:rPr>
          <w:rFonts w:ascii="宋体" w:eastAsia="宋体" w:hAnsi="宋体" w:cs="宋体"/>
          <w:kern w:val="0"/>
        </w:rPr>
        <w:instrText xml:space="preserve"> INCLUDEPICTURE "https://cdn.nlark.com/yuque/0/2022/png/26113090/1646637546821-18c237eb-e03c-4770-873a-1e9b30fd2ea9.png" \* MERGEFORMATINET </w:instrText>
      </w:r>
      <w:r w:rsidRPr="00207CF6">
        <w:rPr>
          <w:rFonts w:ascii="宋体" w:eastAsia="宋体" w:hAnsi="宋体" w:cs="宋体"/>
          <w:kern w:val="0"/>
        </w:rPr>
        <w:fldChar w:fldCharType="separate"/>
      </w:r>
      <w:r w:rsidRPr="00207CF6">
        <w:rPr>
          <w:rFonts w:ascii="宋体" w:eastAsia="宋体" w:hAnsi="宋体" w:cs="宋体"/>
          <w:noProof/>
          <w:kern w:val="0"/>
        </w:rPr>
        <w:drawing>
          <wp:inline distT="0" distB="0" distL="0" distR="0">
            <wp:extent cx="5270500" cy="244030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7846459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70500" cy="2440305"/>
                    </a:xfrm>
                    <a:prstGeom prst="rect">
                      <a:avLst/>
                    </a:prstGeom>
                    <a:noFill/>
                    <a:ln>
                      <a:noFill/>
                    </a:ln>
                  </pic:spPr>
                </pic:pic>
              </a:graphicData>
            </a:graphic>
          </wp:inline>
        </w:drawing>
      </w:r>
      <w:r w:rsidRPr="00207CF6">
        <w:rPr>
          <w:rFonts w:ascii="宋体" w:eastAsia="宋体" w:hAnsi="宋体" w:cs="宋体"/>
          <w:kern w:val="0"/>
        </w:rPr>
        <w:fldChar w:fldCharType="end"/>
      </w:r>
    </w:p>
    <w:tbl>
      <w:tblPr>
        <w:tblW w:w="9780" w:type="dxa"/>
        <w:tblBorders>
          <w:top w:val="single" w:sz="6" w:space="0" w:color="D9D9D9"/>
          <w:left w:val="single" w:sz="6" w:space="0" w:color="D9D9D9"/>
          <w:bottom w:val="single" w:sz="6" w:space="0" w:color="D9D9D9"/>
          <w:right w:val="single" w:sz="6" w:space="0" w:color="D9D9D9"/>
        </w:tblBorders>
        <w:tblCellMar>
          <w:top w:w="15" w:type="dxa"/>
          <w:left w:w="15" w:type="dxa"/>
          <w:bottom w:w="15" w:type="dxa"/>
          <w:right w:w="15" w:type="dxa"/>
        </w:tblCellMar>
        <w:tblLook w:val="04A0" w:firstRow="1" w:lastRow="0" w:firstColumn="1" w:lastColumn="0" w:noHBand="0" w:noVBand="1"/>
      </w:tblPr>
      <w:tblGrid>
        <w:gridCol w:w="2963"/>
        <w:gridCol w:w="6817"/>
      </w:tblGrid>
      <w:tr w:rsidR="00207CF6" w:rsidRPr="00207CF6" w:rsidTr="00207CF6">
        <w:trPr>
          <w:trHeight w:val="495"/>
        </w:trPr>
        <w:tc>
          <w:tcPr>
            <w:tcW w:w="1500" w:type="pct"/>
            <w:tcBorders>
              <w:top w:val="single" w:sz="6" w:space="0" w:color="D9D9D9"/>
              <w:left w:val="single" w:sz="6" w:space="0" w:color="D9D9D9"/>
              <w:bottom w:val="single" w:sz="6" w:space="0" w:color="D9D9D9"/>
              <w:right w:val="single" w:sz="6" w:space="0" w:color="D9D9D9"/>
            </w:tcBorders>
            <w:shd w:val="clear" w:color="auto" w:fill="DEE8FC"/>
            <w:vAlign w:val="center"/>
            <w:hideMark/>
          </w:tcPr>
          <w:p w:rsidR="00207CF6" w:rsidRPr="00207CF6" w:rsidRDefault="00207CF6" w:rsidP="00207CF6">
            <w:pPr>
              <w:widowControl/>
              <w:rPr>
                <w:rFonts w:ascii="宋体" w:eastAsia="宋体" w:hAnsi="宋体" w:cs="宋体"/>
                <w:kern w:val="0"/>
              </w:rPr>
            </w:pPr>
            <w:r w:rsidRPr="00207CF6">
              <w:rPr>
                <w:rFonts w:ascii="宋体" w:eastAsia="宋体" w:hAnsi="宋体" w:cs="宋体"/>
                <w:b/>
                <w:bCs/>
                <w:kern w:val="0"/>
              </w:rPr>
              <w:t>属性</w:t>
            </w:r>
          </w:p>
        </w:tc>
        <w:tc>
          <w:tcPr>
            <w:tcW w:w="3450" w:type="pct"/>
            <w:tcBorders>
              <w:top w:val="single" w:sz="6" w:space="0" w:color="D9D9D9"/>
              <w:left w:val="single" w:sz="6" w:space="0" w:color="D9D9D9"/>
              <w:bottom w:val="single" w:sz="6" w:space="0" w:color="D9D9D9"/>
              <w:right w:val="single" w:sz="6" w:space="0" w:color="D9D9D9"/>
            </w:tcBorders>
            <w:shd w:val="clear" w:color="auto" w:fill="DEE8FC"/>
            <w:vAlign w:val="center"/>
            <w:hideMark/>
          </w:tcPr>
          <w:p w:rsidR="00207CF6" w:rsidRPr="00207CF6" w:rsidRDefault="00207CF6" w:rsidP="00207CF6">
            <w:pPr>
              <w:widowControl/>
              <w:rPr>
                <w:rFonts w:ascii="宋体" w:eastAsia="宋体" w:hAnsi="宋体" w:cs="宋体"/>
                <w:kern w:val="0"/>
              </w:rPr>
            </w:pPr>
            <w:r w:rsidRPr="00207CF6">
              <w:rPr>
                <w:rFonts w:ascii="宋体" w:eastAsia="宋体" w:hAnsi="宋体" w:cs="宋体"/>
                <w:b/>
                <w:bCs/>
                <w:color w:val="000000"/>
                <w:kern w:val="0"/>
              </w:rPr>
              <w:t>注释</w:t>
            </w:r>
          </w:p>
        </w:tc>
      </w:tr>
      <w:tr w:rsidR="00207CF6" w:rsidRPr="00207CF6" w:rsidTr="00207CF6">
        <w:trPr>
          <w:trHeight w:val="495"/>
        </w:trPr>
        <w:tc>
          <w:tcPr>
            <w:tcW w:w="15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rPr>
                <w:rFonts w:ascii="宋体" w:eastAsia="宋体" w:hAnsi="宋体" w:cs="宋体"/>
                <w:kern w:val="0"/>
              </w:rPr>
            </w:pPr>
            <w:r w:rsidRPr="00207CF6">
              <w:rPr>
                <w:rFonts w:ascii="宋体" w:eastAsia="宋体" w:hAnsi="宋体" w:cs="宋体"/>
                <w:kern w:val="0"/>
              </w:rPr>
              <w:t>标识</w:t>
            </w:r>
          </w:p>
        </w:tc>
        <w:tc>
          <w:tcPr>
            <w:tcW w:w="345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rPr>
                <w:rFonts w:ascii="宋体" w:eastAsia="宋体" w:hAnsi="宋体" w:cs="宋体"/>
                <w:kern w:val="0"/>
              </w:rPr>
            </w:pPr>
            <w:r w:rsidRPr="00207CF6">
              <w:rPr>
                <w:rFonts w:ascii="宋体" w:eastAsia="宋体" w:hAnsi="宋体" w:cs="宋体"/>
                <w:kern w:val="0"/>
              </w:rPr>
              <w:t>维度成员的标识，同维度下需要唯一</w:t>
            </w:r>
          </w:p>
        </w:tc>
      </w:tr>
      <w:tr w:rsidR="00207CF6" w:rsidRPr="00207CF6" w:rsidTr="00207CF6">
        <w:trPr>
          <w:trHeight w:val="495"/>
        </w:trPr>
        <w:tc>
          <w:tcPr>
            <w:tcW w:w="15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rPr>
                <w:rFonts w:ascii="宋体" w:eastAsia="宋体" w:hAnsi="宋体" w:cs="宋体"/>
                <w:kern w:val="0"/>
              </w:rPr>
            </w:pPr>
            <w:r w:rsidRPr="00207CF6">
              <w:rPr>
                <w:rFonts w:ascii="宋体" w:eastAsia="宋体" w:hAnsi="宋体" w:cs="宋体"/>
                <w:kern w:val="0"/>
              </w:rPr>
              <w:t>名称</w:t>
            </w:r>
          </w:p>
        </w:tc>
        <w:tc>
          <w:tcPr>
            <w:tcW w:w="345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rPr>
                <w:rFonts w:ascii="宋体" w:eastAsia="宋体" w:hAnsi="宋体" w:cs="宋体"/>
                <w:kern w:val="0"/>
              </w:rPr>
            </w:pPr>
            <w:r w:rsidRPr="00207CF6">
              <w:rPr>
                <w:rFonts w:ascii="宋体" w:eastAsia="宋体" w:hAnsi="宋体" w:cs="宋体"/>
                <w:kern w:val="0"/>
              </w:rPr>
              <w:t>维度成员名称，可重复</w:t>
            </w:r>
          </w:p>
        </w:tc>
      </w:tr>
      <w:tr w:rsidR="00207CF6" w:rsidRPr="00207CF6" w:rsidTr="00207CF6">
        <w:trPr>
          <w:trHeight w:val="495"/>
        </w:trPr>
        <w:tc>
          <w:tcPr>
            <w:tcW w:w="15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上一级</w:t>
            </w:r>
          </w:p>
        </w:tc>
        <w:tc>
          <w:tcPr>
            <w:tcW w:w="345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支持成员共享，同一个科目可以归属于多个上级成员，适用于主表以及附注表或者其他分析报表共用同一个科目的业务场景。</w:t>
            </w:r>
          </w:p>
        </w:tc>
      </w:tr>
      <w:tr w:rsidR="00207CF6" w:rsidRPr="00207CF6" w:rsidTr="00207CF6">
        <w:trPr>
          <w:trHeight w:val="495"/>
        </w:trPr>
        <w:tc>
          <w:tcPr>
            <w:tcW w:w="15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rPr>
                <w:rFonts w:ascii="宋体" w:eastAsia="宋体" w:hAnsi="宋体" w:cs="宋体"/>
                <w:kern w:val="0"/>
              </w:rPr>
            </w:pPr>
            <w:r w:rsidRPr="00207CF6">
              <w:rPr>
                <w:rFonts w:ascii="宋体" w:eastAsia="宋体" w:hAnsi="宋体" w:cs="宋体"/>
                <w:kern w:val="0"/>
              </w:rPr>
              <w:t>计算类型</w:t>
            </w:r>
          </w:p>
        </w:tc>
        <w:tc>
          <w:tcPr>
            <w:tcW w:w="345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rPr>
                <w:rFonts w:ascii="宋体" w:eastAsia="宋体" w:hAnsi="宋体" w:cs="宋体"/>
                <w:kern w:val="0"/>
              </w:rPr>
            </w:pPr>
            <w:r w:rsidRPr="00207CF6">
              <w:rPr>
                <w:rFonts w:ascii="宋体" w:eastAsia="宋体" w:hAnsi="宋体" w:cs="宋体"/>
                <w:kern w:val="0"/>
              </w:rPr>
              <w:t>输入型、公式型、合计型</w:t>
            </w:r>
          </w:p>
        </w:tc>
      </w:tr>
      <w:tr w:rsidR="00207CF6" w:rsidRPr="00207CF6" w:rsidTr="00207CF6">
        <w:trPr>
          <w:trHeight w:val="495"/>
        </w:trPr>
        <w:tc>
          <w:tcPr>
            <w:tcW w:w="15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rPr>
                <w:rFonts w:ascii="宋体" w:eastAsia="宋体" w:hAnsi="宋体" w:cs="宋体"/>
                <w:kern w:val="0"/>
              </w:rPr>
            </w:pPr>
            <w:r w:rsidRPr="00207CF6">
              <w:rPr>
                <w:rFonts w:ascii="宋体" w:eastAsia="宋体" w:hAnsi="宋体" w:cs="宋体"/>
                <w:kern w:val="0"/>
              </w:rPr>
              <w:t>成员公式</w:t>
            </w:r>
          </w:p>
        </w:tc>
        <w:tc>
          <w:tcPr>
            <w:tcW w:w="345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rPr>
                <w:rFonts w:ascii="宋体" w:eastAsia="宋体" w:hAnsi="宋体" w:cs="宋体"/>
                <w:kern w:val="0"/>
              </w:rPr>
            </w:pPr>
            <w:r w:rsidRPr="00207CF6">
              <w:rPr>
                <w:rFonts w:ascii="宋体" w:eastAsia="宋体" w:hAnsi="宋体" w:cs="宋体"/>
                <w:kern w:val="0"/>
              </w:rPr>
              <w:t>填写维度成员的数据计算规则，需科目类型为公式型</w:t>
            </w:r>
          </w:p>
        </w:tc>
      </w:tr>
      <w:tr w:rsidR="00207CF6" w:rsidRPr="00207CF6" w:rsidTr="00207CF6">
        <w:trPr>
          <w:trHeight w:val="495"/>
        </w:trPr>
        <w:tc>
          <w:tcPr>
            <w:tcW w:w="15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rPr>
                <w:rFonts w:ascii="宋体" w:eastAsia="宋体" w:hAnsi="宋体" w:cs="宋体"/>
                <w:kern w:val="0"/>
              </w:rPr>
            </w:pPr>
            <w:r w:rsidRPr="00207CF6">
              <w:rPr>
                <w:rFonts w:ascii="宋体" w:eastAsia="宋体" w:hAnsi="宋体" w:cs="宋体"/>
                <w:kern w:val="0"/>
              </w:rPr>
              <w:t>时间汇总方式</w:t>
            </w:r>
          </w:p>
        </w:tc>
        <w:tc>
          <w:tcPr>
            <w:tcW w:w="345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rPr>
                <w:rFonts w:ascii="宋体" w:eastAsia="宋体" w:hAnsi="宋体" w:cs="宋体"/>
                <w:kern w:val="0"/>
              </w:rPr>
            </w:pPr>
            <w:r w:rsidRPr="00207CF6">
              <w:rPr>
                <w:rFonts w:ascii="宋体" w:eastAsia="宋体" w:hAnsi="宋体" w:cs="宋体"/>
                <w:kern w:val="0"/>
              </w:rPr>
              <w:t>指标在期间维度上的展现方式</w:t>
            </w:r>
          </w:p>
        </w:tc>
      </w:tr>
      <w:tr w:rsidR="00207CF6" w:rsidRPr="00207CF6" w:rsidTr="00207CF6">
        <w:trPr>
          <w:trHeight w:val="495"/>
        </w:trPr>
        <w:tc>
          <w:tcPr>
            <w:tcW w:w="15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rPr>
                <w:rFonts w:ascii="宋体" w:eastAsia="宋体" w:hAnsi="宋体" w:cs="宋体"/>
                <w:kern w:val="0"/>
              </w:rPr>
            </w:pPr>
            <w:r w:rsidRPr="00207CF6">
              <w:rPr>
                <w:rFonts w:ascii="宋体" w:eastAsia="宋体" w:hAnsi="宋体" w:cs="宋体"/>
                <w:kern w:val="0"/>
              </w:rPr>
              <w:t>数据类型</w:t>
            </w:r>
          </w:p>
        </w:tc>
        <w:tc>
          <w:tcPr>
            <w:tcW w:w="345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rPr>
                <w:rFonts w:ascii="宋体" w:eastAsia="宋体" w:hAnsi="宋体" w:cs="宋体"/>
                <w:kern w:val="0"/>
              </w:rPr>
            </w:pPr>
            <w:r w:rsidRPr="00207CF6">
              <w:rPr>
                <w:rFonts w:ascii="宋体" w:eastAsia="宋体" w:hAnsi="宋体" w:cs="宋体"/>
                <w:kern w:val="0"/>
              </w:rPr>
              <w:t>定义数值显示格式为货币、非货币、百分比、未指定项</w:t>
            </w:r>
          </w:p>
        </w:tc>
      </w:tr>
      <w:tr w:rsidR="00207CF6" w:rsidRPr="00207CF6" w:rsidTr="00207CF6">
        <w:trPr>
          <w:trHeight w:val="495"/>
        </w:trPr>
        <w:tc>
          <w:tcPr>
            <w:tcW w:w="15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rPr>
                <w:rFonts w:ascii="宋体" w:eastAsia="宋体" w:hAnsi="宋体" w:cs="宋体"/>
                <w:kern w:val="0"/>
              </w:rPr>
            </w:pPr>
            <w:r w:rsidRPr="00207CF6">
              <w:rPr>
                <w:rFonts w:ascii="宋体" w:eastAsia="宋体" w:hAnsi="宋体" w:cs="宋体"/>
                <w:kern w:val="0"/>
              </w:rPr>
              <w:lastRenderedPageBreak/>
              <w:t>小数位数</w:t>
            </w:r>
          </w:p>
        </w:tc>
        <w:tc>
          <w:tcPr>
            <w:tcW w:w="345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rPr>
                <w:rFonts w:ascii="宋体" w:eastAsia="宋体" w:hAnsi="宋体" w:cs="宋体"/>
                <w:kern w:val="0"/>
              </w:rPr>
            </w:pPr>
            <w:r w:rsidRPr="00207CF6">
              <w:rPr>
                <w:rFonts w:ascii="宋体" w:eastAsia="宋体" w:hAnsi="宋体" w:cs="宋体"/>
                <w:kern w:val="0"/>
              </w:rPr>
              <w:t>报表显示小数位数，最多显示小数点后几位，可输入0~6的整数</w:t>
            </w:r>
          </w:p>
        </w:tc>
      </w:tr>
      <w:tr w:rsidR="00207CF6" w:rsidRPr="00207CF6" w:rsidTr="00207CF6">
        <w:trPr>
          <w:trHeight w:val="945"/>
        </w:trPr>
        <w:tc>
          <w:tcPr>
            <w:tcW w:w="15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是否向上合计</w:t>
            </w:r>
          </w:p>
        </w:tc>
        <w:tc>
          <w:tcPr>
            <w:tcW w:w="345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当计算类型为合计型时，该属性决定下级成员数据是否需要汇总至父节点</w:t>
            </w:r>
          </w:p>
        </w:tc>
      </w:tr>
      <w:tr w:rsidR="00207CF6" w:rsidRPr="00207CF6" w:rsidTr="00207CF6">
        <w:trPr>
          <w:trHeight w:val="495"/>
        </w:trPr>
        <w:tc>
          <w:tcPr>
            <w:tcW w:w="15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科目类型</w:t>
            </w:r>
          </w:p>
        </w:tc>
        <w:tc>
          <w:tcPr>
            <w:tcW w:w="345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ASSERT、LIABILITY、REVENUE、EXPENSE、FLOW、BALANCE、LABEL（</w:t>
            </w:r>
            <w:r w:rsidRPr="00207CF6">
              <w:rPr>
                <w:rFonts w:ascii="宋体" w:eastAsia="宋体" w:hAnsi="宋体" w:cs="宋体"/>
                <w:b/>
                <w:bCs/>
                <w:kern w:val="0"/>
              </w:rPr>
              <w:t>非财务类科目FLOW、BALANCE、LABEL不支持凭证钻取</w:t>
            </w:r>
            <w:r w:rsidRPr="00207CF6">
              <w:rPr>
                <w:rFonts w:ascii="宋体" w:eastAsia="宋体" w:hAnsi="宋体" w:cs="宋体"/>
                <w:kern w:val="0"/>
              </w:rPr>
              <w:t>）</w:t>
            </w:r>
          </w:p>
        </w:tc>
      </w:tr>
      <w:tr w:rsidR="00207CF6" w:rsidRPr="00207CF6" w:rsidTr="00207CF6">
        <w:trPr>
          <w:trHeight w:val="495"/>
        </w:trPr>
        <w:tc>
          <w:tcPr>
            <w:tcW w:w="15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变动类型</w:t>
            </w:r>
          </w:p>
        </w:tc>
        <w:tc>
          <w:tcPr>
            <w:tcW w:w="345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科目关联变动类型的写入范围（写入逻辑参照《变动类型》一节)</w:t>
            </w:r>
          </w:p>
        </w:tc>
      </w:tr>
      <w:tr w:rsidR="00207CF6" w:rsidRPr="00207CF6" w:rsidTr="00207CF6">
        <w:trPr>
          <w:trHeight w:val="495"/>
        </w:trPr>
        <w:tc>
          <w:tcPr>
            <w:tcW w:w="15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适用汇率</w:t>
            </w:r>
          </w:p>
        </w:tc>
        <w:tc>
          <w:tcPr>
            <w:tcW w:w="345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科目适用的折算汇率类型</w:t>
            </w:r>
          </w:p>
        </w:tc>
      </w:tr>
      <w:tr w:rsidR="00207CF6" w:rsidRPr="00207CF6" w:rsidTr="00207CF6">
        <w:trPr>
          <w:trHeight w:val="495"/>
        </w:trPr>
        <w:tc>
          <w:tcPr>
            <w:tcW w:w="15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父节点是否自动合计</w:t>
            </w:r>
          </w:p>
        </w:tc>
        <w:tc>
          <w:tcPr>
            <w:tcW w:w="345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决定合计型科目的父节点是否需要根据下级成员自动合计</w:t>
            </w:r>
          </w:p>
        </w:tc>
      </w:tr>
      <w:tr w:rsidR="00207CF6" w:rsidRPr="00207CF6" w:rsidTr="00207CF6">
        <w:trPr>
          <w:trHeight w:val="495"/>
        </w:trPr>
        <w:tc>
          <w:tcPr>
            <w:tcW w:w="15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报表输入精度</w:t>
            </w:r>
          </w:p>
        </w:tc>
        <w:tc>
          <w:tcPr>
            <w:tcW w:w="345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写入模型的数据小数位数</w:t>
            </w:r>
          </w:p>
        </w:tc>
      </w:tr>
      <w:tr w:rsidR="00207CF6" w:rsidRPr="00207CF6" w:rsidTr="00207CF6">
        <w:trPr>
          <w:trHeight w:val="495"/>
        </w:trPr>
        <w:tc>
          <w:tcPr>
            <w:tcW w:w="15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rPr>
                <w:rFonts w:ascii="宋体" w:eastAsia="宋体" w:hAnsi="宋体" w:cs="宋体"/>
                <w:kern w:val="0"/>
              </w:rPr>
            </w:pPr>
            <w:r w:rsidRPr="00207CF6">
              <w:rPr>
                <w:rFonts w:ascii="宋体" w:eastAsia="宋体" w:hAnsi="宋体" w:cs="宋体"/>
                <w:kern w:val="0"/>
              </w:rPr>
              <w:t>计算顺序</w:t>
            </w:r>
          </w:p>
        </w:tc>
        <w:tc>
          <w:tcPr>
            <w:tcW w:w="345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rPr>
                <w:rFonts w:ascii="宋体" w:eastAsia="宋体" w:hAnsi="宋体" w:cs="宋体"/>
                <w:kern w:val="0"/>
              </w:rPr>
            </w:pPr>
            <w:r w:rsidRPr="00207CF6">
              <w:rPr>
                <w:rFonts w:ascii="宋体" w:eastAsia="宋体" w:hAnsi="宋体" w:cs="宋体"/>
                <w:kern w:val="0"/>
              </w:rPr>
              <w:t>数据在自定义维度父节点的计算顺序</w:t>
            </w:r>
          </w:p>
        </w:tc>
      </w:tr>
      <w:tr w:rsidR="00207CF6" w:rsidRPr="00207CF6" w:rsidTr="00207CF6">
        <w:trPr>
          <w:trHeight w:val="495"/>
        </w:trPr>
        <w:tc>
          <w:tcPr>
            <w:tcW w:w="15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rPr>
                <w:rFonts w:ascii="宋体" w:eastAsia="宋体" w:hAnsi="宋体" w:cs="宋体"/>
                <w:kern w:val="0"/>
              </w:rPr>
            </w:pPr>
            <w:r w:rsidRPr="00207CF6">
              <w:rPr>
                <w:rFonts w:ascii="宋体" w:eastAsia="宋体" w:hAnsi="宋体" w:cs="宋体"/>
                <w:kern w:val="0"/>
              </w:rPr>
              <w:t>组织汇总方式</w:t>
            </w:r>
          </w:p>
        </w:tc>
        <w:tc>
          <w:tcPr>
            <w:tcW w:w="345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rPr>
                <w:rFonts w:ascii="宋体" w:eastAsia="宋体" w:hAnsi="宋体" w:cs="宋体"/>
                <w:kern w:val="0"/>
              </w:rPr>
            </w:pPr>
            <w:r w:rsidRPr="00207CF6">
              <w:rPr>
                <w:rFonts w:ascii="宋体" w:eastAsia="宋体" w:hAnsi="宋体" w:cs="宋体"/>
                <w:kern w:val="0"/>
              </w:rPr>
              <w:t>数据在组织维度父节点上的计算顺序</w:t>
            </w:r>
          </w:p>
        </w:tc>
      </w:tr>
      <w:tr w:rsidR="00207CF6" w:rsidRPr="00207CF6" w:rsidTr="00207CF6">
        <w:trPr>
          <w:trHeight w:val="495"/>
        </w:trPr>
        <w:tc>
          <w:tcPr>
            <w:tcW w:w="15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rPr>
                <w:rFonts w:ascii="宋体" w:eastAsia="宋体" w:hAnsi="宋体" w:cs="宋体"/>
                <w:kern w:val="0"/>
              </w:rPr>
            </w:pPr>
            <w:r w:rsidRPr="00207CF6">
              <w:rPr>
                <w:rFonts w:ascii="宋体" w:eastAsia="宋体" w:hAnsi="宋体" w:cs="宋体"/>
                <w:kern w:val="0"/>
              </w:rPr>
              <w:t>期间计算顺序</w:t>
            </w:r>
          </w:p>
        </w:tc>
        <w:tc>
          <w:tcPr>
            <w:tcW w:w="345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rPr>
                <w:rFonts w:ascii="宋体" w:eastAsia="宋体" w:hAnsi="宋体" w:cs="宋体"/>
                <w:kern w:val="0"/>
              </w:rPr>
            </w:pPr>
            <w:r w:rsidRPr="00207CF6">
              <w:rPr>
                <w:rFonts w:ascii="宋体" w:eastAsia="宋体" w:hAnsi="宋体" w:cs="宋体"/>
                <w:kern w:val="0"/>
              </w:rPr>
              <w:t>数据在期间维度父节点上的计算顺序</w:t>
            </w:r>
          </w:p>
        </w:tc>
      </w:tr>
    </w:tbl>
    <w:p w:rsidR="00207CF6" w:rsidRPr="00207CF6" w:rsidRDefault="00207CF6" w:rsidP="00207CF6">
      <w:pPr>
        <w:widowControl/>
        <w:jc w:val="left"/>
        <w:rPr>
          <w:rFonts w:ascii="宋体" w:eastAsia="宋体" w:hAnsi="宋体" w:cs="宋体"/>
          <w:kern w:val="0"/>
        </w:rPr>
      </w:pPr>
      <w:r w:rsidRPr="00207CF6">
        <w:rPr>
          <w:rFonts w:ascii="宋体" w:eastAsia="宋体" w:hAnsi="宋体" w:cs="宋体"/>
          <w:b/>
          <w:bCs/>
          <w:kern w:val="0"/>
        </w:rPr>
        <w:t>这里重点对一些成员设置项做出讲解：</w:t>
      </w:r>
    </w:p>
    <w:p w:rsidR="00207CF6" w:rsidRPr="00207CF6" w:rsidRDefault="00207CF6" w:rsidP="00207CF6">
      <w:pPr>
        <w:widowControl/>
        <w:spacing w:before="315" w:after="75" w:line="480" w:lineRule="atLeast"/>
        <w:jc w:val="left"/>
        <w:outlineLvl w:val="1"/>
        <w:rPr>
          <w:rFonts w:ascii="宋体" w:eastAsia="宋体" w:hAnsi="宋体" w:cs="宋体"/>
          <w:b/>
          <w:bCs/>
          <w:kern w:val="0"/>
          <w:sz w:val="36"/>
          <w:szCs w:val="36"/>
        </w:rPr>
      </w:pPr>
      <w:r w:rsidRPr="00207CF6">
        <w:rPr>
          <w:rFonts w:ascii="宋体" w:eastAsia="宋体" w:hAnsi="宋体" w:cs="宋体"/>
          <w:b/>
          <w:bCs/>
          <w:kern w:val="0"/>
          <w:sz w:val="36"/>
          <w:szCs w:val="36"/>
        </w:rPr>
        <w:t>计算类型：</w:t>
      </w:r>
    </w:p>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分为合计型、输入型、公式型</w:t>
      </w:r>
    </w:p>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合计型科目针对父节点需要自动汇总下级科目的数据，汇总逻辑是通过科目类型预置的计量方向确认的，具体如下：</w:t>
      </w:r>
    </w:p>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fldChar w:fldCharType="begin"/>
      </w:r>
      <w:r w:rsidRPr="00207CF6">
        <w:rPr>
          <w:rFonts w:ascii="宋体" w:eastAsia="宋体" w:hAnsi="宋体" w:cs="宋体"/>
          <w:kern w:val="0"/>
        </w:rPr>
        <w:instrText xml:space="preserve"> INCLUDEPICTURE "https://cdn.nlark.com/yuque/0/2022/png/26113090/1646636035306-fb4ffdd0-a175-4cfd-90b1-e77e1b365eb4.png" \* MERGEFORMATINET </w:instrText>
      </w:r>
      <w:r w:rsidRPr="00207CF6">
        <w:rPr>
          <w:rFonts w:ascii="宋体" w:eastAsia="宋体" w:hAnsi="宋体" w:cs="宋体"/>
          <w:kern w:val="0"/>
        </w:rPr>
        <w:fldChar w:fldCharType="separate"/>
      </w:r>
      <w:r w:rsidRPr="00207CF6">
        <w:rPr>
          <w:rFonts w:ascii="宋体" w:eastAsia="宋体" w:hAnsi="宋体" w:cs="宋体"/>
          <w:noProof/>
          <w:kern w:val="0"/>
        </w:rPr>
        <w:drawing>
          <wp:inline distT="0" distB="0" distL="0" distR="0">
            <wp:extent cx="5270500" cy="20447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fxn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0500" cy="2044700"/>
                    </a:xfrm>
                    <a:prstGeom prst="rect">
                      <a:avLst/>
                    </a:prstGeom>
                    <a:noFill/>
                    <a:ln>
                      <a:noFill/>
                    </a:ln>
                  </pic:spPr>
                </pic:pic>
              </a:graphicData>
            </a:graphic>
          </wp:inline>
        </w:drawing>
      </w:r>
      <w:r w:rsidRPr="00207CF6">
        <w:rPr>
          <w:rFonts w:ascii="宋体" w:eastAsia="宋体" w:hAnsi="宋体" w:cs="宋体"/>
          <w:kern w:val="0"/>
        </w:rPr>
        <w:fldChar w:fldCharType="end"/>
      </w:r>
    </w:p>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输入型主要针对需要写入数据的末级成员；</w:t>
      </w:r>
    </w:p>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lastRenderedPageBreak/>
        <w:t>公式型主要针对需要由不同层级的科目成员之间相互运算得到的成员，若设置为公式型，需要在成员公式编辑器中编辑科目对应的业务规则。在写入公式时，可以存在图形化和公式型两种界面，方便用户的操作。写入公式时也可以写入备注信息，方便阅读。</w:t>
      </w:r>
    </w:p>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成员公式主要用于校验指标和分析指标：例如：资产负债表平衡校验指标：资产合计=负债合计+所有者权益合计等非下级成员的汇总；流动比率等分析指标（计算类型设置为公式型，配置成员公式）。成员公式是基于模型实时生效的，因此使用时需要注意性能问题。</w:t>
      </w:r>
    </w:p>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关于成员公式的详细用法，请参考成员公式使用手册：</w:t>
      </w:r>
      <w:hyperlink r:id="rId6" w:tgtFrame="_blank" w:history="1">
        <w:r w:rsidRPr="00207CF6">
          <w:rPr>
            <w:rFonts w:ascii="宋体" w:eastAsia="宋体" w:hAnsi="宋体" w:cs="宋体"/>
            <w:color w:val="0000FF"/>
            <w:kern w:val="0"/>
            <w:u w:val="single"/>
          </w:rPr>
          <w:t>成员公式</w:t>
        </w:r>
      </w:hyperlink>
    </w:p>
    <w:p w:rsidR="00207CF6" w:rsidRPr="00207CF6" w:rsidRDefault="00207CF6" w:rsidP="00207CF6">
      <w:pPr>
        <w:widowControl/>
        <w:spacing w:before="315" w:after="75" w:line="480" w:lineRule="atLeast"/>
        <w:jc w:val="left"/>
        <w:outlineLvl w:val="1"/>
        <w:rPr>
          <w:rFonts w:ascii="宋体" w:eastAsia="宋体" w:hAnsi="宋体" w:cs="宋体"/>
          <w:b/>
          <w:bCs/>
          <w:kern w:val="0"/>
          <w:sz w:val="36"/>
          <w:szCs w:val="36"/>
        </w:rPr>
      </w:pPr>
      <w:r w:rsidRPr="00207CF6">
        <w:rPr>
          <w:rFonts w:ascii="宋体" w:eastAsia="宋体" w:hAnsi="宋体" w:cs="宋体"/>
          <w:b/>
          <w:bCs/>
          <w:kern w:val="0"/>
          <w:sz w:val="36"/>
          <w:szCs w:val="36"/>
        </w:rPr>
        <w:t>时间汇总方式：</w:t>
      </w:r>
    </w:p>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正常业务场景下使用加和方式；若需要查看期初金额或者期末金额，则可以固定为取第一期（取最后一期），也可根据后续管理报表使用拓展取平均值。</w:t>
      </w:r>
    </w:p>
    <w:p w:rsidR="00207CF6" w:rsidRPr="00207CF6" w:rsidRDefault="00207CF6" w:rsidP="00207CF6">
      <w:pPr>
        <w:widowControl/>
        <w:spacing w:before="315" w:after="75" w:line="480" w:lineRule="atLeast"/>
        <w:jc w:val="left"/>
        <w:outlineLvl w:val="1"/>
        <w:rPr>
          <w:rFonts w:ascii="宋体" w:eastAsia="宋体" w:hAnsi="宋体" w:cs="宋体"/>
          <w:b/>
          <w:bCs/>
          <w:kern w:val="0"/>
          <w:sz w:val="36"/>
          <w:szCs w:val="36"/>
        </w:rPr>
      </w:pPr>
      <w:r w:rsidRPr="00207CF6">
        <w:rPr>
          <w:rFonts w:ascii="宋体" w:eastAsia="宋体" w:hAnsi="宋体" w:cs="宋体"/>
          <w:b/>
          <w:bCs/>
          <w:kern w:val="0"/>
          <w:sz w:val="36"/>
          <w:szCs w:val="36"/>
        </w:rPr>
        <w:t>小数位数：</w:t>
      </w:r>
    </w:p>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可用于设置报表数据显示位数，该设置不对模型生效，仅对报表模块显示效果生效。该属性值优先级次于报表中显示设置的优先级。</w:t>
      </w:r>
    </w:p>
    <w:p w:rsidR="00207CF6" w:rsidRPr="00207CF6" w:rsidRDefault="00207CF6" w:rsidP="00207CF6">
      <w:pPr>
        <w:widowControl/>
        <w:spacing w:before="315" w:after="75" w:line="480" w:lineRule="atLeast"/>
        <w:jc w:val="left"/>
        <w:outlineLvl w:val="1"/>
        <w:rPr>
          <w:rFonts w:ascii="宋体" w:eastAsia="宋体" w:hAnsi="宋体" w:cs="宋体"/>
          <w:b/>
          <w:bCs/>
          <w:kern w:val="0"/>
          <w:sz w:val="36"/>
          <w:szCs w:val="36"/>
        </w:rPr>
      </w:pPr>
      <w:r w:rsidRPr="00207CF6">
        <w:rPr>
          <w:rFonts w:ascii="宋体" w:eastAsia="宋体" w:hAnsi="宋体" w:cs="宋体"/>
          <w:b/>
          <w:bCs/>
          <w:kern w:val="0"/>
          <w:sz w:val="36"/>
          <w:szCs w:val="36"/>
        </w:rPr>
        <w:t>科目类型：</w:t>
      </w:r>
    </w:p>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包括ASSERT、LIABILITY、REVENUE、EXPENSE、FLOW、BALANCE、LABEL，具体使用说明如下表所示：</w:t>
      </w:r>
    </w:p>
    <w:tbl>
      <w:tblPr>
        <w:tblW w:w="5000" w:type="pct"/>
        <w:tblBorders>
          <w:top w:val="single" w:sz="6" w:space="0" w:color="D9D9D9"/>
          <w:left w:val="single" w:sz="6" w:space="0" w:color="D9D9D9"/>
          <w:bottom w:val="single" w:sz="6" w:space="0" w:color="D9D9D9"/>
          <w:right w:val="single" w:sz="6" w:space="0" w:color="D9D9D9"/>
        </w:tblBorders>
        <w:tblCellMar>
          <w:top w:w="15" w:type="dxa"/>
          <w:left w:w="15" w:type="dxa"/>
          <w:bottom w:w="15" w:type="dxa"/>
          <w:right w:w="15" w:type="dxa"/>
        </w:tblCellMar>
        <w:tblLook w:val="04A0" w:firstRow="1" w:lastRow="0" w:firstColumn="1" w:lastColumn="0" w:noHBand="0" w:noVBand="1"/>
      </w:tblPr>
      <w:tblGrid>
        <w:gridCol w:w="2050"/>
        <w:gridCol w:w="2049"/>
        <w:gridCol w:w="2049"/>
        <w:gridCol w:w="2136"/>
      </w:tblGrid>
      <w:tr w:rsidR="00207CF6" w:rsidRPr="00207CF6" w:rsidTr="00207CF6">
        <w:trPr>
          <w:trHeight w:val="495"/>
        </w:trPr>
        <w:tc>
          <w:tcPr>
            <w:tcW w:w="12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科目类型</w:t>
            </w:r>
          </w:p>
        </w:tc>
        <w:tc>
          <w:tcPr>
            <w:tcW w:w="12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说明</w:t>
            </w:r>
          </w:p>
        </w:tc>
        <w:tc>
          <w:tcPr>
            <w:tcW w:w="12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借贷方向</w:t>
            </w:r>
          </w:p>
        </w:tc>
        <w:tc>
          <w:tcPr>
            <w:tcW w:w="125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值类型</w:t>
            </w:r>
          </w:p>
        </w:tc>
      </w:tr>
      <w:tr w:rsidR="00207CF6" w:rsidRPr="00207CF6" w:rsidTr="00207CF6">
        <w:trPr>
          <w:trHeight w:val="495"/>
        </w:trPr>
        <w:tc>
          <w:tcPr>
            <w:tcW w:w="12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ASSERT</w:t>
            </w:r>
          </w:p>
        </w:tc>
        <w:tc>
          <w:tcPr>
            <w:tcW w:w="12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资产类科目,适用于资产负债表借方类科目</w:t>
            </w:r>
          </w:p>
        </w:tc>
        <w:tc>
          <w:tcPr>
            <w:tcW w:w="12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借</w:t>
            </w:r>
          </w:p>
        </w:tc>
        <w:tc>
          <w:tcPr>
            <w:tcW w:w="125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余额</w:t>
            </w:r>
          </w:p>
        </w:tc>
      </w:tr>
      <w:tr w:rsidR="00207CF6" w:rsidRPr="00207CF6" w:rsidTr="00207CF6">
        <w:trPr>
          <w:trHeight w:val="495"/>
        </w:trPr>
        <w:tc>
          <w:tcPr>
            <w:tcW w:w="12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LIABILITY</w:t>
            </w:r>
          </w:p>
        </w:tc>
        <w:tc>
          <w:tcPr>
            <w:tcW w:w="12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负债类科目,适用于资产负债表贷方类科目</w:t>
            </w:r>
          </w:p>
        </w:tc>
        <w:tc>
          <w:tcPr>
            <w:tcW w:w="12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贷</w:t>
            </w:r>
          </w:p>
        </w:tc>
        <w:tc>
          <w:tcPr>
            <w:tcW w:w="125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余额</w:t>
            </w:r>
          </w:p>
        </w:tc>
      </w:tr>
      <w:tr w:rsidR="00207CF6" w:rsidRPr="00207CF6" w:rsidTr="00207CF6">
        <w:trPr>
          <w:trHeight w:val="495"/>
        </w:trPr>
        <w:tc>
          <w:tcPr>
            <w:tcW w:w="12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lastRenderedPageBreak/>
              <w:t>REVENUE</w:t>
            </w:r>
          </w:p>
        </w:tc>
        <w:tc>
          <w:tcPr>
            <w:tcW w:w="12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利润表/现金流量表借方类科目</w:t>
            </w:r>
          </w:p>
        </w:tc>
        <w:tc>
          <w:tcPr>
            <w:tcW w:w="12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借</w:t>
            </w:r>
          </w:p>
        </w:tc>
        <w:tc>
          <w:tcPr>
            <w:tcW w:w="125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发生额</w:t>
            </w:r>
          </w:p>
        </w:tc>
      </w:tr>
      <w:tr w:rsidR="00207CF6" w:rsidRPr="00207CF6" w:rsidTr="00207CF6">
        <w:trPr>
          <w:trHeight w:val="495"/>
        </w:trPr>
        <w:tc>
          <w:tcPr>
            <w:tcW w:w="12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EXPENSE</w:t>
            </w:r>
          </w:p>
        </w:tc>
        <w:tc>
          <w:tcPr>
            <w:tcW w:w="12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利润表/现金流量表贷方类科目</w:t>
            </w:r>
          </w:p>
        </w:tc>
        <w:tc>
          <w:tcPr>
            <w:tcW w:w="12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贷</w:t>
            </w:r>
          </w:p>
        </w:tc>
        <w:tc>
          <w:tcPr>
            <w:tcW w:w="125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发生额</w:t>
            </w:r>
          </w:p>
        </w:tc>
      </w:tr>
      <w:tr w:rsidR="00207CF6" w:rsidRPr="00207CF6" w:rsidTr="00207CF6">
        <w:trPr>
          <w:trHeight w:val="495"/>
        </w:trPr>
        <w:tc>
          <w:tcPr>
            <w:tcW w:w="12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FLOW</w:t>
            </w:r>
          </w:p>
        </w:tc>
        <w:tc>
          <w:tcPr>
            <w:tcW w:w="12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统计值,发生额</w:t>
            </w:r>
          </w:p>
        </w:tc>
        <w:tc>
          <w:tcPr>
            <w:tcW w:w="12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w:t>
            </w:r>
          </w:p>
        </w:tc>
        <w:tc>
          <w:tcPr>
            <w:tcW w:w="125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发生额</w:t>
            </w:r>
          </w:p>
        </w:tc>
      </w:tr>
      <w:tr w:rsidR="00207CF6" w:rsidRPr="00207CF6" w:rsidTr="00207CF6">
        <w:trPr>
          <w:trHeight w:val="495"/>
        </w:trPr>
        <w:tc>
          <w:tcPr>
            <w:tcW w:w="12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BALANCE</w:t>
            </w:r>
          </w:p>
        </w:tc>
        <w:tc>
          <w:tcPr>
            <w:tcW w:w="12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统计值,YTD额</w:t>
            </w:r>
          </w:p>
        </w:tc>
        <w:tc>
          <w:tcPr>
            <w:tcW w:w="12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w:t>
            </w:r>
          </w:p>
        </w:tc>
        <w:tc>
          <w:tcPr>
            <w:tcW w:w="125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余额</w:t>
            </w:r>
          </w:p>
        </w:tc>
      </w:tr>
      <w:tr w:rsidR="00207CF6" w:rsidRPr="00207CF6" w:rsidTr="00207CF6">
        <w:trPr>
          <w:trHeight w:val="495"/>
        </w:trPr>
        <w:tc>
          <w:tcPr>
            <w:tcW w:w="12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LABEL</w:t>
            </w:r>
          </w:p>
        </w:tc>
        <w:tc>
          <w:tcPr>
            <w:tcW w:w="12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标签类型，仅做展示使用，无金额</w:t>
            </w:r>
          </w:p>
        </w:tc>
        <w:tc>
          <w:tcPr>
            <w:tcW w:w="12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w:t>
            </w:r>
          </w:p>
        </w:tc>
        <w:tc>
          <w:tcPr>
            <w:tcW w:w="125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w:t>
            </w:r>
          </w:p>
        </w:tc>
      </w:tr>
    </w:tbl>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科目类型的运用可以根据使用习惯自行定义，FONE FC合并系统基于国内大多数核算用户的使用习惯配置，即对于输入型成员写入模型的数据正负根据科目的借贷方向控制。针对国外用户的习惯，也可将成本类科目的科目类型设置为REVENUE，此时将核算系统对应的数据按照显示方向写入模型，即成本类科目以负数写入模型。</w:t>
      </w:r>
    </w:p>
    <w:p w:rsidR="00207CF6" w:rsidRPr="00207CF6" w:rsidRDefault="00207CF6" w:rsidP="00207CF6">
      <w:pPr>
        <w:widowControl/>
        <w:spacing w:before="315" w:after="75" w:line="480" w:lineRule="atLeast"/>
        <w:jc w:val="left"/>
        <w:outlineLvl w:val="1"/>
        <w:rPr>
          <w:rFonts w:ascii="宋体" w:eastAsia="宋体" w:hAnsi="宋体" w:cs="宋体"/>
          <w:b/>
          <w:bCs/>
          <w:kern w:val="0"/>
          <w:sz w:val="36"/>
          <w:szCs w:val="36"/>
        </w:rPr>
      </w:pPr>
      <w:r w:rsidRPr="00207CF6">
        <w:rPr>
          <w:rFonts w:ascii="宋体" w:eastAsia="宋体" w:hAnsi="宋体" w:cs="宋体"/>
          <w:b/>
          <w:bCs/>
          <w:kern w:val="0"/>
          <w:sz w:val="36"/>
          <w:szCs w:val="36"/>
        </w:rPr>
        <w:t>适用汇率：</w:t>
      </w:r>
    </w:p>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包含期初汇率/月平均汇率/年累平均汇率/期末汇率/与汇率无关五种类型，支持资产负债表科目使用期末汇率；费用科目使用平均汇率等业务场景，用于后续外币折算使用。</w:t>
      </w:r>
    </w:p>
    <w:p w:rsidR="00207CF6" w:rsidRPr="00207CF6" w:rsidRDefault="00207CF6" w:rsidP="00207CF6">
      <w:pPr>
        <w:widowControl/>
        <w:spacing w:before="315" w:after="75" w:line="480" w:lineRule="atLeast"/>
        <w:jc w:val="left"/>
        <w:outlineLvl w:val="1"/>
        <w:rPr>
          <w:rFonts w:ascii="宋体" w:eastAsia="宋体" w:hAnsi="宋体" w:cs="宋体"/>
          <w:b/>
          <w:bCs/>
          <w:kern w:val="0"/>
          <w:sz w:val="36"/>
          <w:szCs w:val="36"/>
        </w:rPr>
      </w:pPr>
      <w:r w:rsidRPr="00207CF6">
        <w:rPr>
          <w:rFonts w:ascii="宋体" w:eastAsia="宋体" w:hAnsi="宋体" w:cs="宋体"/>
          <w:b/>
          <w:bCs/>
          <w:kern w:val="0"/>
          <w:sz w:val="36"/>
          <w:szCs w:val="36"/>
        </w:rPr>
        <w:t>计算顺序、组织汇总方式、期间计算顺序：</w:t>
      </w:r>
    </w:p>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先计算再合并适用于大多数业务场景，(提高计算效率)；但如果存在一些分析指标（计算比率）时，则需要先合并再计算。</w:t>
      </w:r>
    </w:p>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标准方案：上述三个属性保持一致，即统一设置为先合并再计算或者先计算再合并。</w:t>
      </w:r>
    </w:p>
    <w:p w:rsidR="00207CF6" w:rsidRPr="00207CF6" w:rsidRDefault="00207CF6" w:rsidP="00207CF6">
      <w:pPr>
        <w:widowControl/>
        <w:jc w:val="left"/>
        <w:rPr>
          <w:rFonts w:ascii="宋体" w:eastAsia="宋体" w:hAnsi="宋体" w:cs="宋体"/>
          <w:kern w:val="0"/>
        </w:rPr>
      </w:pPr>
      <w:r w:rsidRPr="00207CF6">
        <w:rPr>
          <w:rFonts w:ascii="宋体" w:eastAsia="宋体" w:hAnsi="宋体" w:cs="宋体"/>
          <w:b/>
          <w:bCs/>
          <w:color w:val="FF0000"/>
          <w:kern w:val="0"/>
        </w:rPr>
        <w:t>计算顺序仅影响父节点汇总计算的逻辑，末级节点计算逻辑与计算顺序无关</w:t>
      </w:r>
      <w:r w:rsidRPr="00207CF6">
        <w:rPr>
          <w:rFonts w:ascii="宋体" w:eastAsia="宋体" w:hAnsi="宋体" w:cs="宋体"/>
          <w:kern w:val="0"/>
        </w:rPr>
        <w:t>。模型内置维度中，【版本】、【年度】、【货币】，无父节点计算汇总逻辑，不受计算顺序影响；</w:t>
      </w:r>
    </w:p>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现针对以上两种使用情况作具体说明：</w:t>
      </w:r>
    </w:p>
    <w:p w:rsidR="00207CF6" w:rsidRPr="00207CF6" w:rsidRDefault="00207CF6" w:rsidP="00207CF6">
      <w:pPr>
        <w:widowControl/>
        <w:jc w:val="left"/>
        <w:rPr>
          <w:rFonts w:ascii="宋体" w:eastAsia="宋体" w:hAnsi="宋体" w:cs="宋体"/>
          <w:kern w:val="0"/>
        </w:rPr>
      </w:pPr>
      <w:r w:rsidRPr="00207CF6">
        <w:rPr>
          <w:rFonts w:ascii="宋体" w:eastAsia="宋体" w:hAnsi="宋体" w:cs="宋体"/>
          <w:b/>
          <w:bCs/>
          <w:kern w:val="0"/>
        </w:rPr>
        <w:t>先计算再合并</w:t>
      </w:r>
      <w:r w:rsidRPr="00207CF6">
        <w:rPr>
          <w:rFonts w:ascii="宋体" w:eastAsia="宋体" w:hAnsi="宋体" w:cs="宋体"/>
          <w:kern w:val="0"/>
        </w:rPr>
        <w:t>：先按照成员公式计算该维度子节点数据后，再按照层级关系向上汇总父节点数据；</w:t>
      </w:r>
    </w:p>
    <w:p w:rsidR="00207CF6" w:rsidRPr="00207CF6" w:rsidRDefault="00207CF6" w:rsidP="00207CF6">
      <w:pPr>
        <w:widowControl/>
        <w:jc w:val="left"/>
        <w:rPr>
          <w:rFonts w:ascii="宋体" w:eastAsia="宋体" w:hAnsi="宋体" w:cs="宋体"/>
          <w:kern w:val="0"/>
        </w:rPr>
      </w:pPr>
      <w:r w:rsidRPr="00207CF6">
        <w:rPr>
          <w:rFonts w:ascii="宋体" w:eastAsia="宋体" w:hAnsi="宋体" w:cs="宋体"/>
          <w:b/>
          <w:bCs/>
          <w:kern w:val="0"/>
        </w:rPr>
        <w:lastRenderedPageBreak/>
        <w:t>先合并再计算</w:t>
      </w:r>
      <w:r w:rsidRPr="00207CF6">
        <w:rPr>
          <w:rFonts w:ascii="宋体" w:eastAsia="宋体" w:hAnsi="宋体" w:cs="宋体"/>
          <w:kern w:val="0"/>
        </w:rPr>
        <w:t>：先按照层级关系向上汇总该维度的父节点数据，再按照成员公式计算。</w:t>
      </w:r>
    </w:p>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计算顺序组合：</w:t>
      </w:r>
    </w:p>
    <w:tbl>
      <w:tblPr>
        <w:tblW w:w="5000" w:type="pct"/>
        <w:tblBorders>
          <w:top w:val="single" w:sz="6" w:space="0" w:color="D9D9D9"/>
          <w:left w:val="single" w:sz="6" w:space="0" w:color="D9D9D9"/>
          <w:bottom w:val="single" w:sz="6" w:space="0" w:color="D9D9D9"/>
          <w:right w:val="single" w:sz="6" w:space="0" w:color="D9D9D9"/>
        </w:tblBorders>
        <w:tblCellMar>
          <w:top w:w="15" w:type="dxa"/>
          <w:left w:w="15" w:type="dxa"/>
          <w:bottom w:w="15" w:type="dxa"/>
          <w:right w:w="15" w:type="dxa"/>
        </w:tblCellMar>
        <w:tblLook w:val="04A0" w:firstRow="1" w:lastRow="0" w:firstColumn="1" w:lastColumn="0" w:noHBand="0" w:noVBand="1"/>
      </w:tblPr>
      <w:tblGrid>
        <w:gridCol w:w="1366"/>
        <w:gridCol w:w="1281"/>
        <w:gridCol w:w="1281"/>
        <w:gridCol w:w="1538"/>
        <w:gridCol w:w="2818"/>
      </w:tblGrid>
      <w:tr w:rsidR="00207CF6" w:rsidRPr="00207CF6" w:rsidTr="00207CF6">
        <w:trPr>
          <w:trHeight w:val="495"/>
        </w:trPr>
        <w:tc>
          <w:tcPr>
            <w:tcW w:w="800" w:type="pct"/>
            <w:tcBorders>
              <w:top w:val="single" w:sz="6" w:space="0" w:color="D9D9D9"/>
              <w:left w:val="single" w:sz="6" w:space="0" w:color="D9D9D9"/>
              <w:bottom w:val="single" w:sz="6" w:space="0" w:color="D9D9D9"/>
              <w:right w:val="single" w:sz="6" w:space="0" w:color="D9D9D9"/>
            </w:tcBorders>
            <w:shd w:val="clear" w:color="auto" w:fill="4472C4"/>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b/>
                <w:bCs/>
                <w:color w:val="FFFFFF"/>
                <w:kern w:val="0"/>
              </w:rPr>
              <w:t>类型</w:t>
            </w:r>
          </w:p>
        </w:tc>
        <w:tc>
          <w:tcPr>
            <w:tcW w:w="750" w:type="pct"/>
            <w:tcBorders>
              <w:top w:val="single" w:sz="6" w:space="0" w:color="D9D9D9"/>
              <w:left w:val="single" w:sz="6" w:space="0" w:color="D9D9D9"/>
              <w:bottom w:val="single" w:sz="6" w:space="0" w:color="D9D9D9"/>
              <w:right w:val="single" w:sz="6" w:space="0" w:color="D9D9D9"/>
            </w:tcBorders>
            <w:shd w:val="clear" w:color="auto" w:fill="4472C4"/>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b/>
                <w:bCs/>
                <w:color w:val="FFFFFF"/>
                <w:kern w:val="0"/>
              </w:rPr>
              <w:t>计算顺序</w:t>
            </w:r>
          </w:p>
        </w:tc>
        <w:tc>
          <w:tcPr>
            <w:tcW w:w="750" w:type="pct"/>
            <w:tcBorders>
              <w:top w:val="single" w:sz="6" w:space="0" w:color="D9D9D9"/>
              <w:left w:val="single" w:sz="6" w:space="0" w:color="D9D9D9"/>
              <w:bottom w:val="single" w:sz="6" w:space="0" w:color="D9D9D9"/>
              <w:right w:val="single" w:sz="6" w:space="0" w:color="D9D9D9"/>
            </w:tcBorders>
            <w:shd w:val="clear" w:color="auto" w:fill="4472C4"/>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b/>
                <w:bCs/>
                <w:color w:val="FFFFFF"/>
                <w:kern w:val="0"/>
              </w:rPr>
              <w:t>组织汇总方式</w:t>
            </w:r>
          </w:p>
        </w:tc>
        <w:tc>
          <w:tcPr>
            <w:tcW w:w="900" w:type="pct"/>
            <w:tcBorders>
              <w:top w:val="single" w:sz="6" w:space="0" w:color="D9D9D9"/>
              <w:left w:val="single" w:sz="6" w:space="0" w:color="D9D9D9"/>
              <w:bottom w:val="single" w:sz="6" w:space="0" w:color="D9D9D9"/>
              <w:right w:val="single" w:sz="6" w:space="0" w:color="D9D9D9"/>
            </w:tcBorders>
            <w:shd w:val="clear" w:color="auto" w:fill="4472C4"/>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b/>
                <w:bCs/>
                <w:color w:val="FFFFFF"/>
                <w:kern w:val="0"/>
              </w:rPr>
              <w:t>期间计算顺序</w:t>
            </w:r>
          </w:p>
        </w:tc>
        <w:tc>
          <w:tcPr>
            <w:tcW w:w="1650" w:type="pct"/>
            <w:tcBorders>
              <w:top w:val="single" w:sz="6" w:space="0" w:color="D9D9D9"/>
              <w:left w:val="single" w:sz="6" w:space="0" w:color="D9D9D9"/>
              <w:bottom w:val="single" w:sz="6" w:space="0" w:color="D9D9D9"/>
              <w:right w:val="single" w:sz="6" w:space="0" w:color="D9D9D9"/>
            </w:tcBorders>
            <w:shd w:val="clear" w:color="auto" w:fill="4472C4"/>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b/>
                <w:bCs/>
                <w:color w:val="FFFFFF"/>
                <w:kern w:val="0"/>
              </w:rPr>
              <w:t>维度计算顺序</w:t>
            </w:r>
          </w:p>
        </w:tc>
      </w:tr>
      <w:tr w:rsidR="00207CF6" w:rsidRPr="00207CF6" w:rsidTr="00207CF6">
        <w:trPr>
          <w:trHeight w:val="495"/>
        </w:trPr>
        <w:tc>
          <w:tcPr>
            <w:tcW w:w="800" w:type="pct"/>
            <w:tcBorders>
              <w:top w:val="single" w:sz="6" w:space="0" w:color="D9D9D9"/>
              <w:left w:val="single" w:sz="6" w:space="0" w:color="D9D9D9"/>
              <w:bottom w:val="single" w:sz="6" w:space="0" w:color="D9D9D9"/>
              <w:right w:val="single" w:sz="6" w:space="0" w:color="D9D9D9"/>
            </w:tcBorders>
            <w:shd w:val="clear" w:color="auto" w:fill="D9E2F3"/>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b/>
                <w:bCs/>
                <w:color w:val="000000"/>
                <w:kern w:val="0"/>
              </w:rPr>
              <w:t>先计算再合并</w:t>
            </w:r>
          </w:p>
        </w:tc>
        <w:tc>
          <w:tcPr>
            <w:tcW w:w="750" w:type="pct"/>
            <w:tcBorders>
              <w:top w:val="single" w:sz="6" w:space="0" w:color="D9D9D9"/>
              <w:left w:val="single" w:sz="6" w:space="0" w:color="D9D9D9"/>
              <w:bottom w:val="single" w:sz="6" w:space="0" w:color="D9D9D9"/>
              <w:right w:val="single" w:sz="6" w:space="0" w:color="D9D9D9"/>
            </w:tcBorders>
            <w:shd w:val="clear" w:color="auto" w:fill="D9E2F3"/>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color w:val="000000"/>
                <w:kern w:val="0"/>
              </w:rPr>
              <w:t>先计算再合并</w:t>
            </w:r>
          </w:p>
        </w:tc>
        <w:tc>
          <w:tcPr>
            <w:tcW w:w="750" w:type="pct"/>
            <w:tcBorders>
              <w:top w:val="single" w:sz="6" w:space="0" w:color="D9D9D9"/>
              <w:left w:val="single" w:sz="6" w:space="0" w:color="D9D9D9"/>
              <w:bottom w:val="single" w:sz="6" w:space="0" w:color="D9D9D9"/>
              <w:right w:val="single" w:sz="6" w:space="0" w:color="D9D9D9"/>
            </w:tcBorders>
            <w:shd w:val="clear" w:color="auto" w:fill="D9E2F3"/>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color w:val="000000"/>
                <w:kern w:val="0"/>
              </w:rPr>
              <w:t>先计算再合并</w:t>
            </w:r>
          </w:p>
        </w:tc>
        <w:tc>
          <w:tcPr>
            <w:tcW w:w="900" w:type="pct"/>
            <w:tcBorders>
              <w:top w:val="single" w:sz="6" w:space="0" w:color="D9D9D9"/>
              <w:left w:val="single" w:sz="6" w:space="0" w:color="D9D9D9"/>
              <w:bottom w:val="single" w:sz="6" w:space="0" w:color="D9D9D9"/>
              <w:right w:val="single" w:sz="6" w:space="0" w:color="D9D9D9"/>
            </w:tcBorders>
            <w:shd w:val="clear" w:color="auto" w:fill="D9E2F3"/>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color w:val="000000"/>
                <w:kern w:val="0"/>
              </w:rPr>
              <w:t>先计算再合并</w:t>
            </w:r>
          </w:p>
        </w:tc>
        <w:tc>
          <w:tcPr>
            <w:tcW w:w="1650" w:type="pct"/>
            <w:tcBorders>
              <w:top w:val="single" w:sz="6" w:space="0" w:color="D9D9D9"/>
              <w:left w:val="single" w:sz="6" w:space="0" w:color="D9D9D9"/>
              <w:bottom w:val="single" w:sz="6" w:space="0" w:color="D9D9D9"/>
              <w:right w:val="single" w:sz="6" w:space="0" w:color="D9D9D9"/>
            </w:tcBorders>
            <w:shd w:val="clear" w:color="auto" w:fill="D9E2F3"/>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color w:val="000000"/>
                <w:kern w:val="0"/>
              </w:rPr>
              <w:t>科目、其他维度汇总</w:t>
            </w:r>
          </w:p>
        </w:tc>
      </w:tr>
      <w:tr w:rsidR="00207CF6" w:rsidRPr="00207CF6" w:rsidTr="00207CF6">
        <w:trPr>
          <w:trHeight w:val="495"/>
        </w:trPr>
        <w:tc>
          <w:tcPr>
            <w:tcW w:w="8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b/>
                <w:bCs/>
                <w:kern w:val="0"/>
              </w:rPr>
              <w:t>先合并再计算</w:t>
            </w:r>
          </w:p>
        </w:tc>
        <w:tc>
          <w:tcPr>
            <w:tcW w:w="75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先合并再计算</w:t>
            </w:r>
          </w:p>
        </w:tc>
        <w:tc>
          <w:tcPr>
            <w:tcW w:w="75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先合并再计算</w:t>
            </w:r>
          </w:p>
        </w:tc>
        <w:tc>
          <w:tcPr>
            <w:tcW w:w="90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先合并再计算</w:t>
            </w:r>
          </w:p>
        </w:tc>
        <w:tc>
          <w:tcPr>
            <w:tcW w:w="1650" w:type="pct"/>
            <w:tcBorders>
              <w:top w:val="single" w:sz="6" w:space="0" w:color="D9D9D9"/>
              <w:left w:val="single" w:sz="6" w:space="0" w:color="D9D9D9"/>
              <w:bottom w:val="single" w:sz="6" w:space="0" w:color="D9D9D9"/>
              <w:right w:val="single" w:sz="6" w:space="0" w:color="D9D9D9"/>
            </w:tcBorders>
            <w:vAlign w:val="center"/>
            <w:hideMark/>
          </w:tcPr>
          <w:p w:rsidR="00207CF6" w:rsidRPr="00207CF6" w:rsidRDefault="00207CF6" w:rsidP="00207CF6">
            <w:pPr>
              <w:widowControl/>
              <w:jc w:val="left"/>
              <w:rPr>
                <w:rFonts w:ascii="宋体" w:eastAsia="宋体" w:hAnsi="宋体" w:cs="宋体"/>
                <w:kern w:val="0"/>
              </w:rPr>
            </w:pPr>
            <w:r w:rsidRPr="00207CF6">
              <w:rPr>
                <w:rFonts w:ascii="宋体" w:eastAsia="宋体" w:hAnsi="宋体" w:cs="宋体"/>
                <w:kern w:val="0"/>
              </w:rPr>
              <w:t>其他维度汇总、科目</w:t>
            </w:r>
          </w:p>
        </w:tc>
      </w:tr>
    </w:tbl>
    <w:p w:rsidR="00207CF6" w:rsidRPr="00207CF6" w:rsidRDefault="00207CF6" w:rsidP="00207CF6">
      <w:pPr>
        <w:widowControl/>
        <w:jc w:val="left"/>
        <w:rPr>
          <w:rFonts w:ascii="宋体" w:eastAsia="宋体" w:hAnsi="宋体" w:cs="宋体"/>
          <w:kern w:val="0"/>
        </w:rPr>
      </w:pPr>
    </w:p>
    <w:p w:rsidR="00207CF6" w:rsidRPr="00207CF6" w:rsidRDefault="00207CF6" w:rsidP="00207CF6">
      <w:pPr>
        <w:widowControl/>
        <w:jc w:val="left"/>
        <w:rPr>
          <w:rFonts w:ascii="宋体" w:eastAsia="宋体" w:hAnsi="宋体" w:cs="宋体"/>
          <w:kern w:val="0"/>
        </w:rPr>
      </w:pPr>
    </w:p>
    <w:p w:rsidR="003462FC" w:rsidRPr="00207CF6" w:rsidRDefault="00207CF6" w:rsidP="00207CF6"/>
    <w:sectPr w:rsidR="003462FC" w:rsidRPr="00207CF6" w:rsidSect="00FE2BF1">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C62"/>
    <w:rsid w:val="00106AA1"/>
    <w:rsid w:val="00207CF6"/>
    <w:rsid w:val="00480340"/>
    <w:rsid w:val="00687B32"/>
    <w:rsid w:val="00D65C62"/>
    <w:rsid w:val="00FE2B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93657583-C540-6C46-BEE4-AE66561EE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207CF6"/>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0"/>
    <w:uiPriority w:val="9"/>
    <w:qFormat/>
    <w:rsid w:val="00207CF6"/>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207CF6"/>
    <w:rPr>
      <w:rFonts w:ascii="宋体" w:eastAsia="宋体" w:hAnsi="宋体" w:cs="宋体"/>
      <w:b/>
      <w:bCs/>
      <w:kern w:val="36"/>
      <w:sz w:val="48"/>
      <w:szCs w:val="48"/>
    </w:rPr>
  </w:style>
  <w:style w:type="character" w:customStyle="1" w:styleId="20">
    <w:name w:val="标题 2 字符"/>
    <w:basedOn w:val="a0"/>
    <w:link w:val="2"/>
    <w:uiPriority w:val="9"/>
    <w:rsid w:val="00207CF6"/>
    <w:rPr>
      <w:rFonts w:ascii="宋体" w:eastAsia="宋体" w:hAnsi="宋体" w:cs="宋体"/>
      <w:b/>
      <w:bCs/>
      <w:kern w:val="0"/>
      <w:sz w:val="36"/>
      <w:szCs w:val="36"/>
    </w:rPr>
  </w:style>
  <w:style w:type="character" w:customStyle="1" w:styleId="ne-text">
    <w:name w:val="ne-text"/>
    <w:basedOn w:val="a0"/>
    <w:rsid w:val="00207CF6"/>
  </w:style>
  <w:style w:type="paragraph" w:customStyle="1" w:styleId="ne-p">
    <w:name w:val="ne-p"/>
    <w:basedOn w:val="a"/>
    <w:rsid w:val="00207CF6"/>
    <w:pPr>
      <w:widowControl/>
      <w:spacing w:before="100" w:beforeAutospacing="1" w:after="100" w:afterAutospacing="1"/>
      <w:jc w:val="left"/>
    </w:pPr>
    <w:rPr>
      <w:rFonts w:ascii="宋体" w:eastAsia="宋体" w:hAnsi="宋体" w:cs="宋体"/>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0611411">
      <w:bodyDiv w:val="1"/>
      <w:marLeft w:val="0"/>
      <w:marRight w:val="0"/>
      <w:marTop w:val="0"/>
      <w:marBottom w:val="0"/>
      <w:divBdr>
        <w:top w:val="none" w:sz="0" w:space="0" w:color="auto"/>
        <w:left w:val="none" w:sz="0" w:space="0" w:color="auto"/>
        <w:bottom w:val="none" w:sz="0" w:space="0" w:color="auto"/>
        <w:right w:val="none" w:sz="0" w:space="0" w:color="auto"/>
      </w:divBdr>
      <w:divsChild>
        <w:div w:id="442922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one.yuque.com/mnz7td/pipr7f/25297307" TargetMode="Externa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377</Words>
  <Characters>2154</Characters>
  <Application>Microsoft Office Word</Application>
  <DocSecurity>0</DocSecurity>
  <Lines>17</Lines>
  <Paragraphs>5</Paragraphs>
  <ScaleCrop>false</ScaleCrop>
  <Manager/>
  <Company/>
  <LinksUpToDate>false</LinksUpToDate>
  <CharactersWithSpaces>2526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语雀 (yuque.com)</dc:creator>
  <cp:keywords/>
  <dc:description/>
  <cp:lastModifiedBy>Microsoft Office User</cp:lastModifiedBy>
  <cp:revision>4</cp:revision>
  <dcterms:created xsi:type="dcterms:W3CDTF">2019-07-18T09:41:00Z</dcterms:created>
  <dcterms:modified xsi:type="dcterms:W3CDTF">2022-03-28T02:26:00Z</dcterms:modified>
  <cp:category/>
</cp:coreProperties>
</file>