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jc w:val="center"/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eastAsia="zh-CN" w:bidi="ar"/>
        </w:rPr>
      </w:pPr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eastAsia="zh-CN" w:bidi="ar"/>
        </w:rPr>
        <w:t>智</w:t>
      </w:r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val="en-US" w:eastAsia="zh-Hans" w:bidi="ar"/>
        </w:rPr>
        <w:t>慧</w:t>
      </w:r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eastAsia="zh-CN" w:bidi="ar"/>
        </w:rPr>
        <w:t>配</w:t>
      </w:r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val="en-US" w:eastAsia="zh-Hans" w:bidi="ar"/>
        </w:rPr>
        <w:t>料</w:t>
      </w:r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eastAsia="zh-CN" w:bidi="ar"/>
        </w:rPr>
        <w:t>系统</w:t>
      </w:r>
    </w:p>
    <w:p>
      <w:pPr>
        <w:jc w:val="both"/>
        <w:rPr>
          <w:rFonts w:hint="eastAsia" w:ascii="Helvetica Neue" w:hAnsi="Helvetica Neue" w:eastAsia="Helvetica Neue" w:cs="Helvetica Neue"/>
          <w:color w:val="000000"/>
          <w:kern w:val="0"/>
          <w:sz w:val="48"/>
          <w:szCs w:val="48"/>
          <w:lang w:eastAsia="zh-CN" w:bidi="ar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rFonts w:hint="eastAsia" w:eastAsia="Helvetica Neue"/>
          <w:sz w:val="52"/>
          <w:szCs w:val="52"/>
          <w:lang w:val="en-US" w:eastAsia="zh-Hans"/>
        </w:rPr>
      </w:pPr>
      <w:r>
        <w:rPr>
          <w:rFonts w:hint="eastAsia"/>
          <w:sz w:val="52"/>
          <w:szCs w:val="52"/>
          <w:lang w:val="en-US" w:eastAsia="zh-Hans"/>
        </w:rPr>
        <w:t>使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rFonts w:hint="eastAsia" w:eastAsia="Helvetica Neue"/>
          <w:sz w:val="52"/>
          <w:szCs w:val="52"/>
          <w:lang w:val="en-US" w:eastAsia="zh-Hans"/>
        </w:rPr>
      </w:pPr>
      <w:r>
        <w:rPr>
          <w:rFonts w:hint="eastAsia"/>
          <w:sz w:val="52"/>
          <w:szCs w:val="52"/>
          <w:lang w:val="en-US" w:eastAsia="zh-Hans"/>
        </w:rPr>
        <w:t>用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rFonts w:hint="eastAsia" w:eastAsia="Helvetica Neue"/>
          <w:sz w:val="52"/>
          <w:szCs w:val="52"/>
          <w:lang w:val="en-US" w:eastAsia="zh-Hans"/>
        </w:rPr>
      </w:pPr>
      <w:r>
        <w:rPr>
          <w:rFonts w:hint="eastAsia"/>
          <w:sz w:val="52"/>
          <w:szCs w:val="52"/>
          <w:lang w:val="en-US" w:eastAsia="zh-Hans"/>
        </w:rPr>
        <w:t>指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rFonts w:hint="eastAsia" w:eastAsia="Helvetica Neue"/>
          <w:sz w:val="52"/>
          <w:szCs w:val="52"/>
          <w:lang w:val="en-US" w:eastAsia="zh-Hans"/>
        </w:rPr>
      </w:pPr>
      <w:r>
        <w:rPr>
          <w:rFonts w:hint="eastAsia"/>
          <w:sz w:val="52"/>
          <w:szCs w:val="52"/>
          <w:lang w:val="en-US" w:eastAsia="zh-Hans"/>
        </w:rPr>
        <w:t>南</w:t>
      </w:r>
    </w:p>
    <w:p>
      <w:pPr>
        <w:pStyle w:val="12"/>
        <w:keepNext w:val="0"/>
        <w:keepLines w:val="0"/>
        <w:widowControl/>
        <w:suppressLineNumbers w:val="0"/>
        <w:tabs>
          <w:tab w:val="left" w:pos="6849"/>
        </w:tabs>
        <w:jc w:val="both"/>
        <w:rPr>
          <w:sz w:val="52"/>
          <w:szCs w:val="52"/>
        </w:rPr>
      </w:pPr>
      <w:r>
        <w:rPr>
          <w:sz w:val="52"/>
          <w:szCs w:val="52"/>
        </w:rPr>
        <w:tab/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30"/>
          <w:szCs w:val="30"/>
        </w:rPr>
      </w:pPr>
      <w:r>
        <w:rPr>
          <w:sz w:val="30"/>
          <w:szCs w:val="30"/>
        </w:rPr>
        <w:t>河南煜祺网络技术有限公司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30"/>
          <w:szCs w:val="30"/>
        </w:rPr>
        <w:sectPr>
          <w:headerReference r:id="rId3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sz w:val="30"/>
          <w:szCs w:val="30"/>
        </w:rPr>
        <w:t>202</w:t>
      </w:r>
      <w:r>
        <w:rPr>
          <w:sz w:val="30"/>
          <w:szCs w:val="30"/>
        </w:rPr>
        <w:t>1</w:t>
      </w:r>
      <w:r>
        <w:rPr>
          <w:sz w:val="30"/>
          <w:szCs w:val="30"/>
        </w:rPr>
        <w:t>年</w:t>
      </w:r>
      <w:r>
        <w:rPr>
          <w:sz w:val="30"/>
          <w:szCs w:val="30"/>
        </w:rPr>
        <w:t>02</w:t>
      </w:r>
      <w:r>
        <w:rPr>
          <w:sz w:val="30"/>
          <w:szCs w:val="30"/>
        </w:rPr>
        <w:t>月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48"/>
          <w:szCs w:val="48"/>
        </w:rPr>
      </w:pPr>
      <w:r>
        <w:rPr>
          <w:sz w:val="48"/>
          <w:szCs w:val="48"/>
        </w:rPr>
        <w:t>目录</w:t>
      </w:r>
    </w:p>
    <w:p>
      <w:pPr>
        <w:pStyle w:val="12"/>
        <w:keepNext w:val="0"/>
        <w:keepLines w:val="0"/>
        <w:widowControl/>
        <w:suppressLineNumbers w:val="0"/>
        <w:jc w:val="both"/>
        <w:rPr>
          <w:sz w:val="48"/>
          <w:szCs w:val="48"/>
        </w:rPr>
      </w:pP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TOC \o "1-3" \h \u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_Toc834469491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一、 原料库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_Toc834469491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_Toc1860520327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1.原料库管理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_Toc1860520327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_Toc255751922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二、 配比预测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_Toc255751922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7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_Toc1307775407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 配比预测管理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_Toc1307775407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7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_Toc286138404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三、 焦炭质量预测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_Toc286138404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9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_Toc912270395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1.焦炭质量预测管理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_Toc912270395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9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_Toc1642772832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四、 配比方案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_Toc1642772832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11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_Toc2033221592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 焦炭质量预测方案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_Toc2033221592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11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_Toc1595505680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2. 配比优化方案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_Toc1595505680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12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_Toc35663671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五、 化验数据录入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_Toc35663671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_Toc251380984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1.化验数据录入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_Toc251380984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_Toc859864439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六、 煤岩数据录入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_Toc859864439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15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_Toc1324165610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 煤岩数据录入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_Toc1324165610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15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_Toc878373409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七、 煤盘数据录入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_Toc878373409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16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_Toc1019295585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1.煤盘数据录入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_Toc1019295585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16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_Toc823844976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八、基础数据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_Toc823844976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18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_Toc1535439423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1.煤种管理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_Toc1535439423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18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_Toc1966880009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2.化验指标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_Toc1966880009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18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_Toc1136532992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3.用户管理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_Toc1136532992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19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_Toc1990440126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4.指标类别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_Toc1990440126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21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_Toc1974428363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5. 班次管理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_Toc1974428363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22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_Toc1300183497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6. 取样地点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_Toc1300183497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_Toc1537925854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7. 焦炭产品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_Toc1537925854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24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_Toc806652886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8. 入炉煤产品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_Toc806652886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25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_Toc350791491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9. 角色管理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_Toc350791491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26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  <w:bookmarkStart w:id="25" w:name="_GoBack"/>
      <w:bookmarkEnd w:id="25"/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4"/>
        <w:numPr>
          <w:ilvl w:val="0"/>
          <w:numId w:val="1"/>
        </w:numPr>
      </w:pPr>
      <w:bookmarkStart w:id="0" w:name="_Toc834469491"/>
      <w:r>
        <w:t>原料库</w:t>
      </w:r>
      <w:bookmarkEnd w:id="0"/>
    </w:p>
    <w:p>
      <w:pPr>
        <w:pStyle w:val="5"/>
      </w:pPr>
      <w:bookmarkStart w:id="1" w:name="_Toc1860520327"/>
      <w:r>
        <w:t>1.原料库管理</w:t>
      </w:r>
      <w:bookmarkEnd w:id="1"/>
    </w:p>
    <w:p>
      <w:pPr>
        <w:numPr>
          <w:ilvl w:val="0"/>
          <w:numId w:val="0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维护原料煤产品信息，包含指标信息、煤种信息、价格信息，智能配比的主要信息。原料煤的添加支持手动录入和批量导入，管理界面支持查询、新增、修改、删除、导入、模版下载等功能。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975" cy="2967355"/>
            <wp:effectExtent l="0" t="0" r="22225" b="444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67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color w:val="5B9BD5" w:themeColor="accent1"/>
          <w14:textFill>
            <w14:solidFill>
              <w14:schemeClr w14:val="accent1"/>
            </w14:solidFill>
          </w14:textFill>
        </w:rPr>
      </w:pPr>
      <w:r>
        <w:rPr>
          <w:color w:val="5B9BD5" w:themeColor="accent1"/>
          <w14:textFill>
            <w14:solidFill>
              <w14:schemeClr w14:val="accent1"/>
            </w14:solidFill>
          </w14:textFill>
        </w:rPr>
        <w:t>原料库管理界面（图）</w:t>
      </w:r>
    </w:p>
    <w:p>
      <w:pPr>
        <w:numPr>
          <w:ilvl w:val="0"/>
          <w:numId w:val="0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1）手动增加原料煤</w:t>
      </w:r>
    </w:p>
    <w:p>
      <w:pPr>
        <w:numPr>
          <w:ilvl w:val="0"/>
          <w:numId w:val="0"/>
        </w:numPr>
        <w:rPr>
          <w:b w:val="0"/>
          <w:bCs w:val="0"/>
          <w:sz w:val="28"/>
          <w:szCs w:val="28"/>
        </w:rPr>
      </w:pPr>
      <w:r>
        <w:rPr>
          <w:sz w:val="28"/>
          <w:szCs w:val="28"/>
        </w:rPr>
        <w:t>操作步骤：</w:t>
      </w:r>
      <w:r>
        <w:rPr>
          <w:b w:val="0"/>
          <w:bCs w:val="0"/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原料库管理页面—点击右上角新增原料煤按钮—录入数据—点击页面确认下方按钮—添加成功</w:t>
      </w:r>
    </w:p>
    <w:p>
      <w:pPr>
        <w:numPr>
          <w:ilvl w:val="0"/>
          <w:numId w:val="0"/>
        </w:numPr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3515" cy="1940560"/>
            <wp:effectExtent l="0" t="0" r="19685" b="1524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40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4625" cy="3027045"/>
            <wp:effectExtent l="0" t="0" r="3175" b="2095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027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325" cy="1524635"/>
            <wp:effectExtent l="0" t="0" r="15875" b="2476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4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批量导入原料煤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操作步骤：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原料库管理页面—点击右上角下载导入模版—保存到电脑—编辑模版数据—保存模版—回到原料库管理界面—点击右上角导入按钮—选择模版表格—点击确认—导入成功</w:t>
      </w:r>
    </w:p>
    <w:p>
      <w:pPr>
        <w:numPr>
          <w:ilvl w:val="0"/>
          <w:numId w:val="0"/>
        </w:numPr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1795145"/>
            <wp:effectExtent l="0" t="0" r="10160" b="825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95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1216025"/>
            <wp:effectExtent l="0" t="0" r="16510" b="317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16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5420" cy="2026920"/>
            <wp:effectExtent l="0" t="0" r="17780" b="508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975" cy="1550035"/>
            <wp:effectExtent l="0" t="0" r="22225" b="2476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辅助功能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煤产品信息修改步骤：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原料库管理页面—煤产品列表—操作—修改—编辑修改信息—保存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删除煤产品步骤：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原料库管理页面—煤产品列表—操作—删除—确认删除—删除成功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煤产品查询步骤：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原料库管理页面—左上角搜索栏—选择煤种—输入信息—查询—获取信息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drawing>
          <wp:inline distT="0" distB="0" distL="114300" distR="114300">
            <wp:extent cx="5260340" cy="2106930"/>
            <wp:effectExtent l="0" t="0" r="22860" b="127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3"/>
        </w:numPr>
      </w:pPr>
      <w:bookmarkStart w:id="2" w:name="_Toc255751922"/>
      <w:r>
        <w:t>配比预测</w:t>
      </w:r>
      <w:bookmarkEnd w:id="2"/>
    </w:p>
    <w:p>
      <w:pPr>
        <w:pStyle w:val="5"/>
        <w:numPr>
          <w:ilvl w:val="0"/>
          <w:numId w:val="4"/>
        </w:numPr>
      </w:pPr>
      <w:bookmarkStart w:id="3" w:name="_Toc1307775407"/>
      <w:r>
        <w:t>配比预测管理</w:t>
      </w:r>
      <w:bookmarkEnd w:id="3"/>
    </w:p>
    <w:p>
      <w:pPr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配比预测选择相关原料煤，确认库存及占比范围，输入期望的入炉煤指标、焦炭指标及碳化室数据，预测练出所期望的产品，需要这些原料煤的配比各是多少，以及最终产品的指标为多少。</w:t>
      </w:r>
    </w:p>
    <w:p>
      <w:pPr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配比预测步骤：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配比预测—选择原料煤—输入焦炭指标—输入入炉煤指标—输入碳化室数据—点击AI预测按钮—结果输出—预测完成—根据需要选择保存方案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7800" cy="1257300"/>
            <wp:effectExtent l="0" t="0" r="0" b="1270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rcRect b="4000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673985"/>
            <wp:effectExtent l="0" t="0" r="13335" b="1841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73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4625" cy="3020695"/>
            <wp:effectExtent l="0" t="0" r="3175" b="190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020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3990" cy="2830830"/>
            <wp:effectExtent l="0" t="0" r="3810" b="1397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830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sz w:val="28"/>
          <w:szCs w:val="28"/>
        </w:rPr>
      </w:pPr>
      <w:r>
        <w:drawing>
          <wp:inline distT="0" distB="0" distL="114300" distR="114300">
            <wp:extent cx="5264785" cy="1277620"/>
            <wp:effectExtent l="0" t="0" r="18415" b="17780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18"/>
                    <a:srcRect b="680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77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6"/>
        </w:numPr>
      </w:pPr>
      <w:bookmarkStart w:id="4" w:name="_Toc286138404"/>
      <w:r>
        <w:t>焦炭质量预测</w:t>
      </w:r>
      <w:bookmarkEnd w:id="4"/>
    </w:p>
    <w:p>
      <w:pPr>
        <w:pStyle w:val="5"/>
      </w:pPr>
      <w:bookmarkStart w:id="5" w:name="_Toc912270395"/>
      <w:r>
        <w:t>1.焦炭质量预测管理</w:t>
      </w:r>
      <w:bookmarkEnd w:id="5"/>
    </w:p>
    <w:p>
      <w:pPr>
        <w:numPr>
          <w:ilvl w:val="0"/>
          <w:numId w:val="7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焦炭质量预测，选择相关的原料煤，原料煤比例相加要求合等于100，输入碳化室数据，预测这批煤按照所填的比例，练出来的焦炭，质量指标各是多少，预测焦炭的产品质量。</w:t>
      </w:r>
    </w:p>
    <w:p>
      <w:pPr>
        <w:numPr>
          <w:ilvl w:val="0"/>
          <w:numId w:val="7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质量预测步骤：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焦炭质量预测管理页面—点击选择原料煤按钮—选择煤产品—确认选择—输入碳化室数据—点击AI预测按钮—结果输出—预测成功—根据需要保存方案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1351915"/>
            <wp:effectExtent l="0" t="0" r="19050" b="19685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4625" cy="1361440"/>
            <wp:effectExtent l="0" t="0" r="3175" b="1016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361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975" cy="1565275"/>
            <wp:effectExtent l="0" t="0" r="22225" b="952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56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7800" cy="2540000"/>
            <wp:effectExtent l="0" t="0" r="0" b="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rcRect b="28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1682115"/>
            <wp:effectExtent l="0" t="0" r="13335" b="19685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82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pStyle w:val="4"/>
        <w:numPr>
          <w:ilvl w:val="0"/>
          <w:numId w:val="8"/>
        </w:numPr>
      </w:pPr>
      <w:bookmarkStart w:id="6" w:name="_Toc1642772832"/>
      <w:r>
        <w:t>配比方案</w:t>
      </w:r>
      <w:bookmarkEnd w:id="6"/>
    </w:p>
    <w:p>
      <w:pPr>
        <w:pStyle w:val="5"/>
        <w:numPr>
          <w:ilvl w:val="0"/>
          <w:numId w:val="9"/>
        </w:numPr>
      </w:pPr>
      <w:bookmarkStart w:id="7" w:name="_Toc2033221592"/>
      <w:r>
        <w:t>焦炭质量预测方案</w:t>
      </w:r>
      <w:bookmarkEnd w:id="7"/>
    </w:p>
    <w:p>
      <w:pPr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焦炭质量预测方案管理，在焦炭质量预测完成后，点击保存方案按钮即可。方案支持查看、导出、删除、加载（编辑参数进行新的AI预测）。</w:t>
      </w:r>
    </w:p>
    <w:p>
      <w:pPr>
        <w:keepNext w:val="0"/>
        <w:keepLines w:val="0"/>
        <w:pageBreakBefore w:val="0"/>
        <w:widowControl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保存步骤：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焦炭质量预测完成后—点击保存方案按钮—输入方案名称—点击确认—保存成功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64150" cy="1571625"/>
            <wp:effectExtent l="0" t="0" r="19050" b="3175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辅助功能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加载：编辑参数进行新的AI预测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导出：方案以表格的形式导出方案数据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drawing>
          <wp:inline distT="0" distB="0" distL="114300" distR="114300">
            <wp:extent cx="5257800" cy="1706880"/>
            <wp:effectExtent l="0" t="0" r="0" b="2032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1"/>
        </w:numPr>
      </w:pPr>
      <w:bookmarkStart w:id="8" w:name="_Toc1595505680"/>
      <w:r>
        <w:t>配比优化方案</w:t>
      </w:r>
      <w:bookmarkEnd w:id="8"/>
    </w:p>
    <w:p>
      <w:pPr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</w:pPr>
      <w:r>
        <w:rPr>
          <w:sz w:val="28"/>
          <w:szCs w:val="28"/>
        </w:rPr>
        <w:t>配比预测方案管理，在配比预测完成后，点击保存方案按钮即可。方案支持查看、导出、删除、加载（编辑参数进行新的AI预测）。</w:t>
      </w:r>
    </w:p>
    <w:p>
      <w:pPr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保存步骤：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配比预测完成后—点击保存方案按钮—输入方案名称—点击确认—保存成功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drawing>
          <wp:inline distT="0" distB="0" distL="114300" distR="114300">
            <wp:extent cx="5267960" cy="2084070"/>
            <wp:effectExtent l="0" t="0" r="15240" b="24130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84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（3）辅助功能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加载：编辑参数进行新的AI预测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导出：方案以表格的形式导出方案数据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drawing>
          <wp:inline distT="0" distB="0" distL="114300" distR="114300">
            <wp:extent cx="5254625" cy="1223645"/>
            <wp:effectExtent l="0" t="0" r="3175" b="2095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223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13"/>
        </w:numPr>
      </w:pPr>
      <w:bookmarkStart w:id="9" w:name="_Toc35663671"/>
      <w:r>
        <w:t>化验数据录入</w:t>
      </w:r>
      <w:bookmarkEnd w:id="9"/>
    </w:p>
    <w:p>
      <w:pPr>
        <w:pStyle w:val="5"/>
        <w:numPr>
          <w:ilvl w:val="0"/>
          <w:numId w:val="0"/>
        </w:numPr>
      </w:pPr>
      <w:bookmarkStart w:id="10" w:name="_Toc251380984"/>
      <w:r>
        <w:t>1.化验数据录入</w:t>
      </w:r>
      <w:bookmarkEnd w:id="10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</w:pPr>
      <w:r>
        <w:rPr>
          <w:sz w:val="28"/>
          <w:szCs w:val="28"/>
        </w:rPr>
        <w:t>产品化验出结果后，根据需要，由相关人员在此将数据录入系统进行管理。支持手动添加和批量导入</w:t>
      </w:r>
    </w:p>
    <w:p>
      <w:pPr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化验数据录入—右上角新增—填写数据—点击确定—新增成功</w:t>
      </w:r>
    </w:p>
    <w:p>
      <w:pPr>
        <w:numPr>
          <w:ilvl w:val="0"/>
          <w:numId w:val="0"/>
        </w:numPr>
        <w:rPr>
          <w:color w:val="FF0000"/>
          <w:sz w:val="28"/>
          <w:szCs w:val="28"/>
        </w:rPr>
      </w:pPr>
      <w:r>
        <w:rPr>
          <w:sz w:val="28"/>
          <w:szCs w:val="28"/>
        </w:rPr>
        <w:t>导入步骤：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化验数据录入—右上角下载导入模版—打开模版编辑数据保存—右上角导入—选择模版文件—确定—导入成功</w:t>
      </w:r>
      <w:r>
        <w:rPr>
          <w:color w:val="FF0000"/>
          <w:sz w:val="28"/>
          <w:szCs w:val="28"/>
        </w:rPr>
        <w:t>（备注：导入时若表格没有填写化验时间，系统默认导入时间为取样时间）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删除步骤：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化验数据录入—操作—删除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修改步骤：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化验数据录入—操作—修改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新增图示：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64785" cy="1555115"/>
            <wp:effectExtent l="0" t="0" r="18415" b="19685"/>
            <wp:docPr id="4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55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72405" cy="1904365"/>
            <wp:effectExtent l="0" t="0" r="10795" b="635"/>
            <wp:docPr id="4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04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61610" cy="774065"/>
            <wp:effectExtent l="0" t="0" r="21590" b="13335"/>
            <wp:docPr id="4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导入图示：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9705" cy="1826895"/>
            <wp:effectExtent l="0" t="0" r="23495" b="1905"/>
            <wp:docPr id="4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1826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6530" cy="2338070"/>
            <wp:effectExtent l="0" t="0" r="1270" b="24130"/>
            <wp:docPr id="5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338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880" cy="1586865"/>
            <wp:effectExtent l="0" t="0" r="20320" b="13335"/>
            <wp:docPr id="5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586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8435" cy="728980"/>
            <wp:effectExtent l="0" t="0" r="24765" b="7620"/>
            <wp:docPr id="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289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13"/>
        </w:numPr>
      </w:pPr>
      <w:bookmarkStart w:id="11" w:name="_Toc859864439"/>
      <w:r>
        <w:t>煤岩数据录入</w:t>
      </w:r>
      <w:bookmarkEnd w:id="11"/>
    </w:p>
    <w:p>
      <w:pPr>
        <w:pStyle w:val="5"/>
        <w:numPr>
          <w:ilvl w:val="0"/>
          <w:numId w:val="14"/>
        </w:numPr>
      </w:pPr>
      <w:bookmarkStart w:id="12" w:name="_Toc1324165610"/>
      <w:r>
        <w:t>煤岩数据录入</w:t>
      </w:r>
      <w:bookmarkEnd w:id="12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</w:pPr>
      <w:r>
        <w:rPr>
          <w:sz w:val="28"/>
          <w:szCs w:val="28"/>
        </w:rPr>
        <w:t>煤岩数据录入，当化验报告出来后，由相关人员进行上传，不支持修改和手动新增，支持word文档上传；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煤岩数据录入—右上角—导入煤岩word—选择文件确定—导入成功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删除步骤：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煤岩数据录入—操作—删除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340" cy="1314450"/>
            <wp:effectExtent l="0" t="0" r="22860" b="6350"/>
            <wp:docPr id="5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3515" cy="1892935"/>
            <wp:effectExtent l="0" t="0" r="19685" b="12065"/>
            <wp:docPr id="5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892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drawing>
          <wp:inline distT="0" distB="0" distL="114300" distR="114300">
            <wp:extent cx="5263515" cy="694055"/>
            <wp:effectExtent l="0" t="0" r="19685" b="17145"/>
            <wp:docPr id="5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694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13"/>
        </w:numPr>
      </w:pPr>
      <w:bookmarkStart w:id="13" w:name="_Toc878373409"/>
      <w:r>
        <w:t>煤盘数据录入</w:t>
      </w:r>
      <w:bookmarkEnd w:id="13"/>
    </w:p>
    <w:p>
      <w:pPr>
        <w:pStyle w:val="5"/>
        <w:numPr>
          <w:ilvl w:val="0"/>
          <w:numId w:val="0"/>
        </w:numPr>
      </w:pPr>
      <w:bookmarkStart w:id="14" w:name="_Toc1019295585"/>
      <w:r>
        <w:t>1.煤盘数据录入</w:t>
      </w:r>
      <w:bookmarkEnd w:id="14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</w:pPr>
      <w:r>
        <w:rPr>
          <w:sz w:val="28"/>
          <w:szCs w:val="28"/>
        </w:rPr>
        <w:t>煤盘数据录入，根据实际投入结果，将数据录入系统进行统一管理，支持新增、修改、删除。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煤盘数据录入—右上角新增—完善煤盘信息—点击确定—新增成功</w:t>
      </w:r>
    </w:p>
    <w:p>
      <w:p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修改步骤：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煤盘数据录入—操作—修改</w:t>
      </w:r>
    </w:p>
    <w:p>
      <w:p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删除步骤：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煤盘数据录入—操作—删除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r>
        <w:drawing>
          <wp:inline distT="0" distB="0" distL="114300" distR="114300">
            <wp:extent cx="5261610" cy="1793875"/>
            <wp:effectExtent l="0" t="0" r="21590" b="9525"/>
            <wp:docPr id="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793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2092325"/>
            <wp:effectExtent l="0" t="0" r="10795" b="15875"/>
            <wp:docPr id="5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7165" cy="957580"/>
            <wp:effectExtent l="0" t="0" r="635" b="7620"/>
            <wp:docPr id="5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957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5" w:name="_Toc823844976"/>
      <w:r>
        <w:t>八、基础数据</w:t>
      </w:r>
      <w:bookmarkEnd w:id="15"/>
    </w:p>
    <w:p>
      <w:pPr>
        <w:pStyle w:val="5"/>
      </w:pPr>
      <w:bookmarkStart w:id="16" w:name="_Toc1535439423"/>
      <w:r>
        <w:t>1.煤种管理</w:t>
      </w:r>
      <w:bookmarkEnd w:id="16"/>
    </w:p>
    <w:p>
      <w:p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煤产品（原料煤）的煤种信息管理，可以维护多煤种，在手动添加的时候用来选择。支持新增、修改、删除。</w:t>
      </w:r>
    </w:p>
    <w:p>
      <w:pPr>
        <w:numPr>
          <w:ilvl w:val="0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基础数据—煤种管理—左上角新增煤种—输入煤种名称—确认保存—新增成功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1480820"/>
            <wp:effectExtent l="0" t="0" r="19050" b="1778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1492885"/>
            <wp:effectExtent l="0" t="0" r="19050" b="571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92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bookmarkStart w:id="17" w:name="_Toc1966880009"/>
      <w:r>
        <w:t>2.化验指标</w:t>
      </w:r>
      <w:bookmarkEnd w:id="17"/>
    </w:p>
    <w:p>
      <w:p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维护各指标的基础信息及校验值范围。支持修改。</w:t>
      </w:r>
    </w:p>
    <w:p>
      <w:r>
        <w:rPr>
          <w:sz w:val="28"/>
          <w:szCs w:val="28"/>
        </w:rPr>
        <w:t>（2）操作演示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指标范围设置步骤：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基础数据—化验指标—某一指标—操作修改—设置校验最小值及最大值—提交—设置成功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54625" cy="1229360"/>
            <wp:effectExtent l="0" t="0" r="3175" b="15240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229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1430655"/>
            <wp:effectExtent l="0" t="0" r="0" b="17145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69865" cy="976630"/>
            <wp:effectExtent l="0" t="0" r="13335" b="13970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76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bookmarkStart w:id="18" w:name="_Toc1136532992"/>
      <w:r>
        <w:t>3.用户管理</w:t>
      </w:r>
      <w:bookmarkEnd w:id="18"/>
    </w:p>
    <w:p>
      <w:p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系统登陆账号管理，管理员可以为新用户创建登陆账户，分配角色，没有角色的用户登陆系统，菜单为空，默认初始登录密码为：123456，同时管理员可以为用户重置密码。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账户新增步骤：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基础数据—用户管理—右上角新增用户—输入账号及用户名信息—分配角色—点击确定—账号新增成功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rPr>
          <w:sz w:val="28"/>
          <w:szCs w:val="28"/>
        </w:rPr>
      </w:pPr>
      <w:r>
        <w:drawing>
          <wp:inline distT="0" distB="0" distL="114300" distR="114300">
            <wp:extent cx="5260975" cy="2029460"/>
            <wp:effectExtent l="0" t="0" r="22225" b="2540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0294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183130"/>
            <wp:effectExtent l="0" t="0" r="16510" b="1270"/>
            <wp:docPr id="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83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2132965"/>
            <wp:effectExtent l="0" t="0" r="15875" b="635"/>
            <wp:docPr id="6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32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</w:pPr>
      <w:bookmarkStart w:id="19" w:name="_Toc1990440126"/>
      <w:r>
        <w:t>4.指标类别</w:t>
      </w:r>
      <w:bookmarkEnd w:id="19"/>
    </w:p>
    <w:p>
      <w:pPr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维护指标类别的指标集合信息。支持修改。</w:t>
      </w:r>
    </w:p>
    <w:p>
      <w:pPr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修改步骤：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基础数据—指标类别—操作—修改—编辑指标集合信息—保存—修改成功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r>
        <w:drawing>
          <wp:inline distT="0" distB="0" distL="114300" distR="114300">
            <wp:extent cx="5264150" cy="1587500"/>
            <wp:effectExtent l="0" t="0" r="19050" b="12700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2738755"/>
            <wp:effectExtent l="0" t="0" r="0" b="4445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38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16075"/>
            <wp:effectExtent l="0" t="0" r="11430" b="9525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7"/>
        </w:numPr>
      </w:pPr>
      <w:bookmarkStart w:id="20" w:name="_Toc1974428363"/>
      <w:r>
        <w:t>班次管理</w:t>
      </w:r>
      <w:bookmarkEnd w:id="20"/>
    </w:p>
    <w:p>
      <w:pPr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维护新增化验数据录入时所选的班次信息。</w:t>
      </w:r>
    </w:p>
    <w:p>
      <w:pPr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添加新班次：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基础数据—班次管理—左上角新增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修改班次：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基础数据—班次管理—操作—修改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删除班次：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基础数据—班次管理—操作—删除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2066290"/>
            <wp:effectExtent l="0" t="0" r="1016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sz w:val="28"/>
          <w:szCs w:val="28"/>
        </w:rPr>
      </w:pPr>
      <w:r>
        <w:drawing>
          <wp:inline distT="0" distB="0" distL="114300" distR="114300">
            <wp:extent cx="5266690" cy="2066290"/>
            <wp:effectExtent l="0" t="0" r="16510" b="165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9"/>
        </w:numPr>
      </w:pPr>
      <w:bookmarkStart w:id="21" w:name="_Toc1300183497"/>
      <w:r>
        <w:t>取样地点</w:t>
      </w:r>
      <w:bookmarkEnd w:id="21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维护新增化验数据录入时所选的取样地点信息。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新增取样地点：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基础数据—取样地点—左上角新增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修改取样地点：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基础数据—取样地点—操作—修改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删除取样地点：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基础数据—取样地点—操作—删除</w:t>
      </w:r>
    </w:p>
    <w:p>
      <w:pPr>
        <w:numPr>
          <w:ilvl w:val="0"/>
          <w:numId w:val="0"/>
        </w:numPr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265045"/>
            <wp:effectExtent l="0" t="0" r="11430" b="20955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255520"/>
            <wp:effectExtent l="0" t="0" r="21590" b="5080"/>
            <wp:docPr id="3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55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9"/>
        </w:numPr>
      </w:pPr>
      <w:bookmarkStart w:id="22" w:name="_Toc1537925854"/>
      <w:r>
        <w:t>焦炭产品</w:t>
      </w:r>
      <w:bookmarkEnd w:id="22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维护新增化验数据录入时焦炭化验类别的产品信息。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删除焦炭产品：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基础数据—焦炭产品—操作—删除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新增说明：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在录入化验数据时新增，系统自动保存，无需特意添加</w:t>
      </w:r>
    </w:p>
    <w:p>
      <w:pPr>
        <w:numPr>
          <w:ilvl w:val="0"/>
          <w:numId w:val="0"/>
        </w:numPr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578100"/>
            <wp:effectExtent l="0" t="0" r="19050" b="12700"/>
            <wp:docPr id="3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8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152015"/>
            <wp:effectExtent l="0" t="0" r="21590" b="6985"/>
            <wp:docPr id="4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152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483485"/>
            <wp:effectExtent l="0" t="0" r="13335" b="5715"/>
            <wp:docPr id="4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3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9"/>
        </w:numPr>
      </w:pPr>
      <w:bookmarkStart w:id="23" w:name="_Toc806652886"/>
      <w:r>
        <w:t>入炉煤产品</w:t>
      </w:r>
      <w:bookmarkEnd w:id="23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维护新增化验数据录入时入煤炉化验类别的产品信息。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删除入煤炉产品：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础数据—入煤炉产品—操作—删除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新增说明：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在录入化验数据时新增，系统自动保存，无需特意添加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245" cy="2562225"/>
            <wp:effectExtent l="0" t="0" r="20955" b="3175"/>
            <wp:docPr id="4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5260" cy="1725930"/>
            <wp:effectExtent l="0" t="0" r="2540" b="1270"/>
            <wp:docPr id="4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1725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9"/>
        </w:numPr>
      </w:pPr>
      <w:bookmarkStart w:id="24" w:name="_Toc350791491"/>
      <w:r>
        <w:t>角色管理</w:t>
      </w:r>
      <w:bookmarkEnd w:id="24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用来给用户分配角色，实现权限设置，不同的角色展示不同的权限菜单；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角色新增：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基础数据—角色管理—新增角色—勾选菜单—应用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新增说明：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在新增的时候先新增角色名称，保存成功后选择角色，进行分配菜单，再点击应用，支持修改跟删除；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7165" cy="2663825"/>
            <wp:effectExtent l="0" t="0" r="635" b="3175"/>
            <wp:docPr id="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325" cy="1851025"/>
            <wp:effectExtent l="0" t="0" r="15875" b="3175"/>
            <wp:docPr id="4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51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340" cy="2550160"/>
            <wp:effectExtent l="0" t="0" r="22860" b="15240"/>
            <wp:docPr id="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"/>
                    <pic:cNvPicPr>
                      <a:picLocks noChangeAspect="1"/>
                    </pic:cNvPicPr>
                  </pic:nvPicPr>
                  <pic:blipFill>
                    <a:blip r:embed="rId63"/>
                    <a:srcRect b="1652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50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310" cy="1628775"/>
            <wp:effectExtent l="0" t="0" r="8890" b="22225"/>
            <wp:docPr id="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-apple-system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Arial">
    <w:panose1 w:val="020B0604020202090204"/>
    <w:charset w:val="00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00"/>
    <w:family w:val="auto"/>
    <w:pitch w:val="default"/>
    <w:sig w:usb0="00000000" w:usb1="00000000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Arial Unicode MS">
    <w:panose1 w:val="020B0604020202020204"/>
    <w:charset w:val="86"/>
    <w:family w:val="roman"/>
    <w:pitch w:val="default"/>
    <w:sig w:usb0="FFFFFFFF" w:usb1="E9FFFFFF" w:usb2="0000003F" w:usb3="00000000" w:csb0="603F01FF" w:csb1="FFFF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兰亭黑-繁">
    <w:panose1 w:val="03000509000000000000"/>
    <w:charset w:val="88"/>
    <w:family w:val="auto"/>
    <w:pitch w:val="default"/>
    <w:sig w:usb0="00000001" w:usb1="080E0000" w:usb2="00000000" w:usb3="00000000" w:csb0="00100000" w:csb1="00000000"/>
  </w:font>
  <w:font w:name="凌慧体-繁">
    <w:panose1 w:val="03050602040302020204"/>
    <w:charset w:val="86"/>
    <w:family w:val="auto"/>
    <w:pitch w:val="default"/>
    <w:sig w:usb0="A00002FF" w:usb1="7ACFFCFB" w:usb2="0000001E" w:usb3="00000000" w:csb0="20140183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仿宋_GB2312">
    <w:altName w:val="方正仿宋_GBK"/>
    <w:panose1 w:val="02010609030101010101"/>
    <w:charset w:val="00"/>
    <w:family w:val="modern"/>
    <w:pitch w:val="default"/>
    <w:sig w:usb0="00000000" w:usb1="00000000" w:usb2="00000010" w:usb3="00000000" w:csb0="00040000" w:csb1="00000000"/>
  </w:font>
  <w:font w:name="仿宋">
    <w:altName w:val="方正仿宋_GBK"/>
    <w:panose1 w:val="02010609060101010101"/>
    <w:charset w:val="00"/>
    <w:family w:val="modern"/>
    <w:pitch w:val="default"/>
    <w:sig w:usb0="00000000" w:usb1="00000000" w:usb2="00000016" w:usb3="00000000" w:csb0="00040001" w:csb1="00000000"/>
  </w:font>
  <w:font w:name="等线 Light">
    <w:altName w:val="汉仪中等线KW"/>
    <w:panose1 w:val="02010600030101010101"/>
    <w:charset w:val="00"/>
    <w:family w:val="auto"/>
    <w:pitch w:val="default"/>
    <w:sig w:usb0="00000000" w:usb1="00000000" w:usb2="00000016" w:usb3="00000000" w:csb0="0004000F" w:csb1="00000000"/>
  </w:font>
  <w:font w:name="MingLiU">
    <w:altName w:val="宋体-繁"/>
    <w:panose1 w:val="02010609000101010101"/>
    <w:charset w:val="00"/>
    <w:family w:val="modern"/>
    <w:pitch w:val="default"/>
    <w:sig w:usb0="00000000" w:usb1="00000000" w:usb2="00000016" w:usb3="00000000" w:csb0="00100001" w:csb1="00000000"/>
  </w:font>
  <w:font w:name="长城小标宋体">
    <w:altName w:val="苹方-简"/>
    <w:panose1 w:val="00000000000000000000"/>
    <w:charset w:val="00"/>
    <w:family w:val="modern"/>
    <w:pitch w:val="default"/>
    <w:sig w:usb0="00000000" w:usb1="00000000" w:usb2="00000010" w:usb3="00000000" w:csb0="00040000" w:csb1="00000000"/>
  </w:font>
  <w:font w:name="Wingdings 2">
    <w:panose1 w:val="05020102010507070707"/>
    <w:charset w:val="00"/>
    <w:family w:val="roman"/>
    <w:pitch w:val="default"/>
    <w:sig w:usb0="00000000" w:usb1="00000000" w:usb2="00000000" w:usb3="00000000" w:csb0="80000000" w:csb1="00000000"/>
  </w:font>
  <w:font w:name="楷体">
    <w:altName w:val="汉仪楷体KW"/>
    <w:panose1 w:val="02010609060101010101"/>
    <w:charset w:val="00"/>
    <w:family w:val="modern"/>
    <w:pitch w:val="default"/>
    <w:sig w:usb0="00000000" w:usb1="00000000" w:usb2="00000016" w:usb3="00000000" w:csb0="00040001" w:csb1="00000000"/>
  </w:font>
  <w:font w:name="Heiti SC Light">
    <w:panose1 w:val="02000000000000000000"/>
    <w:charset w:val="86"/>
    <w:family w:val="auto"/>
    <w:pitch w:val="default"/>
    <w:sig w:usb0="8000002F" w:usb1="0800004A" w:usb2="00000000" w:usb3="00000000" w:csb0="203E0000" w:csb1="00000000"/>
  </w:font>
  <w:font w:name="楷体_GB2312">
    <w:altName w:val="汉仪楷体简"/>
    <w:panose1 w:val="02010609030101010101"/>
    <w:charset w:val="00"/>
    <w:family w:val="modern"/>
    <w:pitch w:val="default"/>
    <w:sig w:usb0="00000000" w:usb1="00000000" w:usb2="00000000" w:usb3="00000000" w:csb0="00040000" w:csb1="00000000"/>
  </w:font>
  <w:font w:name="DengXian">
    <w:altName w:val="汉仪中等线KW"/>
    <w:panose1 w:val="02010600030101010101"/>
    <w:charset w:val="00"/>
    <w:family w:val="modern"/>
    <w:pitch w:val="default"/>
    <w:sig w:usb0="00000000" w:usb1="00000000" w:usb2="00000010" w:usb3="00000000" w:csb0="00040000" w:csb1="00000000"/>
  </w:font>
  <w:font w:name="汉仪仿宋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Hiragino Sans">
    <w:panose1 w:val="020B0300000000000000"/>
    <w:charset w:val="80"/>
    <w:family w:val="auto"/>
    <w:pitch w:val="default"/>
    <w:sig w:usb0="E00002FF" w:usb1="7AE7FFFF" w:usb2="00000012" w:usb3="00000000" w:csb0="0002000D" w:csb1="00000000"/>
  </w:font>
  <w:font w:name="儷黑 Pro">
    <w:panose1 w:val="020B0500000000000000"/>
    <w:charset w:val="88"/>
    <w:family w:val="auto"/>
    <w:pitch w:val="default"/>
    <w:sig w:usb0="80000001" w:usb1="28091800" w:usb2="00000016" w:usb3="00000000" w:csb0="00100000" w:csb1="00000000"/>
  </w:font>
  <w:font w:name="宋体-繁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蘋果儷細宋">
    <w:panose1 w:val="00000000000000000000"/>
    <w:charset w:val="88"/>
    <w:family w:val="auto"/>
    <w:pitch w:val="default"/>
    <w:sig w:usb0="800000E3" w:usb1="30C97878" w:usb2="00000016" w:usb3="00000000" w:csb0="00100000" w:csb1="00000000"/>
  </w:font>
  <w:font w:name="黑体-简">
    <w:panose1 w:val="02000000000000000000"/>
    <w:charset w:val="86"/>
    <w:family w:val="auto"/>
    <w:pitch w:val="default"/>
    <w:sig w:usb0="8000002F" w:usb1="0800004A" w:usb2="00000000" w:usb3="00000000" w:csb0="203E0000" w:csb1="00000000"/>
  </w:font>
  <w:font w:name="黑体-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宋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-简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仿宋_GB231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B23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B2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B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报隶-简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报隶-繁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Brush Script MT">
    <w:panose1 w:val="03060802040406070304"/>
    <w:charset w:val="86"/>
    <w:family w:val="auto"/>
    <w:pitch w:val="default"/>
    <w:sig w:usb0="00000000" w:usb1="00000000" w:usb2="00000000" w:usb3="00000000" w:csb0="0025003A" w:csb1="002F0000"/>
  </w:font>
  <w:font w:name="黑体">
    <w:altName w:val="汉仪中黑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华文黑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Wingdings 3">
    <w:panose1 w:val="05040102010807070707"/>
    <w:charset w:val="00"/>
    <w:family w:val="auto"/>
    <w:pitch w:val="default"/>
    <w:sig w:usb0="00000000" w:usb1="00000000" w:usb2="00000000" w:usb3="00000000" w:csb0="8000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MingLiU">
    <w:altName w:val="宋体-繁"/>
    <w:panose1 w:val="02020509000000000000"/>
    <w:charset w:val="88"/>
    <w:family w:val="auto"/>
    <w:pitch w:val="default"/>
    <w:sig w:usb0="00000000" w:usb1="00000000" w:usb2="00000016" w:usb3="00000000" w:csb0="00100001" w:csb1="00000000"/>
  </w:font>
  <w:font w:name="汉仪旗黑KW 55S">
    <w:altName w:val="苹方-简"/>
    <w:panose1 w:val="00020600040101010101"/>
    <w:charset w:val="86"/>
    <w:family w:val="auto"/>
    <w:pitch w:val="default"/>
    <w:sig w:usb0="00000000" w:usb1="00000000" w:usb2="00000016" w:usb3="00000000" w:csb0="0004009F" w:csb1="DFD7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旗黑KW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思源黑体 CN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Source Han Sans CN Normal">
    <w:panose1 w:val="020B0500000000000000"/>
    <w:charset w:val="86"/>
    <w:family w:val="auto"/>
    <w:pitch w:val="default"/>
    <w:sig w:usb0="20000003" w:usb1="2ADF3C10" w:usb2="00000016" w:usb3="00000000" w:csb0="60060107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left="0" w:leftChars="0"/>
      <w:jc w:val="left"/>
    </w:pPr>
    <w:r>
      <w:drawing>
        <wp:inline distT="0" distB="0" distL="114300" distR="114300">
          <wp:extent cx="440690" cy="375285"/>
          <wp:effectExtent l="0" t="0" r="16510" b="5715"/>
          <wp:docPr id="3" name="图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5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40690" cy="37528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inline>
      </w:drawing>
    </w:r>
    <w:r>
      <w:t xml:space="preserve"> </w:t>
    </w:r>
    <w:r>
      <w:rPr>
        <w:rFonts w:hint="eastAsia"/>
        <w:lang w:val="en-US" w:eastAsia="zh-Hans"/>
      </w:rPr>
      <w:t>河南煜祺网络技术有限公司</w:t>
    </w:r>
    <w:r>
      <w:rPr>
        <w:rFonts w:hint="default"/>
        <w:lang w:eastAsia="zh-Hans"/>
      </w:rPr>
      <w:t>【</w:t>
    </w:r>
    <w:r>
      <w:rPr>
        <w:rFonts w:hint="eastAsia"/>
        <w:lang w:val="en-US" w:eastAsia="zh-Hans"/>
      </w:rPr>
      <w:t>智慧配料系统使用指南</w:t>
    </w:r>
    <w:r>
      <w:rPr>
        <w:rFonts w:hint="default"/>
        <w:lang w:eastAsia="zh-Hans"/>
      </w:rPr>
      <w:t>】</w:t>
    </w:r>
  </w:p>
  <w:p>
    <w:pPr>
      <w:pStyle w:val="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EC12A0"/>
    <w:multiLevelType w:val="singleLevel"/>
    <w:tmpl w:val="5EEC12A0"/>
    <w:lvl w:ilvl="0" w:tentative="0">
      <w:start w:val="1"/>
      <w:numFmt w:val="chineseCounting"/>
      <w:suff w:val="nothing"/>
      <w:lvlText w:val="%1、"/>
      <w:lvlJc w:val="left"/>
    </w:lvl>
  </w:abstractNum>
  <w:abstractNum w:abstractNumId="1">
    <w:nsid w:val="5EEC259A"/>
    <w:multiLevelType w:val="singleLevel"/>
    <w:tmpl w:val="5EEC259A"/>
    <w:lvl w:ilvl="0" w:tentative="0">
      <w:start w:val="2"/>
      <w:numFmt w:val="decimal"/>
      <w:suff w:val="nothing"/>
      <w:lvlText w:val="%1）"/>
      <w:lvlJc w:val="left"/>
    </w:lvl>
  </w:abstractNum>
  <w:abstractNum w:abstractNumId="2">
    <w:nsid w:val="5EEC2B39"/>
    <w:multiLevelType w:val="singleLevel"/>
    <w:tmpl w:val="5EEC2B39"/>
    <w:lvl w:ilvl="0" w:tentative="0">
      <w:start w:val="2"/>
      <w:numFmt w:val="chineseCounting"/>
      <w:suff w:val="nothing"/>
      <w:lvlText w:val="%1、"/>
      <w:lvlJc w:val="left"/>
    </w:lvl>
  </w:abstractNum>
  <w:abstractNum w:abstractNumId="3">
    <w:nsid w:val="5EEC2B5A"/>
    <w:multiLevelType w:val="singleLevel"/>
    <w:tmpl w:val="5EEC2B5A"/>
    <w:lvl w:ilvl="0" w:tentative="0">
      <w:start w:val="1"/>
      <w:numFmt w:val="decimal"/>
      <w:suff w:val="nothing"/>
      <w:lvlText w:val="%1."/>
      <w:lvlJc w:val="left"/>
    </w:lvl>
  </w:abstractNum>
  <w:abstractNum w:abstractNumId="4">
    <w:nsid w:val="5EEC2B91"/>
    <w:multiLevelType w:val="singleLevel"/>
    <w:tmpl w:val="5EEC2B91"/>
    <w:lvl w:ilvl="0" w:tentative="0">
      <w:start w:val="1"/>
      <w:numFmt w:val="decimal"/>
      <w:suff w:val="nothing"/>
      <w:lvlText w:val="（%1）"/>
      <w:lvlJc w:val="left"/>
    </w:lvl>
  </w:abstractNum>
  <w:abstractNum w:abstractNumId="5">
    <w:nsid w:val="5EEC376F"/>
    <w:multiLevelType w:val="singleLevel"/>
    <w:tmpl w:val="5EEC376F"/>
    <w:lvl w:ilvl="0" w:tentative="0">
      <w:start w:val="3"/>
      <w:numFmt w:val="chineseCounting"/>
      <w:suff w:val="nothing"/>
      <w:lvlText w:val="%1、"/>
      <w:lvlJc w:val="left"/>
    </w:lvl>
  </w:abstractNum>
  <w:abstractNum w:abstractNumId="6">
    <w:nsid w:val="5EEC379C"/>
    <w:multiLevelType w:val="singleLevel"/>
    <w:tmpl w:val="5EEC379C"/>
    <w:lvl w:ilvl="0" w:tentative="0">
      <w:start w:val="1"/>
      <w:numFmt w:val="decimal"/>
      <w:suff w:val="nothing"/>
      <w:lvlText w:val="（%1）"/>
      <w:lvlJc w:val="left"/>
    </w:lvl>
  </w:abstractNum>
  <w:abstractNum w:abstractNumId="7">
    <w:nsid w:val="5EEC3C43"/>
    <w:multiLevelType w:val="singleLevel"/>
    <w:tmpl w:val="5EEC3C43"/>
    <w:lvl w:ilvl="0" w:tentative="0">
      <w:start w:val="4"/>
      <w:numFmt w:val="chineseCounting"/>
      <w:suff w:val="nothing"/>
      <w:lvlText w:val="%1、"/>
      <w:lvlJc w:val="left"/>
    </w:lvl>
  </w:abstractNum>
  <w:abstractNum w:abstractNumId="8">
    <w:nsid w:val="5EEC3C82"/>
    <w:multiLevelType w:val="singleLevel"/>
    <w:tmpl w:val="5EEC3C82"/>
    <w:lvl w:ilvl="0" w:tentative="0">
      <w:start w:val="1"/>
      <w:numFmt w:val="decimal"/>
      <w:suff w:val="nothing"/>
      <w:lvlText w:val="%1."/>
      <w:lvlJc w:val="left"/>
    </w:lvl>
  </w:abstractNum>
  <w:abstractNum w:abstractNumId="9">
    <w:nsid w:val="5EEC3CD8"/>
    <w:multiLevelType w:val="singleLevel"/>
    <w:tmpl w:val="5EEC3CD8"/>
    <w:lvl w:ilvl="0" w:tentative="0">
      <w:start w:val="1"/>
      <w:numFmt w:val="decimal"/>
      <w:suff w:val="nothing"/>
      <w:lvlText w:val="（%1）"/>
      <w:lvlJc w:val="left"/>
    </w:lvl>
  </w:abstractNum>
  <w:abstractNum w:abstractNumId="10">
    <w:nsid w:val="5EEC3E8E"/>
    <w:multiLevelType w:val="singleLevel"/>
    <w:tmpl w:val="5EEC3E8E"/>
    <w:lvl w:ilvl="0" w:tentative="0">
      <w:start w:val="2"/>
      <w:numFmt w:val="decimal"/>
      <w:suff w:val="nothing"/>
      <w:lvlText w:val="%1."/>
      <w:lvlJc w:val="left"/>
    </w:lvl>
  </w:abstractNum>
  <w:abstractNum w:abstractNumId="11">
    <w:nsid w:val="5EEC3EA8"/>
    <w:multiLevelType w:val="singleLevel"/>
    <w:tmpl w:val="5EEC3EA8"/>
    <w:lvl w:ilvl="0" w:tentative="0">
      <w:start w:val="1"/>
      <w:numFmt w:val="decimal"/>
      <w:suff w:val="nothing"/>
      <w:lvlText w:val="（%1）"/>
      <w:lvlJc w:val="left"/>
    </w:lvl>
  </w:abstractNum>
  <w:abstractNum w:abstractNumId="12">
    <w:nsid w:val="5EEC5D23"/>
    <w:multiLevelType w:val="singleLevel"/>
    <w:tmpl w:val="5EEC5D23"/>
    <w:lvl w:ilvl="0" w:tentative="0">
      <w:start w:val="2"/>
      <w:numFmt w:val="decimal"/>
      <w:suff w:val="nothing"/>
      <w:lvlText w:val="（%1）"/>
      <w:lvlJc w:val="left"/>
    </w:lvl>
  </w:abstractNum>
  <w:abstractNum w:abstractNumId="13">
    <w:nsid w:val="5EEC61D2"/>
    <w:multiLevelType w:val="singleLevel"/>
    <w:tmpl w:val="5EEC61D2"/>
    <w:lvl w:ilvl="0" w:tentative="0">
      <w:start w:val="1"/>
      <w:numFmt w:val="decimal"/>
      <w:suff w:val="nothing"/>
      <w:lvlText w:val="（%1）"/>
      <w:lvlJc w:val="left"/>
    </w:lvl>
  </w:abstractNum>
  <w:abstractNum w:abstractNumId="14">
    <w:nsid w:val="5EFBE6CE"/>
    <w:multiLevelType w:val="singleLevel"/>
    <w:tmpl w:val="5EFBE6CE"/>
    <w:lvl w:ilvl="0" w:tentative="0">
      <w:start w:val="5"/>
      <w:numFmt w:val="chineseCounting"/>
      <w:suff w:val="nothing"/>
      <w:lvlText w:val="%1、"/>
      <w:lvlJc w:val="left"/>
    </w:lvl>
  </w:abstractNum>
  <w:abstractNum w:abstractNumId="15">
    <w:nsid w:val="5EFBE770"/>
    <w:multiLevelType w:val="singleLevel"/>
    <w:tmpl w:val="5EFBE770"/>
    <w:lvl w:ilvl="0" w:tentative="0">
      <w:start w:val="5"/>
      <w:numFmt w:val="decimal"/>
      <w:suff w:val="nothing"/>
      <w:lvlText w:val="%1."/>
      <w:lvlJc w:val="left"/>
    </w:lvl>
  </w:abstractNum>
  <w:abstractNum w:abstractNumId="16">
    <w:nsid w:val="5EFBE794"/>
    <w:multiLevelType w:val="singleLevel"/>
    <w:tmpl w:val="5EFBE794"/>
    <w:lvl w:ilvl="0" w:tentative="0">
      <w:start w:val="1"/>
      <w:numFmt w:val="decimal"/>
      <w:suff w:val="nothing"/>
      <w:lvlText w:val="（%1）"/>
      <w:lvlJc w:val="left"/>
    </w:lvl>
  </w:abstractNum>
  <w:abstractNum w:abstractNumId="17">
    <w:nsid w:val="5EFBE922"/>
    <w:multiLevelType w:val="singleLevel"/>
    <w:tmpl w:val="5EFBE922"/>
    <w:lvl w:ilvl="0" w:tentative="0">
      <w:start w:val="6"/>
      <w:numFmt w:val="decimal"/>
      <w:suff w:val="nothing"/>
      <w:lvlText w:val="%1."/>
      <w:lvlJc w:val="left"/>
    </w:lvl>
  </w:abstractNum>
  <w:abstractNum w:abstractNumId="18">
    <w:nsid w:val="5EFBF0F1"/>
    <w:multiLevelType w:val="singleLevel"/>
    <w:tmpl w:val="5EFBF0F1"/>
    <w:lvl w:ilvl="0" w:tentative="0">
      <w:start w:val="1"/>
      <w:numFmt w:val="decimal"/>
      <w:suff w:val="nothing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4"/>
  </w:num>
  <w:num w:numId="14">
    <w:abstractNumId w:val="18"/>
  </w:num>
  <w:num w:numId="15">
    <w:abstractNumId w:val="12"/>
  </w:num>
  <w:num w:numId="16">
    <w:abstractNumId w:val="13"/>
  </w:num>
  <w:num w:numId="17">
    <w:abstractNumId w:val="15"/>
  </w:num>
  <w:num w:numId="18">
    <w:abstractNumId w:val="16"/>
  </w:num>
  <w:num w:numId="1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FF72BDE"/>
    <w:rsid w:val="2CFFDA61"/>
    <w:rsid w:val="2DEFEB7C"/>
    <w:rsid w:val="2FF72BDE"/>
    <w:rsid w:val="3FC3B252"/>
    <w:rsid w:val="57AD6534"/>
    <w:rsid w:val="5ADBA883"/>
    <w:rsid w:val="5FCD297B"/>
    <w:rsid w:val="5FEEF446"/>
    <w:rsid w:val="63F9748A"/>
    <w:rsid w:val="67F62528"/>
    <w:rsid w:val="71DF51D1"/>
    <w:rsid w:val="77BF34B9"/>
    <w:rsid w:val="7A351285"/>
    <w:rsid w:val="7ACF9DD4"/>
    <w:rsid w:val="7AFD28DB"/>
    <w:rsid w:val="7BD3A960"/>
    <w:rsid w:val="7DFD963F"/>
    <w:rsid w:val="7E5B1EE0"/>
    <w:rsid w:val="7EEE653F"/>
    <w:rsid w:val="7FB29E10"/>
    <w:rsid w:val="9E59DD63"/>
    <w:rsid w:val="9FFDF9B8"/>
    <w:rsid w:val="A5EE51ED"/>
    <w:rsid w:val="ABB7C552"/>
    <w:rsid w:val="AFCC11E8"/>
    <w:rsid w:val="BDFB3818"/>
    <w:rsid w:val="CE5F8FD4"/>
    <w:rsid w:val="CFFBDF6A"/>
    <w:rsid w:val="DEDE5805"/>
    <w:rsid w:val="E7FAFC57"/>
    <w:rsid w:val="EBFFAF93"/>
    <w:rsid w:val="EF3FB44C"/>
    <w:rsid w:val="F72F1D3D"/>
    <w:rsid w:val="F7EFBF82"/>
    <w:rsid w:val="FBE8F6E0"/>
    <w:rsid w:val="FF7F2ADA"/>
    <w:rsid w:val="FFE7B44C"/>
    <w:rsid w:val="FFEB5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5">
    <w:name w:val="heading 2"/>
    <w:basedOn w:val="1"/>
    <w:next w:val="1"/>
    <w:unhideWhenUsed/>
    <w:qFormat/>
    <w:uiPriority w:val="0"/>
    <w:pPr>
      <w:keepNext/>
      <w:keepLines/>
      <w:spacing w:beforeLines="0" w:beforeAutospacing="0" w:after="260" w:afterLines="0" w:afterAutospacing="0" w:line="413" w:lineRule="auto"/>
      <w:outlineLvl w:val="1"/>
    </w:pPr>
    <w:rPr>
      <w:rFonts w:ascii="DejaVu Sans" w:hAnsi="DejaVu Sans" w:eastAsia="方正黑体_GBK"/>
      <w:b/>
      <w:sz w:val="32"/>
    </w:rPr>
  </w:style>
  <w:style w:type="character" w:default="1" w:styleId="10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uiPriority w:val="0"/>
    <w:pPr>
      <w:ind w:firstLine="420" w:firstLineChars="200"/>
    </w:pPr>
  </w:style>
  <w:style w:type="paragraph" w:styleId="3">
    <w:name w:val="Body Text Indent"/>
    <w:basedOn w:val="1"/>
    <w:uiPriority w:val="0"/>
    <w:pPr>
      <w:spacing w:after="120" w:afterLines="0" w:afterAutospacing="0"/>
      <w:ind w:left="420" w:leftChars="200"/>
    </w:p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rFonts w:ascii="DejaVu Sans" w:hAnsi="DejaVu Sans"/>
      <w:sz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toc 2"/>
    <w:basedOn w:val="1"/>
    <w:next w:val="1"/>
    <w:qFormat/>
    <w:uiPriority w:val="0"/>
    <w:pPr>
      <w:ind w:left="420" w:leftChars="200"/>
    </w:pPr>
  </w:style>
  <w:style w:type="paragraph" w:customStyle="1" w:styleId="12">
    <w:name w:val="p1"/>
    <w:basedOn w:val="1"/>
    <w:qFormat/>
    <w:uiPriority w:val="0"/>
    <w:pPr>
      <w:spacing w:before="0" w:beforeAutospacing="0" w:after="0" w:afterAutospacing="0" w:line="380" w:lineRule="atLeast"/>
      <w:ind w:left="0" w:right="0"/>
      <w:jc w:val="left"/>
    </w:pPr>
    <w:rPr>
      <w:rFonts w:ascii="Helvetica Neue" w:hAnsi="Helvetica Neue" w:eastAsia="Helvetica Neue" w:cs="Helvetica Neue"/>
      <w:color w:val="000000"/>
      <w:kern w:val="0"/>
      <w:sz w:val="26"/>
      <w:szCs w:val="26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7" Type="http://schemas.openxmlformats.org/officeDocument/2006/relationships/fontTable" Target="fontTable.xml"/><Relationship Id="rId66" Type="http://schemas.openxmlformats.org/officeDocument/2006/relationships/numbering" Target="numbering.xml"/><Relationship Id="rId65" Type="http://schemas.openxmlformats.org/officeDocument/2006/relationships/customXml" Target="../customXml/item1.xml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theme" Target="theme/theme1.xml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Office_3.0.0.4824_F1E327BC-269C-435d-A152-05C5408002CA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2020-06-20T16:07:00Z</dcterms:created>
  <dc:creator>yufangfang</dc:creator>
  <cp:lastModifiedBy>yufangfang</cp:lastModifiedBy>
  <dcterms:modified xsi:type="dcterms:W3CDTF">2021-02-02T15:41:15Z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2052-3.0.0.4824</vt:lpwstr>
  </property>
</Properties>
</file>