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b/>
          <w:sz w:val="48"/>
          <w:szCs w:val="48"/>
        </w:rPr>
      </w:pPr>
    </w:p>
    <w:p>
      <w:pPr>
        <w:widowControl/>
        <w:jc w:val="center"/>
        <w:rPr>
          <w:b/>
          <w:sz w:val="48"/>
          <w:szCs w:val="48"/>
        </w:rPr>
      </w:pPr>
    </w:p>
    <w:p>
      <w:pPr>
        <w:widowControl/>
        <w:jc w:val="center"/>
        <w:rPr>
          <w:b/>
          <w:sz w:val="48"/>
          <w:szCs w:val="48"/>
        </w:rPr>
      </w:pPr>
    </w:p>
    <w:p>
      <w:pPr>
        <w:widowControl/>
        <w:jc w:val="center"/>
        <w:rPr>
          <w:b/>
          <w:sz w:val="48"/>
          <w:szCs w:val="48"/>
        </w:rPr>
      </w:pPr>
    </w:p>
    <w:p>
      <w:pPr>
        <w:widowControl/>
        <w:jc w:val="center"/>
        <w:rPr>
          <w:b/>
          <w:sz w:val="48"/>
          <w:szCs w:val="48"/>
        </w:rPr>
      </w:pPr>
    </w:p>
    <w:p>
      <w:pPr>
        <w:widowControl/>
        <w:jc w:val="center"/>
        <w:rPr>
          <w:b/>
          <w:sz w:val="48"/>
          <w:szCs w:val="48"/>
        </w:rPr>
      </w:pPr>
    </w:p>
    <w:p>
      <w:pPr>
        <w:widowControl/>
        <w:jc w:val="center"/>
        <w:rPr>
          <w:b/>
          <w:sz w:val="48"/>
          <w:szCs w:val="48"/>
        </w:rPr>
      </w:pPr>
    </w:p>
    <w:p>
      <w:pPr>
        <w:widowControl/>
        <w:jc w:val="center"/>
        <w:outlineLvl w:val="0"/>
        <w:rPr>
          <w:b/>
          <w:sz w:val="48"/>
          <w:szCs w:val="48"/>
        </w:rPr>
      </w:pPr>
      <w:bookmarkStart w:id="0" w:name="_Toc3586"/>
      <w:r>
        <w:rPr>
          <w:rFonts w:hint="eastAsia"/>
          <w:b/>
          <w:sz w:val="48"/>
          <w:szCs w:val="48"/>
        </w:rPr>
        <w:t>第一部分 安装维护</w:t>
      </w:r>
      <w:bookmarkEnd w:id="0"/>
    </w:p>
    <w:p>
      <w:pPr>
        <w:widowControl/>
        <w:jc w:val="left"/>
        <w:rPr>
          <w:sz w:val="24"/>
          <w:szCs w:val="24"/>
        </w:rPr>
      </w:pPr>
      <w:r>
        <w:rPr>
          <w:sz w:val="24"/>
          <w:szCs w:val="24"/>
        </w:rPr>
        <w:br w:type="page"/>
      </w:r>
    </w:p>
    <w:p>
      <w:pPr>
        <w:spacing w:line="360" w:lineRule="auto"/>
        <w:jc w:val="center"/>
        <w:outlineLvl w:val="0"/>
        <w:rPr>
          <w:b/>
          <w:bCs/>
          <w:sz w:val="24"/>
          <w:szCs w:val="24"/>
        </w:rPr>
      </w:pPr>
      <w:bookmarkStart w:id="1" w:name="_Toc18329"/>
      <w:r>
        <w:rPr>
          <w:rFonts w:hint="eastAsia"/>
          <w:b/>
          <w:bCs/>
          <w:sz w:val="24"/>
          <w:szCs w:val="24"/>
        </w:rPr>
        <w:t>目录</w:t>
      </w:r>
      <w:bookmarkEnd w:id="1"/>
    </w:p>
    <w:p>
      <w:pPr>
        <w:pStyle w:val="19"/>
        <w:tabs>
          <w:tab w:val="right" w:leader="dot" w:pos="9746"/>
        </w:tabs>
      </w:pPr>
      <w:r>
        <w:rPr>
          <w:sz w:val="24"/>
          <w:szCs w:val="24"/>
        </w:rPr>
        <w:fldChar w:fldCharType="begin"/>
      </w:r>
      <w:r>
        <w:rPr>
          <w:sz w:val="24"/>
          <w:szCs w:val="24"/>
        </w:rPr>
        <w:instrText xml:space="preserve"> </w:instrText>
      </w:r>
      <w:r>
        <w:rPr>
          <w:rFonts w:hint="eastAsia"/>
          <w:sz w:val="24"/>
          <w:szCs w:val="24"/>
        </w:rPr>
        <w:instrText xml:space="preserve">TOC \o "1-3" \h \z \u</w:instrText>
      </w:r>
      <w:r>
        <w:rPr>
          <w:sz w:val="24"/>
          <w:szCs w:val="24"/>
        </w:rPr>
        <w:instrText xml:space="preserve"> </w:instrText>
      </w:r>
      <w:r>
        <w:rPr>
          <w:sz w:val="24"/>
          <w:szCs w:val="24"/>
        </w:rPr>
        <w:fldChar w:fldCharType="separate"/>
      </w:r>
      <w:r>
        <w:rPr>
          <w:szCs w:val="24"/>
        </w:rPr>
        <w:fldChar w:fldCharType="begin"/>
      </w:r>
      <w:r>
        <w:rPr>
          <w:szCs w:val="24"/>
        </w:rPr>
        <w:instrText xml:space="preserve"> HYPERLINK \l _Toc3586 </w:instrText>
      </w:r>
      <w:r>
        <w:rPr>
          <w:szCs w:val="24"/>
        </w:rPr>
        <w:fldChar w:fldCharType="separate"/>
      </w:r>
      <w:r>
        <w:rPr>
          <w:rFonts w:hint="eastAsia"/>
          <w:szCs w:val="48"/>
        </w:rPr>
        <w:t>第一部分 安装维护</w:t>
      </w:r>
      <w:r>
        <w:tab/>
      </w:r>
      <w:r>
        <w:fldChar w:fldCharType="begin"/>
      </w:r>
      <w:r>
        <w:instrText xml:space="preserve"> PAGEREF _Toc3586 \h </w:instrText>
      </w:r>
      <w:r>
        <w:fldChar w:fldCharType="separate"/>
      </w:r>
      <w:r>
        <w:t>1</w:t>
      </w:r>
      <w:r>
        <w:fldChar w:fldCharType="end"/>
      </w:r>
      <w:r>
        <w:rPr>
          <w:szCs w:val="24"/>
        </w:rPr>
        <w:fldChar w:fldCharType="end"/>
      </w:r>
    </w:p>
    <w:p>
      <w:pPr>
        <w:pStyle w:val="19"/>
        <w:tabs>
          <w:tab w:val="right" w:leader="dot" w:pos="9746"/>
        </w:tabs>
      </w:pPr>
      <w:r>
        <w:rPr>
          <w:szCs w:val="24"/>
        </w:rPr>
        <w:fldChar w:fldCharType="begin"/>
      </w:r>
      <w:r>
        <w:rPr>
          <w:szCs w:val="24"/>
        </w:rPr>
        <w:instrText xml:space="preserve"> HYPERLINK \l _Toc18329 </w:instrText>
      </w:r>
      <w:r>
        <w:rPr>
          <w:szCs w:val="24"/>
        </w:rPr>
        <w:fldChar w:fldCharType="separate"/>
      </w:r>
      <w:r>
        <w:rPr>
          <w:rFonts w:hint="eastAsia"/>
          <w:bCs/>
          <w:szCs w:val="24"/>
        </w:rPr>
        <w:t>目录</w:t>
      </w:r>
      <w:r>
        <w:tab/>
      </w:r>
      <w:r>
        <w:fldChar w:fldCharType="begin"/>
      </w:r>
      <w:r>
        <w:instrText xml:space="preserve"> PAGEREF _Toc18329 \h </w:instrText>
      </w:r>
      <w:r>
        <w:fldChar w:fldCharType="separate"/>
      </w:r>
      <w:r>
        <w:t>2</w:t>
      </w:r>
      <w:r>
        <w:fldChar w:fldCharType="end"/>
      </w:r>
      <w:r>
        <w:rPr>
          <w:szCs w:val="24"/>
        </w:rPr>
        <w:fldChar w:fldCharType="end"/>
      </w:r>
    </w:p>
    <w:p>
      <w:pPr>
        <w:pStyle w:val="19"/>
        <w:tabs>
          <w:tab w:val="right" w:leader="dot" w:pos="9746"/>
        </w:tabs>
      </w:pPr>
      <w:r>
        <w:rPr>
          <w:szCs w:val="24"/>
        </w:rPr>
        <w:fldChar w:fldCharType="begin"/>
      </w:r>
      <w:r>
        <w:rPr>
          <w:szCs w:val="24"/>
        </w:rPr>
        <w:instrText xml:space="preserve"> HYPERLINK \l _Toc26737 </w:instrText>
      </w:r>
      <w:r>
        <w:rPr>
          <w:szCs w:val="24"/>
        </w:rPr>
        <w:fldChar w:fldCharType="separate"/>
      </w:r>
      <w:r>
        <w:t xml:space="preserve">1 </w:t>
      </w:r>
      <w:r>
        <w:rPr>
          <w:rFonts w:hint="eastAsia"/>
        </w:rPr>
        <w:t>安全预防措施特别声明</w:t>
      </w:r>
      <w:r>
        <w:tab/>
      </w:r>
      <w:r>
        <w:fldChar w:fldCharType="begin"/>
      </w:r>
      <w:r>
        <w:instrText xml:space="preserve"> PAGEREF _Toc26737 \h </w:instrText>
      </w:r>
      <w:r>
        <w:fldChar w:fldCharType="separate"/>
      </w:r>
      <w:r>
        <w:t>3</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_Toc29443 </w:instrText>
      </w:r>
      <w:r>
        <w:rPr>
          <w:szCs w:val="24"/>
        </w:rPr>
        <w:fldChar w:fldCharType="separate"/>
      </w:r>
      <w:r>
        <w:t xml:space="preserve">1.1 </w:t>
      </w:r>
      <w:r>
        <w:rPr>
          <w:rFonts w:hint="eastAsia"/>
        </w:rPr>
        <w:t>总则</w:t>
      </w:r>
      <w:r>
        <w:tab/>
      </w:r>
      <w:r>
        <w:fldChar w:fldCharType="begin"/>
      </w:r>
      <w:r>
        <w:instrText xml:space="preserve"> PAGEREF _Toc29443 \h </w:instrText>
      </w:r>
      <w:r>
        <w:fldChar w:fldCharType="separate"/>
      </w:r>
      <w:r>
        <w:t>3</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_Toc18992 </w:instrText>
      </w:r>
      <w:r>
        <w:rPr>
          <w:szCs w:val="24"/>
        </w:rPr>
        <w:fldChar w:fldCharType="separate"/>
      </w:r>
      <w:r>
        <w:t xml:space="preserve">1.2 </w:t>
      </w:r>
      <w:r>
        <w:rPr>
          <w:rFonts w:hint="eastAsia"/>
        </w:rPr>
        <w:t>触电与灼伤预防</w:t>
      </w:r>
      <w:r>
        <w:tab/>
      </w:r>
      <w:r>
        <w:fldChar w:fldCharType="begin"/>
      </w:r>
      <w:r>
        <w:instrText xml:space="preserve"> PAGEREF _Toc18992 \h </w:instrText>
      </w:r>
      <w:r>
        <w:fldChar w:fldCharType="separate"/>
      </w:r>
      <w:r>
        <w:t>3</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_Toc25968 </w:instrText>
      </w:r>
      <w:r>
        <w:rPr>
          <w:szCs w:val="24"/>
        </w:rPr>
        <w:fldChar w:fldCharType="separate"/>
      </w:r>
      <w:r>
        <w:t xml:space="preserve">1.3 </w:t>
      </w:r>
      <w:r>
        <w:rPr>
          <w:rFonts w:hint="eastAsia"/>
        </w:rPr>
        <w:t>化学药品危险预防</w:t>
      </w:r>
      <w:r>
        <w:tab/>
      </w:r>
      <w:r>
        <w:fldChar w:fldCharType="begin"/>
      </w:r>
      <w:r>
        <w:instrText xml:space="preserve"> PAGEREF _Toc25968 \h </w:instrText>
      </w:r>
      <w:r>
        <w:fldChar w:fldCharType="separate"/>
      </w:r>
      <w:r>
        <w:t>3</w:t>
      </w:r>
      <w:r>
        <w:fldChar w:fldCharType="end"/>
      </w:r>
      <w:r>
        <w:rPr>
          <w:szCs w:val="24"/>
        </w:rPr>
        <w:fldChar w:fldCharType="end"/>
      </w:r>
    </w:p>
    <w:p>
      <w:pPr>
        <w:pStyle w:val="19"/>
        <w:tabs>
          <w:tab w:val="right" w:leader="dot" w:pos="9746"/>
        </w:tabs>
      </w:pPr>
      <w:r>
        <w:rPr>
          <w:szCs w:val="24"/>
        </w:rPr>
        <w:fldChar w:fldCharType="begin"/>
      </w:r>
      <w:r>
        <w:rPr>
          <w:szCs w:val="24"/>
        </w:rPr>
        <w:instrText xml:space="preserve"> HYPERLINK \l _Toc24839 </w:instrText>
      </w:r>
      <w:r>
        <w:rPr>
          <w:szCs w:val="24"/>
        </w:rPr>
        <w:fldChar w:fldCharType="separate"/>
      </w:r>
      <w:r>
        <w:t xml:space="preserve">2 </w:t>
      </w:r>
      <w:r>
        <w:rPr>
          <w:rFonts w:hint="eastAsia"/>
        </w:rPr>
        <w:t>技术规格</w:t>
      </w:r>
      <w:r>
        <w:tab/>
      </w:r>
      <w:r>
        <w:fldChar w:fldCharType="begin"/>
      </w:r>
      <w:r>
        <w:instrText xml:space="preserve"> PAGEREF _Toc24839 \h </w:instrText>
      </w:r>
      <w:r>
        <w:fldChar w:fldCharType="separate"/>
      </w:r>
      <w:r>
        <w:t>4</w:t>
      </w:r>
      <w:r>
        <w:fldChar w:fldCharType="end"/>
      </w:r>
      <w:r>
        <w:rPr>
          <w:szCs w:val="24"/>
        </w:rPr>
        <w:fldChar w:fldCharType="end"/>
      </w:r>
    </w:p>
    <w:p>
      <w:pPr>
        <w:pStyle w:val="19"/>
        <w:tabs>
          <w:tab w:val="right" w:leader="dot" w:pos="9746"/>
        </w:tabs>
      </w:pPr>
      <w:r>
        <w:rPr>
          <w:szCs w:val="24"/>
        </w:rPr>
        <w:fldChar w:fldCharType="begin"/>
      </w:r>
      <w:r>
        <w:rPr>
          <w:szCs w:val="24"/>
        </w:rPr>
        <w:instrText xml:space="preserve"> HYPERLINK \l _Toc14123 </w:instrText>
      </w:r>
      <w:r>
        <w:rPr>
          <w:szCs w:val="24"/>
        </w:rPr>
        <w:fldChar w:fldCharType="separate"/>
      </w:r>
      <w:r>
        <w:t xml:space="preserve">3 </w:t>
      </w:r>
      <w:r>
        <w:rPr>
          <w:rFonts w:hint="eastAsia"/>
        </w:rPr>
        <w:t>概述</w:t>
      </w:r>
      <w:r>
        <w:tab/>
      </w:r>
      <w:r>
        <w:fldChar w:fldCharType="begin"/>
      </w:r>
      <w:r>
        <w:instrText xml:space="preserve"> PAGEREF _Toc14123 \h </w:instrText>
      </w:r>
      <w:r>
        <w:fldChar w:fldCharType="separate"/>
      </w:r>
      <w:r>
        <w:t>5</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_Toc1843 </w:instrText>
      </w:r>
      <w:r>
        <w:rPr>
          <w:szCs w:val="24"/>
        </w:rPr>
        <w:fldChar w:fldCharType="separate"/>
      </w:r>
      <w:r>
        <w:t xml:space="preserve">3.1 </w:t>
      </w:r>
      <w:r>
        <w:rPr>
          <w:rFonts w:hint="eastAsia"/>
        </w:rPr>
        <w:t>结构</w:t>
      </w:r>
      <w:r>
        <w:tab/>
      </w:r>
      <w:r>
        <w:fldChar w:fldCharType="begin"/>
      </w:r>
      <w:r>
        <w:instrText xml:space="preserve"> PAGEREF _Toc1843 \h </w:instrText>
      </w:r>
      <w:r>
        <w:fldChar w:fldCharType="separate"/>
      </w:r>
      <w:r>
        <w:t>5</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_Toc22578 </w:instrText>
      </w:r>
      <w:r>
        <w:rPr>
          <w:szCs w:val="24"/>
        </w:rPr>
        <w:fldChar w:fldCharType="separate"/>
      </w:r>
      <w:r>
        <w:t xml:space="preserve">3.2 </w:t>
      </w:r>
      <w:r>
        <w:rPr>
          <w:rFonts w:hint="eastAsia"/>
        </w:rPr>
        <w:t>外观</w:t>
      </w:r>
      <w:r>
        <w:tab/>
      </w:r>
      <w:r>
        <w:fldChar w:fldCharType="begin"/>
      </w:r>
      <w:r>
        <w:instrText xml:space="preserve"> PAGEREF _Toc22578 \h </w:instrText>
      </w:r>
      <w:r>
        <w:fldChar w:fldCharType="separate"/>
      </w:r>
      <w:r>
        <w:t>6</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_Toc14499 </w:instrText>
      </w:r>
      <w:r>
        <w:rPr>
          <w:szCs w:val="24"/>
        </w:rPr>
        <w:fldChar w:fldCharType="separate"/>
      </w:r>
      <w:r>
        <w:t xml:space="preserve">3.3 </w:t>
      </w:r>
      <w:r>
        <w:rPr>
          <w:rFonts w:hint="eastAsia"/>
        </w:rPr>
        <w:t>分析流路</w:t>
      </w:r>
      <w:r>
        <w:tab/>
      </w:r>
      <w:r>
        <w:fldChar w:fldCharType="begin"/>
      </w:r>
      <w:r>
        <w:instrText xml:space="preserve"> PAGEREF _Toc14499 \h </w:instrText>
      </w:r>
      <w:r>
        <w:fldChar w:fldCharType="separate"/>
      </w:r>
      <w:r>
        <w:t>6</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_Toc6390 </w:instrText>
      </w:r>
      <w:r>
        <w:rPr>
          <w:szCs w:val="24"/>
        </w:rPr>
        <w:fldChar w:fldCharType="separate"/>
      </w:r>
      <w:r>
        <w:rPr>
          <w:rFonts w:hint="eastAsia"/>
          <w:szCs w:val="32"/>
        </w:rPr>
        <w:t xml:space="preserve">3.4 </w:t>
      </w:r>
      <w:r>
        <w:rPr>
          <w:rFonts w:hint="eastAsia"/>
          <w:szCs w:val="32"/>
          <w:lang w:eastAsia="zh-CN"/>
        </w:rPr>
        <w:t>铭牌</w:t>
      </w:r>
      <w:r>
        <w:tab/>
      </w:r>
      <w:r>
        <w:fldChar w:fldCharType="begin"/>
      </w:r>
      <w:r>
        <w:instrText xml:space="preserve"> PAGEREF _Toc6390 \h </w:instrText>
      </w:r>
      <w:r>
        <w:fldChar w:fldCharType="separate"/>
      </w:r>
      <w:r>
        <w:t>7</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_Toc16188 </w:instrText>
      </w:r>
      <w:r>
        <w:rPr>
          <w:szCs w:val="24"/>
        </w:rPr>
        <w:fldChar w:fldCharType="separate"/>
      </w:r>
      <w:r>
        <w:rPr>
          <w:rFonts w:hint="eastAsia"/>
          <w:szCs w:val="32"/>
          <w:lang w:eastAsia="zh-CN"/>
        </w:rPr>
        <w:t>3.5 应用</w:t>
      </w:r>
      <w:r>
        <w:tab/>
      </w:r>
      <w:r>
        <w:fldChar w:fldCharType="begin"/>
      </w:r>
      <w:r>
        <w:instrText xml:space="preserve"> PAGEREF _Toc16188 \h </w:instrText>
      </w:r>
      <w:r>
        <w:fldChar w:fldCharType="separate"/>
      </w:r>
      <w:r>
        <w:t>8</w:t>
      </w:r>
      <w:r>
        <w:fldChar w:fldCharType="end"/>
      </w:r>
      <w:r>
        <w:rPr>
          <w:szCs w:val="24"/>
        </w:rPr>
        <w:fldChar w:fldCharType="end"/>
      </w:r>
    </w:p>
    <w:p>
      <w:pPr>
        <w:pStyle w:val="19"/>
        <w:tabs>
          <w:tab w:val="right" w:leader="dot" w:pos="9746"/>
        </w:tabs>
      </w:pPr>
      <w:r>
        <w:rPr>
          <w:szCs w:val="24"/>
        </w:rPr>
        <w:fldChar w:fldCharType="begin"/>
      </w:r>
      <w:r>
        <w:rPr>
          <w:szCs w:val="24"/>
        </w:rPr>
        <w:instrText xml:space="preserve"> HYPERLINK \l _Toc21017 </w:instrText>
      </w:r>
      <w:r>
        <w:rPr>
          <w:szCs w:val="24"/>
        </w:rPr>
        <w:fldChar w:fldCharType="separate"/>
      </w:r>
      <w:r>
        <w:t xml:space="preserve">4 </w:t>
      </w:r>
      <w:r>
        <w:rPr>
          <w:rFonts w:hint="eastAsia"/>
        </w:rPr>
        <w:t>拆箱与安装</w:t>
      </w:r>
      <w:r>
        <w:tab/>
      </w:r>
      <w:r>
        <w:fldChar w:fldCharType="begin"/>
      </w:r>
      <w:r>
        <w:instrText xml:space="preserve"> PAGEREF _Toc21017 \h </w:instrText>
      </w:r>
      <w:r>
        <w:fldChar w:fldCharType="separate"/>
      </w:r>
      <w:r>
        <w:t>9</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_Toc13861 </w:instrText>
      </w:r>
      <w:r>
        <w:rPr>
          <w:szCs w:val="24"/>
        </w:rPr>
        <w:fldChar w:fldCharType="separate"/>
      </w:r>
      <w:r>
        <w:t xml:space="preserve">4.1 </w:t>
      </w:r>
      <w:r>
        <w:rPr>
          <w:rFonts w:hint="eastAsia"/>
        </w:rPr>
        <w:t>拆箱</w:t>
      </w:r>
      <w:r>
        <w:tab/>
      </w:r>
      <w:r>
        <w:fldChar w:fldCharType="begin"/>
      </w:r>
      <w:r>
        <w:instrText xml:space="preserve"> PAGEREF _Toc13861 \h </w:instrText>
      </w:r>
      <w:r>
        <w:fldChar w:fldCharType="separate"/>
      </w:r>
      <w:r>
        <w:t>9</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_Toc27406 </w:instrText>
      </w:r>
      <w:r>
        <w:rPr>
          <w:szCs w:val="24"/>
        </w:rPr>
        <w:fldChar w:fldCharType="separate"/>
      </w:r>
      <w:r>
        <w:t xml:space="preserve">4.2 </w:t>
      </w:r>
      <w:r>
        <w:rPr>
          <w:rFonts w:hint="eastAsia"/>
        </w:rPr>
        <w:t>安装</w:t>
      </w:r>
      <w:r>
        <w:tab/>
      </w:r>
      <w:r>
        <w:fldChar w:fldCharType="begin"/>
      </w:r>
      <w:r>
        <w:instrText xml:space="preserve"> PAGEREF _Toc27406 \h </w:instrText>
      </w:r>
      <w:r>
        <w:fldChar w:fldCharType="separate"/>
      </w:r>
      <w:r>
        <w:t>9</w:t>
      </w:r>
      <w:r>
        <w:fldChar w:fldCharType="end"/>
      </w:r>
      <w:r>
        <w:rPr>
          <w:szCs w:val="24"/>
        </w:rPr>
        <w:fldChar w:fldCharType="end"/>
      </w:r>
    </w:p>
    <w:p>
      <w:pPr>
        <w:pStyle w:val="14"/>
        <w:tabs>
          <w:tab w:val="right" w:leader="dot" w:pos="9746"/>
        </w:tabs>
      </w:pPr>
      <w:r>
        <w:rPr>
          <w:szCs w:val="24"/>
        </w:rPr>
        <w:fldChar w:fldCharType="begin"/>
      </w:r>
      <w:r>
        <w:rPr>
          <w:szCs w:val="24"/>
        </w:rPr>
        <w:instrText xml:space="preserve"> HYPERLINK \l _Toc17499 </w:instrText>
      </w:r>
      <w:r>
        <w:rPr>
          <w:szCs w:val="24"/>
        </w:rPr>
        <w:fldChar w:fldCharType="separate"/>
      </w:r>
      <w:r>
        <w:t xml:space="preserve">4.2.1 </w:t>
      </w:r>
      <w:r>
        <w:rPr>
          <w:rFonts w:hint="eastAsia"/>
        </w:rPr>
        <w:t>监测站房建设</w:t>
      </w:r>
      <w:r>
        <w:tab/>
      </w:r>
      <w:r>
        <w:fldChar w:fldCharType="begin"/>
      </w:r>
      <w:r>
        <w:instrText xml:space="preserve"> PAGEREF _Toc17499 \h </w:instrText>
      </w:r>
      <w:r>
        <w:fldChar w:fldCharType="separate"/>
      </w:r>
      <w:r>
        <w:t>9</w:t>
      </w:r>
      <w:r>
        <w:fldChar w:fldCharType="end"/>
      </w:r>
      <w:r>
        <w:rPr>
          <w:szCs w:val="24"/>
        </w:rPr>
        <w:fldChar w:fldCharType="end"/>
      </w:r>
    </w:p>
    <w:p>
      <w:pPr>
        <w:pStyle w:val="14"/>
        <w:tabs>
          <w:tab w:val="right" w:leader="dot" w:pos="9746"/>
        </w:tabs>
      </w:pPr>
      <w:r>
        <w:rPr>
          <w:szCs w:val="24"/>
        </w:rPr>
        <w:fldChar w:fldCharType="begin"/>
      </w:r>
      <w:r>
        <w:rPr>
          <w:szCs w:val="24"/>
        </w:rPr>
        <w:instrText xml:space="preserve"> HYPERLINK \l _Toc16074 </w:instrText>
      </w:r>
      <w:r>
        <w:rPr>
          <w:szCs w:val="24"/>
        </w:rPr>
        <w:fldChar w:fldCharType="separate"/>
      </w:r>
      <w:r>
        <w:t xml:space="preserve">4.2.2 </w:t>
      </w:r>
      <w:r>
        <w:rPr>
          <w:rFonts w:hint="eastAsia"/>
        </w:rPr>
        <w:t>监测站房室内要求</w:t>
      </w:r>
      <w:r>
        <w:tab/>
      </w:r>
      <w:r>
        <w:fldChar w:fldCharType="begin"/>
      </w:r>
      <w:r>
        <w:instrText xml:space="preserve"> PAGEREF _Toc16074 \h </w:instrText>
      </w:r>
      <w:r>
        <w:fldChar w:fldCharType="separate"/>
      </w:r>
      <w:r>
        <w:t>10</w:t>
      </w:r>
      <w:r>
        <w:fldChar w:fldCharType="end"/>
      </w:r>
      <w:r>
        <w:rPr>
          <w:szCs w:val="24"/>
        </w:rPr>
        <w:fldChar w:fldCharType="end"/>
      </w:r>
    </w:p>
    <w:p>
      <w:pPr>
        <w:pStyle w:val="14"/>
        <w:tabs>
          <w:tab w:val="right" w:leader="dot" w:pos="9746"/>
        </w:tabs>
      </w:pPr>
      <w:r>
        <w:rPr>
          <w:szCs w:val="24"/>
        </w:rPr>
        <w:fldChar w:fldCharType="begin"/>
      </w:r>
      <w:r>
        <w:rPr>
          <w:szCs w:val="24"/>
        </w:rPr>
        <w:instrText xml:space="preserve"> HYPERLINK \l _Toc12589 </w:instrText>
      </w:r>
      <w:r>
        <w:rPr>
          <w:szCs w:val="24"/>
        </w:rPr>
        <w:fldChar w:fldCharType="separate"/>
      </w:r>
      <w:r>
        <w:t xml:space="preserve">4.2.3 </w:t>
      </w:r>
      <w:r>
        <w:rPr>
          <w:rFonts w:hint="eastAsia"/>
        </w:rPr>
        <w:t>现场安装</w:t>
      </w:r>
      <w:r>
        <w:tab/>
      </w:r>
      <w:r>
        <w:fldChar w:fldCharType="begin"/>
      </w:r>
      <w:r>
        <w:instrText xml:space="preserve"> PAGEREF _Toc12589 \h </w:instrText>
      </w:r>
      <w:r>
        <w:fldChar w:fldCharType="separate"/>
      </w:r>
      <w:r>
        <w:t>11</w:t>
      </w:r>
      <w:r>
        <w:fldChar w:fldCharType="end"/>
      </w:r>
      <w:r>
        <w:rPr>
          <w:szCs w:val="24"/>
        </w:rPr>
        <w:fldChar w:fldCharType="end"/>
      </w:r>
    </w:p>
    <w:p>
      <w:pPr>
        <w:pStyle w:val="19"/>
        <w:tabs>
          <w:tab w:val="right" w:leader="dot" w:pos="9746"/>
        </w:tabs>
      </w:pPr>
      <w:r>
        <w:rPr>
          <w:szCs w:val="24"/>
        </w:rPr>
        <w:fldChar w:fldCharType="begin"/>
      </w:r>
      <w:r>
        <w:rPr>
          <w:szCs w:val="24"/>
        </w:rPr>
        <w:instrText xml:space="preserve"> HYPERLINK \l _Toc5860 </w:instrText>
      </w:r>
      <w:r>
        <w:rPr>
          <w:szCs w:val="24"/>
        </w:rPr>
        <w:fldChar w:fldCharType="separate"/>
      </w:r>
      <w:r>
        <w:t xml:space="preserve">5 </w:t>
      </w:r>
      <w:r>
        <w:rPr>
          <w:rFonts w:hint="eastAsia"/>
        </w:rPr>
        <w:t>试剂与废液</w:t>
      </w:r>
      <w:r>
        <w:tab/>
      </w:r>
      <w:r>
        <w:fldChar w:fldCharType="begin"/>
      </w:r>
      <w:r>
        <w:instrText xml:space="preserve"> PAGEREF _Toc5860 \h </w:instrText>
      </w:r>
      <w:r>
        <w:fldChar w:fldCharType="separate"/>
      </w:r>
      <w:r>
        <w:t>18</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_Toc18765 </w:instrText>
      </w:r>
      <w:r>
        <w:rPr>
          <w:szCs w:val="24"/>
        </w:rPr>
        <w:fldChar w:fldCharType="separate"/>
      </w:r>
      <w:r>
        <w:t xml:space="preserve">5.1 </w:t>
      </w:r>
      <w:r>
        <w:rPr>
          <w:rFonts w:hint="eastAsia"/>
        </w:rPr>
        <w:t>试剂的使用与保存</w:t>
      </w:r>
      <w:r>
        <w:tab/>
      </w:r>
      <w:r>
        <w:fldChar w:fldCharType="begin"/>
      </w:r>
      <w:r>
        <w:instrText xml:space="preserve"> PAGEREF _Toc18765 \h </w:instrText>
      </w:r>
      <w:r>
        <w:fldChar w:fldCharType="separate"/>
      </w:r>
      <w:r>
        <w:t>18</w:t>
      </w:r>
      <w:r>
        <w:fldChar w:fldCharType="end"/>
      </w:r>
      <w:r>
        <w:rPr>
          <w:szCs w:val="24"/>
        </w:rPr>
        <w:fldChar w:fldCharType="end"/>
      </w:r>
    </w:p>
    <w:p>
      <w:pPr>
        <w:pStyle w:val="14"/>
        <w:tabs>
          <w:tab w:val="right" w:leader="dot" w:pos="9746"/>
        </w:tabs>
      </w:pPr>
      <w:r>
        <w:rPr>
          <w:szCs w:val="24"/>
        </w:rPr>
        <w:fldChar w:fldCharType="begin"/>
      </w:r>
      <w:r>
        <w:rPr>
          <w:szCs w:val="24"/>
        </w:rPr>
        <w:instrText xml:space="preserve"> HYPERLINK \l _Toc30937 </w:instrText>
      </w:r>
      <w:r>
        <w:rPr>
          <w:szCs w:val="24"/>
        </w:rPr>
        <w:fldChar w:fldCharType="separate"/>
      </w:r>
      <w:r>
        <w:t xml:space="preserve">5.1.1 </w:t>
      </w:r>
      <w:r>
        <w:rPr>
          <w:rFonts w:hint="eastAsia"/>
        </w:rPr>
        <w:t>使用</w:t>
      </w:r>
      <w:r>
        <w:tab/>
      </w:r>
      <w:r>
        <w:fldChar w:fldCharType="begin"/>
      </w:r>
      <w:r>
        <w:instrText xml:space="preserve"> PAGEREF _Toc30937 \h </w:instrText>
      </w:r>
      <w:r>
        <w:fldChar w:fldCharType="separate"/>
      </w:r>
      <w:r>
        <w:t>18</w:t>
      </w:r>
      <w:r>
        <w:fldChar w:fldCharType="end"/>
      </w:r>
      <w:r>
        <w:rPr>
          <w:szCs w:val="24"/>
        </w:rPr>
        <w:fldChar w:fldCharType="end"/>
      </w:r>
    </w:p>
    <w:p>
      <w:pPr>
        <w:pStyle w:val="14"/>
        <w:tabs>
          <w:tab w:val="right" w:leader="dot" w:pos="9746"/>
        </w:tabs>
      </w:pPr>
      <w:r>
        <w:rPr>
          <w:szCs w:val="24"/>
        </w:rPr>
        <w:fldChar w:fldCharType="begin"/>
      </w:r>
      <w:r>
        <w:rPr>
          <w:szCs w:val="24"/>
        </w:rPr>
        <w:instrText xml:space="preserve"> HYPERLINK \l _Toc398 </w:instrText>
      </w:r>
      <w:r>
        <w:rPr>
          <w:szCs w:val="24"/>
        </w:rPr>
        <w:fldChar w:fldCharType="separate"/>
      </w:r>
      <w:r>
        <w:t xml:space="preserve">5.1.2 </w:t>
      </w:r>
      <w:r>
        <w:rPr>
          <w:rFonts w:hint="eastAsia"/>
        </w:rPr>
        <w:t>保存</w:t>
      </w:r>
      <w:r>
        <w:tab/>
      </w:r>
      <w:r>
        <w:fldChar w:fldCharType="begin"/>
      </w:r>
      <w:r>
        <w:instrText xml:space="preserve"> PAGEREF _Toc398 \h </w:instrText>
      </w:r>
      <w:r>
        <w:fldChar w:fldCharType="separate"/>
      </w:r>
      <w:r>
        <w:t>18</w:t>
      </w:r>
      <w:r>
        <w:fldChar w:fldCharType="end"/>
      </w:r>
      <w:r>
        <w:rPr>
          <w:szCs w:val="24"/>
        </w:rPr>
        <w:fldChar w:fldCharType="end"/>
      </w:r>
    </w:p>
    <w:p>
      <w:pPr>
        <w:pStyle w:val="14"/>
        <w:tabs>
          <w:tab w:val="right" w:leader="dot" w:pos="9746"/>
        </w:tabs>
      </w:pPr>
      <w:r>
        <w:rPr>
          <w:szCs w:val="24"/>
        </w:rPr>
        <w:fldChar w:fldCharType="begin"/>
      </w:r>
      <w:r>
        <w:rPr>
          <w:szCs w:val="24"/>
        </w:rPr>
        <w:instrText xml:space="preserve"> HYPERLINK \l _Toc7761 </w:instrText>
      </w:r>
      <w:r>
        <w:rPr>
          <w:szCs w:val="24"/>
        </w:rPr>
        <w:fldChar w:fldCharType="separate"/>
      </w:r>
      <w:r>
        <w:t xml:space="preserve">5.1.3 </w:t>
      </w:r>
      <w:r>
        <w:rPr>
          <w:rFonts w:hint="eastAsia" w:asciiTheme="minorHAnsi" w:hAnsiTheme="minorHAnsi" w:eastAsiaTheme="minorEastAsia" w:cstheme="minorBidi"/>
          <w:bCs/>
          <w:kern w:val="2"/>
          <w:szCs w:val="32"/>
          <w:lang w:val="en-US" w:eastAsia="zh-CN" w:bidi="ar-SA"/>
        </w:rPr>
        <w:t>应急措施</w:t>
      </w:r>
      <w:r>
        <w:tab/>
      </w:r>
      <w:r>
        <w:fldChar w:fldCharType="begin"/>
      </w:r>
      <w:r>
        <w:instrText xml:space="preserve"> PAGEREF _Toc7761 \h </w:instrText>
      </w:r>
      <w:r>
        <w:fldChar w:fldCharType="separate"/>
      </w:r>
      <w:r>
        <w:t>19</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_Toc27797 </w:instrText>
      </w:r>
      <w:r>
        <w:rPr>
          <w:szCs w:val="24"/>
        </w:rPr>
        <w:fldChar w:fldCharType="separate"/>
      </w:r>
      <w:r>
        <w:t xml:space="preserve">5.2 </w:t>
      </w:r>
      <w:r>
        <w:rPr>
          <w:rFonts w:hint="eastAsia"/>
        </w:rPr>
        <w:t>稳定性和反应性</w:t>
      </w:r>
      <w:r>
        <w:tab/>
      </w:r>
      <w:r>
        <w:fldChar w:fldCharType="begin"/>
      </w:r>
      <w:r>
        <w:instrText xml:space="preserve"> PAGEREF _Toc27797 \h </w:instrText>
      </w:r>
      <w:r>
        <w:fldChar w:fldCharType="separate"/>
      </w:r>
      <w:r>
        <w:t>19</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_Toc30864 </w:instrText>
      </w:r>
      <w:r>
        <w:rPr>
          <w:szCs w:val="24"/>
        </w:rPr>
        <w:fldChar w:fldCharType="separate"/>
      </w:r>
      <w:r>
        <w:t xml:space="preserve">5.3 </w:t>
      </w:r>
      <w:r>
        <w:rPr>
          <w:rFonts w:hint="eastAsia"/>
        </w:rPr>
        <w:t>配置安全性</w:t>
      </w:r>
      <w:r>
        <w:tab/>
      </w:r>
      <w:r>
        <w:fldChar w:fldCharType="begin"/>
      </w:r>
      <w:r>
        <w:instrText xml:space="preserve"> PAGEREF _Toc30864 \h </w:instrText>
      </w:r>
      <w:r>
        <w:fldChar w:fldCharType="separate"/>
      </w:r>
      <w:r>
        <w:t>19</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_Toc767 </w:instrText>
      </w:r>
      <w:r>
        <w:rPr>
          <w:szCs w:val="24"/>
        </w:rPr>
        <w:fldChar w:fldCharType="separate"/>
      </w:r>
      <w:r>
        <w:t xml:space="preserve">5.4 </w:t>
      </w:r>
      <w:r>
        <w:rPr>
          <w:rFonts w:hint="eastAsia"/>
        </w:rPr>
        <w:t>废液处理</w:t>
      </w:r>
      <w:r>
        <w:tab/>
      </w:r>
      <w:r>
        <w:fldChar w:fldCharType="begin"/>
      </w:r>
      <w:r>
        <w:instrText xml:space="preserve"> PAGEREF _Toc767 \h </w:instrText>
      </w:r>
      <w:r>
        <w:fldChar w:fldCharType="separate"/>
      </w:r>
      <w:r>
        <w:t>19</w:t>
      </w:r>
      <w:r>
        <w:fldChar w:fldCharType="end"/>
      </w:r>
      <w:r>
        <w:rPr>
          <w:szCs w:val="24"/>
        </w:rPr>
        <w:fldChar w:fldCharType="end"/>
      </w:r>
    </w:p>
    <w:p>
      <w:pPr>
        <w:pStyle w:val="19"/>
        <w:tabs>
          <w:tab w:val="right" w:leader="dot" w:pos="9746"/>
        </w:tabs>
      </w:pPr>
      <w:r>
        <w:rPr>
          <w:szCs w:val="24"/>
        </w:rPr>
        <w:fldChar w:fldCharType="begin"/>
      </w:r>
      <w:r>
        <w:rPr>
          <w:szCs w:val="24"/>
        </w:rPr>
        <w:instrText xml:space="preserve"> HYPERLINK \l _Toc24702 </w:instrText>
      </w:r>
      <w:r>
        <w:rPr>
          <w:szCs w:val="24"/>
        </w:rPr>
        <w:fldChar w:fldCharType="separate"/>
      </w:r>
      <w:r>
        <w:t xml:space="preserve">6 </w:t>
      </w:r>
      <w:r>
        <w:rPr>
          <w:rFonts w:hint="eastAsia"/>
        </w:rPr>
        <w:t>故障与处理</w:t>
      </w:r>
      <w:r>
        <w:tab/>
      </w:r>
      <w:r>
        <w:fldChar w:fldCharType="begin"/>
      </w:r>
      <w:r>
        <w:instrText xml:space="preserve"> PAGEREF _Toc24702 \h </w:instrText>
      </w:r>
      <w:r>
        <w:fldChar w:fldCharType="separate"/>
      </w:r>
      <w:r>
        <w:t>20</w:t>
      </w:r>
      <w:r>
        <w:fldChar w:fldCharType="end"/>
      </w:r>
      <w:r>
        <w:rPr>
          <w:szCs w:val="24"/>
        </w:rPr>
        <w:fldChar w:fldCharType="end"/>
      </w:r>
    </w:p>
    <w:p>
      <w:pPr>
        <w:pStyle w:val="19"/>
        <w:tabs>
          <w:tab w:val="right" w:leader="dot" w:pos="9746"/>
        </w:tabs>
      </w:pPr>
      <w:r>
        <w:rPr>
          <w:szCs w:val="24"/>
        </w:rPr>
        <w:fldChar w:fldCharType="begin"/>
      </w:r>
      <w:r>
        <w:rPr>
          <w:szCs w:val="24"/>
        </w:rPr>
        <w:instrText xml:space="preserve"> HYPERLINK \l _Toc31182 </w:instrText>
      </w:r>
      <w:r>
        <w:rPr>
          <w:szCs w:val="24"/>
        </w:rPr>
        <w:fldChar w:fldCharType="separate"/>
      </w:r>
      <w:r>
        <w:t xml:space="preserve">7 </w:t>
      </w:r>
      <w:r>
        <w:rPr>
          <w:rFonts w:hint="eastAsia"/>
        </w:rPr>
        <w:t>维护计划</w:t>
      </w:r>
      <w:r>
        <w:tab/>
      </w:r>
      <w:r>
        <w:fldChar w:fldCharType="begin"/>
      </w:r>
      <w:r>
        <w:instrText xml:space="preserve"> PAGEREF _Toc31182 \h </w:instrText>
      </w:r>
      <w:r>
        <w:fldChar w:fldCharType="separate"/>
      </w:r>
      <w:r>
        <w:t>22</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_Toc24556 </w:instrText>
      </w:r>
      <w:r>
        <w:rPr>
          <w:szCs w:val="24"/>
        </w:rPr>
        <w:fldChar w:fldCharType="separate"/>
      </w:r>
      <w:r>
        <w:t xml:space="preserve">7.1 </w:t>
      </w:r>
      <w:r>
        <w:rPr>
          <w:rFonts w:hint="eastAsia"/>
        </w:rPr>
        <w:t>短期关机后开始运行的维护</w:t>
      </w:r>
      <w:r>
        <w:tab/>
      </w:r>
      <w:r>
        <w:fldChar w:fldCharType="begin"/>
      </w:r>
      <w:r>
        <w:instrText xml:space="preserve"> PAGEREF _Toc24556 \h </w:instrText>
      </w:r>
      <w:r>
        <w:fldChar w:fldCharType="separate"/>
      </w:r>
      <w:r>
        <w:t>22</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_Toc276 </w:instrText>
      </w:r>
      <w:r>
        <w:rPr>
          <w:szCs w:val="24"/>
        </w:rPr>
        <w:fldChar w:fldCharType="separate"/>
      </w:r>
      <w:r>
        <w:t xml:space="preserve">7.2 </w:t>
      </w:r>
      <w:r>
        <w:rPr>
          <w:rFonts w:hint="eastAsia"/>
        </w:rPr>
        <w:t>每周保养维护</w:t>
      </w:r>
      <w:r>
        <w:tab/>
      </w:r>
      <w:r>
        <w:fldChar w:fldCharType="begin"/>
      </w:r>
      <w:r>
        <w:instrText xml:space="preserve"> PAGEREF _Toc276 \h </w:instrText>
      </w:r>
      <w:r>
        <w:fldChar w:fldCharType="separate"/>
      </w:r>
      <w:r>
        <w:t>22</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_Toc9729 </w:instrText>
      </w:r>
      <w:r>
        <w:rPr>
          <w:szCs w:val="24"/>
        </w:rPr>
        <w:fldChar w:fldCharType="separate"/>
      </w:r>
      <w:r>
        <w:t xml:space="preserve">7.3 </w:t>
      </w:r>
      <w:r>
        <w:rPr>
          <w:rFonts w:hint="eastAsia"/>
        </w:rPr>
        <w:t>每月保养维护</w:t>
      </w:r>
      <w:r>
        <w:tab/>
      </w:r>
      <w:r>
        <w:fldChar w:fldCharType="begin"/>
      </w:r>
      <w:r>
        <w:instrText xml:space="preserve"> PAGEREF _Toc9729 \h </w:instrText>
      </w:r>
      <w:r>
        <w:fldChar w:fldCharType="separate"/>
      </w:r>
      <w:r>
        <w:t>22</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_Toc21823 </w:instrText>
      </w:r>
      <w:r>
        <w:rPr>
          <w:szCs w:val="24"/>
        </w:rPr>
        <w:fldChar w:fldCharType="separate"/>
      </w:r>
      <w:r>
        <w:t xml:space="preserve">7.4 </w:t>
      </w:r>
      <w:r>
        <w:rPr>
          <w:rFonts w:hint="eastAsia"/>
        </w:rPr>
        <w:t>季度保养维护</w:t>
      </w:r>
      <w:r>
        <w:tab/>
      </w:r>
      <w:r>
        <w:fldChar w:fldCharType="begin"/>
      </w:r>
      <w:r>
        <w:instrText xml:space="preserve"> PAGEREF _Toc21823 \h </w:instrText>
      </w:r>
      <w:r>
        <w:fldChar w:fldCharType="separate"/>
      </w:r>
      <w:r>
        <w:t>23</w:t>
      </w:r>
      <w:r>
        <w:fldChar w:fldCharType="end"/>
      </w:r>
      <w:r>
        <w:rPr>
          <w:szCs w:val="24"/>
        </w:rPr>
        <w:fldChar w:fldCharType="end"/>
      </w:r>
    </w:p>
    <w:p>
      <w:pPr>
        <w:pStyle w:val="22"/>
        <w:tabs>
          <w:tab w:val="right" w:leader="dot" w:pos="9746"/>
        </w:tabs>
      </w:pPr>
      <w:r>
        <w:rPr>
          <w:szCs w:val="24"/>
        </w:rPr>
        <w:fldChar w:fldCharType="begin"/>
      </w:r>
      <w:r>
        <w:rPr>
          <w:szCs w:val="24"/>
        </w:rPr>
        <w:instrText xml:space="preserve"> HYPERLINK \l _Toc2025 </w:instrText>
      </w:r>
      <w:r>
        <w:rPr>
          <w:szCs w:val="24"/>
        </w:rPr>
        <w:fldChar w:fldCharType="separate"/>
      </w:r>
      <w:r>
        <w:t xml:space="preserve">7.5 </w:t>
      </w:r>
      <w:r>
        <w:rPr>
          <w:rFonts w:hint="eastAsia"/>
          <w:lang w:eastAsia="zh-CN"/>
        </w:rPr>
        <w:t>主要备品备件</w:t>
      </w:r>
      <w:r>
        <w:tab/>
      </w:r>
      <w:r>
        <w:fldChar w:fldCharType="begin"/>
      </w:r>
      <w:r>
        <w:instrText xml:space="preserve"> PAGEREF _Toc2025 \h </w:instrText>
      </w:r>
      <w:r>
        <w:fldChar w:fldCharType="separate"/>
      </w:r>
      <w:r>
        <w:t>23</w:t>
      </w:r>
      <w:r>
        <w:fldChar w:fldCharType="end"/>
      </w:r>
      <w:r>
        <w:rPr>
          <w:szCs w:val="24"/>
        </w:rPr>
        <w:fldChar w:fldCharType="end"/>
      </w:r>
    </w:p>
    <w:p>
      <w:pPr>
        <w:spacing w:line="360" w:lineRule="auto"/>
        <w:sectPr>
          <w:headerReference r:id="rId3" w:type="default"/>
          <w:footerReference r:id="rId4" w:type="default"/>
          <w:pgSz w:w="11906" w:h="16838"/>
          <w:pgMar w:top="1440" w:right="1080" w:bottom="1440" w:left="1080" w:header="851" w:footer="992" w:gutter="0"/>
          <w:cols w:space="425" w:num="1"/>
          <w:docGrid w:type="lines" w:linePitch="312" w:charSpace="0"/>
        </w:sectPr>
      </w:pPr>
      <w:r>
        <w:rPr>
          <w:szCs w:val="24"/>
        </w:rPr>
        <w:fldChar w:fldCharType="end"/>
      </w:r>
      <w:r>
        <w:rPr>
          <w:sz w:val="24"/>
          <w:szCs w:val="24"/>
        </w:rPr>
        <w:br w:type="page"/>
      </w:r>
    </w:p>
    <w:p>
      <w:pPr>
        <w:pStyle w:val="2"/>
      </w:pPr>
      <w:bookmarkStart w:id="2" w:name="_Toc26737"/>
      <w:r>
        <w:rPr>
          <w:rFonts w:hint="eastAsia"/>
        </w:rPr>
        <w:t>安全预防措施特别声明</w:t>
      </w:r>
      <w:bookmarkEnd w:id="2"/>
    </w:p>
    <w:p>
      <w:pPr>
        <w:pStyle w:val="3"/>
      </w:pPr>
      <w:bookmarkStart w:id="3" w:name="_Toc29443"/>
      <w:r>
        <w:rPr>
          <w:rFonts w:hint="eastAsia"/>
        </w:rPr>
        <w:t>总则</w:t>
      </w:r>
      <w:bookmarkEnd w:id="3"/>
    </w:p>
    <w:p>
      <w:pPr>
        <w:spacing w:line="360" w:lineRule="auto"/>
        <w:ind w:firstLine="480" w:firstLineChars="200"/>
        <w:rPr>
          <w:sz w:val="24"/>
          <w:szCs w:val="24"/>
        </w:rPr>
      </w:pPr>
      <w:r>
        <w:rPr>
          <w:rFonts w:hint="eastAsia"/>
          <w:sz w:val="24"/>
          <w:szCs w:val="24"/>
        </w:rPr>
        <w:t>请在开机运行前认真阅读本手册，并严格按照本手册说明进行操作，尤其注意所有有关危险和谨慎问题的说明，请不要擅自维修、拆装仪器上任意组件，否则可能会导致对操作人员的严重伤害和对仪器的严重损伤。</w:t>
      </w:r>
    </w:p>
    <w:p>
      <w:pPr>
        <w:pStyle w:val="3"/>
      </w:pPr>
      <w:bookmarkStart w:id="4" w:name="_Toc18992"/>
      <w:r>
        <w:rPr>
          <w:rFonts w:hint="eastAsia"/>
        </w:rPr>
        <w:t>触电与灼伤预防</w:t>
      </w:r>
      <w:bookmarkEnd w:id="4"/>
    </w:p>
    <w:p>
      <w:pPr>
        <w:pStyle w:val="41"/>
        <w:numPr>
          <w:ilvl w:val="0"/>
          <w:numId w:val="2"/>
        </w:numPr>
        <w:spacing w:line="360" w:lineRule="auto"/>
        <w:ind w:firstLineChars="0"/>
        <w:rPr>
          <w:sz w:val="24"/>
          <w:szCs w:val="24"/>
        </w:rPr>
      </w:pPr>
      <w:r>
        <w:rPr>
          <w:rFonts w:hint="eastAsia"/>
          <w:sz w:val="24"/>
          <w:szCs w:val="24"/>
        </w:rPr>
        <w:t>维护或修理前务必断开电源</w:t>
      </w:r>
    </w:p>
    <w:p>
      <w:pPr>
        <w:pStyle w:val="41"/>
        <w:numPr>
          <w:ilvl w:val="0"/>
          <w:numId w:val="2"/>
        </w:numPr>
        <w:spacing w:line="360" w:lineRule="auto"/>
        <w:ind w:firstLineChars="0"/>
        <w:rPr>
          <w:sz w:val="24"/>
          <w:szCs w:val="24"/>
        </w:rPr>
      </w:pPr>
      <w:r>
        <w:rPr>
          <w:rFonts w:hint="eastAsia"/>
          <w:sz w:val="24"/>
          <w:szCs w:val="24"/>
        </w:rPr>
        <w:t>按照地方或国家规则进行电力连接</w:t>
      </w:r>
    </w:p>
    <w:p>
      <w:pPr>
        <w:pStyle w:val="41"/>
        <w:numPr>
          <w:ilvl w:val="0"/>
          <w:numId w:val="2"/>
        </w:numPr>
        <w:spacing w:line="360" w:lineRule="auto"/>
        <w:ind w:firstLineChars="0"/>
        <w:rPr>
          <w:sz w:val="24"/>
          <w:szCs w:val="24"/>
        </w:rPr>
      </w:pPr>
      <w:r>
        <w:rPr>
          <w:rFonts w:hint="eastAsia"/>
          <w:sz w:val="24"/>
          <w:szCs w:val="24"/>
        </w:rPr>
        <w:t>尽可能使用接地故障断路器</w:t>
      </w:r>
    </w:p>
    <w:p>
      <w:pPr>
        <w:pStyle w:val="41"/>
        <w:numPr>
          <w:ilvl w:val="0"/>
          <w:numId w:val="2"/>
        </w:numPr>
        <w:spacing w:line="360" w:lineRule="auto"/>
        <w:ind w:firstLineChars="0"/>
        <w:rPr>
          <w:sz w:val="24"/>
          <w:szCs w:val="24"/>
        </w:rPr>
      </w:pPr>
      <w:r>
        <w:rPr>
          <w:rFonts w:hint="eastAsia"/>
          <w:sz w:val="24"/>
          <w:szCs w:val="24"/>
        </w:rPr>
        <w:t>在连接操作条件下将操作单元接地</w:t>
      </w:r>
    </w:p>
    <w:p>
      <w:pPr>
        <w:pStyle w:val="3"/>
      </w:pPr>
      <w:bookmarkStart w:id="5" w:name="_Toc25968"/>
      <w:r>
        <w:rPr>
          <w:rFonts w:hint="eastAsia"/>
        </w:rPr>
        <w:t>化学药品危险预防</w:t>
      </w:r>
      <w:bookmarkEnd w:id="5"/>
    </w:p>
    <w:p>
      <w:pPr>
        <w:spacing w:line="360" w:lineRule="auto"/>
        <w:ind w:firstLine="480" w:firstLineChars="200"/>
        <w:rPr>
          <w:sz w:val="24"/>
          <w:szCs w:val="24"/>
        </w:rPr>
      </w:pPr>
      <w:r>
        <w:rPr>
          <w:rFonts w:hint="eastAsia"/>
          <w:sz w:val="24"/>
          <w:szCs w:val="24"/>
        </w:rPr>
        <w:t>本设备所需的部分化学药品为有毒或具有腐蚀性物质，在处理这些药品时，请参照本手册试剂章节中的相关内容，采取一定的预防措施。</w:t>
      </w: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r>
        <w:rPr>
          <w:rFonts w:hint="eastAsia"/>
          <w:sz w:val="24"/>
          <w:szCs w:val="24"/>
        </w:rPr>
        <w:t>注：本产品的性能在不断地改进之中。如有更改，恕不另行通知。</w:t>
      </w:r>
    </w:p>
    <w:p>
      <w:pPr>
        <w:widowControl/>
        <w:jc w:val="left"/>
        <w:rPr>
          <w:sz w:val="24"/>
          <w:szCs w:val="24"/>
        </w:rPr>
      </w:pPr>
      <w:r>
        <w:rPr>
          <w:sz w:val="24"/>
          <w:szCs w:val="24"/>
        </w:rPr>
        <w:br w:type="page"/>
      </w:r>
    </w:p>
    <w:p>
      <w:pPr>
        <w:pStyle w:val="2"/>
        <w:keepNext/>
        <w:keepLines/>
        <w:pageBreakBefore w:val="0"/>
        <w:widowControl w:val="0"/>
        <w:kinsoku/>
        <w:wordWrap/>
        <w:overflowPunct/>
        <w:topLinePunct w:val="0"/>
        <w:autoSpaceDE/>
        <w:autoSpaceDN/>
        <w:bidi w:val="0"/>
        <w:adjustRightInd/>
        <w:snapToGrid/>
        <w:spacing w:after="0" w:line="579" w:lineRule="auto"/>
        <w:ind w:left="431" w:hanging="431"/>
        <w:textAlignment w:val="auto"/>
      </w:pPr>
      <w:bookmarkStart w:id="6" w:name="_Toc24839"/>
      <w:r>
        <w:rPr>
          <w:rFonts w:hint="eastAsia"/>
        </w:rPr>
        <w:t>技术规格</w:t>
      </w:r>
      <w:bookmarkEnd w:id="6"/>
    </w:p>
    <w:tbl>
      <w:tblPr>
        <w:tblStyle w:val="24"/>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6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测量因子</w:t>
            </w:r>
          </w:p>
        </w:tc>
        <w:tc>
          <w:tcPr>
            <w:tcW w:w="6915" w:type="dxa"/>
            <w:tcBorders>
              <w:right w:val="single" w:color="000000" w:sz="4" w:space="0"/>
            </w:tcBorders>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CODcr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测量原理</w:t>
            </w:r>
          </w:p>
        </w:tc>
        <w:tc>
          <w:tcPr>
            <w:tcW w:w="6915" w:type="dxa"/>
            <w:tcBorders>
              <w:right w:val="single" w:color="000000" w:sz="4" w:space="0"/>
            </w:tcBorders>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重铬酸钾氧化分光光度法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测量范围</w:t>
            </w:r>
          </w:p>
        </w:tc>
        <w:tc>
          <w:tcPr>
            <w:tcW w:w="6915" w:type="dxa"/>
            <w:tcBorders>
              <w:right w:val="single" w:color="000000" w:sz="4" w:space="0"/>
            </w:tcBorders>
            <w:vAlign w:val="center"/>
          </w:tcPr>
          <w:p>
            <w:pPr>
              <w:autoSpaceDE w:val="0"/>
              <w:autoSpaceDN w:val="0"/>
              <w:adjustRightInd w:val="0"/>
              <w:spacing w:line="360" w:lineRule="auto"/>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（30～1000）mg/L</w:t>
            </w:r>
            <w:r>
              <w:rPr>
                <w:rFonts w:hint="eastAsia" w:asciiTheme="minorEastAsia" w:hAnsiTheme="minorEastAsia" w:cstheme="minorEastAsia"/>
                <w:sz w:val="18"/>
                <w:szCs w:val="18"/>
                <w:lang w:eastAsia="zh-CN"/>
              </w:rPr>
              <w:t>或</w:t>
            </w:r>
            <w:r>
              <w:rPr>
                <w:rFonts w:hint="eastAsia" w:asciiTheme="minorEastAsia" w:hAnsiTheme="minorEastAsia" w:cstheme="minorEastAsia"/>
                <w:sz w:val="18"/>
                <w:szCs w:val="18"/>
              </w:rPr>
              <w:t>（</w:t>
            </w:r>
            <w:r>
              <w:rPr>
                <w:rFonts w:hint="eastAsia" w:asciiTheme="minorEastAsia" w:hAnsiTheme="minorEastAsia" w:cstheme="minorEastAsia"/>
                <w:sz w:val="18"/>
                <w:szCs w:val="18"/>
                <w:lang w:val="en-US" w:eastAsia="zh-CN"/>
              </w:rPr>
              <w:t>10</w:t>
            </w:r>
            <w:r>
              <w:rPr>
                <w:rFonts w:hint="eastAsia" w:asciiTheme="minorEastAsia" w:hAnsiTheme="minorEastAsia" w:cstheme="minorEastAsia"/>
                <w:sz w:val="18"/>
                <w:szCs w:val="18"/>
              </w:rPr>
              <w:t>0～</w:t>
            </w:r>
            <w:r>
              <w:rPr>
                <w:rFonts w:hint="eastAsia" w:asciiTheme="minorEastAsia" w:hAnsiTheme="minorEastAsia" w:cstheme="minorEastAsia"/>
                <w:sz w:val="18"/>
                <w:szCs w:val="18"/>
                <w:lang w:val="en-US" w:eastAsia="zh-CN"/>
              </w:rPr>
              <w:t>8</w:t>
            </w:r>
            <w:r>
              <w:rPr>
                <w:rFonts w:hint="eastAsia" w:asciiTheme="minorEastAsia" w:hAnsiTheme="minorEastAsia" w:cstheme="minorEastAsia"/>
                <w:sz w:val="18"/>
                <w:szCs w:val="18"/>
              </w:rPr>
              <w:t>000）mg/L</w:t>
            </w:r>
            <w:r>
              <w:rPr>
                <w:rFonts w:hint="eastAsia" w:asciiTheme="minorEastAsia" w:hAnsiTheme="minorEastAsia" w:cstheme="minorEastAsia"/>
                <w:sz w:val="18"/>
                <w:szCs w:val="18"/>
                <w:lang w:eastAsia="zh-CN"/>
              </w:rPr>
              <w:t>，可定制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量程划分</w:t>
            </w:r>
          </w:p>
        </w:tc>
        <w:tc>
          <w:tcPr>
            <w:tcW w:w="6915" w:type="dxa"/>
            <w:tcBorders>
              <w:right w:val="single" w:color="000000" w:sz="4" w:space="0"/>
            </w:tcBorders>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lang w:eastAsia="zh-CN"/>
              </w:rPr>
              <w:t>默认</w:t>
            </w:r>
            <w:r>
              <w:rPr>
                <w:rFonts w:hint="eastAsia" w:asciiTheme="minorEastAsia" w:hAnsiTheme="minorEastAsia" w:cstheme="minorEastAsia"/>
                <w:sz w:val="18"/>
                <w:szCs w:val="18"/>
              </w:rPr>
              <w:t xml:space="preserve">（0～1000）mg/L </w:t>
            </w:r>
            <w:r>
              <w:rPr>
                <w:rFonts w:hint="eastAsia" w:asciiTheme="minorEastAsia" w:hAnsiTheme="minorEastAsia" w:cstheme="minorEastAsia"/>
                <w:sz w:val="18"/>
                <w:szCs w:val="18"/>
                <w:lang w:eastAsia="zh-CN"/>
              </w:rPr>
              <w:t>，</w:t>
            </w:r>
            <w:r>
              <w:rPr>
                <w:rFonts w:hint="eastAsia" w:asciiTheme="minorEastAsia" w:hAnsiTheme="minorEastAsia" w:cstheme="minorEastAsia"/>
                <w:sz w:val="18"/>
                <w:szCs w:val="18"/>
              </w:rPr>
              <w:t>可设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示值误差</w:t>
            </w:r>
          </w:p>
        </w:tc>
        <w:tc>
          <w:tcPr>
            <w:tcW w:w="6915" w:type="dxa"/>
            <w:tcBorders>
              <w:right w:val="single" w:color="000000" w:sz="4" w:space="0"/>
            </w:tcBorders>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零点漂移</w:t>
            </w:r>
          </w:p>
        </w:tc>
        <w:tc>
          <w:tcPr>
            <w:tcW w:w="6915" w:type="dxa"/>
            <w:tcBorders>
              <w:right w:val="single" w:color="000000" w:sz="4" w:space="0"/>
            </w:tcBorders>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量程漂移</w:t>
            </w:r>
          </w:p>
        </w:tc>
        <w:tc>
          <w:tcPr>
            <w:tcW w:w="6915" w:type="dxa"/>
            <w:tcBorders>
              <w:right w:val="single" w:color="000000" w:sz="4" w:space="0"/>
            </w:tcBorders>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实际水样比对实验</w:t>
            </w:r>
          </w:p>
        </w:tc>
        <w:tc>
          <w:tcPr>
            <w:tcW w:w="6915" w:type="dxa"/>
            <w:tcBorders>
              <w:right w:val="single" w:color="000000" w:sz="4" w:space="0"/>
            </w:tcBorders>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最低检出限</w:t>
            </w:r>
          </w:p>
        </w:tc>
        <w:tc>
          <w:tcPr>
            <w:tcW w:w="6915" w:type="dxa"/>
            <w:tcBorders>
              <w:right w:val="single" w:color="000000" w:sz="4" w:space="0"/>
            </w:tcBorders>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最短测量周期</w:t>
            </w:r>
          </w:p>
        </w:tc>
        <w:tc>
          <w:tcPr>
            <w:tcW w:w="6915" w:type="dxa"/>
            <w:tcBorders>
              <w:right w:val="single" w:color="000000" w:sz="4" w:space="0"/>
            </w:tcBorders>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消解时间</w:t>
            </w:r>
          </w:p>
        </w:tc>
        <w:tc>
          <w:tcPr>
            <w:tcW w:w="6915" w:type="dxa"/>
            <w:tcBorders>
              <w:right w:val="single" w:color="auto" w:sz="4" w:space="0"/>
            </w:tcBorders>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≥500秒（可设置）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每次废液量</w:t>
            </w:r>
          </w:p>
        </w:tc>
        <w:tc>
          <w:tcPr>
            <w:tcW w:w="6915"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6mL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试剂补充间隔</w:t>
            </w:r>
          </w:p>
        </w:tc>
        <w:tc>
          <w:tcPr>
            <w:tcW w:w="6915"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一个月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采样周期</w:t>
            </w:r>
          </w:p>
        </w:tc>
        <w:tc>
          <w:tcPr>
            <w:tcW w:w="6915"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时间间隔测量模式（1～9999min任意可调）和定时整点测量模式。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校准周期</w:t>
            </w:r>
          </w:p>
        </w:tc>
        <w:tc>
          <w:tcPr>
            <w:tcW w:w="6915" w:type="dxa"/>
            <w:vAlign w:val="center"/>
          </w:tcPr>
          <w:p>
            <w:pPr>
              <w:autoSpaceDE w:val="0"/>
              <w:autoSpaceDN w:val="0"/>
              <w:adjustRightInd w:val="0"/>
              <w:spacing w:line="360" w:lineRule="auto"/>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可自动设定和自动启动校准，任意时刻可调。</w:t>
            </w:r>
            <w:r>
              <w:rPr>
                <w:rFonts w:hint="eastAsia" w:asciiTheme="minorEastAsia" w:hAnsiTheme="minorEastAsia" w:cstheme="minorEastAsia"/>
                <w:sz w:val="18"/>
                <w:szCs w:val="18"/>
                <w:lang w:eastAsia="zh-CN"/>
              </w:rPr>
              <w:t>具零点核查和标液核查功能。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维护周期</w:t>
            </w:r>
          </w:p>
        </w:tc>
        <w:tc>
          <w:tcPr>
            <w:tcW w:w="6915"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一般每月一次，每个因子约5分钟，可远程维护。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Merge w:val="restart"/>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输出</w:t>
            </w:r>
          </w:p>
        </w:tc>
        <w:tc>
          <w:tcPr>
            <w:tcW w:w="6915"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模拟输出：（4-20）mA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Merge w:val="continue"/>
            <w:vAlign w:val="center"/>
          </w:tcPr>
          <w:p>
            <w:pPr>
              <w:autoSpaceDE w:val="0"/>
              <w:autoSpaceDN w:val="0"/>
              <w:adjustRightInd w:val="0"/>
              <w:spacing w:line="360" w:lineRule="auto"/>
              <w:jc w:val="center"/>
              <w:rPr>
                <w:rFonts w:asciiTheme="minorEastAsia" w:hAnsiTheme="minorEastAsia" w:cstheme="minorEastAsia"/>
                <w:sz w:val="18"/>
                <w:szCs w:val="18"/>
              </w:rPr>
            </w:pPr>
          </w:p>
        </w:tc>
        <w:tc>
          <w:tcPr>
            <w:tcW w:w="6915"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数字通讯：RS232/RS485 MODBUS_RTU通讯协议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工作环境温度</w:t>
            </w:r>
          </w:p>
        </w:tc>
        <w:tc>
          <w:tcPr>
            <w:tcW w:w="6915"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（5-40）℃（可定制宽温型）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工作环境湿度</w:t>
            </w:r>
          </w:p>
        </w:tc>
        <w:tc>
          <w:tcPr>
            <w:tcW w:w="6915"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（5-90）%RH（不凝露）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外形尺寸</w:t>
            </w:r>
          </w:p>
        </w:tc>
        <w:tc>
          <w:tcPr>
            <w:tcW w:w="6915"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高×宽×深=1000mm×500mm×347mm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防护等级</w:t>
            </w:r>
          </w:p>
        </w:tc>
        <w:tc>
          <w:tcPr>
            <w:tcW w:w="6915"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IP65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重量</w:t>
            </w:r>
          </w:p>
        </w:tc>
        <w:tc>
          <w:tcPr>
            <w:tcW w:w="6915"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电源</w:t>
            </w:r>
          </w:p>
        </w:tc>
        <w:tc>
          <w:tcPr>
            <w:tcW w:w="6915"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AC（220±10%）V，50Hz，5A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pPr>
              <w:autoSpaceDE w:val="0"/>
              <w:autoSpaceDN w:val="0"/>
              <w:adjustRightInd w:val="0"/>
              <w:spacing w:line="360" w:lineRule="auto"/>
              <w:jc w:val="center"/>
              <w:rPr>
                <w:rFonts w:asciiTheme="minorEastAsia" w:hAnsiTheme="minorEastAsia" w:cstheme="minorEastAsia"/>
                <w:sz w:val="18"/>
                <w:szCs w:val="18"/>
              </w:rPr>
            </w:pPr>
            <w:r>
              <w:rPr>
                <w:rFonts w:hint="eastAsia" w:asciiTheme="minorEastAsia" w:hAnsiTheme="minorEastAsia" w:cstheme="minorEastAsia"/>
                <w:sz w:val="18"/>
                <w:szCs w:val="18"/>
              </w:rPr>
              <w:t>其它功能</w:t>
            </w:r>
          </w:p>
        </w:tc>
        <w:tc>
          <w:tcPr>
            <w:tcW w:w="6915" w:type="dxa"/>
            <w:vAlign w:val="center"/>
          </w:tcPr>
          <w:p>
            <w:pPr>
              <w:autoSpaceDE w:val="0"/>
              <w:autoSpaceDN w:val="0"/>
              <w:adjustRightInd w:val="0"/>
              <w:spacing w:line="360" w:lineRule="auto"/>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异常报警，断电不丢失数据；未采到水样和试剂时自动报警；触摸屏显示及指令输入；异常复位，断电后来电仪器自动排出残留液，自动恢复工作状态。</w:t>
            </w:r>
            <w:r>
              <w:rPr>
                <w:rFonts w:hint="eastAsia" w:asciiTheme="minorEastAsia" w:hAnsiTheme="minorEastAsia" w:cstheme="minorEastAsia"/>
                <w:sz w:val="18"/>
                <w:szCs w:val="18"/>
                <w:lang w:eastAsia="zh-CN"/>
              </w:rPr>
              <w:t>满足《化学需氧量（CODCr）水质在线自动监测仪技术要求及检测方法》（HJ 377-2019）功能要求。</w:t>
            </w:r>
          </w:p>
        </w:tc>
      </w:tr>
    </w:tbl>
    <w:p>
      <w:pPr>
        <w:pStyle w:val="2"/>
        <w:numPr>
          <w:ilvl w:val="0"/>
          <w:numId w:val="0"/>
        </w:numPr>
        <w:ind w:leftChars="0"/>
        <w:sectPr>
          <w:pgSz w:w="11906" w:h="16838"/>
          <w:pgMar w:top="1440" w:right="1080" w:bottom="1440" w:left="1080" w:header="851" w:footer="992" w:gutter="0"/>
          <w:cols w:space="425" w:num="1"/>
          <w:docGrid w:type="lines" w:linePitch="312" w:charSpace="0"/>
        </w:sectPr>
      </w:pPr>
    </w:p>
    <w:p>
      <w:pPr>
        <w:pStyle w:val="2"/>
      </w:pPr>
      <w:bookmarkStart w:id="7" w:name="_Toc14123"/>
      <w:r>
        <w:rPr>
          <w:rFonts w:hint="eastAsia"/>
        </w:rPr>
        <w:t>概述</w:t>
      </w:r>
      <w:bookmarkEnd w:id="7"/>
    </w:p>
    <w:p>
      <w:pPr>
        <w:pStyle w:val="3"/>
      </w:pPr>
      <w:bookmarkStart w:id="8" w:name="_Toc1843"/>
      <w:r>
        <w:rPr>
          <w:rFonts w:hint="eastAsia"/>
        </w:rPr>
        <w:t>结构</w:t>
      </w:r>
      <w:bookmarkEnd w:id="8"/>
    </w:p>
    <w:p>
      <w:pPr>
        <w:spacing w:line="360" w:lineRule="auto"/>
        <w:ind w:firstLine="480" w:firstLineChars="200"/>
        <w:rPr>
          <w:sz w:val="24"/>
          <w:szCs w:val="24"/>
        </w:rPr>
      </w:pPr>
      <w:r>
        <w:rPr>
          <w:rFonts w:hint="eastAsia"/>
          <w:sz w:val="24"/>
          <w:szCs w:val="24"/>
        </w:rPr>
        <w:t>本分析仪采用独特的设计，较之同类产品具有更低的故障率、维护量、试剂消耗量以及更高的性价比，系统结构如图3.1。</w:t>
      </w:r>
    </w:p>
    <w:p>
      <w:pPr>
        <w:spacing w:line="360" w:lineRule="auto"/>
        <w:jc w:val="center"/>
        <w:rPr>
          <w:sz w:val="24"/>
          <w:szCs w:val="24"/>
        </w:rPr>
      </w:pPr>
      <w:r>
        <w:rPr>
          <w:sz w:val="24"/>
          <w:szCs w:val="24"/>
        </w:rPr>
        <w:drawing>
          <wp:inline distT="0" distB="0" distL="0" distR="0">
            <wp:extent cx="4508500" cy="3263900"/>
            <wp:effectExtent l="1905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srcRect/>
                    <a:stretch>
                      <a:fillRect/>
                    </a:stretch>
                  </pic:blipFill>
                  <pic:spPr>
                    <a:xfrm>
                      <a:off x="0" y="0"/>
                      <a:ext cx="4508500" cy="3263900"/>
                    </a:xfrm>
                    <a:prstGeom prst="rect">
                      <a:avLst/>
                    </a:prstGeom>
                    <a:noFill/>
                    <a:ln w="9525">
                      <a:noFill/>
                      <a:miter lim="800000"/>
                      <a:headEnd/>
                      <a:tailEnd/>
                    </a:ln>
                  </pic:spPr>
                </pic:pic>
              </a:graphicData>
            </a:graphic>
          </wp:inline>
        </w:drawing>
      </w:r>
    </w:p>
    <w:p>
      <w:pPr>
        <w:spacing w:line="360" w:lineRule="auto"/>
        <w:jc w:val="center"/>
        <w:rPr>
          <w:sz w:val="24"/>
          <w:szCs w:val="24"/>
        </w:rPr>
      </w:pPr>
      <w:r>
        <w:rPr>
          <w:rFonts w:hint="eastAsia"/>
          <w:sz w:val="24"/>
          <w:szCs w:val="24"/>
        </w:rPr>
        <w:t>图3.1 分析仪系统结构</w:t>
      </w:r>
    </w:p>
    <w:p>
      <w:pPr>
        <w:pStyle w:val="41"/>
        <w:numPr>
          <w:ilvl w:val="0"/>
          <w:numId w:val="3"/>
        </w:numPr>
        <w:spacing w:line="360" w:lineRule="auto"/>
        <w:ind w:firstLineChars="0"/>
        <w:rPr>
          <w:sz w:val="24"/>
          <w:szCs w:val="24"/>
        </w:rPr>
      </w:pPr>
      <w:r>
        <w:rPr>
          <w:rFonts w:hint="eastAsia"/>
          <w:sz w:val="24"/>
          <w:szCs w:val="24"/>
        </w:rPr>
        <w:t>计量单元</w:t>
      </w:r>
    </w:p>
    <w:p>
      <w:pPr>
        <w:spacing w:line="360" w:lineRule="auto"/>
        <w:ind w:firstLine="480" w:firstLineChars="200"/>
        <w:rPr>
          <w:sz w:val="24"/>
          <w:szCs w:val="24"/>
        </w:rPr>
      </w:pPr>
      <w:r>
        <w:rPr>
          <w:rFonts w:hint="eastAsia"/>
          <w:sz w:val="24"/>
          <w:szCs w:val="24"/>
        </w:rPr>
        <w:t>由试样导入管、试剂导入管、计量器和检测器等组成，对试样和试剂进行精确计量。</w:t>
      </w:r>
    </w:p>
    <w:p>
      <w:pPr>
        <w:pStyle w:val="41"/>
        <w:numPr>
          <w:ilvl w:val="0"/>
          <w:numId w:val="3"/>
        </w:numPr>
        <w:spacing w:line="360" w:lineRule="auto"/>
        <w:ind w:firstLineChars="0"/>
        <w:rPr>
          <w:sz w:val="24"/>
          <w:szCs w:val="24"/>
        </w:rPr>
      </w:pPr>
      <w:r>
        <w:rPr>
          <w:rFonts w:hint="eastAsia"/>
          <w:sz w:val="24"/>
          <w:szCs w:val="24"/>
        </w:rPr>
        <w:t>试剂贮存单元</w:t>
      </w:r>
    </w:p>
    <w:p>
      <w:pPr>
        <w:spacing w:line="360" w:lineRule="auto"/>
        <w:ind w:firstLine="480" w:firstLineChars="200"/>
        <w:rPr>
          <w:sz w:val="24"/>
          <w:szCs w:val="24"/>
        </w:rPr>
      </w:pPr>
      <w:r>
        <w:rPr>
          <w:rFonts w:hint="eastAsia"/>
          <w:sz w:val="24"/>
          <w:szCs w:val="24"/>
        </w:rPr>
        <w:t>由试剂瓶和贮存槽等组成，试剂相互隔离。</w:t>
      </w:r>
    </w:p>
    <w:p>
      <w:pPr>
        <w:pStyle w:val="41"/>
        <w:numPr>
          <w:ilvl w:val="0"/>
          <w:numId w:val="3"/>
        </w:numPr>
        <w:spacing w:line="360" w:lineRule="auto"/>
        <w:ind w:firstLineChars="0"/>
        <w:rPr>
          <w:sz w:val="24"/>
          <w:szCs w:val="24"/>
        </w:rPr>
      </w:pPr>
      <w:r>
        <w:rPr>
          <w:rFonts w:hint="eastAsia"/>
          <w:sz w:val="24"/>
          <w:szCs w:val="24"/>
        </w:rPr>
        <w:t>反应器单元</w:t>
      </w:r>
    </w:p>
    <w:p>
      <w:pPr>
        <w:spacing w:line="360" w:lineRule="auto"/>
        <w:ind w:firstLine="480" w:firstLineChars="200"/>
        <w:rPr>
          <w:sz w:val="24"/>
          <w:szCs w:val="24"/>
        </w:rPr>
      </w:pPr>
      <w:r>
        <w:rPr>
          <w:rFonts w:hint="eastAsia"/>
          <w:sz w:val="24"/>
          <w:szCs w:val="24"/>
        </w:rPr>
        <w:t>由反应槽、加热器、搅拌器等组成，完成试样的氧化过程。</w:t>
      </w:r>
    </w:p>
    <w:p>
      <w:pPr>
        <w:pStyle w:val="41"/>
        <w:numPr>
          <w:ilvl w:val="0"/>
          <w:numId w:val="3"/>
        </w:numPr>
        <w:spacing w:line="360" w:lineRule="auto"/>
        <w:ind w:firstLineChars="0"/>
        <w:rPr>
          <w:sz w:val="24"/>
          <w:szCs w:val="24"/>
        </w:rPr>
      </w:pPr>
      <w:r>
        <w:rPr>
          <w:rFonts w:hint="eastAsia"/>
          <w:sz w:val="24"/>
          <w:szCs w:val="24"/>
        </w:rPr>
        <w:t>检测单元</w:t>
      </w:r>
    </w:p>
    <w:p>
      <w:pPr>
        <w:spacing w:line="360" w:lineRule="auto"/>
        <w:ind w:firstLine="480" w:firstLineChars="200"/>
        <w:rPr>
          <w:sz w:val="24"/>
          <w:szCs w:val="24"/>
        </w:rPr>
      </w:pPr>
      <w:r>
        <w:rPr>
          <w:rFonts w:hint="eastAsia"/>
          <w:sz w:val="24"/>
          <w:szCs w:val="24"/>
        </w:rPr>
        <w:t>由光度计及信号转换器组成，检测试样的COD浓度。</w:t>
      </w:r>
    </w:p>
    <w:p>
      <w:pPr>
        <w:pStyle w:val="41"/>
        <w:numPr>
          <w:ilvl w:val="0"/>
          <w:numId w:val="3"/>
        </w:numPr>
        <w:spacing w:line="360" w:lineRule="auto"/>
        <w:ind w:firstLineChars="0"/>
        <w:rPr>
          <w:sz w:val="24"/>
          <w:szCs w:val="24"/>
        </w:rPr>
      </w:pPr>
      <w:r>
        <w:rPr>
          <w:rFonts w:hint="eastAsia"/>
          <w:sz w:val="24"/>
          <w:szCs w:val="24"/>
        </w:rPr>
        <w:t>数据处理单元</w:t>
      </w:r>
    </w:p>
    <w:p>
      <w:pPr>
        <w:spacing w:line="360" w:lineRule="auto"/>
        <w:ind w:firstLine="480" w:firstLineChars="200"/>
        <w:rPr>
          <w:sz w:val="24"/>
          <w:szCs w:val="24"/>
        </w:rPr>
      </w:pPr>
      <w:r>
        <w:rPr>
          <w:rFonts w:hint="eastAsia"/>
          <w:sz w:val="24"/>
          <w:szCs w:val="24"/>
        </w:rPr>
        <w:t>由电源、PLC、信号处理器等组成，对分析仪的工作过程进行控制。</w:t>
      </w:r>
    </w:p>
    <w:p>
      <w:pPr>
        <w:pStyle w:val="41"/>
        <w:numPr>
          <w:ilvl w:val="0"/>
          <w:numId w:val="3"/>
        </w:numPr>
        <w:spacing w:line="360" w:lineRule="auto"/>
        <w:ind w:firstLineChars="0"/>
        <w:rPr>
          <w:sz w:val="24"/>
          <w:szCs w:val="24"/>
        </w:rPr>
      </w:pPr>
      <w:r>
        <w:rPr>
          <w:rFonts w:hint="eastAsia"/>
          <w:sz w:val="24"/>
          <w:szCs w:val="24"/>
        </w:rPr>
        <w:t>显示记录单元</w:t>
      </w:r>
    </w:p>
    <w:p>
      <w:pPr>
        <w:spacing w:line="360" w:lineRule="auto"/>
        <w:ind w:firstLine="480" w:firstLineChars="200"/>
        <w:rPr>
          <w:sz w:val="24"/>
          <w:szCs w:val="24"/>
        </w:rPr>
      </w:pPr>
      <w:r>
        <w:rPr>
          <w:rFonts w:hint="eastAsia"/>
          <w:sz w:val="24"/>
          <w:szCs w:val="24"/>
        </w:rPr>
        <w:t>由触摸屏、指示灯等组成，显示测量数据并进行记录，对分析仪进行参数设置操作。</w:t>
      </w:r>
    </w:p>
    <w:p>
      <w:pPr>
        <w:pStyle w:val="41"/>
        <w:numPr>
          <w:ilvl w:val="0"/>
          <w:numId w:val="3"/>
        </w:numPr>
        <w:spacing w:line="360" w:lineRule="auto"/>
        <w:ind w:firstLineChars="0"/>
        <w:rPr>
          <w:sz w:val="24"/>
          <w:szCs w:val="24"/>
        </w:rPr>
      </w:pPr>
      <w:r>
        <w:rPr>
          <w:rFonts w:hint="eastAsia"/>
          <w:sz w:val="24"/>
          <w:szCs w:val="24"/>
        </w:rPr>
        <w:t>信号接口单元</w:t>
      </w:r>
    </w:p>
    <w:p>
      <w:pPr>
        <w:spacing w:line="360" w:lineRule="auto"/>
        <w:ind w:firstLine="480" w:firstLineChars="200"/>
        <w:rPr>
          <w:sz w:val="24"/>
          <w:szCs w:val="24"/>
        </w:rPr>
      </w:pPr>
      <w:r>
        <w:rPr>
          <w:rFonts w:hint="eastAsia"/>
          <w:sz w:val="24"/>
          <w:szCs w:val="24"/>
        </w:rPr>
        <w:t>由模拟量输出接口（可选配置）和RS232通讯数据接口组成，模拟量输出接口将COD测量数据转换成直流电流输出，RS232/RS485通讯数据接口输出数据采用Modbus RTU协议。</w:t>
      </w:r>
    </w:p>
    <w:p>
      <w:pPr>
        <w:pStyle w:val="3"/>
      </w:pPr>
      <w:bookmarkStart w:id="9" w:name="_Toc22578"/>
      <w:r>
        <w:rPr>
          <w:rFonts w:hint="eastAsia"/>
        </w:rPr>
        <w:t>外观</w:t>
      </w:r>
      <w:bookmarkEnd w:id="9"/>
    </w:p>
    <w:p>
      <w:pPr>
        <w:spacing w:line="360" w:lineRule="auto"/>
        <w:jc w:val="center"/>
        <w:rPr>
          <w:rFonts w:hint="default" w:eastAsiaTheme="minorEastAsia"/>
          <w:sz w:val="24"/>
          <w:szCs w:val="24"/>
          <w:lang w:val="en-US" w:eastAsia="zh-CN"/>
        </w:rPr>
      </w:pPr>
      <w:r>
        <w:rPr>
          <w:rFonts w:hint="eastAsia"/>
          <w:sz w:val="24"/>
          <w:szCs w:val="24"/>
          <w:lang w:val="en-US" w:eastAsia="zh-CN"/>
        </w:rPr>
        <w:t xml:space="preserve">        </w:t>
      </w:r>
      <w:r>
        <w:drawing>
          <wp:inline distT="0" distB="0" distL="114300" distR="114300">
            <wp:extent cx="2122805" cy="4291965"/>
            <wp:effectExtent l="0" t="0" r="10795" b="133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2122805" cy="4291965"/>
                    </a:xfrm>
                    <a:prstGeom prst="rect">
                      <a:avLst/>
                    </a:prstGeom>
                    <a:noFill/>
                    <a:ln>
                      <a:noFill/>
                    </a:ln>
                  </pic:spPr>
                </pic:pic>
              </a:graphicData>
            </a:graphic>
          </wp:inline>
        </w:drawing>
      </w:r>
    </w:p>
    <w:p>
      <w:pPr>
        <w:spacing w:line="360" w:lineRule="auto"/>
        <w:jc w:val="center"/>
        <w:rPr>
          <w:rFonts w:hint="eastAsia"/>
          <w:sz w:val="24"/>
          <w:szCs w:val="24"/>
        </w:rPr>
      </w:pPr>
      <w:r>
        <w:rPr>
          <w:rFonts w:hint="eastAsia"/>
          <w:sz w:val="24"/>
          <w:szCs w:val="24"/>
        </w:rPr>
        <w:t>图3.2 分析仪外观</w:t>
      </w:r>
    </w:p>
    <w:p>
      <w:pPr>
        <w:spacing w:line="360" w:lineRule="auto"/>
        <w:ind w:firstLine="480" w:firstLineChars="200"/>
        <w:rPr>
          <w:rFonts w:hint="eastAsia"/>
          <w:sz w:val="24"/>
          <w:szCs w:val="24"/>
          <w:lang w:val="en-US" w:eastAsia="zh-CN"/>
        </w:rPr>
      </w:pPr>
      <w:r>
        <w:rPr>
          <w:rFonts w:hint="eastAsia"/>
          <w:sz w:val="24"/>
          <w:szCs w:val="24"/>
          <w:lang w:eastAsia="zh-CN"/>
        </w:rPr>
        <w:t>NIPm-3000-CODcr</w:t>
      </w:r>
      <w:r>
        <w:rPr>
          <w:rFonts w:hint="eastAsia"/>
          <w:sz w:val="24"/>
          <w:szCs w:val="24"/>
        </w:rPr>
        <w:t>水质分析仪系列产品都适用图3.</w:t>
      </w:r>
      <w:r>
        <w:rPr>
          <w:rFonts w:hint="eastAsia"/>
          <w:sz w:val="24"/>
          <w:szCs w:val="24"/>
          <w:lang w:val="en-US" w:eastAsia="zh-CN"/>
        </w:rPr>
        <w:t>2分析外观</w:t>
      </w:r>
      <w:r>
        <w:rPr>
          <w:rFonts w:hint="eastAsia"/>
          <w:sz w:val="24"/>
          <w:szCs w:val="24"/>
        </w:rPr>
        <w:t>图，</w:t>
      </w:r>
      <w:r>
        <w:rPr>
          <w:rFonts w:hint="eastAsia"/>
          <w:sz w:val="24"/>
          <w:szCs w:val="24"/>
          <w:lang w:eastAsia="zh-CN"/>
        </w:rPr>
        <w:t>图</w:t>
      </w:r>
      <w:r>
        <w:rPr>
          <w:rFonts w:hint="eastAsia"/>
          <w:sz w:val="24"/>
          <w:szCs w:val="24"/>
          <w:lang w:val="en-US" w:eastAsia="zh-CN"/>
        </w:rPr>
        <w:t>3.2图所示</w:t>
      </w:r>
      <w:r>
        <w:rPr>
          <w:rFonts w:hint="eastAsia"/>
          <w:sz w:val="24"/>
          <w:szCs w:val="24"/>
          <w:lang w:eastAsia="zh-CN"/>
        </w:rPr>
        <w:t>柜门顶部为产品系列名称，中间为玻璃显示窗口，底部为生产厂家名称。</w:t>
      </w:r>
      <w:r>
        <w:rPr>
          <w:rFonts w:hint="eastAsia"/>
          <w:sz w:val="24"/>
          <w:szCs w:val="24"/>
          <w:lang w:val="en-US" w:eastAsia="zh-CN"/>
        </w:rPr>
        <w:t>箭头指向处为产品的铭牌。</w:t>
      </w:r>
    </w:p>
    <w:p>
      <w:pPr>
        <w:spacing w:line="360" w:lineRule="auto"/>
        <w:ind w:firstLine="420" w:firstLineChars="200"/>
        <w:rPr>
          <w:rFonts w:hint="default"/>
          <w:sz w:val="24"/>
          <w:szCs w:val="24"/>
          <w:lang w:val="en-US" w:eastAsia="zh-CN"/>
        </w:rPr>
      </w:pPr>
      <w:r>
        <w:drawing>
          <wp:inline distT="0" distB="0" distL="114300" distR="114300">
            <wp:extent cx="371475" cy="333375"/>
            <wp:effectExtent l="0" t="0" r="9525"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371475" cy="333375"/>
                    </a:xfrm>
                    <a:prstGeom prst="rect">
                      <a:avLst/>
                    </a:prstGeom>
                    <a:noFill/>
                    <a:ln>
                      <a:noFill/>
                    </a:ln>
                  </pic:spPr>
                </pic:pic>
              </a:graphicData>
            </a:graphic>
          </wp:inline>
        </w:drawing>
      </w:r>
      <w:r>
        <w:rPr>
          <w:rFonts w:hint="eastAsia"/>
          <w:sz w:val="24"/>
          <w:szCs w:val="24"/>
          <w:u w:val="single"/>
          <w:lang w:val="en-US" w:eastAsia="zh-CN"/>
        </w:rPr>
        <w:t>注意：严禁用尖锐、硬物等敲打或挤压柜门，会导致柜门玻璃损坏造成人员受伤。</w:t>
      </w:r>
    </w:p>
    <w:p>
      <w:pPr>
        <w:pStyle w:val="3"/>
      </w:pPr>
      <w:bookmarkStart w:id="10" w:name="_Toc14499"/>
      <w:r>
        <w:rPr>
          <w:rFonts w:hint="eastAsia"/>
        </w:rPr>
        <w:t>分析流路</w:t>
      </w:r>
      <w:bookmarkEnd w:id="10"/>
    </w:p>
    <w:p>
      <w:pPr>
        <w:spacing w:line="360" w:lineRule="auto"/>
        <w:ind w:firstLine="480" w:firstLineChars="200"/>
        <w:rPr>
          <w:rFonts w:hint="eastAsia" w:eastAsiaTheme="minorEastAsia"/>
          <w:sz w:val="24"/>
          <w:szCs w:val="24"/>
          <w:lang w:eastAsia="zh-CN"/>
        </w:rPr>
      </w:pPr>
      <w:r>
        <w:rPr>
          <w:rFonts w:hint="eastAsia"/>
          <w:sz w:val="24"/>
          <w:szCs w:val="24"/>
          <w:lang w:eastAsia="zh-CN"/>
        </w:rPr>
        <w:t>NIPm-3000-CODcr</w:t>
      </w:r>
      <w:r>
        <w:rPr>
          <w:rFonts w:hint="eastAsia"/>
          <w:sz w:val="24"/>
          <w:szCs w:val="24"/>
        </w:rPr>
        <w:t>水质分析仪系列产品都适用图3.3分析仪流路图，更换试剂时请按相应管路标识插入对应的试剂瓶中。</w:t>
      </w:r>
      <w:r>
        <w:rPr>
          <w:rFonts w:hint="eastAsia"/>
          <w:sz w:val="24"/>
          <w:szCs w:val="24"/>
          <w:lang w:eastAsia="zh-CN"/>
        </w:rPr>
        <w:t>该分析仪流路图张贴在分析仪柜门内侧底部，以实际张贴分析流路图为准，请在安装试剂时详细阅读。</w:t>
      </w:r>
    </w:p>
    <w:p>
      <w:pPr>
        <w:jc w:val="center"/>
      </w:pPr>
      <w:r>
        <w:drawing>
          <wp:inline distT="0" distB="0" distL="114300" distR="114300">
            <wp:extent cx="5139690" cy="3542030"/>
            <wp:effectExtent l="0" t="0" r="3810" b="1270"/>
            <wp:docPr id="12" name="图片 2" descr="C:\Users\Administrator\Desktop\COD流路图.pngCOD流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C:\Users\Administrator\Desktop\COD流路图.pngCOD流路图"/>
                    <pic:cNvPicPr>
                      <a:picLocks noChangeAspect="1"/>
                    </pic:cNvPicPr>
                  </pic:nvPicPr>
                  <pic:blipFill>
                    <a:blip r:embed="rId9"/>
                    <a:srcRect/>
                    <a:stretch>
                      <a:fillRect/>
                    </a:stretch>
                  </pic:blipFill>
                  <pic:spPr>
                    <a:xfrm>
                      <a:off x="0" y="0"/>
                      <a:ext cx="5139690" cy="3542030"/>
                    </a:xfrm>
                    <a:prstGeom prst="rect">
                      <a:avLst/>
                    </a:prstGeom>
                    <a:noFill/>
                    <a:ln>
                      <a:noFill/>
                    </a:ln>
                  </pic:spPr>
                </pic:pic>
              </a:graphicData>
            </a:graphic>
          </wp:inline>
        </w:drawing>
      </w:r>
    </w:p>
    <w:p>
      <w:pPr>
        <w:jc w:val="center"/>
      </w:pPr>
      <w:r>
        <w:rPr>
          <w:rFonts w:hint="eastAsia"/>
        </w:rPr>
        <w:t>图3.3分析仪流路图</w:t>
      </w:r>
    </w:p>
    <w:p>
      <w:pPr>
        <w:pStyle w:val="3"/>
        <w:rPr>
          <w:rFonts w:hint="eastAsia"/>
          <w:sz w:val="32"/>
          <w:szCs w:val="32"/>
        </w:rPr>
      </w:pPr>
      <w:bookmarkStart w:id="11" w:name="_Toc6390"/>
      <w:r>
        <w:rPr>
          <w:rFonts w:hint="eastAsia"/>
          <w:sz w:val="32"/>
          <w:szCs w:val="32"/>
          <w:lang w:eastAsia="zh-CN"/>
        </w:rPr>
        <w:t>铭牌</w:t>
      </w:r>
      <w:bookmarkEnd w:id="11"/>
    </w:p>
    <w:p>
      <w:pPr>
        <w:spacing w:line="360" w:lineRule="auto"/>
        <w:ind w:firstLine="480" w:firstLineChars="200"/>
        <w:rPr>
          <w:rFonts w:hint="eastAsia"/>
          <w:sz w:val="24"/>
          <w:szCs w:val="24"/>
          <w:lang w:eastAsia="zh-CN"/>
        </w:rPr>
      </w:pPr>
      <w:r>
        <w:rPr>
          <w:rFonts w:hint="eastAsia"/>
          <w:sz w:val="24"/>
          <w:szCs w:val="24"/>
          <w:lang w:eastAsia="zh-CN"/>
        </w:rPr>
        <w:t>铭牌制作依据：</w:t>
      </w:r>
    </w:p>
    <w:p>
      <w:pPr>
        <w:spacing w:line="360" w:lineRule="auto"/>
        <w:ind w:firstLine="480" w:firstLineChars="200"/>
        <w:rPr>
          <w:rFonts w:hint="eastAsia"/>
          <w:sz w:val="24"/>
          <w:szCs w:val="24"/>
        </w:rPr>
      </w:pPr>
      <w:r>
        <w:rPr>
          <w:rFonts w:hint="eastAsia" w:ascii="宋体" w:hAnsi="宋体" w:eastAsia="宋体" w:cs="宋体"/>
          <w:sz w:val="24"/>
          <w:szCs w:val="24"/>
        </w:rPr>
        <w:t>◆</w:t>
      </w:r>
      <w:r>
        <w:rPr>
          <w:rFonts w:hint="eastAsia"/>
          <w:sz w:val="24"/>
          <w:szCs w:val="24"/>
        </w:rPr>
        <w:t>GB／T 13306-2011 标牌</w:t>
      </w:r>
    </w:p>
    <w:p>
      <w:pPr>
        <w:spacing w:line="360" w:lineRule="auto"/>
        <w:ind w:firstLine="480" w:firstLineChars="200"/>
        <w:rPr>
          <w:rFonts w:hint="eastAsia" w:eastAsiaTheme="minorEastAsia"/>
          <w:sz w:val="24"/>
          <w:szCs w:val="24"/>
          <w:lang w:eastAsia="zh-CN"/>
        </w:rPr>
      </w:pPr>
      <w:r>
        <w:rPr>
          <w:rFonts w:hint="eastAsia" w:ascii="宋体" w:hAnsi="宋体" w:eastAsia="宋体" w:cs="宋体"/>
          <w:sz w:val="24"/>
          <w:szCs w:val="24"/>
        </w:rPr>
        <w:t>◆</w:t>
      </w:r>
      <w:r>
        <w:rPr>
          <w:rFonts w:hint="eastAsia" w:eastAsiaTheme="minorEastAsia"/>
          <w:sz w:val="24"/>
          <w:szCs w:val="24"/>
          <w:lang w:eastAsia="zh-CN"/>
        </w:rPr>
        <w:t>《化学需氧量(CODCr)水质在线自动监测仪检测方法作业指导书（参考《化学需氧量(CODCr)水质自动在线监测仪技术要求和检测方法》（征求意见稿））》（HJC- ZY32-2013）</w:t>
      </w:r>
    </w:p>
    <w:p>
      <w:pPr>
        <w:spacing w:line="360" w:lineRule="auto"/>
        <w:ind w:firstLine="480" w:firstLineChars="200"/>
        <w:rPr>
          <w:rFonts w:hint="eastAsia" w:eastAsiaTheme="minorEastAsia"/>
          <w:sz w:val="24"/>
          <w:szCs w:val="24"/>
          <w:lang w:eastAsia="zh-CN"/>
        </w:rPr>
      </w:pPr>
      <w:r>
        <w:rPr>
          <w:rFonts w:hint="eastAsia" w:ascii="宋体" w:hAnsi="宋体" w:eastAsia="宋体" w:cs="宋体"/>
          <w:sz w:val="24"/>
          <w:szCs w:val="24"/>
        </w:rPr>
        <w:t>◆</w:t>
      </w:r>
      <w:r>
        <w:rPr>
          <w:rFonts w:hint="eastAsia" w:eastAsiaTheme="minorEastAsia"/>
          <w:sz w:val="24"/>
          <w:szCs w:val="24"/>
          <w:lang w:eastAsia="zh-CN"/>
        </w:rPr>
        <w:t>《化学需氧量（CODCr）水质在线自动监测仪技术要求及检测方法》（HJ 377-2019）</w:t>
      </w:r>
    </w:p>
    <w:p>
      <w:pPr>
        <w:spacing w:line="360" w:lineRule="auto"/>
        <w:ind w:firstLine="480" w:firstLineChars="200"/>
        <w:rPr>
          <w:rFonts w:hint="eastAsia" w:eastAsiaTheme="minorEastAsia"/>
          <w:sz w:val="24"/>
          <w:szCs w:val="24"/>
          <w:lang w:eastAsia="zh-CN"/>
        </w:rPr>
      </w:pPr>
    </w:p>
    <w:p>
      <w:pPr>
        <w:spacing w:line="360" w:lineRule="auto"/>
        <w:jc w:val="center"/>
        <w:rPr>
          <w:rFonts w:hint="eastAsia" w:eastAsiaTheme="minorEastAsia"/>
          <w:sz w:val="24"/>
          <w:szCs w:val="24"/>
          <w:lang w:eastAsia="zh-CN"/>
        </w:rPr>
      </w:pPr>
      <w:r>
        <w:drawing>
          <wp:inline distT="0" distB="0" distL="114300" distR="114300">
            <wp:extent cx="5309235" cy="3098800"/>
            <wp:effectExtent l="0" t="0" r="5715"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309235" cy="3098800"/>
                    </a:xfrm>
                    <a:prstGeom prst="rect">
                      <a:avLst/>
                    </a:prstGeom>
                    <a:noFill/>
                    <a:ln>
                      <a:noFill/>
                    </a:ln>
                  </pic:spPr>
                </pic:pic>
              </a:graphicData>
            </a:graphic>
          </wp:inline>
        </w:drawing>
      </w:r>
    </w:p>
    <w:p>
      <w:pPr>
        <w:jc w:val="center"/>
        <w:rPr>
          <w:rFonts w:hint="eastAsia"/>
          <w:lang w:val="en-US" w:eastAsia="zh-CN"/>
        </w:rPr>
      </w:pPr>
      <w:r>
        <w:rPr>
          <w:rFonts w:hint="eastAsia"/>
          <w:lang w:eastAsia="zh-CN"/>
        </w:rPr>
        <w:t>图</w:t>
      </w:r>
      <w:r>
        <w:rPr>
          <w:rFonts w:hint="eastAsia"/>
          <w:lang w:val="en-US" w:eastAsia="zh-CN"/>
        </w:rPr>
        <w:t>3.4 铭牌</w:t>
      </w:r>
    </w:p>
    <w:p>
      <w:pPr>
        <w:spacing w:line="360" w:lineRule="auto"/>
        <w:ind w:firstLine="480" w:firstLineChars="200"/>
        <w:rPr>
          <w:rFonts w:hint="eastAsia"/>
          <w:sz w:val="24"/>
          <w:szCs w:val="24"/>
          <w:lang w:val="en-US" w:eastAsia="zh-CN"/>
        </w:rPr>
      </w:pPr>
      <w:r>
        <w:rPr>
          <w:rFonts w:hint="eastAsia"/>
          <w:sz w:val="24"/>
          <w:szCs w:val="24"/>
          <w:lang w:val="en-US" w:eastAsia="zh-CN"/>
        </w:rPr>
        <w:t>如图3.4铭牌所示，铭牌内容主要由仪器名称、仪器型号、供电电源、工作环境、仪器详细信息和制造厂家信息组成。</w:t>
      </w:r>
    </w:p>
    <w:p>
      <w:pPr>
        <w:pStyle w:val="3"/>
        <w:rPr>
          <w:rFonts w:hint="eastAsia"/>
          <w:sz w:val="32"/>
          <w:szCs w:val="32"/>
          <w:lang w:eastAsia="zh-CN"/>
        </w:rPr>
      </w:pPr>
      <w:bookmarkStart w:id="12" w:name="_Toc16188"/>
      <w:r>
        <w:rPr>
          <w:rFonts w:hint="eastAsia"/>
          <w:sz w:val="32"/>
          <w:szCs w:val="32"/>
          <w:lang w:eastAsia="zh-CN"/>
        </w:rPr>
        <w:t>应用</w:t>
      </w:r>
      <w:bookmarkEnd w:id="12"/>
    </w:p>
    <w:p>
      <w:pPr>
        <w:spacing w:line="360" w:lineRule="auto"/>
        <w:ind w:firstLine="480" w:firstLineChars="200"/>
        <w:rPr>
          <w:sz w:val="24"/>
          <w:szCs w:val="24"/>
        </w:rPr>
      </w:pPr>
      <w:r>
        <w:rPr>
          <w:rFonts w:hint="eastAsia"/>
          <w:sz w:val="24"/>
          <w:szCs w:val="24"/>
        </w:rPr>
        <w:t>本仪器能够对自来水、江河湖泊水、工业污水等进行直接测量。可广泛应用于水环境自动监测站、污水处理厂、自来水厂、排污监控点、地区水界点、水质分析室以及各级环境监管机构进行水样监测。</w:t>
      </w:r>
    </w:p>
    <w:p>
      <w:pPr>
        <w:widowControl/>
        <w:jc w:val="left"/>
        <w:sectPr>
          <w:pgSz w:w="11906" w:h="16838"/>
          <w:pgMar w:top="1440" w:right="1080" w:bottom="1440" w:left="1080" w:header="851" w:footer="992" w:gutter="0"/>
          <w:cols w:space="425" w:num="1"/>
          <w:docGrid w:type="lines" w:linePitch="312" w:charSpace="0"/>
        </w:sectPr>
      </w:pPr>
    </w:p>
    <w:p>
      <w:pPr>
        <w:pStyle w:val="2"/>
      </w:pPr>
      <w:bookmarkStart w:id="13" w:name="_Toc21017"/>
      <w:r>
        <w:rPr>
          <w:rFonts w:hint="eastAsia"/>
        </w:rPr>
        <w:t>拆箱与安装</w:t>
      </w:r>
      <w:bookmarkEnd w:id="13"/>
    </w:p>
    <w:p>
      <w:pPr>
        <w:pStyle w:val="3"/>
      </w:pPr>
      <w:bookmarkStart w:id="14" w:name="_Toc13861"/>
      <w:r>
        <w:rPr>
          <w:rFonts w:hint="eastAsia"/>
        </w:rPr>
        <w:t>拆箱</w:t>
      </w:r>
      <w:bookmarkEnd w:id="14"/>
    </w:p>
    <w:p>
      <w:pPr>
        <w:spacing w:line="360" w:lineRule="auto"/>
        <w:ind w:firstLine="480" w:firstLineChars="200"/>
        <w:rPr>
          <w:rFonts w:hint="eastAsia"/>
          <w:sz w:val="24"/>
          <w:szCs w:val="24"/>
        </w:rPr>
      </w:pPr>
      <w:r>
        <w:rPr>
          <w:rFonts w:hint="eastAsia"/>
          <w:sz w:val="24"/>
          <w:szCs w:val="24"/>
        </w:rPr>
        <w:t>产品在出厂前已进行了严格的检定，在拆箱时请彻底检查运输集装箱和分析仪，以防设备在运输过程中损坏或部件松动，仔细记录设备的所有情况，必要时联系供应商妥善解决。</w:t>
      </w:r>
    </w:p>
    <w:p>
      <w:pPr>
        <w:spacing w:line="360" w:lineRule="auto"/>
        <w:ind w:firstLine="420" w:firstLineChars="200"/>
        <w:rPr>
          <w:rFonts w:hint="eastAsia" w:eastAsiaTheme="minorEastAsia"/>
          <w:sz w:val="24"/>
          <w:szCs w:val="24"/>
          <w:u w:val="single"/>
          <w:lang w:eastAsia="zh-CN"/>
        </w:rPr>
      </w:pPr>
      <w:r>
        <w:drawing>
          <wp:inline distT="0" distB="0" distL="114300" distR="114300">
            <wp:extent cx="371475" cy="333375"/>
            <wp:effectExtent l="0" t="0" r="9525"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8"/>
                    <a:stretch>
                      <a:fillRect/>
                    </a:stretch>
                  </pic:blipFill>
                  <pic:spPr>
                    <a:xfrm>
                      <a:off x="0" y="0"/>
                      <a:ext cx="371475" cy="333375"/>
                    </a:xfrm>
                    <a:prstGeom prst="rect">
                      <a:avLst/>
                    </a:prstGeom>
                    <a:noFill/>
                    <a:ln>
                      <a:noFill/>
                    </a:ln>
                  </pic:spPr>
                </pic:pic>
              </a:graphicData>
            </a:graphic>
          </wp:inline>
        </w:drawing>
      </w:r>
      <w:r>
        <w:rPr>
          <w:rFonts w:hint="eastAsia"/>
          <w:sz w:val="24"/>
          <w:szCs w:val="24"/>
          <w:u w:val="single"/>
          <w:lang w:eastAsia="zh-CN"/>
        </w:rPr>
        <w:t>注意：拆箱时请核对装箱单信息，装箱信息是否与装箱物品一致。若异常请拍照记录及时联系供应商处理。</w:t>
      </w:r>
    </w:p>
    <w:p>
      <w:pPr>
        <w:pStyle w:val="3"/>
      </w:pPr>
      <w:bookmarkStart w:id="15" w:name="_Toc27406"/>
      <w:r>
        <w:rPr>
          <w:rFonts w:hint="eastAsia"/>
        </w:rPr>
        <w:t>安装</w:t>
      </w:r>
      <w:bookmarkEnd w:id="15"/>
    </w:p>
    <w:p>
      <w:pPr>
        <w:pStyle w:val="4"/>
      </w:pPr>
      <w:bookmarkStart w:id="16" w:name="_Toc17499"/>
      <w:r>
        <w:rPr>
          <w:rFonts w:hint="eastAsia"/>
        </w:rPr>
        <w:t>监测站房建设</w:t>
      </w:r>
      <w:bookmarkEnd w:id="16"/>
    </w:p>
    <w:p>
      <w:pPr>
        <w:spacing w:line="360" w:lineRule="auto"/>
        <w:ind w:firstLine="480" w:firstLineChars="200"/>
        <w:rPr>
          <w:rFonts w:hint="eastAsia"/>
          <w:sz w:val="24"/>
          <w:szCs w:val="24"/>
        </w:rPr>
      </w:pPr>
      <w:r>
        <w:rPr>
          <w:rFonts w:hint="eastAsia"/>
          <w:sz w:val="24"/>
          <w:szCs w:val="24"/>
          <w:lang w:val="en-US" w:eastAsia="zh-CN"/>
        </w:rPr>
        <w:t>监测站房应尽量靠近采样点</w:t>
      </w:r>
      <w:r>
        <w:rPr>
          <w:rFonts w:hint="eastAsia"/>
          <w:sz w:val="24"/>
          <w:szCs w:val="24"/>
        </w:rPr>
        <w:t>的位置以减少分析延时</w:t>
      </w:r>
      <w:r>
        <w:rPr>
          <w:rFonts w:hint="eastAsia"/>
          <w:sz w:val="24"/>
          <w:szCs w:val="24"/>
          <w:lang w:val="en-US" w:eastAsia="zh-CN"/>
        </w:rPr>
        <w:t>，与采样点的距离应小于 50 m。应建有专用监测站房，新建监测站房面积应满足不同监控站房的功能需要并保证水污染源在线监测系统的摆放、运转和维护，使用面积应不小于 15 m2，站房高度不低于 2.8 m。</w:t>
      </w:r>
      <w:r>
        <w:rPr>
          <w:rFonts w:hint="eastAsia"/>
          <w:sz w:val="24"/>
          <w:szCs w:val="24"/>
        </w:rPr>
        <w:t>监测站房</w:t>
      </w:r>
      <w:r>
        <w:rPr>
          <w:rFonts w:hint="eastAsia"/>
          <w:sz w:val="24"/>
          <w:szCs w:val="24"/>
          <w:lang w:eastAsia="zh-CN"/>
        </w:rPr>
        <w:t>建议尺寸</w:t>
      </w:r>
      <w:r>
        <w:rPr>
          <w:rFonts w:hint="eastAsia"/>
          <w:sz w:val="24"/>
          <w:szCs w:val="24"/>
        </w:rPr>
        <w:t>长≥5m，宽≥3m。仪器放置的地面应铺地砖</w:t>
      </w:r>
      <w:r>
        <w:rPr>
          <w:rFonts w:hint="eastAsia"/>
          <w:sz w:val="24"/>
          <w:szCs w:val="24"/>
          <w:lang w:eastAsia="zh-CN"/>
        </w:rPr>
        <w:t>或防腐胶垫</w:t>
      </w:r>
      <w:r>
        <w:rPr>
          <w:rFonts w:hint="eastAsia"/>
          <w:sz w:val="24"/>
          <w:szCs w:val="24"/>
        </w:rPr>
        <w:t>，要求地面平整和水平，耐腐蚀、无震动。仪器地面应高于取样口地面300mm以上，以保证所布管道中间不得有凸起或凹下。</w:t>
      </w:r>
    </w:p>
    <w:p>
      <w:pPr>
        <w:spacing w:line="360" w:lineRule="auto"/>
        <w:ind w:firstLine="480" w:firstLineChars="200"/>
        <w:rPr>
          <w:sz w:val="24"/>
          <w:szCs w:val="24"/>
        </w:rPr>
      </w:pPr>
      <w:r>
        <w:rPr>
          <w:rFonts w:hint="eastAsia"/>
          <w:sz w:val="24"/>
          <w:szCs w:val="24"/>
        </w:rPr>
        <w:t>监测站房靠近污水渠一侧的墙面上（参考示意图4.4），应根据要求开设相应的孔，并预铺设好需要的管道。</w:t>
      </w:r>
    </w:p>
    <w:p>
      <w:pPr>
        <w:spacing w:line="360" w:lineRule="auto"/>
        <w:ind w:firstLine="480" w:firstLineChars="200"/>
        <w:rPr>
          <w:sz w:val="24"/>
          <w:szCs w:val="24"/>
        </w:rPr>
      </w:pPr>
      <w:r>
        <w:rPr>
          <w:rFonts w:hint="eastAsia"/>
          <w:sz w:val="24"/>
          <w:szCs w:val="24"/>
        </w:rPr>
        <w:t>目前使用最多的是彩钢板房，彩钢板房具有建造速度快、造价低廉、装饰简单的优点。</w:t>
      </w:r>
    </w:p>
    <w:p>
      <w:pPr>
        <w:spacing w:line="360" w:lineRule="auto"/>
        <w:rPr>
          <w:sz w:val="24"/>
          <w:szCs w:val="24"/>
        </w:rPr>
      </w:pPr>
      <w:r>
        <w:rPr>
          <w:sz w:val="24"/>
          <w:szCs w:val="24"/>
        </w:rPr>
        <w:drawing>
          <wp:inline distT="0" distB="0" distL="0" distR="0">
            <wp:extent cx="5273675" cy="1467485"/>
            <wp:effectExtent l="1905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srcRect/>
                    <a:stretch>
                      <a:fillRect/>
                    </a:stretch>
                  </pic:blipFill>
                  <pic:spPr>
                    <a:xfrm>
                      <a:off x="0" y="0"/>
                      <a:ext cx="5273675" cy="1467485"/>
                    </a:xfrm>
                    <a:prstGeom prst="rect">
                      <a:avLst/>
                    </a:prstGeom>
                    <a:noFill/>
                    <a:ln w="9525">
                      <a:noFill/>
                      <a:miter lim="800000"/>
                      <a:headEnd/>
                      <a:tailEnd/>
                    </a:ln>
                  </pic:spPr>
                </pic:pic>
              </a:graphicData>
            </a:graphic>
          </wp:inline>
        </w:drawing>
      </w:r>
    </w:p>
    <w:p>
      <w:pPr>
        <w:spacing w:line="360" w:lineRule="auto"/>
        <w:jc w:val="center"/>
        <w:rPr>
          <w:sz w:val="24"/>
          <w:szCs w:val="24"/>
        </w:rPr>
      </w:pPr>
      <w:r>
        <w:rPr>
          <w:rFonts w:hint="eastAsia"/>
          <w:sz w:val="24"/>
          <w:szCs w:val="24"/>
        </w:rPr>
        <w:t>图4.1 监测站房建议尺寸图</w:t>
      </w:r>
    </w:p>
    <w:p>
      <w:pPr>
        <w:spacing w:line="360" w:lineRule="auto"/>
        <w:jc w:val="center"/>
        <w:rPr>
          <w:sz w:val="24"/>
          <w:szCs w:val="24"/>
        </w:rPr>
      </w:pPr>
      <w:r>
        <w:rPr>
          <w:sz w:val="24"/>
          <w:szCs w:val="24"/>
        </w:rPr>
        <w:drawing>
          <wp:inline distT="0" distB="0" distL="0" distR="0">
            <wp:extent cx="5273675" cy="3253740"/>
            <wp:effectExtent l="1905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srcRect/>
                    <a:stretch>
                      <a:fillRect/>
                    </a:stretch>
                  </pic:blipFill>
                  <pic:spPr>
                    <a:xfrm>
                      <a:off x="0" y="0"/>
                      <a:ext cx="5273675" cy="3253740"/>
                    </a:xfrm>
                    <a:prstGeom prst="rect">
                      <a:avLst/>
                    </a:prstGeom>
                    <a:noFill/>
                    <a:ln w="9525">
                      <a:noFill/>
                      <a:miter lim="800000"/>
                      <a:headEnd/>
                      <a:tailEnd/>
                    </a:ln>
                  </pic:spPr>
                </pic:pic>
              </a:graphicData>
            </a:graphic>
          </wp:inline>
        </w:drawing>
      </w:r>
    </w:p>
    <w:p>
      <w:pPr>
        <w:spacing w:line="360" w:lineRule="auto"/>
        <w:jc w:val="center"/>
        <w:rPr>
          <w:sz w:val="24"/>
          <w:szCs w:val="24"/>
        </w:rPr>
      </w:pPr>
      <w:r>
        <w:rPr>
          <w:rFonts w:hint="eastAsia"/>
          <w:sz w:val="24"/>
          <w:szCs w:val="24"/>
        </w:rPr>
        <w:t>图4.2监测站房建议文字图</w:t>
      </w:r>
    </w:p>
    <w:p>
      <w:pPr>
        <w:pStyle w:val="4"/>
      </w:pPr>
      <w:bookmarkStart w:id="17" w:name="_Toc16074"/>
      <w:r>
        <w:rPr>
          <w:rFonts w:hint="eastAsia"/>
        </w:rPr>
        <w:t>监测站房室内要求</w:t>
      </w:r>
      <w:bookmarkEnd w:id="17"/>
    </w:p>
    <w:p>
      <w:pPr>
        <w:pStyle w:val="5"/>
      </w:pPr>
      <w:r>
        <w:rPr>
          <w:rFonts w:hint="eastAsia"/>
        </w:rPr>
        <w:t>供电电源</w:t>
      </w:r>
    </w:p>
    <w:p>
      <w:pPr>
        <w:spacing w:line="360" w:lineRule="auto"/>
        <w:ind w:firstLine="480" w:firstLineChars="200"/>
        <w:rPr>
          <w:sz w:val="24"/>
          <w:szCs w:val="24"/>
        </w:rPr>
      </w:pPr>
      <w:r>
        <w:rPr>
          <w:rFonts w:hint="eastAsia"/>
          <w:sz w:val="24"/>
          <w:szCs w:val="24"/>
          <w:lang w:val="en-US" w:eastAsia="zh-CN"/>
        </w:rPr>
        <w:t>监测站房内应配置安全合格的配电设备，能提供足够的电力负荷，功率≥5 kW，站房内应配置稳压电源。</w:t>
      </w:r>
      <w:r>
        <w:rPr>
          <w:rFonts w:hint="eastAsia"/>
          <w:sz w:val="24"/>
          <w:szCs w:val="24"/>
        </w:rPr>
        <w:t xml:space="preserve">监测站房内使用单相交流电，电源电压AC220V±10% </w:t>
      </w:r>
      <w:r>
        <w:rPr>
          <w:rFonts w:hint="eastAsia"/>
          <w:sz w:val="24"/>
          <w:szCs w:val="24"/>
          <w:lang w:val="en-US" w:eastAsia="zh-CN"/>
        </w:rPr>
        <w:t>25</w:t>
      </w:r>
      <w:r>
        <w:rPr>
          <w:rFonts w:hint="eastAsia"/>
          <w:sz w:val="24"/>
          <w:szCs w:val="24"/>
        </w:rPr>
        <w:t>A，电源频率50Hz±1%，应有良好接地。</w:t>
      </w:r>
    </w:p>
    <w:p>
      <w:pPr>
        <w:spacing w:line="360" w:lineRule="auto"/>
        <w:ind w:firstLine="480" w:firstLineChars="200"/>
        <w:rPr>
          <w:sz w:val="24"/>
          <w:szCs w:val="24"/>
        </w:rPr>
      </w:pPr>
      <w:r>
        <w:rPr>
          <w:rFonts w:hint="eastAsia"/>
          <w:sz w:val="24"/>
          <w:szCs w:val="24"/>
        </w:rPr>
        <w:t>室内至少配有5只三孔插座和2只二孔插座，固定在1.2米高处，或配有二只多功能电源插板，可以扩接水泵、</w:t>
      </w:r>
      <w:r>
        <w:rPr>
          <w:rFonts w:hint="eastAsia"/>
          <w:sz w:val="24"/>
          <w:szCs w:val="24"/>
          <w:lang w:eastAsia="zh-CN"/>
        </w:rPr>
        <w:t>数据采集传输仪</w:t>
      </w:r>
      <w:r>
        <w:rPr>
          <w:rFonts w:hint="eastAsia"/>
          <w:sz w:val="24"/>
          <w:szCs w:val="24"/>
        </w:rPr>
        <w:t>等用电设备。对于电压不稳定和经常断电的地区，建议使用功率匹配的交流电源稳压器，以保护仪器。</w:t>
      </w:r>
    </w:p>
    <w:p>
      <w:pPr>
        <w:pStyle w:val="5"/>
      </w:pPr>
      <w:r>
        <w:rPr>
          <w:rFonts w:hint="eastAsia"/>
        </w:rPr>
        <w:t>照明与通风</w:t>
      </w:r>
    </w:p>
    <w:p>
      <w:pPr>
        <w:spacing w:line="360" w:lineRule="auto"/>
        <w:ind w:firstLine="480" w:firstLineChars="200"/>
        <w:rPr>
          <w:sz w:val="24"/>
          <w:szCs w:val="24"/>
        </w:rPr>
      </w:pPr>
      <w:r>
        <w:rPr>
          <w:rFonts w:hint="eastAsia"/>
          <w:sz w:val="24"/>
          <w:szCs w:val="24"/>
        </w:rPr>
        <w:t>室内照明应能照射到仪器正面。</w:t>
      </w:r>
    </w:p>
    <w:p>
      <w:pPr>
        <w:spacing w:line="360" w:lineRule="auto"/>
        <w:ind w:firstLine="480" w:firstLineChars="200"/>
        <w:rPr>
          <w:sz w:val="24"/>
          <w:szCs w:val="24"/>
        </w:rPr>
      </w:pPr>
      <w:r>
        <w:rPr>
          <w:rFonts w:hint="eastAsia"/>
          <w:sz w:val="24"/>
          <w:szCs w:val="24"/>
          <w:lang w:val="en-US" w:eastAsia="zh-CN"/>
        </w:rPr>
        <w:t>站房应安装空调和冬季采暖设备，空调具有来电自启动功能，具备温湿度计，保证室内清洁，环境温度、相对湿度和大气压等应符合 GB/T 17214 的要求。优先</w:t>
      </w:r>
      <w:r>
        <w:rPr>
          <w:rFonts w:hint="eastAsia"/>
          <w:sz w:val="24"/>
          <w:szCs w:val="24"/>
        </w:rPr>
        <w:t>采用</w:t>
      </w:r>
      <w:r>
        <w:rPr>
          <w:rFonts w:hint="eastAsia"/>
          <w:sz w:val="24"/>
          <w:szCs w:val="24"/>
          <w:lang w:eastAsia="zh-CN"/>
        </w:rPr>
        <w:t>冷暖</w:t>
      </w:r>
      <w:r>
        <w:rPr>
          <w:rFonts w:hint="eastAsia"/>
          <w:sz w:val="24"/>
          <w:szCs w:val="24"/>
        </w:rPr>
        <w:t>空调保证室内的干燥、通风，保持温度在15-28℃，避免阳光直射。</w:t>
      </w:r>
    </w:p>
    <w:p>
      <w:pPr>
        <w:pStyle w:val="5"/>
      </w:pPr>
      <w:r>
        <w:rPr>
          <w:rFonts w:hint="eastAsia"/>
        </w:rPr>
        <w:t>其他</w:t>
      </w:r>
    </w:p>
    <w:p>
      <w:pPr>
        <w:spacing w:line="360" w:lineRule="auto"/>
        <w:ind w:firstLine="480" w:firstLineChars="200"/>
        <w:rPr>
          <w:rFonts w:hint="eastAsia"/>
          <w:sz w:val="24"/>
          <w:szCs w:val="24"/>
          <w:lang w:val="en-US" w:eastAsia="zh-CN"/>
        </w:rPr>
      </w:pPr>
      <w:r>
        <w:rPr>
          <w:rFonts w:hint="eastAsia"/>
          <w:sz w:val="24"/>
          <w:szCs w:val="24"/>
          <w:lang w:val="en-US" w:eastAsia="zh-CN"/>
        </w:rPr>
        <w:t xml:space="preserve">监测站房内应配置合格的给、排水设施，使用符合实验要求的用水清洗仪器及有关装置。 </w:t>
      </w:r>
    </w:p>
    <w:p>
      <w:pPr>
        <w:spacing w:line="360" w:lineRule="auto"/>
        <w:ind w:firstLine="480" w:firstLineChars="200"/>
        <w:rPr>
          <w:rFonts w:hint="eastAsia"/>
          <w:sz w:val="24"/>
          <w:szCs w:val="24"/>
          <w:lang w:val="en-US" w:eastAsia="zh-CN"/>
        </w:rPr>
      </w:pPr>
      <w:r>
        <w:rPr>
          <w:rFonts w:hint="eastAsia"/>
          <w:sz w:val="24"/>
          <w:szCs w:val="24"/>
          <w:lang w:val="en-US" w:eastAsia="zh-CN"/>
        </w:rPr>
        <w:t>监测站房应配置完善规范的接地装置和避雷措施、防盗和防止人为破坏的设施，接地装置安装工程的施工应满足 GB 50169 的相关要求，建筑物防雷设计应满足 GB 50057 的 相关要求。监测站房应配备灭火器箱、手提式二氧化碳灭火器、干粉灭火器或沙桶等，按消防相关要求布置。</w:t>
      </w:r>
    </w:p>
    <w:p>
      <w:pPr>
        <w:spacing w:line="360" w:lineRule="auto"/>
        <w:ind w:firstLine="480" w:firstLineChars="200"/>
        <w:rPr>
          <w:rFonts w:hint="eastAsia"/>
          <w:sz w:val="24"/>
          <w:szCs w:val="24"/>
          <w:lang w:val="en-US" w:eastAsia="zh-CN"/>
        </w:rPr>
      </w:pPr>
      <w:r>
        <w:rPr>
          <w:rFonts w:hint="eastAsia"/>
          <w:sz w:val="24"/>
          <w:szCs w:val="24"/>
          <w:lang w:val="en-US" w:eastAsia="zh-CN"/>
        </w:rPr>
        <w:t>监测站房不应位于通讯盲区，应能够实现数据传输。</w:t>
      </w:r>
      <w:r>
        <w:rPr>
          <w:rFonts w:hint="eastAsia"/>
          <w:sz w:val="24"/>
          <w:szCs w:val="24"/>
        </w:rPr>
        <w:t>避免强电磁场干扰</w:t>
      </w:r>
      <w:r>
        <w:rPr>
          <w:rFonts w:hint="eastAsia"/>
          <w:sz w:val="24"/>
          <w:szCs w:val="24"/>
          <w:lang w:eastAsia="zh-CN"/>
        </w:rPr>
        <w:t>和</w:t>
      </w:r>
      <w:r>
        <w:rPr>
          <w:rFonts w:hint="eastAsia"/>
          <w:sz w:val="24"/>
          <w:szCs w:val="24"/>
        </w:rPr>
        <w:t>强腐蚀性气体。</w:t>
      </w:r>
    </w:p>
    <w:p>
      <w:pPr>
        <w:spacing w:line="360" w:lineRule="auto"/>
        <w:ind w:firstLine="480" w:firstLineChars="200"/>
        <w:rPr>
          <w:rFonts w:hint="eastAsia"/>
          <w:sz w:val="24"/>
          <w:szCs w:val="24"/>
          <w:lang w:val="en-US" w:eastAsia="zh-CN"/>
        </w:rPr>
      </w:pPr>
      <w:r>
        <w:rPr>
          <w:rFonts w:hint="eastAsia"/>
          <w:sz w:val="24"/>
          <w:szCs w:val="24"/>
          <w:lang w:val="en-US" w:eastAsia="zh-CN"/>
        </w:rPr>
        <w:t>监测站房的设置应避免对企业安全生产和环境造成影响。监测站房内、采样口等区域应安装视频监控设备。</w:t>
      </w:r>
    </w:p>
    <w:p>
      <w:pPr>
        <w:pStyle w:val="4"/>
      </w:pPr>
      <w:bookmarkStart w:id="18" w:name="_Toc12589"/>
      <w:r>
        <w:rPr>
          <w:rFonts w:hint="eastAsia"/>
        </w:rPr>
        <w:t>现场安装</w:t>
      </w:r>
      <w:bookmarkEnd w:id="18"/>
    </w:p>
    <w:p>
      <w:pPr>
        <w:pStyle w:val="5"/>
      </w:pPr>
      <w:r>
        <w:rPr>
          <w:rFonts w:hint="eastAsia"/>
        </w:rPr>
        <w:t>分析仪放置</w:t>
      </w:r>
    </w:p>
    <w:p>
      <w:pPr>
        <w:numPr>
          <w:ilvl w:val="0"/>
          <w:numId w:val="0"/>
        </w:numPr>
        <w:autoSpaceDE/>
        <w:autoSpaceDN/>
        <w:spacing w:before="0" w:after="160" w:line="360" w:lineRule="auto"/>
        <w:ind w:right="0" w:firstLine="480"/>
        <w:jc w:val="both"/>
        <w:rPr>
          <w:rFonts w:hint="default" w:ascii="Calibri" w:hAnsi="宋体" w:eastAsia="宋体"/>
          <w:color w:val="auto"/>
          <w:position w:val="0"/>
          <w:sz w:val="24"/>
          <w:szCs w:val="24"/>
        </w:rPr>
      </w:pPr>
      <w:r>
        <w:rPr>
          <w:rFonts w:hint="eastAsia"/>
          <w:sz w:val="24"/>
          <w:szCs w:val="24"/>
        </w:rPr>
        <w:t>仪器的尺寸为高×宽×深=1000mm×500mm×3</w:t>
      </w:r>
      <w:r>
        <w:rPr>
          <w:rFonts w:hint="eastAsia"/>
          <w:sz w:val="24"/>
          <w:szCs w:val="24"/>
          <w:lang w:val="en-US" w:eastAsia="zh-CN"/>
        </w:rPr>
        <w:t>47</w:t>
      </w:r>
      <w:r>
        <w:rPr>
          <w:rFonts w:hint="eastAsia"/>
          <w:sz w:val="24"/>
          <w:szCs w:val="24"/>
        </w:rPr>
        <w:t>mm，要求仪器的左右保持≥600mm的空间，前面保持≥1000mm的空间。</w:t>
      </w:r>
      <w:r>
        <w:rPr>
          <w:rFonts w:hint="eastAsia"/>
          <w:sz w:val="24"/>
          <w:szCs w:val="24"/>
          <w:lang w:eastAsia="zh-CN"/>
        </w:rPr>
        <w:t>分析仪采用落地安装方式，配</w:t>
      </w:r>
      <w:r>
        <w:rPr>
          <w:rFonts w:hint="default" w:ascii="Calibri" w:hAnsi="宋体" w:eastAsia="宋体"/>
          <w:color w:val="auto"/>
          <w:position w:val="0"/>
          <w:sz w:val="24"/>
          <w:szCs w:val="24"/>
        </w:rPr>
        <w:t>有一个底座如图4.3</w:t>
      </w:r>
    </w:p>
    <w:p>
      <w:pPr>
        <w:numPr>
          <w:ilvl w:val="0"/>
          <w:numId w:val="0"/>
        </w:numPr>
        <w:autoSpaceDE/>
        <w:autoSpaceDN/>
        <w:spacing w:before="0" w:after="160" w:line="360" w:lineRule="auto"/>
        <w:ind w:right="0" w:firstLine="0"/>
        <w:jc w:val="center"/>
        <w:rPr>
          <w:rFonts w:hint="default" w:ascii="Calibri" w:hAnsi="宋体" w:eastAsia="宋体"/>
          <w:color w:val="auto"/>
          <w:position w:val="0"/>
          <w:sz w:val="24"/>
          <w:szCs w:val="24"/>
        </w:rPr>
      </w:pPr>
      <w:r>
        <w:rPr>
          <w:sz w:val="20"/>
        </w:rPr>
        <w:drawing>
          <wp:inline distT="0" distB="0" distL="0" distR="0">
            <wp:extent cx="4887595" cy="3308985"/>
            <wp:effectExtent l="0" t="0" r="8255" b="5715"/>
            <wp:docPr id="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4887595" cy="3308985"/>
                    </a:xfrm>
                    <a:prstGeom prst="rect">
                      <a:avLst/>
                    </a:prstGeom>
                    <a:ln cap="flat"/>
                  </pic:spPr>
                </pic:pic>
              </a:graphicData>
            </a:graphic>
          </wp:inline>
        </w:drawing>
      </w:r>
    </w:p>
    <w:p>
      <w:pPr>
        <w:numPr>
          <w:ilvl w:val="0"/>
          <w:numId w:val="0"/>
        </w:numPr>
        <w:autoSpaceDE/>
        <w:autoSpaceDN/>
        <w:spacing w:before="0" w:after="160" w:line="360" w:lineRule="auto"/>
        <w:ind w:right="0" w:firstLine="0"/>
        <w:jc w:val="center"/>
        <w:rPr>
          <w:rFonts w:hint="default" w:ascii="Calibri" w:hAnsi="宋体" w:eastAsia="宋体"/>
          <w:color w:val="auto"/>
          <w:position w:val="0"/>
          <w:sz w:val="24"/>
          <w:szCs w:val="24"/>
        </w:rPr>
      </w:pPr>
      <w:r>
        <w:rPr>
          <w:rFonts w:hint="default" w:ascii="Calibri" w:hAnsi="宋体" w:eastAsia="宋体"/>
          <w:color w:val="auto"/>
          <w:position w:val="0"/>
          <w:sz w:val="24"/>
          <w:szCs w:val="24"/>
        </w:rPr>
        <w:t>图4.3分析仪底座图</w:t>
      </w:r>
    </w:p>
    <w:p>
      <w:pPr>
        <w:spacing w:line="360" w:lineRule="auto"/>
        <w:ind w:firstLine="480" w:firstLineChars="200"/>
        <w:rPr>
          <w:sz w:val="24"/>
          <w:szCs w:val="24"/>
        </w:rPr>
      </w:pPr>
      <w:r>
        <w:rPr>
          <w:rFonts w:hint="eastAsia" w:ascii="Calibri" w:hAnsi="宋体" w:eastAsia="宋体"/>
          <w:color w:val="auto"/>
          <w:position w:val="0"/>
          <w:sz w:val="24"/>
          <w:szCs w:val="24"/>
          <w:lang w:eastAsia="zh-CN"/>
        </w:rPr>
        <w:t>安装分析仪底座时，</w:t>
      </w:r>
      <w:r>
        <w:rPr>
          <w:rFonts w:hint="default" w:ascii="Calibri" w:hAnsi="宋体" w:eastAsia="宋体"/>
          <w:color w:val="auto"/>
          <w:position w:val="0"/>
          <w:sz w:val="24"/>
          <w:szCs w:val="24"/>
        </w:rPr>
        <w:t>需在地面相应尺寸</w:t>
      </w:r>
      <w:r>
        <w:rPr>
          <w:rFonts w:hint="eastAsia" w:ascii="Calibri" w:hAnsi="宋体" w:eastAsia="宋体"/>
          <w:color w:val="auto"/>
          <w:position w:val="0"/>
          <w:sz w:val="24"/>
          <w:szCs w:val="24"/>
          <w:lang w:eastAsia="zh-CN"/>
        </w:rPr>
        <w:t>点</w:t>
      </w:r>
      <w:r>
        <w:rPr>
          <w:rFonts w:hint="default" w:ascii="Calibri" w:hAnsi="宋体" w:eastAsia="宋体"/>
          <w:color w:val="auto"/>
          <w:position w:val="0"/>
          <w:sz w:val="24"/>
          <w:szCs w:val="24"/>
        </w:rPr>
        <w:t>钻孔并用8mm或者10mm膨胀螺丝固定。</w:t>
      </w:r>
    </w:p>
    <w:p>
      <w:pPr>
        <w:spacing w:line="360" w:lineRule="auto"/>
        <w:ind w:firstLine="480" w:firstLineChars="200"/>
        <w:rPr>
          <w:rFonts w:hint="default"/>
          <w:sz w:val="24"/>
          <w:szCs w:val="24"/>
          <w:lang w:val="en-US"/>
        </w:rPr>
      </w:pPr>
      <w:r>
        <w:rPr>
          <w:rFonts w:hint="eastAsia"/>
          <w:sz w:val="24"/>
          <w:szCs w:val="24"/>
        </w:rPr>
        <w:t>通常安装仪器的工作站如图4.</w:t>
      </w:r>
      <w:r>
        <w:rPr>
          <w:rFonts w:hint="eastAsia"/>
          <w:sz w:val="24"/>
          <w:szCs w:val="24"/>
          <w:lang w:val="en-US" w:eastAsia="zh-CN"/>
        </w:rPr>
        <w:t>4</w:t>
      </w:r>
      <w:r>
        <w:rPr>
          <w:rFonts w:hint="eastAsia"/>
          <w:sz w:val="24"/>
          <w:szCs w:val="24"/>
        </w:rPr>
        <w:t>所示。</w:t>
      </w:r>
      <w:r>
        <w:rPr>
          <w:rFonts w:hint="eastAsia"/>
          <w:sz w:val="24"/>
          <w:szCs w:val="24"/>
          <w:lang w:val="en-US" w:eastAsia="zh-CN"/>
        </w:rPr>
        <w:t>效果图如图4.5所示。</w:t>
      </w:r>
    </w:p>
    <w:p>
      <w:pPr>
        <w:spacing w:line="360" w:lineRule="auto"/>
        <w:jc w:val="center"/>
        <w:rPr>
          <w:sz w:val="24"/>
          <w:szCs w:val="24"/>
        </w:rPr>
      </w:pPr>
      <w:r>
        <w:drawing>
          <wp:inline distT="0" distB="0" distL="114300" distR="114300">
            <wp:extent cx="6118860" cy="4856480"/>
            <wp:effectExtent l="0" t="0" r="15240" b="127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4"/>
                    <a:stretch>
                      <a:fillRect/>
                    </a:stretch>
                  </pic:blipFill>
                  <pic:spPr>
                    <a:xfrm>
                      <a:off x="0" y="0"/>
                      <a:ext cx="6118860" cy="4856480"/>
                    </a:xfrm>
                    <a:prstGeom prst="rect">
                      <a:avLst/>
                    </a:prstGeom>
                    <a:noFill/>
                    <a:ln>
                      <a:noFill/>
                    </a:ln>
                  </pic:spPr>
                </pic:pic>
              </a:graphicData>
            </a:graphic>
          </wp:inline>
        </w:drawing>
      </w:r>
    </w:p>
    <w:p>
      <w:pPr>
        <w:spacing w:line="360" w:lineRule="auto"/>
        <w:jc w:val="center"/>
        <w:rPr>
          <w:rFonts w:hint="eastAsia"/>
          <w:sz w:val="24"/>
          <w:szCs w:val="24"/>
        </w:rPr>
      </w:pPr>
      <w:r>
        <w:rPr>
          <w:rFonts w:hint="eastAsia"/>
          <w:sz w:val="24"/>
          <w:szCs w:val="24"/>
        </w:rPr>
        <w:t>图4.</w:t>
      </w:r>
      <w:r>
        <w:rPr>
          <w:rFonts w:hint="eastAsia"/>
          <w:sz w:val="24"/>
          <w:szCs w:val="24"/>
          <w:lang w:val="en-US" w:eastAsia="zh-CN"/>
        </w:rPr>
        <w:t>4</w:t>
      </w:r>
      <w:r>
        <w:rPr>
          <w:rFonts w:hint="eastAsia"/>
          <w:sz w:val="24"/>
          <w:szCs w:val="24"/>
        </w:rPr>
        <w:t>监测站房建议平面布置图</w:t>
      </w:r>
    </w:p>
    <w:p>
      <w:pPr>
        <w:spacing w:line="360" w:lineRule="auto"/>
        <w:jc w:val="center"/>
      </w:pPr>
      <w:r>
        <w:drawing>
          <wp:inline distT="0" distB="0" distL="114300" distR="114300">
            <wp:extent cx="6114415" cy="2988310"/>
            <wp:effectExtent l="0" t="0" r="6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6114415" cy="2988310"/>
                    </a:xfrm>
                    <a:prstGeom prst="rect">
                      <a:avLst/>
                    </a:prstGeom>
                    <a:noFill/>
                    <a:ln>
                      <a:noFill/>
                    </a:ln>
                  </pic:spPr>
                </pic:pic>
              </a:graphicData>
            </a:graphic>
          </wp:inline>
        </w:drawing>
      </w:r>
    </w:p>
    <w:p>
      <w:pPr>
        <w:spacing w:line="360" w:lineRule="auto"/>
        <w:jc w:val="center"/>
        <w:rPr>
          <w:rFonts w:hint="eastAsia"/>
        </w:rPr>
      </w:pPr>
    </w:p>
    <w:p>
      <w:pPr>
        <w:spacing w:line="360" w:lineRule="auto"/>
        <w:jc w:val="center"/>
        <w:rPr>
          <w:sz w:val="24"/>
          <w:szCs w:val="24"/>
        </w:rPr>
      </w:pPr>
      <w:r>
        <w:drawing>
          <wp:inline distT="0" distB="0" distL="114300" distR="114300">
            <wp:extent cx="5574030" cy="4182745"/>
            <wp:effectExtent l="0" t="0" r="7620" b="825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6"/>
                    <a:stretch>
                      <a:fillRect/>
                    </a:stretch>
                  </pic:blipFill>
                  <pic:spPr>
                    <a:xfrm>
                      <a:off x="0" y="0"/>
                      <a:ext cx="5574030" cy="4182745"/>
                    </a:xfrm>
                    <a:prstGeom prst="rect">
                      <a:avLst/>
                    </a:prstGeom>
                    <a:noFill/>
                    <a:ln>
                      <a:noFill/>
                    </a:ln>
                  </pic:spPr>
                </pic:pic>
              </a:graphicData>
            </a:graphic>
          </wp:inline>
        </w:drawing>
      </w:r>
    </w:p>
    <w:p>
      <w:pPr>
        <w:spacing w:line="360" w:lineRule="auto"/>
        <w:jc w:val="center"/>
        <w:rPr>
          <w:sz w:val="24"/>
          <w:szCs w:val="24"/>
        </w:rPr>
      </w:pPr>
      <w:r>
        <w:rPr>
          <w:rFonts w:hint="eastAsia"/>
          <w:sz w:val="24"/>
          <w:szCs w:val="24"/>
        </w:rPr>
        <w:t>图4.</w:t>
      </w:r>
      <w:r>
        <w:rPr>
          <w:rFonts w:hint="eastAsia"/>
          <w:sz w:val="24"/>
          <w:szCs w:val="24"/>
          <w:lang w:val="en-US" w:eastAsia="zh-CN"/>
        </w:rPr>
        <w:t>5</w:t>
      </w:r>
      <w:r>
        <w:rPr>
          <w:rFonts w:hint="eastAsia"/>
          <w:sz w:val="24"/>
          <w:szCs w:val="24"/>
        </w:rPr>
        <w:t>监测站房建议平面布置</w:t>
      </w:r>
      <w:r>
        <w:rPr>
          <w:rFonts w:hint="eastAsia"/>
          <w:sz w:val="24"/>
          <w:szCs w:val="24"/>
          <w:lang w:eastAsia="zh-CN"/>
        </w:rPr>
        <w:t>效果</w:t>
      </w:r>
      <w:r>
        <w:rPr>
          <w:rFonts w:hint="eastAsia"/>
          <w:sz w:val="24"/>
          <w:szCs w:val="24"/>
        </w:rPr>
        <w:t>图</w:t>
      </w:r>
    </w:p>
    <w:p>
      <w:pPr>
        <w:pStyle w:val="5"/>
      </w:pPr>
      <w:r>
        <w:rPr>
          <w:rFonts w:hint="eastAsia"/>
        </w:rPr>
        <w:t>泵的选择</w:t>
      </w:r>
    </w:p>
    <w:p>
      <w:pPr>
        <w:spacing w:line="360" w:lineRule="auto"/>
        <w:ind w:firstLine="480" w:firstLineChars="200"/>
        <w:rPr>
          <w:sz w:val="24"/>
          <w:szCs w:val="24"/>
        </w:rPr>
      </w:pPr>
      <w:r>
        <w:rPr>
          <w:rFonts w:hint="eastAsia"/>
          <w:sz w:val="24"/>
          <w:szCs w:val="24"/>
        </w:rPr>
        <w:t>从采样点给仪器输送水样的水泵，其功率应使被测水体输送到仪器处的流量在50-200升/分钟为宜。</w:t>
      </w:r>
    </w:p>
    <w:p>
      <w:pPr>
        <w:spacing w:line="360" w:lineRule="auto"/>
        <w:ind w:firstLine="480" w:firstLineChars="200"/>
        <w:rPr>
          <w:sz w:val="24"/>
          <w:szCs w:val="24"/>
        </w:rPr>
      </w:pPr>
      <w:r>
        <w:rPr>
          <w:rFonts w:hint="eastAsia"/>
          <w:sz w:val="24"/>
          <w:szCs w:val="24"/>
        </w:rPr>
        <w:t>通常采样点与仪器的距离小于20米时，选用350W的潜水泵</w:t>
      </w:r>
      <w:r>
        <w:rPr>
          <w:rFonts w:hint="eastAsia"/>
          <w:sz w:val="24"/>
          <w:szCs w:val="24"/>
          <w:lang w:eastAsia="zh-CN"/>
        </w:rPr>
        <w:t>或自吸泵</w:t>
      </w:r>
      <w:r>
        <w:rPr>
          <w:rFonts w:hint="eastAsia"/>
          <w:sz w:val="24"/>
          <w:szCs w:val="24"/>
        </w:rPr>
        <w:t>；当采样点与仪器的距离大于20米时，应选用550-750W的潜水泵，另还应根据水样的腐蚀性考虑是否选用耐腐蚀泵。</w:t>
      </w:r>
    </w:p>
    <w:p>
      <w:pPr>
        <w:pStyle w:val="5"/>
      </w:pPr>
      <w:r>
        <w:rPr>
          <w:rFonts w:hint="eastAsia"/>
        </w:rPr>
        <w:t>泵和管路的布置</w:t>
      </w:r>
    </w:p>
    <w:p>
      <w:pPr>
        <w:spacing w:line="360" w:lineRule="auto"/>
        <w:ind w:firstLine="480" w:firstLineChars="200"/>
        <w:rPr>
          <w:sz w:val="24"/>
          <w:szCs w:val="24"/>
        </w:rPr>
      </w:pPr>
      <w:r>
        <w:rPr>
          <w:rFonts w:hint="eastAsia"/>
          <w:sz w:val="24"/>
          <w:szCs w:val="24"/>
        </w:rPr>
        <w:t>采样点至仪器安装处应预先安装好水泵、穿线管、水样进水管、出水管和溢流管。连接的管道应根据具体情况选用硬聚氯乙烯塑料、ABS工程塑料或钢（在水质具酸碱性的地方不能金属管材）、不绣钢等材质的硬质管材，为了方便与仪器设备连接，建议管道最好采用硬质PVC管，安装示意图如图4.</w:t>
      </w:r>
      <w:r>
        <w:rPr>
          <w:rFonts w:hint="eastAsia"/>
          <w:sz w:val="24"/>
          <w:szCs w:val="24"/>
          <w:lang w:val="en-US" w:eastAsia="zh-CN"/>
        </w:rPr>
        <w:t>6</w:t>
      </w:r>
      <w:r>
        <w:rPr>
          <w:rFonts w:hint="eastAsia"/>
          <w:sz w:val="24"/>
          <w:szCs w:val="24"/>
        </w:rPr>
        <w:t>。</w:t>
      </w:r>
    </w:p>
    <w:p>
      <w:pPr>
        <w:spacing w:line="360" w:lineRule="auto"/>
        <w:jc w:val="center"/>
        <w:rPr>
          <w:sz w:val="24"/>
          <w:szCs w:val="24"/>
        </w:rPr>
      </w:pPr>
      <w:r>
        <w:rPr>
          <w:rFonts w:hint="eastAsia"/>
          <w:sz w:val="24"/>
          <w:szCs w:val="24"/>
        </w:rPr>
        <w:drawing>
          <wp:inline distT="0" distB="0" distL="0" distR="0">
            <wp:extent cx="3529965" cy="199898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cstate="print"/>
                    <a:srcRect/>
                    <a:stretch>
                      <a:fillRect/>
                    </a:stretch>
                  </pic:blipFill>
                  <pic:spPr>
                    <a:xfrm>
                      <a:off x="0" y="0"/>
                      <a:ext cx="3529965" cy="1998980"/>
                    </a:xfrm>
                    <a:prstGeom prst="rect">
                      <a:avLst/>
                    </a:prstGeom>
                    <a:noFill/>
                    <a:ln w="9525">
                      <a:noFill/>
                      <a:miter lim="800000"/>
                      <a:headEnd/>
                      <a:tailEnd/>
                    </a:ln>
                  </pic:spPr>
                </pic:pic>
              </a:graphicData>
            </a:graphic>
          </wp:inline>
        </w:drawing>
      </w:r>
    </w:p>
    <w:p>
      <w:pPr>
        <w:spacing w:line="360" w:lineRule="auto"/>
        <w:jc w:val="center"/>
        <w:rPr>
          <w:sz w:val="24"/>
          <w:szCs w:val="24"/>
        </w:rPr>
      </w:pPr>
      <w:r>
        <w:rPr>
          <w:rFonts w:hint="eastAsia"/>
          <w:sz w:val="24"/>
          <w:szCs w:val="24"/>
        </w:rPr>
        <w:t>图4.</w:t>
      </w:r>
      <w:r>
        <w:rPr>
          <w:rFonts w:hint="eastAsia"/>
          <w:sz w:val="24"/>
          <w:szCs w:val="24"/>
          <w:lang w:val="en-US" w:eastAsia="zh-CN"/>
        </w:rPr>
        <w:t>6</w:t>
      </w:r>
      <w:r>
        <w:rPr>
          <w:rFonts w:hint="eastAsia"/>
          <w:sz w:val="24"/>
          <w:szCs w:val="24"/>
        </w:rPr>
        <w:t xml:space="preserve"> </w:t>
      </w:r>
      <w:r>
        <w:rPr>
          <w:rFonts w:hint="eastAsia"/>
          <w:sz w:val="24"/>
          <w:szCs w:val="24"/>
          <w:lang w:eastAsia="zh-CN"/>
        </w:rPr>
        <w:t>潜水</w:t>
      </w:r>
      <w:r>
        <w:rPr>
          <w:rFonts w:hint="eastAsia"/>
          <w:sz w:val="24"/>
          <w:szCs w:val="24"/>
        </w:rPr>
        <w:t>泵和管路安装示意图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bCs/>
          <w:sz w:val="24"/>
          <w:szCs w:val="24"/>
        </w:rPr>
      </w:pPr>
      <w:r>
        <w:rPr>
          <w:rFonts w:hint="eastAsia"/>
          <w:b/>
          <w:bCs/>
          <w:sz w:val="24"/>
          <w:szCs w:val="24"/>
        </w:rPr>
        <w:t>要求：</w:t>
      </w:r>
    </w:p>
    <w:p>
      <w:pPr>
        <w:pStyle w:val="41"/>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hanging="420" w:firstLineChars="0"/>
        <w:textAlignment w:val="auto"/>
        <w:rPr>
          <w:sz w:val="24"/>
          <w:szCs w:val="24"/>
        </w:rPr>
      </w:pPr>
      <w:r>
        <w:rPr>
          <w:rFonts w:hint="eastAsia"/>
          <w:sz w:val="24"/>
          <w:szCs w:val="24"/>
        </w:rPr>
        <w:t>放置仪器的地面应高于水槽壁，管道从仪器到水槽呈坡型下降，尽量减少管道弯头的的数量，并且管道中途不应有凸起或凹下的地方，避免管道中存水，以利于进水管道的排空和冬季防冻。</w:t>
      </w:r>
    </w:p>
    <w:p>
      <w:pPr>
        <w:pStyle w:val="41"/>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hanging="420" w:firstLineChars="0"/>
        <w:textAlignment w:val="auto"/>
        <w:rPr>
          <w:sz w:val="24"/>
          <w:szCs w:val="24"/>
        </w:rPr>
      </w:pPr>
      <w:r>
        <w:rPr>
          <w:rFonts w:hint="eastAsia"/>
          <w:sz w:val="24"/>
          <w:szCs w:val="24"/>
        </w:rPr>
        <w:t>管道的安装过程要十分仔细，安装好的管道内要干净，不得有直径大于2mm的杂物，以免损坏污水泵或堵塞管道，管道口在仪器安装前应用干净的东西堵好，以免杂物进入。</w:t>
      </w:r>
    </w:p>
    <w:p>
      <w:pPr>
        <w:pStyle w:val="41"/>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hanging="420" w:firstLineChars="0"/>
        <w:textAlignment w:val="auto"/>
        <w:rPr>
          <w:sz w:val="24"/>
          <w:szCs w:val="24"/>
        </w:rPr>
      </w:pPr>
      <w:r>
        <w:rPr>
          <w:rFonts w:hint="eastAsia"/>
          <w:sz w:val="24"/>
          <w:szCs w:val="24"/>
        </w:rPr>
        <w:t>潜水泵安置的位置其水流应为层流态，所抽吸的水体应不呈气溶胶状（即水中含有大量气泡），气溶胶进入仪器将使测量结果不准或使仪器报警。明渠排水系统中产生气溶胶的原因，主要是潜水泵放置处水流是从高处跌落，裹挟大量气泡进入水体形成。</w:t>
      </w:r>
    </w:p>
    <w:p>
      <w:pPr>
        <w:pStyle w:val="41"/>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hanging="420" w:firstLineChars="0"/>
        <w:textAlignment w:val="auto"/>
        <w:rPr>
          <w:sz w:val="24"/>
          <w:szCs w:val="24"/>
        </w:rPr>
      </w:pPr>
      <w:r>
        <w:rPr>
          <w:rFonts w:hint="eastAsia"/>
          <w:sz w:val="24"/>
          <w:szCs w:val="24"/>
        </w:rPr>
        <w:t>在潜水泵原有的滤网罩外部再裹一层不锈钢过滤网，滤孔的直径在1.0-2.0mm之间，预安装好的管道应将各端口封好，以免颗粒杂物进入。</w:t>
      </w:r>
    </w:p>
    <w:p>
      <w:pPr>
        <w:pStyle w:val="41"/>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hanging="420" w:firstLineChars="0"/>
        <w:textAlignment w:val="auto"/>
        <w:rPr>
          <w:sz w:val="24"/>
          <w:szCs w:val="24"/>
        </w:rPr>
      </w:pPr>
      <w:r>
        <w:rPr>
          <w:rFonts w:hint="eastAsia"/>
          <w:sz w:val="24"/>
          <w:szCs w:val="24"/>
        </w:rPr>
        <w:t>潜水泵及进水口应能方便维护，遇到诸如较大杂物时，能方便地去除。</w:t>
      </w:r>
    </w:p>
    <w:p>
      <w:pPr>
        <w:spacing w:line="360" w:lineRule="auto"/>
        <w:rPr>
          <w:b/>
          <w:bCs/>
          <w:sz w:val="24"/>
          <w:szCs w:val="24"/>
        </w:rPr>
      </w:pPr>
      <w:r>
        <w:rPr>
          <w:rFonts w:hint="eastAsia"/>
          <w:b/>
          <w:bCs/>
          <w:sz w:val="24"/>
          <w:szCs w:val="24"/>
        </w:rPr>
        <w:t>说明：</w:t>
      </w:r>
    </w:p>
    <w:p>
      <w:pPr>
        <w:spacing w:line="360" w:lineRule="auto"/>
        <w:ind w:firstLine="480" w:firstLineChars="200"/>
        <w:rPr>
          <w:rFonts w:hint="eastAsia"/>
          <w:sz w:val="24"/>
          <w:szCs w:val="24"/>
          <w:lang w:val="en-US" w:eastAsia="zh-CN"/>
        </w:rPr>
      </w:pPr>
      <w:r>
        <w:rPr>
          <w:rFonts w:hint="eastAsia"/>
          <w:sz w:val="24"/>
          <w:szCs w:val="24"/>
        </w:rPr>
        <w:t>实际安装布管时，应该备有4根管道，2根Φ32，分别用于作为进水管、出水管；1根Φ20，用于作为溢流管；1根Φ50（此管较短时，需要预先穿设一条结实的φ5～φ10mm尼龙绳，以便于安装设备时穿线使用；此管较长时，需要预先铺设3×0.75㎡胶皮电缆线以供水泵使用，如需要安装流量计、pH计等设备时，请根据要求预先铺设好此类设备用线），用于作为穿线管。</w:t>
      </w:r>
    </w:p>
    <w:p>
      <w:pPr>
        <w:spacing w:line="360" w:lineRule="auto"/>
        <w:ind w:firstLine="480" w:firstLineChars="200"/>
        <w:rPr>
          <w:rFonts w:hint="eastAsia"/>
          <w:sz w:val="24"/>
          <w:szCs w:val="24"/>
          <w:lang w:val="en-US" w:eastAsia="zh-CN"/>
        </w:rPr>
      </w:pPr>
      <w:r>
        <w:rPr>
          <w:rFonts w:hint="eastAsia"/>
          <w:sz w:val="24"/>
          <w:szCs w:val="24"/>
          <w:lang w:val="en-US" w:eastAsia="zh-CN"/>
        </w:rPr>
        <w:t>若采用自吸泵时，自吸泵安装于标准站房内。采水管路进入站房的位置靠近仪器安装的墙面下方，采水配管DN25。监控站房的排水除分析废液外，多余的样品废水应排入采水点的水面下，排水管要求与采水管一致。自吸泵的安装要求与潜水泵一致。安装示意图如下图4.7所示：</w:t>
      </w:r>
    </w:p>
    <w:p>
      <w:pPr>
        <w:spacing w:line="360" w:lineRule="auto"/>
        <w:ind w:firstLine="480" w:firstLineChars="200"/>
        <w:jc w:val="center"/>
        <w:rPr>
          <w:rFonts w:hint="default"/>
          <w:sz w:val="24"/>
          <w:szCs w:val="24"/>
          <w:lang w:val="en-US" w:eastAsia="zh-CN"/>
        </w:rPr>
      </w:pPr>
      <w:r>
        <w:rPr>
          <w:rFonts w:hint="default"/>
          <w:sz w:val="24"/>
          <w:szCs w:val="24"/>
          <w:lang w:val="en-US" w:eastAsia="zh-CN"/>
        </w:rPr>
        <w:drawing>
          <wp:inline distT="0" distB="0" distL="114300" distR="114300">
            <wp:extent cx="4008755" cy="1844040"/>
            <wp:effectExtent l="12700" t="12700" r="17145" b="29210"/>
            <wp:docPr id="7" name="图片 7" descr="自吸泵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自吸泵安装图"/>
                    <pic:cNvPicPr>
                      <a:picLocks noChangeAspect="1"/>
                    </pic:cNvPicPr>
                  </pic:nvPicPr>
                  <pic:blipFill>
                    <a:blip r:embed="rId18"/>
                    <a:stretch>
                      <a:fillRect/>
                    </a:stretch>
                  </pic:blipFill>
                  <pic:spPr>
                    <a:xfrm>
                      <a:off x="0" y="0"/>
                      <a:ext cx="4008755" cy="1844040"/>
                    </a:xfrm>
                    <a:prstGeom prst="rect">
                      <a:avLst/>
                    </a:prstGeom>
                    <a:ln w="12700" cmpd="sng">
                      <a:solidFill>
                        <a:schemeClr val="tx1"/>
                      </a:solidFill>
                      <a:prstDash val="solid"/>
                    </a:ln>
                  </pic:spPr>
                </pic:pic>
              </a:graphicData>
            </a:graphic>
          </wp:inline>
        </w:drawing>
      </w:r>
    </w:p>
    <w:p>
      <w:pPr>
        <w:spacing w:line="360" w:lineRule="auto"/>
        <w:jc w:val="center"/>
        <w:rPr>
          <w:sz w:val="24"/>
          <w:szCs w:val="24"/>
        </w:rPr>
      </w:pPr>
      <w:r>
        <w:rPr>
          <w:rFonts w:hint="eastAsia"/>
          <w:sz w:val="24"/>
          <w:szCs w:val="24"/>
        </w:rPr>
        <w:t>图4.</w:t>
      </w:r>
      <w:r>
        <w:rPr>
          <w:rFonts w:hint="eastAsia"/>
          <w:sz w:val="24"/>
          <w:szCs w:val="24"/>
          <w:lang w:val="en-US" w:eastAsia="zh-CN"/>
        </w:rPr>
        <w:t>7</w:t>
      </w:r>
      <w:r>
        <w:rPr>
          <w:rFonts w:hint="eastAsia"/>
          <w:sz w:val="24"/>
          <w:szCs w:val="24"/>
        </w:rPr>
        <w:t xml:space="preserve"> </w:t>
      </w:r>
      <w:r>
        <w:rPr>
          <w:rFonts w:hint="eastAsia"/>
          <w:sz w:val="24"/>
          <w:szCs w:val="24"/>
          <w:lang w:eastAsia="zh-CN"/>
        </w:rPr>
        <w:t>自吸</w:t>
      </w:r>
      <w:r>
        <w:rPr>
          <w:rFonts w:hint="eastAsia"/>
          <w:sz w:val="24"/>
          <w:szCs w:val="24"/>
        </w:rPr>
        <w:t>泵和管路安装示意图</w:t>
      </w:r>
    </w:p>
    <w:p>
      <w:pPr>
        <w:spacing w:line="360" w:lineRule="auto"/>
        <w:ind w:firstLine="420" w:firstLineChars="200"/>
        <w:rPr>
          <w:rFonts w:hint="default"/>
          <w:sz w:val="24"/>
          <w:szCs w:val="24"/>
          <w:lang w:val="en-US" w:eastAsia="zh-CN"/>
        </w:rPr>
      </w:pPr>
      <w:r>
        <w:drawing>
          <wp:inline distT="0" distB="0" distL="114300" distR="114300">
            <wp:extent cx="371475" cy="333375"/>
            <wp:effectExtent l="0" t="0" r="952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371475" cy="333375"/>
                    </a:xfrm>
                    <a:prstGeom prst="rect">
                      <a:avLst/>
                    </a:prstGeom>
                    <a:noFill/>
                    <a:ln>
                      <a:noFill/>
                    </a:ln>
                  </pic:spPr>
                </pic:pic>
              </a:graphicData>
            </a:graphic>
          </wp:inline>
        </w:drawing>
      </w:r>
      <w:r>
        <w:rPr>
          <w:rFonts w:hint="eastAsia"/>
          <w:sz w:val="24"/>
          <w:szCs w:val="24"/>
          <w:u w:val="single"/>
          <w:lang w:val="en-US" w:eastAsia="zh-CN"/>
        </w:rPr>
        <w:t>注意：采用自吸泵时，进水管入口处，必须安装底阀。</w:t>
      </w:r>
    </w:p>
    <w:p>
      <w:pPr>
        <w:pStyle w:val="5"/>
      </w:pPr>
      <w:r>
        <w:rPr>
          <w:rFonts w:hint="eastAsia"/>
        </w:rPr>
        <w:t>分析仪电气连接</w:t>
      </w:r>
    </w:p>
    <w:p>
      <w:pPr>
        <w:spacing w:line="360" w:lineRule="auto"/>
        <w:ind w:firstLine="480" w:firstLineChars="200"/>
        <w:rPr>
          <w:sz w:val="24"/>
          <w:szCs w:val="24"/>
        </w:rPr>
      </w:pPr>
      <w:r>
        <w:rPr>
          <w:rFonts w:hint="eastAsia"/>
          <w:sz w:val="24"/>
          <w:szCs w:val="24"/>
          <w:lang w:val="en-US" w:eastAsia="zh-CN"/>
        </w:rPr>
        <w:t>分析仪的工作电压为单相（220 ± 22）VA，频率为（50 ± 0.5）Hz。</w:t>
      </w:r>
    </w:p>
    <w:p>
      <w:pPr>
        <w:spacing w:line="360" w:lineRule="auto"/>
        <w:ind w:firstLine="480" w:firstLineChars="200"/>
        <w:rPr>
          <w:rFonts w:hint="eastAsia"/>
          <w:sz w:val="24"/>
          <w:szCs w:val="24"/>
        </w:rPr>
      </w:pPr>
      <w:r>
        <w:rPr>
          <w:rFonts w:hint="eastAsia"/>
          <w:sz w:val="24"/>
          <w:szCs w:val="24"/>
        </w:rPr>
        <w:t>水污染源在线监测仪器的各种电缆和管路应加保护管，保护管应在地下铺设或空中 架设，空中架设的电缆应附着在牢固的桥架上，并在电缆、管路以及电缆和管路的两端设立 明显标识。电缆线路的施工应满足 GB 50168 的相关要求。</w:t>
      </w:r>
    </w:p>
    <w:p>
      <w:pPr>
        <w:spacing w:line="360" w:lineRule="auto"/>
        <w:ind w:firstLine="480" w:firstLineChars="200"/>
        <w:rPr>
          <w:rFonts w:hint="default" w:eastAsiaTheme="minorEastAsia"/>
          <w:sz w:val="24"/>
          <w:szCs w:val="24"/>
          <w:lang w:val="en-US" w:eastAsia="zh-CN"/>
        </w:rPr>
      </w:pPr>
      <w:r>
        <w:rPr>
          <w:rFonts w:hint="eastAsia"/>
          <w:sz w:val="24"/>
          <w:szCs w:val="24"/>
        </w:rPr>
        <w:t>分析仪的工作电源线</w:t>
      </w:r>
      <w:r>
        <w:rPr>
          <w:rFonts w:hint="eastAsia"/>
          <w:sz w:val="24"/>
          <w:szCs w:val="24"/>
          <w:lang w:eastAsia="zh-CN"/>
        </w:rPr>
        <w:t>为标准的三孔电源线，如下图</w:t>
      </w:r>
      <w:r>
        <w:rPr>
          <w:rFonts w:hint="eastAsia"/>
          <w:sz w:val="24"/>
          <w:szCs w:val="24"/>
          <w:lang w:val="en-US" w:eastAsia="zh-CN"/>
        </w:rPr>
        <w:t>4.8所示，将其插入仪器的左侧电源连接孔上。</w:t>
      </w:r>
    </w:p>
    <w:p>
      <w:pPr>
        <w:spacing w:line="360" w:lineRule="auto"/>
        <w:ind w:firstLine="420" w:firstLineChars="200"/>
        <w:jc w:val="center"/>
        <w:rPr>
          <w:rFonts w:hint="eastAsia"/>
          <w:sz w:val="24"/>
          <w:szCs w:val="24"/>
        </w:rPr>
      </w:pPr>
      <w:r>
        <w:drawing>
          <wp:inline distT="0" distB="0" distL="114300" distR="114300">
            <wp:extent cx="1753870" cy="1742440"/>
            <wp:effectExtent l="0" t="0" r="1778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1753870" cy="1742440"/>
                    </a:xfrm>
                    <a:prstGeom prst="rect">
                      <a:avLst/>
                    </a:prstGeom>
                    <a:noFill/>
                    <a:ln>
                      <a:noFill/>
                    </a:ln>
                  </pic:spPr>
                </pic:pic>
              </a:graphicData>
            </a:graphic>
          </wp:inline>
        </w:drawing>
      </w:r>
    </w:p>
    <w:p>
      <w:pPr>
        <w:spacing w:line="360" w:lineRule="auto"/>
        <w:jc w:val="center"/>
        <w:rPr>
          <w:rFonts w:hint="eastAsia" w:eastAsiaTheme="minorEastAsia"/>
          <w:sz w:val="24"/>
          <w:szCs w:val="24"/>
          <w:lang w:eastAsia="zh-CN"/>
        </w:rPr>
      </w:pPr>
      <w:r>
        <w:rPr>
          <w:rFonts w:hint="eastAsia"/>
          <w:sz w:val="24"/>
          <w:szCs w:val="24"/>
        </w:rPr>
        <w:t>图4.</w:t>
      </w:r>
      <w:r>
        <w:rPr>
          <w:rFonts w:hint="eastAsia"/>
          <w:sz w:val="24"/>
          <w:szCs w:val="24"/>
          <w:lang w:val="en-US" w:eastAsia="zh-CN"/>
        </w:rPr>
        <w:t>8</w:t>
      </w:r>
      <w:r>
        <w:rPr>
          <w:rFonts w:hint="eastAsia"/>
          <w:sz w:val="24"/>
          <w:szCs w:val="24"/>
        </w:rPr>
        <w:t xml:space="preserve"> 分析仪</w:t>
      </w:r>
      <w:r>
        <w:rPr>
          <w:rFonts w:hint="eastAsia"/>
          <w:sz w:val="24"/>
          <w:szCs w:val="24"/>
          <w:lang w:eastAsia="zh-CN"/>
        </w:rPr>
        <w:t>三孔电源线</w:t>
      </w:r>
    </w:p>
    <w:p>
      <w:pPr>
        <w:spacing w:line="360" w:lineRule="auto"/>
        <w:ind w:firstLine="480" w:firstLineChars="200"/>
        <w:rPr>
          <w:rFonts w:hint="eastAsia"/>
          <w:sz w:val="24"/>
          <w:szCs w:val="24"/>
        </w:rPr>
      </w:pPr>
      <w:r>
        <w:rPr>
          <w:rFonts w:hint="eastAsia"/>
          <w:sz w:val="24"/>
          <w:szCs w:val="24"/>
        </w:rPr>
        <w:t>分析仪的</w:t>
      </w:r>
      <w:r>
        <w:rPr>
          <w:rFonts w:hint="eastAsia"/>
          <w:sz w:val="24"/>
          <w:szCs w:val="24"/>
          <w:lang w:eastAsia="zh-CN"/>
        </w:rPr>
        <w:t>外部接口信号</w:t>
      </w:r>
      <w:r>
        <w:rPr>
          <w:rFonts w:hint="eastAsia"/>
          <w:sz w:val="24"/>
          <w:szCs w:val="24"/>
        </w:rPr>
        <w:t>电路连接包括</w:t>
      </w:r>
      <w:r>
        <w:rPr>
          <w:rFonts w:hint="eastAsia"/>
          <w:sz w:val="24"/>
          <w:szCs w:val="24"/>
          <w:lang w:eastAsia="zh-CN"/>
        </w:rPr>
        <w:t>模拟量</w:t>
      </w:r>
      <w:r>
        <w:rPr>
          <w:rFonts w:hint="eastAsia"/>
          <w:sz w:val="24"/>
          <w:szCs w:val="24"/>
        </w:rPr>
        <w:t>接口信号线</w:t>
      </w:r>
      <w:r>
        <w:rPr>
          <w:rFonts w:hint="eastAsia"/>
          <w:sz w:val="24"/>
          <w:szCs w:val="24"/>
          <w:lang w:eastAsia="zh-CN"/>
        </w:rPr>
        <w:t>的连接、</w:t>
      </w:r>
      <w:r>
        <w:rPr>
          <w:rFonts w:hint="eastAsia"/>
          <w:sz w:val="24"/>
          <w:szCs w:val="24"/>
        </w:rPr>
        <w:t>水泵</w:t>
      </w:r>
      <w:r>
        <w:rPr>
          <w:rFonts w:hint="eastAsia"/>
          <w:sz w:val="24"/>
          <w:szCs w:val="24"/>
          <w:lang w:eastAsia="zh-CN"/>
        </w:rPr>
        <w:t>启停控制信号</w:t>
      </w:r>
      <w:r>
        <w:rPr>
          <w:rFonts w:hint="eastAsia"/>
          <w:sz w:val="24"/>
          <w:szCs w:val="24"/>
        </w:rPr>
        <w:t>线的连接</w:t>
      </w:r>
      <w:r>
        <w:rPr>
          <w:rFonts w:hint="eastAsia"/>
          <w:sz w:val="24"/>
          <w:szCs w:val="24"/>
          <w:lang w:eastAsia="zh-CN"/>
        </w:rPr>
        <w:t>、</w:t>
      </w:r>
      <w:r>
        <w:rPr>
          <w:rFonts w:hint="eastAsia"/>
          <w:sz w:val="24"/>
          <w:szCs w:val="24"/>
          <w:lang w:val="en-US" w:eastAsia="zh-CN"/>
        </w:rPr>
        <w:t>RS232/RS485通讯接口信号线的连接、外部急停信号线的连接、外部流量控制做样信号线的连接</w:t>
      </w:r>
      <w:r>
        <w:rPr>
          <w:rFonts w:hint="eastAsia"/>
          <w:sz w:val="24"/>
          <w:szCs w:val="24"/>
        </w:rPr>
        <w:t>，如图4.</w:t>
      </w:r>
      <w:r>
        <w:rPr>
          <w:rFonts w:hint="eastAsia"/>
          <w:sz w:val="24"/>
          <w:szCs w:val="24"/>
          <w:lang w:val="en-US" w:eastAsia="zh-CN"/>
        </w:rPr>
        <w:t>9</w:t>
      </w:r>
      <w:r>
        <w:rPr>
          <w:rFonts w:hint="eastAsia"/>
          <w:sz w:val="24"/>
          <w:szCs w:val="24"/>
        </w:rPr>
        <w:t>所示。</w:t>
      </w:r>
    </w:p>
    <w:p>
      <w:pPr>
        <w:spacing w:line="360" w:lineRule="auto"/>
        <w:rPr>
          <w:rFonts w:hint="eastAsia"/>
          <w:sz w:val="24"/>
          <w:szCs w:val="24"/>
        </w:rPr>
      </w:pPr>
      <w:r>
        <w:drawing>
          <wp:inline distT="0" distB="0" distL="114300" distR="114300">
            <wp:extent cx="6111240" cy="4405630"/>
            <wp:effectExtent l="0" t="0" r="3810" b="1397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0"/>
                    <a:stretch>
                      <a:fillRect/>
                    </a:stretch>
                  </pic:blipFill>
                  <pic:spPr>
                    <a:xfrm>
                      <a:off x="0" y="0"/>
                      <a:ext cx="6111240" cy="4405630"/>
                    </a:xfrm>
                    <a:prstGeom prst="rect">
                      <a:avLst/>
                    </a:prstGeom>
                    <a:noFill/>
                    <a:ln>
                      <a:noFill/>
                    </a:ln>
                  </pic:spPr>
                </pic:pic>
              </a:graphicData>
            </a:graphic>
          </wp:inline>
        </w:drawing>
      </w:r>
    </w:p>
    <w:p>
      <w:pPr>
        <w:spacing w:line="360" w:lineRule="auto"/>
        <w:jc w:val="center"/>
        <w:rPr>
          <w:sz w:val="24"/>
          <w:szCs w:val="24"/>
        </w:rPr>
      </w:pPr>
      <w:r>
        <w:rPr>
          <w:rFonts w:hint="eastAsia"/>
          <w:sz w:val="24"/>
          <w:szCs w:val="24"/>
        </w:rPr>
        <w:t>图4.</w:t>
      </w:r>
      <w:r>
        <w:rPr>
          <w:rFonts w:hint="eastAsia"/>
          <w:sz w:val="24"/>
          <w:szCs w:val="24"/>
          <w:lang w:val="en-US" w:eastAsia="zh-CN"/>
        </w:rPr>
        <w:t>9</w:t>
      </w:r>
      <w:r>
        <w:rPr>
          <w:rFonts w:hint="eastAsia"/>
          <w:sz w:val="24"/>
          <w:szCs w:val="24"/>
        </w:rPr>
        <w:t xml:space="preserve"> 分析仪电气连接</w:t>
      </w:r>
    </w:p>
    <w:p>
      <w:pPr>
        <w:spacing w:line="360" w:lineRule="auto"/>
        <w:ind w:firstLine="480" w:firstLineChars="200"/>
        <w:rPr>
          <w:rFonts w:hint="eastAsia"/>
          <w:sz w:val="24"/>
          <w:szCs w:val="24"/>
          <w:lang w:eastAsia="zh-CN"/>
        </w:rPr>
      </w:pPr>
      <w:r>
        <w:rPr>
          <w:rFonts w:hint="eastAsia"/>
          <w:sz w:val="24"/>
          <w:szCs w:val="24"/>
        </w:rPr>
        <w:t>分析仪的水泵控制</w:t>
      </w:r>
      <w:r>
        <w:rPr>
          <w:rFonts w:hint="eastAsia"/>
          <w:sz w:val="24"/>
          <w:szCs w:val="24"/>
          <w:lang w:eastAsia="zh-CN"/>
        </w:rPr>
        <w:t>启停信号为无源触点控制信号，只是给水泵控制回路提供启动信号。</w:t>
      </w:r>
    </w:p>
    <w:p>
      <w:pPr>
        <w:spacing w:line="360" w:lineRule="auto"/>
        <w:ind w:firstLine="420" w:firstLineChars="200"/>
        <w:rPr>
          <w:rFonts w:hint="default" w:eastAsiaTheme="minorEastAsia"/>
          <w:sz w:val="24"/>
          <w:szCs w:val="24"/>
          <w:lang w:val="en-US" w:eastAsia="zh-CN"/>
        </w:rPr>
      </w:pPr>
      <w:r>
        <w:drawing>
          <wp:inline distT="0" distB="0" distL="114300" distR="114300">
            <wp:extent cx="371475" cy="333375"/>
            <wp:effectExtent l="0" t="0" r="9525"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8"/>
                    <a:stretch>
                      <a:fillRect/>
                    </a:stretch>
                  </pic:blipFill>
                  <pic:spPr>
                    <a:xfrm>
                      <a:off x="0" y="0"/>
                      <a:ext cx="371475" cy="333375"/>
                    </a:xfrm>
                    <a:prstGeom prst="rect">
                      <a:avLst/>
                    </a:prstGeom>
                    <a:noFill/>
                    <a:ln>
                      <a:noFill/>
                    </a:ln>
                  </pic:spPr>
                </pic:pic>
              </a:graphicData>
            </a:graphic>
          </wp:inline>
        </w:drawing>
      </w:r>
      <w:r>
        <w:rPr>
          <w:rFonts w:hint="eastAsia"/>
          <w:sz w:val="24"/>
          <w:szCs w:val="24"/>
          <w:u w:val="none"/>
        </w:rPr>
        <w:t>注意：</w:t>
      </w:r>
      <w:r>
        <w:rPr>
          <w:rFonts w:hint="eastAsia"/>
          <w:sz w:val="24"/>
          <w:szCs w:val="24"/>
          <w:u w:val="single"/>
          <w:lang w:eastAsia="zh-CN"/>
        </w:rPr>
        <w:t>若有多台分析仪共用一台水泵控制时，须将所有仪器的启停信号并联接入水泵启停回路中。</w:t>
      </w:r>
      <w:r>
        <w:rPr>
          <w:rFonts w:hint="eastAsia"/>
          <w:sz w:val="24"/>
          <w:szCs w:val="24"/>
          <w:u w:val="single"/>
          <w:lang w:val="en-US" w:eastAsia="zh-CN"/>
        </w:rPr>
        <w:t xml:space="preserve">  </w:t>
      </w:r>
    </w:p>
    <w:p>
      <w:pPr>
        <w:spacing w:line="360" w:lineRule="auto"/>
        <w:ind w:firstLine="480" w:firstLineChars="200"/>
        <w:rPr>
          <w:rFonts w:hint="default" w:eastAsiaTheme="minorEastAsia"/>
          <w:sz w:val="24"/>
          <w:szCs w:val="24"/>
          <w:lang w:val="en-US" w:eastAsia="zh-CN"/>
        </w:rPr>
      </w:pPr>
      <w:r>
        <w:rPr>
          <w:sz w:val="24"/>
          <w:szCs w:val="24"/>
        </w:rPr>
        <w:drawing>
          <wp:inline distT="0" distB="0" distL="114300" distR="114300">
            <wp:extent cx="346710" cy="390525"/>
            <wp:effectExtent l="0" t="0" r="15240" b="952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1"/>
                    <a:stretch>
                      <a:fillRect/>
                    </a:stretch>
                  </pic:blipFill>
                  <pic:spPr>
                    <a:xfrm>
                      <a:off x="0" y="0"/>
                      <a:ext cx="346710" cy="390525"/>
                    </a:xfrm>
                    <a:prstGeom prst="rect">
                      <a:avLst/>
                    </a:prstGeom>
                    <a:noFill/>
                    <a:ln>
                      <a:noFill/>
                    </a:ln>
                  </pic:spPr>
                </pic:pic>
              </a:graphicData>
            </a:graphic>
          </wp:inline>
        </w:drawing>
      </w:r>
      <w:r>
        <w:rPr>
          <w:rFonts w:hint="eastAsia"/>
          <w:b/>
          <w:bCs/>
          <w:sz w:val="24"/>
          <w:szCs w:val="24"/>
          <w:lang w:eastAsia="zh-CN"/>
        </w:rPr>
        <w:t>危险</w:t>
      </w:r>
      <w:r>
        <w:rPr>
          <w:rFonts w:hint="eastAsia"/>
          <w:sz w:val="24"/>
          <w:szCs w:val="24"/>
          <w:u w:val="none"/>
        </w:rPr>
        <w:t>：</w:t>
      </w:r>
      <w:r>
        <w:rPr>
          <w:rFonts w:hint="eastAsia"/>
          <w:sz w:val="24"/>
          <w:szCs w:val="24"/>
          <w:u w:val="single"/>
          <w:lang w:eastAsia="zh-CN"/>
        </w:rPr>
        <w:t>当心外部水泵控二次回路为交流回路时，仪器维护时必须断开水泵控制的电源。建议水泵的二次控制回路采用安全电压直流</w:t>
      </w:r>
      <w:r>
        <w:rPr>
          <w:rFonts w:hint="eastAsia"/>
          <w:sz w:val="24"/>
          <w:szCs w:val="24"/>
          <w:u w:val="single"/>
          <w:lang w:val="en-US" w:eastAsia="zh-CN"/>
        </w:rPr>
        <w:t xml:space="preserve">24V做控制电源。  </w:t>
      </w:r>
    </w:p>
    <w:p>
      <w:pPr>
        <w:spacing w:line="360" w:lineRule="auto"/>
        <w:ind w:firstLine="480" w:firstLineChars="200"/>
        <w:rPr>
          <w:sz w:val="24"/>
          <w:szCs w:val="24"/>
        </w:rPr>
      </w:pPr>
      <w:r>
        <w:rPr>
          <w:rFonts w:hint="eastAsia"/>
          <w:sz w:val="24"/>
          <w:szCs w:val="24"/>
        </w:rPr>
        <w:t>分析仪的水泵控制电源接口</w:t>
      </w:r>
      <w:r>
        <w:rPr>
          <w:rFonts w:hint="eastAsia"/>
          <w:sz w:val="24"/>
          <w:szCs w:val="24"/>
          <w:lang w:eastAsia="zh-CN"/>
        </w:rPr>
        <w:t>也</w:t>
      </w:r>
      <w:r>
        <w:rPr>
          <w:rFonts w:hint="eastAsia"/>
          <w:sz w:val="24"/>
          <w:szCs w:val="24"/>
        </w:rPr>
        <w:t>可直接控制开启≤500w的水泵，</w:t>
      </w:r>
      <w:r>
        <w:rPr>
          <w:rFonts w:hint="eastAsia"/>
          <w:sz w:val="24"/>
          <w:szCs w:val="24"/>
          <w:lang w:eastAsia="zh-CN"/>
        </w:rPr>
        <w:t>但是需将控制水泵启停的继电器进行线路调整，接入交流电源才行。</w:t>
      </w:r>
      <w:r>
        <w:rPr>
          <w:rFonts w:hint="eastAsia"/>
          <w:sz w:val="24"/>
          <w:szCs w:val="24"/>
        </w:rPr>
        <w:t>当水泵功率＞500W，须在仪器外部加接相应功率的交流继电器，通过仪器后面板的水泵控制接口，控制交流继电器的线圈来控制水泵的开启。</w:t>
      </w:r>
    </w:p>
    <w:p>
      <w:pPr>
        <w:spacing w:line="360" w:lineRule="auto"/>
        <w:ind w:firstLine="420" w:firstLineChars="200"/>
        <w:rPr>
          <w:sz w:val="24"/>
          <w:szCs w:val="24"/>
        </w:rPr>
      </w:pPr>
      <w:r>
        <w:drawing>
          <wp:inline distT="0" distB="0" distL="114300" distR="114300">
            <wp:extent cx="371475" cy="333375"/>
            <wp:effectExtent l="0" t="0" r="9525" b="952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8"/>
                    <a:stretch>
                      <a:fillRect/>
                    </a:stretch>
                  </pic:blipFill>
                  <pic:spPr>
                    <a:xfrm>
                      <a:off x="0" y="0"/>
                      <a:ext cx="371475" cy="333375"/>
                    </a:xfrm>
                    <a:prstGeom prst="rect">
                      <a:avLst/>
                    </a:prstGeom>
                    <a:noFill/>
                    <a:ln>
                      <a:noFill/>
                    </a:ln>
                  </pic:spPr>
                </pic:pic>
              </a:graphicData>
            </a:graphic>
          </wp:inline>
        </w:drawing>
      </w:r>
      <w:r>
        <w:rPr>
          <w:rFonts w:hint="eastAsia"/>
          <w:sz w:val="24"/>
          <w:szCs w:val="24"/>
          <w:u w:val="none"/>
        </w:rPr>
        <w:t>注意：</w:t>
      </w:r>
      <w:r>
        <w:rPr>
          <w:rFonts w:hint="eastAsia"/>
          <w:sz w:val="24"/>
          <w:szCs w:val="24"/>
          <w:u w:val="single"/>
        </w:rPr>
        <w:t>不能将大功率水泵（尤其是≥750W的污水泵）直接接至水泵控制接口，否则仪器内部熔断丝容易烧断。</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sectPr>
          <w:pgSz w:w="11906" w:h="16838"/>
          <w:pgMar w:top="1440" w:right="1080" w:bottom="1440" w:left="1080" w:header="851" w:footer="992" w:gutter="0"/>
          <w:cols w:space="425" w:num="1"/>
          <w:docGrid w:type="lines" w:linePitch="312" w:charSpace="0"/>
        </w:sectPr>
      </w:pPr>
      <w:r>
        <w:rPr>
          <w:rFonts w:hint="eastAsia"/>
          <w:sz w:val="24"/>
          <w:szCs w:val="24"/>
        </w:rPr>
        <w:t>分析仪的</w:t>
      </w:r>
      <w:r>
        <w:rPr>
          <w:rFonts w:hint="eastAsia"/>
          <w:sz w:val="24"/>
          <w:szCs w:val="24"/>
          <w:lang w:eastAsia="zh-CN"/>
        </w:rPr>
        <w:t>外部流量信号接口用于接入流量干节点控制信号，实现与流量计联动测量，有水排放时才开始测量。</w:t>
      </w:r>
      <w:r>
        <w:rPr>
          <w:sz w:val="24"/>
          <w:szCs w:val="24"/>
        </w:rPr>
        <w:br w:type="page"/>
      </w:r>
    </w:p>
    <w:p>
      <w:pPr>
        <w:pStyle w:val="2"/>
      </w:pPr>
      <w:bookmarkStart w:id="19" w:name="_Toc5860"/>
      <w:r>
        <w:rPr>
          <w:rFonts w:hint="eastAsia"/>
        </w:rPr>
        <w:t>试剂与废液</w:t>
      </w:r>
      <w:bookmarkEnd w:id="19"/>
    </w:p>
    <w:p>
      <w:pPr>
        <w:spacing w:line="360" w:lineRule="auto"/>
        <w:rPr>
          <w:sz w:val="24"/>
          <w:szCs w:val="24"/>
        </w:rPr>
      </w:pPr>
      <w:r>
        <w:drawing>
          <wp:inline distT="0" distB="0" distL="114300" distR="114300">
            <wp:extent cx="371475" cy="333375"/>
            <wp:effectExtent l="0" t="0" r="9525"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8"/>
                    <a:stretch>
                      <a:fillRect/>
                    </a:stretch>
                  </pic:blipFill>
                  <pic:spPr>
                    <a:xfrm>
                      <a:off x="0" y="0"/>
                      <a:ext cx="371475" cy="333375"/>
                    </a:xfrm>
                    <a:prstGeom prst="rect">
                      <a:avLst/>
                    </a:prstGeom>
                    <a:noFill/>
                    <a:ln>
                      <a:noFill/>
                    </a:ln>
                  </pic:spPr>
                </pic:pic>
              </a:graphicData>
            </a:graphic>
          </wp:inline>
        </w:drawing>
      </w:r>
      <w:r>
        <w:rPr>
          <w:rFonts w:hint="eastAsia"/>
          <w:sz w:val="24"/>
          <w:szCs w:val="24"/>
        </w:rPr>
        <w:t>危险！为安全起见，化学试剂应由专业人员准备，拿放试剂时请尽量遵守以下保护措施：穿上安全服（实验工作服）；戴上安全眼罩/面罩；戴橡胶手套。</w:t>
      </w:r>
    </w:p>
    <w:p>
      <w:pPr>
        <w:pStyle w:val="3"/>
      </w:pPr>
      <w:bookmarkStart w:id="20" w:name="_Toc18765"/>
      <w:r>
        <w:rPr>
          <w:rFonts w:hint="eastAsia"/>
        </w:rPr>
        <w:t>试剂的使用与保存</w:t>
      </w:r>
      <w:bookmarkEnd w:id="20"/>
    </w:p>
    <w:p>
      <w:pPr>
        <w:pStyle w:val="4"/>
      </w:pPr>
      <w:bookmarkStart w:id="21" w:name="_Toc30937"/>
      <w:r>
        <w:rPr>
          <w:rFonts w:hint="eastAsia"/>
        </w:rPr>
        <w:t>使用</w:t>
      </w:r>
      <w:bookmarkEnd w:id="21"/>
    </w:p>
    <w:p>
      <w:pPr>
        <w:spacing w:line="360" w:lineRule="auto"/>
        <w:ind w:firstLine="480" w:firstLineChars="200"/>
        <w:rPr>
          <w:sz w:val="24"/>
          <w:szCs w:val="24"/>
        </w:rPr>
      </w:pPr>
      <w:r>
        <w:rPr>
          <w:rFonts w:hint="eastAsia"/>
          <w:sz w:val="24"/>
          <w:szCs w:val="24"/>
        </w:rPr>
        <w:t>只能在通风良好的地方使用。使用前请详细阅读试剂</w:t>
      </w:r>
      <w:r>
        <w:rPr>
          <w:rFonts w:hint="eastAsia"/>
          <w:sz w:val="24"/>
          <w:szCs w:val="24"/>
          <w:lang w:eastAsia="zh-CN"/>
        </w:rPr>
        <w:t>使用</w:t>
      </w:r>
      <w:r>
        <w:rPr>
          <w:rFonts w:hint="eastAsia"/>
          <w:sz w:val="24"/>
          <w:szCs w:val="24"/>
        </w:rPr>
        <w:t>说明</w:t>
      </w:r>
      <w:r>
        <w:rPr>
          <w:rFonts w:hint="eastAsia"/>
          <w:sz w:val="24"/>
          <w:szCs w:val="24"/>
          <w:lang w:eastAsia="zh-CN"/>
        </w:rPr>
        <w:t>书</w:t>
      </w:r>
      <w:r>
        <w:rPr>
          <w:rFonts w:hint="eastAsia"/>
          <w:sz w:val="24"/>
          <w:szCs w:val="24"/>
        </w:rPr>
        <w:t>，了解试剂的性质做好预防措施和急救措施。</w:t>
      </w:r>
    </w:p>
    <w:p>
      <w:pPr>
        <w:spacing w:line="360" w:lineRule="auto"/>
        <w:ind w:firstLine="420" w:firstLineChars="200"/>
        <w:rPr>
          <w:sz w:val="24"/>
          <w:szCs w:val="24"/>
        </w:rPr>
      </w:pPr>
      <w:r>
        <w:drawing>
          <wp:anchor distT="0" distB="0" distL="114300" distR="114300" simplePos="0" relativeHeight="251662336" behindDoc="0" locked="0" layoutInCell="1" allowOverlap="1">
            <wp:simplePos x="0" y="0"/>
            <wp:positionH relativeFrom="column">
              <wp:posOffset>3505835</wp:posOffset>
            </wp:positionH>
            <wp:positionV relativeFrom="paragraph">
              <wp:posOffset>106680</wp:posOffset>
            </wp:positionV>
            <wp:extent cx="673100" cy="678815"/>
            <wp:effectExtent l="0" t="0" r="12700" b="6985"/>
            <wp:wrapNone/>
            <wp:docPr id="279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1" name="图片 3"/>
                    <pic:cNvPicPr>
                      <a:picLocks noChangeAspect="1"/>
                    </pic:cNvPicPr>
                  </pic:nvPicPr>
                  <pic:blipFill>
                    <a:blip r:embed="rId22" cstate="print"/>
                    <a:stretch>
                      <a:fillRect/>
                    </a:stretch>
                  </pic:blipFill>
                  <pic:spPr>
                    <a:xfrm>
                      <a:off x="0" y="0"/>
                      <a:ext cx="673100" cy="678815"/>
                    </a:xfrm>
                    <a:prstGeom prst="rect">
                      <a:avLst/>
                    </a:prstGeom>
                    <a:noFill/>
                    <a:ln w="9525">
                      <a:noFill/>
                    </a:ln>
                  </pic:spPr>
                </pic:pic>
              </a:graphicData>
            </a:graphic>
          </wp:anchor>
        </w:drawing>
      </w:r>
      <w:r>
        <w:drawing>
          <wp:anchor distT="0" distB="0" distL="114300" distR="114300" simplePos="0" relativeHeight="251661312" behindDoc="0" locked="0" layoutInCell="1" allowOverlap="1">
            <wp:simplePos x="0" y="0"/>
            <wp:positionH relativeFrom="column">
              <wp:posOffset>2419350</wp:posOffset>
            </wp:positionH>
            <wp:positionV relativeFrom="paragraph">
              <wp:posOffset>81280</wp:posOffset>
            </wp:positionV>
            <wp:extent cx="737235" cy="767080"/>
            <wp:effectExtent l="0" t="0" r="5715" b="13970"/>
            <wp:wrapNone/>
            <wp:docPr id="279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0" name="图片 2"/>
                    <pic:cNvPicPr>
                      <a:picLocks noChangeAspect="1"/>
                    </pic:cNvPicPr>
                  </pic:nvPicPr>
                  <pic:blipFill>
                    <a:blip r:embed="rId23" cstate="print"/>
                    <a:stretch>
                      <a:fillRect/>
                    </a:stretch>
                  </pic:blipFill>
                  <pic:spPr>
                    <a:xfrm>
                      <a:off x="0" y="0"/>
                      <a:ext cx="737235" cy="767080"/>
                    </a:xfrm>
                    <a:prstGeom prst="rect">
                      <a:avLst/>
                    </a:prstGeom>
                    <a:noFill/>
                    <a:ln w="9525">
                      <a:noFill/>
                    </a:ln>
                  </pic:spPr>
                </pic:pic>
              </a:graphicData>
            </a:graphic>
          </wp:anchor>
        </w:drawing>
      </w:r>
      <w:r>
        <w:drawing>
          <wp:anchor distT="0" distB="0" distL="114300" distR="114300" simplePos="0" relativeHeight="251660288" behindDoc="0" locked="0" layoutInCell="1" allowOverlap="1">
            <wp:simplePos x="0" y="0"/>
            <wp:positionH relativeFrom="column">
              <wp:posOffset>1275715</wp:posOffset>
            </wp:positionH>
            <wp:positionV relativeFrom="paragraph">
              <wp:posOffset>105410</wp:posOffset>
            </wp:positionV>
            <wp:extent cx="752475" cy="751840"/>
            <wp:effectExtent l="0" t="0" r="9525" b="10160"/>
            <wp:wrapNone/>
            <wp:docPr id="27899"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9" name="图片 154"/>
                    <pic:cNvPicPr>
                      <a:picLocks noChangeAspect="1"/>
                    </pic:cNvPicPr>
                  </pic:nvPicPr>
                  <pic:blipFill>
                    <a:blip r:embed="rId24" cstate="print"/>
                    <a:stretch>
                      <a:fillRect/>
                    </a:stretch>
                  </pic:blipFill>
                  <pic:spPr>
                    <a:xfrm>
                      <a:off x="0" y="0"/>
                      <a:ext cx="752475" cy="751840"/>
                    </a:xfrm>
                    <a:prstGeom prst="rect">
                      <a:avLst/>
                    </a:prstGeom>
                    <a:noFill/>
                    <a:ln w="9525">
                      <a:noFill/>
                    </a:ln>
                  </pic:spPr>
                </pic:pic>
              </a:graphicData>
            </a:graphic>
          </wp:anchor>
        </w:drawing>
      </w:r>
      <w:r>
        <w:drawing>
          <wp:anchor distT="0" distB="0" distL="114300" distR="114300" simplePos="0" relativeHeight="251659264" behindDoc="0" locked="0" layoutInCell="1" allowOverlap="1">
            <wp:simplePos x="0" y="0"/>
            <wp:positionH relativeFrom="column">
              <wp:posOffset>248920</wp:posOffset>
            </wp:positionH>
            <wp:positionV relativeFrom="paragraph">
              <wp:posOffset>131445</wp:posOffset>
            </wp:positionV>
            <wp:extent cx="454660" cy="678815"/>
            <wp:effectExtent l="0" t="0" r="2540" b="6985"/>
            <wp:wrapNone/>
            <wp:docPr id="27898"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8" name="图片 161"/>
                    <pic:cNvPicPr>
                      <a:picLocks noChangeAspect="1"/>
                    </pic:cNvPicPr>
                  </pic:nvPicPr>
                  <pic:blipFill>
                    <a:blip r:embed="rId25" cstate="print"/>
                    <a:stretch>
                      <a:fillRect/>
                    </a:stretch>
                  </pic:blipFill>
                  <pic:spPr>
                    <a:xfrm>
                      <a:off x="0" y="0"/>
                      <a:ext cx="454660" cy="678815"/>
                    </a:xfrm>
                    <a:prstGeom prst="rect">
                      <a:avLst/>
                    </a:prstGeom>
                    <a:noFill/>
                    <a:ln w="9525">
                      <a:noFill/>
                    </a:ln>
                  </pic:spPr>
                </pic:pic>
              </a:graphicData>
            </a:graphic>
          </wp:anchor>
        </w:drawing>
      </w: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20" w:firstLineChars="200"/>
        <w:rPr>
          <w:sz w:val="24"/>
          <w:szCs w:val="24"/>
        </w:rPr>
      </w:pPr>
      <w:r>
        <w:drawing>
          <wp:inline distT="0" distB="0" distL="114300" distR="114300">
            <wp:extent cx="371475" cy="333375"/>
            <wp:effectExtent l="0" t="0" r="9525"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8"/>
                    <a:stretch>
                      <a:fillRect/>
                    </a:stretch>
                  </pic:blipFill>
                  <pic:spPr>
                    <a:xfrm>
                      <a:off x="0" y="0"/>
                      <a:ext cx="371475" cy="333375"/>
                    </a:xfrm>
                    <a:prstGeom prst="rect">
                      <a:avLst/>
                    </a:prstGeom>
                    <a:noFill/>
                    <a:ln>
                      <a:noFill/>
                    </a:ln>
                  </pic:spPr>
                </pic:pic>
              </a:graphicData>
            </a:graphic>
          </wp:inline>
        </w:drawing>
      </w:r>
      <w:r>
        <w:rPr>
          <w:rFonts w:hint="eastAsia"/>
          <w:sz w:val="24"/>
          <w:szCs w:val="24"/>
        </w:rPr>
        <w:t xml:space="preserve">注意事项:  </w:t>
      </w:r>
    </w:p>
    <w:p>
      <w:pPr>
        <w:spacing w:line="360" w:lineRule="auto"/>
        <w:ind w:firstLine="480" w:firstLineChars="200"/>
        <w:rPr>
          <w:sz w:val="24"/>
          <w:szCs w:val="24"/>
        </w:rPr>
      </w:pPr>
      <w:r>
        <w:rPr>
          <w:rFonts w:hint="eastAsia"/>
          <w:sz w:val="24"/>
          <w:szCs w:val="24"/>
        </w:rPr>
        <w:t>•请勿靠近电暖炉或瓦氏炉等火源附近。</w:t>
      </w:r>
    </w:p>
    <w:p>
      <w:pPr>
        <w:spacing w:line="360" w:lineRule="auto"/>
        <w:ind w:firstLine="480" w:firstLineChars="200"/>
        <w:rPr>
          <w:sz w:val="24"/>
          <w:szCs w:val="24"/>
        </w:rPr>
      </w:pPr>
      <w:r>
        <w:rPr>
          <w:rFonts w:hint="eastAsia"/>
          <w:sz w:val="24"/>
          <w:szCs w:val="24"/>
        </w:rPr>
        <w:t>•请勿让非专业维护人员触碰和使用。</w:t>
      </w:r>
    </w:p>
    <w:p>
      <w:pPr>
        <w:spacing w:line="360" w:lineRule="auto"/>
        <w:ind w:firstLine="480" w:firstLineChars="200"/>
        <w:rPr>
          <w:sz w:val="24"/>
          <w:szCs w:val="24"/>
        </w:rPr>
      </w:pPr>
      <w:r>
        <w:rPr>
          <w:rFonts w:hint="eastAsia"/>
          <w:sz w:val="24"/>
          <w:szCs w:val="24"/>
        </w:rPr>
        <w:t xml:space="preserve">•请勿让婴幼儿触碰或使用。 </w:t>
      </w:r>
    </w:p>
    <w:p>
      <w:pPr>
        <w:spacing w:line="360" w:lineRule="auto"/>
        <w:ind w:firstLine="480" w:firstLineChars="200"/>
        <w:rPr>
          <w:sz w:val="24"/>
          <w:szCs w:val="24"/>
        </w:rPr>
      </w:pPr>
      <w:r>
        <w:rPr>
          <w:rFonts w:hint="eastAsia"/>
          <w:sz w:val="24"/>
          <w:szCs w:val="24"/>
        </w:rPr>
        <w:t>•请勿放在非指定储存场所使用。</w:t>
      </w:r>
    </w:p>
    <w:p>
      <w:pPr>
        <w:spacing w:line="360" w:lineRule="auto"/>
        <w:ind w:firstLine="480" w:firstLineChars="200"/>
        <w:rPr>
          <w:sz w:val="24"/>
          <w:szCs w:val="24"/>
        </w:rPr>
      </w:pPr>
      <w:r>
        <w:rPr>
          <w:rFonts w:hint="eastAsia"/>
          <w:sz w:val="24"/>
          <w:szCs w:val="24"/>
        </w:rPr>
        <w:t>•请避免不可预见对人体伤害的使用。</w:t>
      </w:r>
    </w:p>
    <w:p>
      <w:pPr>
        <w:spacing w:line="360" w:lineRule="auto"/>
        <w:ind w:firstLine="480" w:firstLineChars="200"/>
        <w:rPr>
          <w:sz w:val="24"/>
          <w:szCs w:val="24"/>
        </w:rPr>
      </w:pPr>
      <w:r>
        <w:rPr>
          <w:rFonts w:hint="eastAsia"/>
          <w:sz w:val="24"/>
          <w:szCs w:val="24"/>
        </w:rPr>
        <w:t>•请勿直接使用将其排放到排水道，否则会污染环境和水源。</w:t>
      </w:r>
    </w:p>
    <w:p>
      <w:pPr>
        <w:pStyle w:val="4"/>
      </w:pPr>
      <w:bookmarkStart w:id="22" w:name="_Toc398"/>
      <w:r>
        <w:rPr>
          <w:rFonts w:hint="eastAsia"/>
        </w:rPr>
        <w:t>保存</w:t>
      </w:r>
      <w:bookmarkEnd w:id="22"/>
    </w:p>
    <w:p>
      <w:pPr>
        <w:spacing w:line="360" w:lineRule="auto"/>
        <w:ind w:firstLine="480" w:firstLineChars="200"/>
        <w:rPr>
          <w:sz w:val="24"/>
          <w:szCs w:val="24"/>
        </w:rPr>
      </w:pPr>
      <w:r>
        <w:rPr>
          <w:rFonts w:hint="eastAsia"/>
          <w:sz w:val="24"/>
          <w:szCs w:val="24"/>
        </w:rPr>
        <w:t>避光保存，根据需要有的试剂需要冷藏存放。</w:t>
      </w:r>
    </w:p>
    <w:p>
      <w:pPr>
        <w:spacing w:line="360" w:lineRule="auto"/>
        <w:ind w:firstLine="480" w:firstLineChars="200"/>
        <w:rPr>
          <w:rFonts w:hint="eastAsia"/>
          <w:sz w:val="24"/>
          <w:szCs w:val="24"/>
        </w:rPr>
      </w:pPr>
      <w:r>
        <w:rPr>
          <w:rFonts w:hint="eastAsia"/>
          <w:sz w:val="24"/>
          <w:szCs w:val="24"/>
        </w:rPr>
        <w:t>应保存在只有专业人员或经批准人员能拿到的地方</w:t>
      </w:r>
      <w:r>
        <w:rPr>
          <w:rFonts w:hint="eastAsia"/>
          <w:sz w:val="24"/>
          <w:szCs w:val="24"/>
          <w:lang w:eastAsia="zh-CN"/>
        </w:rPr>
        <w:t>，带锁的储存室</w:t>
      </w:r>
      <w:r>
        <w:rPr>
          <w:rFonts w:hint="eastAsia"/>
          <w:sz w:val="24"/>
          <w:szCs w:val="24"/>
        </w:rPr>
        <w:t>。</w:t>
      </w:r>
    </w:p>
    <w:p>
      <w:pPr>
        <w:spacing w:line="360" w:lineRule="auto"/>
        <w:ind w:firstLine="480" w:firstLineChars="200"/>
        <w:rPr>
          <w:rFonts w:hint="eastAsia"/>
          <w:sz w:val="24"/>
          <w:szCs w:val="24"/>
          <w:lang w:val="en-US" w:eastAsia="zh-CN"/>
        </w:rPr>
      </w:pPr>
      <w:r>
        <w:rPr>
          <w:rFonts w:hint="eastAsia"/>
          <w:sz w:val="24"/>
          <w:szCs w:val="24"/>
          <w:lang w:eastAsia="zh-CN"/>
        </w:rPr>
        <w:t>更换下的废试剂</w:t>
      </w:r>
      <w:r>
        <w:rPr>
          <w:rFonts w:hint="eastAsia"/>
          <w:sz w:val="24"/>
          <w:szCs w:val="24"/>
        </w:rPr>
        <w:t>不得直接倒入水道</w:t>
      </w:r>
      <w:r>
        <w:rPr>
          <w:rFonts w:hint="eastAsia"/>
          <w:sz w:val="24"/>
          <w:szCs w:val="24"/>
          <w:lang w:eastAsia="zh-CN"/>
        </w:rPr>
        <w:t>，</w:t>
      </w:r>
      <w:r>
        <w:rPr>
          <w:rFonts w:hint="eastAsia"/>
          <w:sz w:val="24"/>
          <w:szCs w:val="24"/>
          <w:lang w:val="en-US" w:eastAsia="zh-CN"/>
        </w:rPr>
        <w:t>对环境有危害，对水体和土壤可造成污染。</w:t>
      </w:r>
    </w:p>
    <w:p>
      <w:pPr>
        <w:spacing w:line="360" w:lineRule="auto"/>
        <w:ind w:firstLine="480" w:firstLineChars="200"/>
        <w:rPr>
          <w:rFonts w:hint="eastAsia"/>
          <w:sz w:val="24"/>
          <w:szCs w:val="24"/>
          <w:lang w:val="en-US" w:eastAsia="zh-CN"/>
        </w:rPr>
      </w:pPr>
      <w:r>
        <w:rPr>
          <w:rFonts w:hint="eastAsia"/>
          <w:sz w:val="24"/>
          <w:szCs w:val="24"/>
          <w:lang w:val="en-US" w:eastAsia="zh-CN"/>
        </w:rPr>
        <w:t>试剂瓶禁止乱扔，应由专业从事危险废物处置公司回收处理。</w:t>
      </w:r>
    </w:p>
    <w:p>
      <w:pPr>
        <w:pStyle w:val="4"/>
      </w:pPr>
      <w:bookmarkStart w:id="23" w:name="_Toc7761"/>
      <w:r>
        <w:rPr>
          <w:rFonts w:hint="eastAsia" w:asciiTheme="minorHAnsi" w:hAnsiTheme="minorHAnsi" w:eastAsiaTheme="minorEastAsia" w:cstheme="minorBidi"/>
          <w:b/>
          <w:bCs/>
          <w:kern w:val="2"/>
          <w:sz w:val="32"/>
          <w:szCs w:val="32"/>
          <w:lang w:val="en-US" w:eastAsia="zh-CN" w:bidi="ar-SA"/>
        </w:rPr>
        <w:t>应急措施</w:t>
      </w:r>
      <w:bookmarkEnd w:id="23"/>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•皮肤接触：脱去被污染的衣着，用肥皂水和清水彻底冲洗皮肤。</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•眼睛接触：提起眼睑，用流动清水或生理盐水冲洗。就医。</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•吸    入：迅速脱离现场至空气新鲜处,保持呼吸道通畅,如呼吸困难，给输氧。如呼吸停止，立即进行人工呼吸。就医。</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    入：误服者用水漱口，用清水洗胃。就医。</w:t>
      </w:r>
    </w:p>
    <w:p>
      <w:pPr>
        <w:spacing w:line="360" w:lineRule="auto"/>
        <w:ind w:firstLine="480" w:firstLineChars="200"/>
        <w:rPr>
          <w:rFonts w:hint="eastAsia"/>
          <w:sz w:val="24"/>
          <w:szCs w:val="24"/>
          <w:lang w:val="en-US" w:eastAsia="zh-CN"/>
        </w:rPr>
      </w:pPr>
      <w:r>
        <w:rPr>
          <w:rFonts w:hint="eastAsia" w:asciiTheme="minorEastAsia" w:hAnsiTheme="minorEastAsia" w:eastAsiaTheme="minorEastAsia" w:cstheme="minorEastAsia"/>
          <w:sz w:val="24"/>
          <w:szCs w:val="24"/>
          <w:lang w:val="en-US" w:eastAsia="zh-CN"/>
        </w:rPr>
        <w:t>•注    意：所有患者应请医生或及时送医疗机构治疗。</w:t>
      </w:r>
      <w:r>
        <w:rPr>
          <w:rFonts w:hint="eastAsia"/>
          <w:sz w:val="24"/>
          <w:szCs w:val="24"/>
          <w:lang w:val="en-US" w:eastAsia="zh-CN"/>
        </w:rPr>
        <w:t xml:space="preserve">                                                                                                                                                                                                                                                                                                               </w:t>
      </w:r>
    </w:p>
    <w:p>
      <w:pPr>
        <w:pStyle w:val="3"/>
      </w:pPr>
      <w:bookmarkStart w:id="24" w:name="_Toc27797"/>
      <w:r>
        <w:rPr>
          <w:rFonts w:hint="eastAsia"/>
        </w:rPr>
        <w:t>稳定性和反应性</w:t>
      </w:r>
      <w:bookmarkEnd w:id="24"/>
    </w:p>
    <w:p>
      <w:pPr>
        <w:spacing w:line="360" w:lineRule="auto"/>
        <w:ind w:firstLine="480" w:firstLineChars="200"/>
        <w:rPr>
          <w:sz w:val="24"/>
          <w:szCs w:val="24"/>
        </w:rPr>
      </w:pPr>
      <w:r>
        <w:rPr>
          <w:rFonts w:hint="eastAsia"/>
          <w:sz w:val="24"/>
          <w:szCs w:val="24"/>
        </w:rPr>
        <w:t>配制试剂时应注意以下反应：与有机物的反应、与碱的反应以及加水后的骤热反应。</w:t>
      </w:r>
    </w:p>
    <w:p>
      <w:pPr>
        <w:pStyle w:val="3"/>
      </w:pPr>
      <w:bookmarkStart w:id="25" w:name="_Toc30864"/>
      <w:r>
        <w:rPr>
          <w:rFonts w:hint="eastAsia"/>
        </w:rPr>
        <w:t>配置安全性</w:t>
      </w:r>
      <w:bookmarkEnd w:id="25"/>
    </w:p>
    <w:p>
      <w:pPr>
        <w:spacing w:line="360" w:lineRule="auto"/>
        <w:ind w:firstLine="480" w:firstLineChars="200"/>
        <w:rPr>
          <w:sz w:val="24"/>
          <w:szCs w:val="24"/>
        </w:rPr>
      </w:pPr>
      <w:r>
        <w:rPr>
          <w:rFonts w:hint="eastAsia"/>
          <w:sz w:val="24"/>
          <w:szCs w:val="24"/>
        </w:rPr>
        <w:t>穿上安全服（实验工作服）；戴上安全眼罩/面罩；戴橡胶手套。</w:t>
      </w:r>
    </w:p>
    <w:p>
      <w:pPr>
        <w:pStyle w:val="3"/>
      </w:pPr>
      <w:bookmarkStart w:id="26" w:name="_Toc767"/>
      <w:r>
        <w:rPr>
          <w:rFonts w:hint="eastAsia"/>
        </w:rPr>
        <w:t>废液处理</w:t>
      </w:r>
      <w:bookmarkEnd w:id="26"/>
    </w:p>
    <w:p>
      <w:pPr>
        <w:spacing w:line="360" w:lineRule="auto"/>
        <w:ind w:firstLine="480" w:firstLineChars="200"/>
        <w:rPr>
          <w:rFonts w:hint="eastAsia"/>
          <w:sz w:val="24"/>
          <w:szCs w:val="24"/>
        </w:rPr>
      </w:pPr>
      <w:r>
        <w:rPr>
          <w:rFonts w:hint="eastAsia"/>
          <w:sz w:val="24"/>
          <w:szCs w:val="24"/>
        </w:rPr>
        <w:t>分析仪的废液具有较强酸性、腐蚀性和毒性，必须由专门的废物处理公司进行处理。</w:t>
      </w:r>
    </w:p>
    <w:p>
      <w:pPr>
        <w:spacing w:line="360" w:lineRule="auto"/>
        <w:ind w:firstLine="420" w:firstLineChars="200"/>
        <w:rPr>
          <w:sz w:val="24"/>
          <w:szCs w:val="24"/>
          <w:u w:val="single"/>
        </w:rPr>
      </w:pPr>
      <w:r>
        <w:drawing>
          <wp:inline distT="0" distB="0" distL="114300" distR="114300">
            <wp:extent cx="371475" cy="333375"/>
            <wp:effectExtent l="0" t="0" r="9525"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371475" cy="333375"/>
                    </a:xfrm>
                    <a:prstGeom prst="rect">
                      <a:avLst/>
                    </a:prstGeom>
                    <a:noFill/>
                    <a:ln>
                      <a:noFill/>
                    </a:ln>
                  </pic:spPr>
                </pic:pic>
              </a:graphicData>
            </a:graphic>
          </wp:inline>
        </w:drawing>
      </w:r>
      <w:r>
        <w:rPr>
          <w:rFonts w:hint="eastAsia"/>
          <w:sz w:val="24"/>
          <w:szCs w:val="24"/>
        </w:rPr>
        <w:t xml:space="preserve">注意:  </w:t>
      </w:r>
      <w:r>
        <w:rPr>
          <w:rFonts w:hint="eastAsia"/>
          <w:sz w:val="24"/>
          <w:szCs w:val="24"/>
          <w:u w:val="single"/>
          <w:lang w:eastAsia="zh-CN"/>
        </w:rPr>
        <w:t>废液桶中的废液达到满桶的</w:t>
      </w:r>
      <w:r>
        <w:rPr>
          <w:rFonts w:hint="eastAsia"/>
          <w:sz w:val="24"/>
          <w:szCs w:val="24"/>
          <w:u w:val="single"/>
          <w:lang w:val="en-US" w:eastAsia="zh-CN"/>
        </w:rPr>
        <w:t>80%时，必须更换新的废液桶接入仪器</w:t>
      </w:r>
      <w:r>
        <w:rPr>
          <w:rFonts w:hint="eastAsia"/>
          <w:sz w:val="24"/>
          <w:szCs w:val="24"/>
          <w:u w:val="single"/>
        </w:rPr>
        <w:t>。</w:t>
      </w:r>
    </w:p>
    <w:p>
      <w:pPr>
        <w:spacing w:line="360" w:lineRule="auto"/>
        <w:ind w:firstLine="480" w:firstLineChars="200"/>
        <w:rPr>
          <w:rFonts w:hint="eastAsia"/>
          <w:sz w:val="24"/>
          <w:szCs w:val="24"/>
          <w:u w:val="single"/>
        </w:rPr>
      </w:pPr>
    </w:p>
    <w:p>
      <w:pPr>
        <w:widowControl/>
        <w:jc w:val="left"/>
        <w:sectPr>
          <w:pgSz w:w="11906" w:h="16838"/>
          <w:pgMar w:top="1440" w:right="1080" w:bottom="1440" w:left="1080" w:header="851" w:footer="992" w:gutter="0"/>
          <w:cols w:space="425" w:num="1"/>
          <w:docGrid w:type="lines" w:linePitch="312" w:charSpace="0"/>
        </w:sectPr>
      </w:pPr>
      <w:r>
        <w:rPr>
          <w:sz w:val="24"/>
          <w:szCs w:val="24"/>
        </w:rPr>
        <w:br w:type="page"/>
      </w:r>
    </w:p>
    <w:p>
      <w:pPr>
        <w:pStyle w:val="2"/>
      </w:pPr>
      <w:bookmarkStart w:id="27" w:name="_Toc24702"/>
      <w:r>
        <w:rPr>
          <w:rFonts w:hint="eastAsia"/>
        </w:rPr>
        <w:t>故障与处理</w:t>
      </w:r>
      <w:bookmarkEnd w:id="27"/>
    </w:p>
    <w:p>
      <w:pPr>
        <w:spacing w:line="360" w:lineRule="auto"/>
        <w:ind w:firstLine="480" w:firstLineChars="200"/>
        <w:rPr>
          <w:sz w:val="24"/>
          <w:szCs w:val="24"/>
        </w:rPr>
      </w:pPr>
      <w:r>
        <w:rPr>
          <w:rFonts w:hint="eastAsia"/>
          <w:sz w:val="24"/>
          <w:szCs w:val="24"/>
        </w:rPr>
        <w:t>仪器在异常时会报警，并中断所有正在运行的程序，直到排除仪器故障后进行复位操作，仪器才能恢复正常运行。</w:t>
      </w:r>
    </w:p>
    <w:tbl>
      <w:tblPr>
        <w:tblStyle w:val="24"/>
        <w:tblW w:w="9505" w:type="dxa"/>
        <w:jc w:val="right"/>
        <w:shd w:val="clear" w:color="auto" w:fill="auto"/>
        <w:tblLayout w:type="fixed"/>
        <w:tblCellMar>
          <w:top w:w="0" w:type="dxa"/>
          <w:left w:w="108" w:type="dxa"/>
          <w:bottom w:w="0" w:type="dxa"/>
          <w:right w:w="108" w:type="dxa"/>
        </w:tblCellMar>
      </w:tblPr>
      <w:tblGrid>
        <w:gridCol w:w="897"/>
        <w:gridCol w:w="3658"/>
        <w:gridCol w:w="4950"/>
      </w:tblGrid>
      <w:tr>
        <w:tblPrEx>
          <w:shd w:val="clear" w:color="auto" w:fill="auto"/>
          <w:tblCellMar>
            <w:top w:w="0" w:type="dxa"/>
            <w:left w:w="108" w:type="dxa"/>
            <w:bottom w:w="0" w:type="dxa"/>
            <w:right w:w="108" w:type="dxa"/>
          </w:tblCellMar>
        </w:tblPrEx>
        <w:trPr>
          <w:trHeight w:val="285" w:hRule="atLeast"/>
          <w:jc w:val="right"/>
        </w:trPr>
        <w:tc>
          <w:tcPr>
            <w:tcW w:w="897" w:type="dxa"/>
            <w:tcBorders>
              <w:top w:val="single" w:color="4F81BD" w:sz="4" w:space="0"/>
              <w:left w:val="single" w:color="4F81BD" w:sz="4" w:space="0"/>
              <w:bottom w:val="single" w:color="4F81BD" w:sz="8" w:space="0"/>
              <w:right w:val="single" w:color="4F81BD"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故障</w:t>
            </w:r>
          </w:p>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情况</w:t>
            </w:r>
          </w:p>
        </w:tc>
        <w:tc>
          <w:tcPr>
            <w:tcW w:w="3658" w:type="dxa"/>
            <w:tcBorders>
              <w:top w:val="single" w:color="4F81BD" w:sz="4" w:space="0"/>
              <w:left w:val="single" w:color="4F81BD" w:sz="4" w:space="0"/>
              <w:bottom w:val="single" w:color="4F81BD" w:sz="8" w:space="0"/>
              <w:right w:val="single" w:color="4F81BD"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原因</w:t>
            </w:r>
          </w:p>
        </w:tc>
        <w:tc>
          <w:tcPr>
            <w:tcW w:w="4950" w:type="dxa"/>
            <w:tcBorders>
              <w:top w:val="single" w:color="4F81BD" w:sz="4" w:space="0"/>
              <w:left w:val="single" w:color="4F81BD" w:sz="4" w:space="0"/>
              <w:bottom w:val="single" w:color="4F81BD" w:sz="8" w:space="0"/>
              <w:right w:val="single" w:color="4F81BD"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处理</w:t>
            </w:r>
          </w:p>
        </w:tc>
      </w:tr>
      <w:tr>
        <w:tblPrEx>
          <w:tblCellMar>
            <w:top w:w="0" w:type="dxa"/>
            <w:left w:w="108" w:type="dxa"/>
            <w:bottom w:w="0" w:type="dxa"/>
            <w:right w:w="108" w:type="dxa"/>
          </w:tblCellMar>
        </w:tblPrEx>
        <w:trPr>
          <w:trHeight w:val="285" w:hRule="atLeast"/>
          <w:jc w:val="right"/>
        </w:trPr>
        <w:tc>
          <w:tcPr>
            <w:tcW w:w="897" w:type="dxa"/>
            <w:vMerge w:val="restart"/>
            <w:tcBorders>
              <w:top w:val="single" w:color="4F81BD" w:sz="8"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热电阻异常</w:t>
            </w:r>
          </w:p>
        </w:tc>
        <w:tc>
          <w:tcPr>
            <w:tcW w:w="3658" w:type="dxa"/>
            <w:tcBorders>
              <w:top w:val="single" w:color="4F81BD" w:sz="8"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温度变送器或</w:t>
            </w:r>
            <w:r>
              <w:rPr>
                <w:rStyle w:val="44"/>
                <w:rFonts w:eastAsia="宋体"/>
                <w:sz w:val="21"/>
                <w:szCs w:val="21"/>
                <w:lang w:val="en-US" w:eastAsia="zh-CN" w:bidi="ar"/>
              </w:rPr>
              <w:t>A/D</w:t>
            </w:r>
            <w:r>
              <w:rPr>
                <w:rStyle w:val="45"/>
                <w:sz w:val="21"/>
                <w:szCs w:val="21"/>
                <w:lang w:val="en-US" w:eastAsia="zh-CN" w:bidi="ar"/>
              </w:rPr>
              <w:t>损坏；</w:t>
            </w:r>
          </w:p>
        </w:tc>
        <w:tc>
          <w:tcPr>
            <w:tcW w:w="4950" w:type="dxa"/>
            <w:tcBorders>
              <w:top w:val="single" w:color="4F81BD" w:sz="8"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重新连接</w:t>
            </w:r>
            <w:r>
              <w:rPr>
                <w:rStyle w:val="44"/>
                <w:rFonts w:eastAsia="宋体"/>
                <w:sz w:val="21"/>
                <w:szCs w:val="21"/>
                <w:lang w:val="en-US" w:eastAsia="zh-CN" w:bidi="ar"/>
              </w:rPr>
              <w:t>A/D</w:t>
            </w:r>
            <w:r>
              <w:rPr>
                <w:rStyle w:val="45"/>
                <w:sz w:val="21"/>
                <w:szCs w:val="21"/>
                <w:lang w:val="en-US" w:eastAsia="zh-CN" w:bidi="ar"/>
              </w:rPr>
              <w:t>、温度变送器、热电偶两两之间的连线；</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8" w:space="0"/>
              <w:left w:val="single" w:color="4F81BD" w:sz="4" w:space="0"/>
              <w:bottom w:val="single" w:color="4F81BD" w:sz="4" w:space="0"/>
              <w:right w:val="single" w:color="4F81BD" w:sz="4" w:space="0"/>
            </w:tcBorders>
            <w:shd w:val="clear" w:color="DCE6F1" w:fill="DCE6F1"/>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温度变送器或</w:t>
            </w:r>
            <w:r>
              <w:rPr>
                <w:rStyle w:val="44"/>
                <w:rFonts w:eastAsia="宋体"/>
                <w:sz w:val="21"/>
                <w:szCs w:val="21"/>
                <w:lang w:val="en-US" w:eastAsia="zh-CN" w:bidi="ar"/>
              </w:rPr>
              <w:t>A/D</w:t>
            </w:r>
            <w:r>
              <w:rPr>
                <w:rStyle w:val="45"/>
                <w:sz w:val="21"/>
                <w:szCs w:val="21"/>
                <w:lang w:val="en-US" w:eastAsia="zh-CN" w:bidi="ar"/>
              </w:rPr>
              <w:t>转换连线松动</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如仍不能排除，请更换温度变送器、热电偶或</w:t>
            </w:r>
            <w:r>
              <w:rPr>
                <w:rStyle w:val="44"/>
                <w:rFonts w:eastAsia="宋体"/>
                <w:sz w:val="21"/>
                <w:szCs w:val="21"/>
                <w:lang w:val="en-US" w:eastAsia="zh-CN" w:bidi="ar"/>
              </w:rPr>
              <w:t>A/D</w:t>
            </w:r>
            <w:r>
              <w:rPr>
                <w:rStyle w:val="45"/>
                <w:sz w:val="21"/>
                <w:szCs w:val="21"/>
                <w:lang w:val="en-US" w:eastAsia="zh-CN" w:bidi="ar"/>
              </w:rPr>
              <w:t>。</w:t>
            </w:r>
          </w:p>
        </w:tc>
      </w:tr>
      <w:tr>
        <w:tblPrEx>
          <w:tblCellMar>
            <w:top w:w="0" w:type="dxa"/>
            <w:left w:w="108" w:type="dxa"/>
            <w:bottom w:w="0" w:type="dxa"/>
            <w:right w:w="108" w:type="dxa"/>
          </w:tblCellMar>
        </w:tblPrEx>
        <w:trPr>
          <w:trHeight w:val="270" w:hRule="atLeast"/>
          <w:jc w:val="right"/>
        </w:trPr>
        <w:tc>
          <w:tcPr>
            <w:tcW w:w="897" w:type="dxa"/>
            <w:vMerge w:val="restart"/>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未取到试剂、标样和水样报警</w:t>
            </w: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无相应的试剂；</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补足相应试剂；</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无相应的标样；</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补足相应标样；</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取样水泵和取样管路异常</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检查取样管S处是否有水，若无检查取样水泵和管路。</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管路漏气；</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重新更换堵塞管道或重新连接漏气接头；</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蠕动泵连线或管路松动；</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重新拧紧接线端子或拧紧蠕动泵管接头；</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蠕动泵驱动器连线松动；</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重新拧紧蠕动泵驱动器接线端子；</w:t>
            </w:r>
          </w:p>
        </w:tc>
      </w:tr>
      <w:tr>
        <w:tblPrEx>
          <w:tblCellMar>
            <w:top w:w="0" w:type="dxa"/>
            <w:left w:w="108" w:type="dxa"/>
            <w:bottom w:w="0" w:type="dxa"/>
            <w:right w:w="108" w:type="dxa"/>
          </w:tblCellMar>
        </w:tblPrEx>
        <w:trPr>
          <w:trHeight w:val="54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蠕动泵或泵管或对应驱动器损坏；</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检查蠕动泵正反工作是否正常，不正常时请检查连线、继电器或更换泵驱动器；</w:t>
            </w:r>
          </w:p>
        </w:tc>
      </w:tr>
      <w:tr>
        <w:tblPrEx>
          <w:tblCellMar>
            <w:top w:w="0" w:type="dxa"/>
            <w:left w:w="108" w:type="dxa"/>
            <w:bottom w:w="0" w:type="dxa"/>
            <w:right w:w="108" w:type="dxa"/>
          </w:tblCellMar>
        </w:tblPrEx>
        <w:trPr>
          <w:trHeight w:val="54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管路堵塞；</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检查八通阀对应通道电磁阀开关时指示灯是否亮，若亮，请更换相应通道是阀芯或密封垫，</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八通阀打开时指示灯不亮；</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检查或更换XT2电路板或者继电器电路板；</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继电器电路板损坏；</w:t>
            </w:r>
          </w:p>
        </w:tc>
        <w:tc>
          <w:tcPr>
            <w:tcW w:w="4950" w:type="dxa"/>
            <w:tcBorders>
              <w:top w:val="single" w:color="4F81BD" w:sz="4" w:space="0"/>
              <w:left w:val="single" w:color="4F81BD" w:sz="4" w:space="0"/>
              <w:bottom w:val="single" w:color="4F81BD" w:sz="4" w:space="0"/>
              <w:right w:val="single" w:color="4F81BD"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更换继电器电路板；</w:t>
            </w:r>
          </w:p>
        </w:tc>
      </w:tr>
      <w:tr>
        <w:tblPrEx>
          <w:tblCellMar>
            <w:top w:w="0" w:type="dxa"/>
            <w:left w:w="108" w:type="dxa"/>
            <w:bottom w:w="0" w:type="dxa"/>
            <w:right w:w="108" w:type="dxa"/>
          </w:tblCellMar>
        </w:tblPrEx>
        <w:trPr>
          <w:trHeight w:val="270" w:hRule="atLeast"/>
          <w:jc w:val="right"/>
        </w:trPr>
        <w:tc>
          <w:tcPr>
            <w:tcW w:w="897" w:type="dxa"/>
            <w:vMerge w:val="restart"/>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冷却</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故障</w:t>
            </w: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冷却风扇坏；</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检查或更换风扇；</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DCE6F1" w:fill="DCE6F1"/>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环境温度过高；</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调低环境温度或调高冷却温度的设定；</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DCE6F1" w:fill="DCE6F1"/>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热电偶或温度变送器损坏；</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检查或更换热电阻、温度变送器；</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DCE6F1" w:fill="DCE6F1"/>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电路板继电器损坏。</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检查或更换电路板继电器。</w:t>
            </w:r>
          </w:p>
        </w:tc>
      </w:tr>
      <w:tr>
        <w:tblPrEx>
          <w:tblCellMar>
            <w:top w:w="0" w:type="dxa"/>
            <w:left w:w="108" w:type="dxa"/>
            <w:bottom w:w="0" w:type="dxa"/>
            <w:right w:w="108" w:type="dxa"/>
          </w:tblCellMar>
        </w:tblPrEx>
        <w:trPr>
          <w:trHeight w:val="270" w:hRule="atLeast"/>
          <w:jc w:val="right"/>
        </w:trPr>
        <w:tc>
          <w:tcPr>
            <w:tcW w:w="897" w:type="dxa"/>
            <w:vMerge w:val="restart"/>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进液</w:t>
            </w:r>
            <w:r>
              <w:rPr>
                <w:rStyle w:val="44"/>
                <w:rFonts w:eastAsia="宋体"/>
                <w:sz w:val="21"/>
                <w:szCs w:val="21"/>
                <w:lang w:val="en-US" w:eastAsia="zh-CN" w:bidi="ar"/>
              </w:rPr>
              <w:t>/</w:t>
            </w:r>
            <w:r>
              <w:rPr>
                <w:rStyle w:val="45"/>
                <w:sz w:val="21"/>
                <w:szCs w:val="21"/>
                <w:lang w:val="en-US" w:eastAsia="zh-CN" w:bidi="ar"/>
              </w:rPr>
              <w:t>排液错误</w:t>
            </w: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管路堵塞</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更换堵塞管路；</w:t>
            </w:r>
          </w:p>
        </w:tc>
      </w:tr>
      <w:tr>
        <w:tblPrEx>
          <w:tblCellMar>
            <w:top w:w="0" w:type="dxa"/>
            <w:left w:w="108" w:type="dxa"/>
            <w:bottom w:w="0" w:type="dxa"/>
            <w:right w:w="108" w:type="dxa"/>
          </w:tblCellMar>
        </w:tblPrEx>
        <w:trPr>
          <w:trHeight w:val="81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八通阀排污通道故障（手动排废液时消解池的废液无法排出去，在计量器和消解池重复流动）；</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检查选择阀各通道是否畅通，不畅通时，请清洗或更换阀芯和密封垫，未堵塞时，请检查连线或配电是否正常；</w:t>
            </w:r>
          </w:p>
        </w:tc>
      </w:tr>
      <w:tr>
        <w:tblPrEx>
          <w:tblCellMar>
            <w:top w:w="0" w:type="dxa"/>
            <w:left w:w="108" w:type="dxa"/>
            <w:bottom w:w="0" w:type="dxa"/>
            <w:right w:w="108" w:type="dxa"/>
          </w:tblCellMar>
        </w:tblPrEx>
        <w:trPr>
          <w:trHeight w:val="54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计量器光电开关故障；</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检查计量器高低位光电信号是否正常，否则更换光电器件；</w:t>
            </w:r>
          </w:p>
        </w:tc>
      </w:tr>
      <w:tr>
        <w:tblPrEx>
          <w:tblCellMar>
            <w:top w:w="0" w:type="dxa"/>
            <w:left w:w="108" w:type="dxa"/>
            <w:bottom w:w="0" w:type="dxa"/>
            <w:right w:w="108" w:type="dxa"/>
          </w:tblCellMar>
        </w:tblPrEx>
        <w:trPr>
          <w:trHeight w:val="54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蠕动泵及其相应配件损坏或连线松动；</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检查蠕动泵正反工作是否正常，不正常时请检查连线、继电器或更换泵驱动器；</w:t>
            </w:r>
          </w:p>
        </w:tc>
      </w:tr>
      <w:tr>
        <w:tblPrEx>
          <w:tblCellMar>
            <w:top w:w="0" w:type="dxa"/>
            <w:left w:w="108" w:type="dxa"/>
            <w:bottom w:w="0" w:type="dxa"/>
            <w:right w:w="108" w:type="dxa"/>
          </w:tblCellMar>
        </w:tblPrEx>
        <w:trPr>
          <w:trHeight w:val="54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高温高压电池阀V6\V7堵塞，三通电磁阀V2堵塞；</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检查或更换高温高压电磁阀、三通电磁阀。</w:t>
            </w:r>
          </w:p>
        </w:tc>
      </w:tr>
      <w:tr>
        <w:tblPrEx>
          <w:tblCellMar>
            <w:top w:w="0" w:type="dxa"/>
            <w:left w:w="108" w:type="dxa"/>
            <w:bottom w:w="0" w:type="dxa"/>
            <w:right w:w="108" w:type="dxa"/>
          </w:tblCellMar>
        </w:tblPrEx>
        <w:trPr>
          <w:trHeight w:val="270" w:hRule="atLeast"/>
          <w:jc w:val="right"/>
        </w:trPr>
        <w:tc>
          <w:tcPr>
            <w:tcW w:w="897" w:type="dxa"/>
            <w:vMerge w:val="restart"/>
            <w:tcBorders>
              <w:top w:val="single" w:color="4F81BD" w:sz="4" w:space="0"/>
              <w:left w:val="single" w:color="4F81BD" w:sz="4" w:space="0"/>
              <w:bottom w:val="single" w:color="4F81BD" w:sz="4" w:space="0"/>
              <w:right w:val="single" w:color="4F81BD" w:sz="4" w:space="0"/>
            </w:tcBorders>
            <w:shd w:val="clear" w:color="auto" w:fill="DAEEF3"/>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加热器异常</w:t>
            </w: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温度设置值低于</w:t>
            </w:r>
            <w:r>
              <w:rPr>
                <w:rStyle w:val="45"/>
                <w:sz w:val="21"/>
                <w:szCs w:val="21"/>
                <w:lang w:val="en-US" w:eastAsia="zh-CN" w:bidi="ar"/>
              </w:rPr>
              <w:t>消解时最高温度；</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温度设置值应高于</w:t>
            </w:r>
            <w:r>
              <w:rPr>
                <w:rStyle w:val="45"/>
                <w:sz w:val="21"/>
                <w:szCs w:val="21"/>
                <w:lang w:val="en-US" w:eastAsia="zh-CN" w:bidi="ar"/>
              </w:rPr>
              <w:t>消解设置温度的5~10℃；</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DAEEF3"/>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加热丝损坏或连线松动；</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检查加热丝及连线，有问题时更换加热器；</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DAEEF3"/>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固态继电器损坏；</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检查或更换加热固态继电器；</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DAEEF3"/>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热电阻、温度变送器或</w:t>
            </w:r>
            <w:r>
              <w:rPr>
                <w:rStyle w:val="44"/>
                <w:rFonts w:eastAsia="宋体"/>
                <w:sz w:val="21"/>
                <w:szCs w:val="21"/>
                <w:lang w:val="en-US" w:eastAsia="zh-CN" w:bidi="ar"/>
              </w:rPr>
              <w:t>A/D</w:t>
            </w:r>
            <w:r>
              <w:rPr>
                <w:rStyle w:val="45"/>
                <w:sz w:val="21"/>
                <w:szCs w:val="21"/>
                <w:lang w:val="en-US" w:eastAsia="zh-CN" w:bidi="ar"/>
              </w:rPr>
              <w:t>损坏。</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检查或更换热电阻、温度变送器等。</w:t>
            </w:r>
          </w:p>
        </w:tc>
      </w:tr>
      <w:tr>
        <w:tblPrEx>
          <w:tblCellMar>
            <w:top w:w="0" w:type="dxa"/>
            <w:left w:w="108" w:type="dxa"/>
            <w:bottom w:w="0" w:type="dxa"/>
            <w:right w:w="108" w:type="dxa"/>
          </w:tblCellMar>
        </w:tblPrEx>
        <w:trPr>
          <w:trHeight w:val="540" w:hRule="atLeast"/>
          <w:jc w:val="right"/>
        </w:trPr>
        <w:tc>
          <w:tcPr>
            <w:tcW w:w="897" w:type="dxa"/>
            <w:vMerge w:val="restart"/>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消解池故障</w:t>
            </w: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消解池密封接头处漏液</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检查密封接头是否老化，若正常就用扳手拧紧即可。否则就更换新的消解池；</w:t>
            </w:r>
          </w:p>
        </w:tc>
      </w:tr>
      <w:tr>
        <w:tblPrEx>
          <w:tblCellMar>
            <w:top w:w="0" w:type="dxa"/>
            <w:left w:w="108" w:type="dxa"/>
            <w:bottom w:w="0" w:type="dxa"/>
            <w:right w:w="108" w:type="dxa"/>
          </w:tblCellMar>
        </w:tblPrEx>
        <w:trPr>
          <w:trHeight w:val="54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消解池的消解管漏液或破裂</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检查消解池的铂电阻是否插入到底消解管的孔内，并与消解管壁接触。</w:t>
            </w:r>
          </w:p>
        </w:tc>
      </w:tr>
      <w:tr>
        <w:tblPrEx>
          <w:tblCellMar>
            <w:top w:w="0" w:type="dxa"/>
            <w:left w:w="108" w:type="dxa"/>
            <w:bottom w:w="0" w:type="dxa"/>
            <w:right w:w="108" w:type="dxa"/>
          </w:tblCellMar>
        </w:tblPrEx>
        <w:trPr>
          <w:trHeight w:val="270" w:hRule="atLeast"/>
          <w:jc w:val="right"/>
        </w:trPr>
        <w:tc>
          <w:tcPr>
            <w:tcW w:w="897" w:type="dxa"/>
            <w:vMerge w:val="restart"/>
            <w:tcBorders>
              <w:top w:val="single" w:color="4F81BD" w:sz="4" w:space="0"/>
              <w:left w:val="single" w:color="4F81BD" w:sz="4" w:space="0"/>
              <w:bottom w:val="single" w:color="4F81BD" w:sz="4" w:space="0"/>
              <w:right w:val="single" w:color="4F81BD" w:sz="4" w:space="0"/>
            </w:tcBorders>
            <w:shd w:val="clear" w:color="auto" w:fill="DAEEF3"/>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光电</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异常</w:t>
            </w: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测量光电系统损坏或接线松动；</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检查所有光电信号是否正常；</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DAEEF3"/>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定位光电系统损坏或连线松动</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检查异常光电电路器件和连线。</w:t>
            </w:r>
          </w:p>
        </w:tc>
      </w:tr>
      <w:tr>
        <w:tblPrEx>
          <w:tblCellMar>
            <w:top w:w="0" w:type="dxa"/>
            <w:left w:w="108" w:type="dxa"/>
            <w:bottom w:w="0" w:type="dxa"/>
            <w:right w:w="108" w:type="dxa"/>
          </w:tblCellMar>
        </w:tblPrEx>
        <w:trPr>
          <w:trHeight w:val="270" w:hRule="atLeast"/>
          <w:jc w:val="right"/>
        </w:trPr>
        <w:tc>
          <w:tcPr>
            <w:tcW w:w="897" w:type="dxa"/>
            <w:vMerge w:val="restart"/>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测量数据波动大</w:t>
            </w: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环境温度波动大；</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安装空调，设置环境温度25℃；</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环境温度高；</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安装空调，保证温度小于40℃；</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加热温度不稳定；</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重新连线、更换温度变送器或加热器；</w:t>
            </w:r>
          </w:p>
        </w:tc>
      </w:tr>
      <w:tr>
        <w:tblPrEx>
          <w:tblCellMar>
            <w:top w:w="0" w:type="dxa"/>
            <w:left w:w="108" w:type="dxa"/>
            <w:bottom w:w="0" w:type="dxa"/>
            <w:right w:w="108" w:type="dxa"/>
          </w:tblCellMar>
        </w:tblPrEx>
        <w:trPr>
          <w:trHeight w:val="54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测量值信号1比较稳定，信号2波动大于10mv</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检查计量器、取水样管、取试剂管是否漏气或有气泡，若有拧紧接头或更换管路；</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测量值或标定值吸光度不稳定</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检测信号1是否稳定，若否，则检测光源收发器；</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试剂污染；</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更换试剂；</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设备其他硬件故障。</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联系维护部门或者生产商售后技术；</w:t>
            </w:r>
          </w:p>
        </w:tc>
      </w:tr>
      <w:tr>
        <w:tblPrEx>
          <w:tblCellMar>
            <w:top w:w="0" w:type="dxa"/>
            <w:left w:w="108" w:type="dxa"/>
            <w:bottom w:w="0" w:type="dxa"/>
            <w:right w:w="108" w:type="dxa"/>
          </w:tblCellMar>
        </w:tblPrEx>
        <w:trPr>
          <w:trHeight w:val="540" w:hRule="atLeast"/>
          <w:jc w:val="right"/>
        </w:trPr>
        <w:tc>
          <w:tcPr>
            <w:tcW w:w="897"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试剂</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变质</w:t>
            </w: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观察颜色和平常见到的颜色不同，或者出现絮状沉淀物，说明已过期。</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更换试剂。</w:t>
            </w:r>
          </w:p>
        </w:tc>
      </w:tr>
      <w:tr>
        <w:tblPrEx>
          <w:tblCellMar>
            <w:top w:w="0" w:type="dxa"/>
            <w:left w:w="108" w:type="dxa"/>
            <w:bottom w:w="0" w:type="dxa"/>
            <w:right w:w="108" w:type="dxa"/>
          </w:tblCellMar>
        </w:tblPrEx>
        <w:trPr>
          <w:trHeight w:val="780" w:hRule="atLeast"/>
          <w:jc w:val="right"/>
        </w:trPr>
        <w:tc>
          <w:tcPr>
            <w:tcW w:w="897" w:type="dxa"/>
            <w:vMerge w:val="restart"/>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光信号基线太高</w:t>
            </w: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光电源或光纤原调整好的位置被移动引起基线升高，透光度太强。</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调整光源和光纤的位置，使基线在没有液体的状态下，光电压应在</w:t>
            </w:r>
            <w:r>
              <w:rPr>
                <w:rStyle w:val="44"/>
                <w:rFonts w:eastAsia="宋体"/>
                <w:sz w:val="21"/>
                <w:szCs w:val="21"/>
                <w:lang w:val="en-US" w:eastAsia="zh-CN" w:bidi="ar"/>
              </w:rPr>
              <w:t>1800</w:t>
            </w:r>
            <w:r>
              <w:rPr>
                <w:rStyle w:val="45"/>
                <w:sz w:val="21"/>
                <w:szCs w:val="21"/>
                <w:lang w:val="en-US" w:eastAsia="zh-CN" w:bidi="ar"/>
              </w:rPr>
              <w:t>±3</w:t>
            </w:r>
            <w:r>
              <w:rPr>
                <w:rStyle w:val="44"/>
                <w:rFonts w:eastAsia="宋体"/>
                <w:sz w:val="21"/>
                <w:szCs w:val="21"/>
                <w:lang w:val="en-US" w:eastAsia="zh-CN" w:bidi="ar"/>
              </w:rPr>
              <w:t>00mV</w:t>
            </w:r>
            <w:r>
              <w:rPr>
                <w:rStyle w:val="45"/>
                <w:sz w:val="21"/>
                <w:szCs w:val="21"/>
                <w:lang w:val="en-US" w:eastAsia="zh-CN" w:bidi="ar"/>
              </w:rPr>
              <w:t>左右。在有纯水的状态下，光电压应在2000~3500mv以内；</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光信号一直在10或者100左右跳动</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检查光纤信号是否太高，调节滑动电阻（逆时针调小）。</w:t>
            </w:r>
          </w:p>
        </w:tc>
      </w:tr>
      <w:tr>
        <w:tblPrEx>
          <w:tblCellMar>
            <w:top w:w="0" w:type="dxa"/>
            <w:left w:w="108" w:type="dxa"/>
            <w:bottom w:w="0" w:type="dxa"/>
            <w:right w:w="108" w:type="dxa"/>
          </w:tblCellMar>
        </w:tblPrEx>
        <w:trPr>
          <w:trHeight w:val="540" w:hRule="atLeast"/>
          <w:jc w:val="right"/>
        </w:trPr>
        <w:tc>
          <w:tcPr>
            <w:tcW w:w="897" w:type="dxa"/>
            <w:vMerge w:val="restart"/>
            <w:tcBorders>
              <w:top w:val="single" w:color="4F81BD" w:sz="4" w:space="0"/>
              <w:left w:val="single" w:color="4F81BD" w:sz="4" w:space="0"/>
              <w:bottom w:val="single" w:color="4F81BD" w:sz="4" w:space="0"/>
              <w:right w:val="single" w:color="4F81BD" w:sz="4" w:space="0"/>
            </w:tcBorders>
            <w:shd w:val="clear" w:color="auto" w:fill="DAEEF3"/>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测定标准样品准确，但测定实际水样不准确</w:t>
            </w: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反应温度不够高或反应时间不足；</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若是被测水样含有特别难以消解的物质，则应试验提高反应温度，找出最佳温度值或者延长加热消解的时间；</w:t>
            </w:r>
          </w:p>
        </w:tc>
      </w:tr>
      <w:tr>
        <w:tblPrEx>
          <w:tblCellMar>
            <w:top w:w="0" w:type="dxa"/>
            <w:left w:w="108" w:type="dxa"/>
            <w:bottom w:w="0" w:type="dxa"/>
            <w:right w:w="108" w:type="dxa"/>
          </w:tblCellMar>
        </w:tblPrEx>
        <w:trPr>
          <w:trHeight w:val="54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DAEEF3"/>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水样基体复杂，具有干扰；</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其他金属离子一般不干扰，但如果浓度太高也会影响测定，可适量提高掩蔽剂的含量；</w:t>
            </w:r>
          </w:p>
        </w:tc>
      </w:tr>
      <w:tr>
        <w:tblPrEx>
          <w:tblCellMar>
            <w:top w:w="0" w:type="dxa"/>
            <w:left w:w="108" w:type="dxa"/>
            <w:bottom w:w="0" w:type="dxa"/>
            <w:right w:w="108" w:type="dxa"/>
          </w:tblCellMar>
        </w:tblPrEx>
        <w:trPr>
          <w:trHeight w:val="27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DAEEF3"/>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标准液不准。</w:t>
            </w:r>
          </w:p>
        </w:tc>
        <w:tc>
          <w:tcPr>
            <w:tcW w:w="4950" w:type="dxa"/>
            <w:tcBorders>
              <w:top w:val="single" w:color="4F81BD" w:sz="4" w:space="0"/>
              <w:left w:val="single" w:color="4F81BD" w:sz="4" w:space="0"/>
              <w:bottom w:val="single" w:color="4F81BD" w:sz="4" w:space="0"/>
              <w:right w:val="single" w:color="4F81BD"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用国家标准液来验证自己配制的标定液和标准液是否正确；</w:t>
            </w:r>
          </w:p>
        </w:tc>
      </w:tr>
      <w:tr>
        <w:tblPrEx>
          <w:tblCellMar>
            <w:top w:w="0" w:type="dxa"/>
            <w:left w:w="108" w:type="dxa"/>
            <w:bottom w:w="0" w:type="dxa"/>
            <w:right w:w="108" w:type="dxa"/>
          </w:tblCellMar>
        </w:tblPrEx>
        <w:trPr>
          <w:trHeight w:val="540" w:hRule="atLeast"/>
          <w:jc w:val="right"/>
        </w:trPr>
        <w:tc>
          <w:tcPr>
            <w:tcW w:w="897" w:type="dxa"/>
            <w:vMerge w:val="restart"/>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八通阀某个通道堵塞</w:t>
            </w:r>
          </w:p>
        </w:tc>
        <w:tc>
          <w:tcPr>
            <w:tcW w:w="3658"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通道电磁阀指示灯不亮</w:t>
            </w:r>
          </w:p>
        </w:tc>
        <w:tc>
          <w:tcPr>
            <w:tcW w:w="4950" w:type="dxa"/>
            <w:tcBorders>
              <w:top w:val="single" w:color="4F81BD" w:sz="4" w:space="0"/>
              <w:left w:val="single" w:color="4F81BD" w:sz="4" w:space="0"/>
              <w:bottom w:val="single" w:color="4F81BD" w:sz="4" w:space="0"/>
              <w:right w:val="single" w:color="4F81BD" w:sz="4" w:space="0"/>
            </w:tcBorders>
            <w:shd w:val="clear" w:color="DCE6F1" w:fill="DCE6F1"/>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检查接线是否牢固，供电是否有24V DC，若电压不正常，检查线路；若电压正常，更换电磁阀；</w:t>
            </w:r>
          </w:p>
        </w:tc>
      </w:tr>
      <w:tr>
        <w:tblPrEx>
          <w:tblCellMar>
            <w:top w:w="0" w:type="dxa"/>
            <w:left w:w="108" w:type="dxa"/>
            <w:bottom w:w="0" w:type="dxa"/>
            <w:right w:w="108" w:type="dxa"/>
          </w:tblCellMar>
        </w:tblPrEx>
        <w:trPr>
          <w:trHeight w:val="540" w:hRule="atLeast"/>
          <w:jc w:val="right"/>
        </w:trPr>
        <w:tc>
          <w:tcPr>
            <w:tcW w:w="897" w:type="dxa"/>
            <w:vMerge w:val="continue"/>
            <w:tcBorders>
              <w:top w:val="single" w:color="4F81BD" w:sz="4" w:space="0"/>
              <w:left w:val="single" w:color="4F81BD" w:sz="4" w:space="0"/>
              <w:bottom w:val="single" w:color="4F81BD" w:sz="4" w:space="0"/>
              <w:right w:val="single" w:color="4F81BD"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58"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通道电磁阀指示灯亮,阀芯或密封圈损坏</w:t>
            </w:r>
          </w:p>
        </w:tc>
        <w:tc>
          <w:tcPr>
            <w:tcW w:w="4950" w:type="dxa"/>
            <w:tcBorders>
              <w:top w:val="single" w:color="4F81BD" w:sz="4" w:space="0"/>
              <w:left w:val="single" w:color="4F81BD" w:sz="4" w:space="0"/>
              <w:bottom w:val="single" w:color="4F81BD" w:sz="4" w:space="0"/>
              <w:right w:val="single" w:color="4F81BD"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检查对应通道阀的阀芯，拆下阀体后查看密封圈情况，更换密封圈；或者更换整个阀体。</w:t>
            </w:r>
          </w:p>
        </w:tc>
      </w:tr>
    </w:tbl>
    <w:p>
      <w:pPr>
        <w:spacing w:line="360" w:lineRule="auto"/>
        <w:ind w:firstLine="420" w:firstLineChars="200"/>
      </w:pPr>
    </w:p>
    <w:p>
      <w:pPr>
        <w:spacing w:line="360" w:lineRule="auto"/>
        <w:ind w:firstLine="420" w:firstLineChars="200"/>
        <w:rPr>
          <w:sz w:val="24"/>
          <w:szCs w:val="24"/>
          <w:u w:val="single"/>
        </w:rPr>
      </w:pPr>
      <w:r>
        <w:drawing>
          <wp:inline distT="0" distB="0" distL="114300" distR="114300">
            <wp:extent cx="371475" cy="333375"/>
            <wp:effectExtent l="0" t="0" r="9525" b="9525"/>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8"/>
                    <a:stretch>
                      <a:fillRect/>
                    </a:stretch>
                  </pic:blipFill>
                  <pic:spPr>
                    <a:xfrm>
                      <a:off x="0" y="0"/>
                      <a:ext cx="371475" cy="333375"/>
                    </a:xfrm>
                    <a:prstGeom prst="rect">
                      <a:avLst/>
                    </a:prstGeom>
                    <a:noFill/>
                    <a:ln>
                      <a:noFill/>
                    </a:ln>
                  </pic:spPr>
                </pic:pic>
              </a:graphicData>
            </a:graphic>
          </wp:inline>
        </w:drawing>
      </w:r>
      <w:r>
        <w:rPr>
          <w:rFonts w:hint="eastAsia"/>
          <w:sz w:val="24"/>
          <w:szCs w:val="24"/>
          <w:lang w:eastAsia="zh-CN"/>
        </w:rPr>
        <w:t>注意：</w:t>
      </w:r>
      <w:r>
        <w:rPr>
          <w:rFonts w:hint="eastAsia"/>
          <w:sz w:val="24"/>
          <w:szCs w:val="24"/>
          <w:u w:val="single"/>
          <w:lang w:eastAsia="zh-CN"/>
        </w:rPr>
        <w:t>仪常见的报警故障信息，请按故障处理解决方法执行，若不懂或有超纲故障请及时拨打仪器售后服务电话处理</w:t>
      </w:r>
      <w:r>
        <w:rPr>
          <w:rFonts w:hint="eastAsia"/>
          <w:sz w:val="24"/>
          <w:szCs w:val="24"/>
          <w:u w:val="single"/>
        </w:rPr>
        <w:t>。</w:t>
      </w:r>
    </w:p>
    <w:p>
      <w:pPr>
        <w:widowControl/>
        <w:jc w:val="left"/>
        <w:sectPr>
          <w:pgSz w:w="11906" w:h="16838"/>
          <w:pgMar w:top="1440" w:right="1080" w:bottom="1440" w:left="1080" w:header="851" w:footer="992" w:gutter="0"/>
          <w:cols w:space="425" w:num="1"/>
          <w:docGrid w:type="lines" w:linePitch="312" w:charSpace="0"/>
        </w:sectPr>
      </w:pPr>
    </w:p>
    <w:p>
      <w:pPr>
        <w:pStyle w:val="2"/>
      </w:pPr>
      <w:bookmarkStart w:id="28" w:name="_Toc31182"/>
      <w:r>
        <w:rPr>
          <w:rFonts w:hint="eastAsia"/>
        </w:rPr>
        <w:t>维护计划</w:t>
      </w:r>
      <w:bookmarkEnd w:id="28"/>
    </w:p>
    <w:p>
      <w:pPr>
        <w:pStyle w:val="3"/>
      </w:pPr>
      <w:bookmarkStart w:id="29" w:name="_Toc24556"/>
      <w:r>
        <w:rPr>
          <w:rFonts w:hint="eastAsia"/>
        </w:rPr>
        <w:t>短期关机后开始运行的维护</w:t>
      </w:r>
      <w:bookmarkEnd w:id="29"/>
    </w:p>
    <w:p>
      <w:pPr>
        <w:pStyle w:val="41"/>
        <w:numPr>
          <w:ilvl w:val="0"/>
          <w:numId w:val="3"/>
        </w:numPr>
        <w:spacing w:line="360" w:lineRule="auto"/>
        <w:ind w:firstLineChars="0"/>
        <w:rPr>
          <w:sz w:val="24"/>
          <w:szCs w:val="24"/>
        </w:rPr>
      </w:pPr>
      <w:r>
        <w:rPr>
          <w:rFonts w:hint="eastAsia"/>
          <w:sz w:val="24"/>
          <w:szCs w:val="24"/>
        </w:rPr>
        <w:t>检查水样供应系统，观察水泵和进样系统是否正常。</w:t>
      </w:r>
    </w:p>
    <w:p>
      <w:pPr>
        <w:pStyle w:val="41"/>
        <w:numPr>
          <w:ilvl w:val="0"/>
          <w:numId w:val="3"/>
        </w:numPr>
        <w:spacing w:line="360" w:lineRule="auto"/>
        <w:ind w:firstLineChars="0"/>
        <w:rPr>
          <w:sz w:val="24"/>
          <w:szCs w:val="24"/>
        </w:rPr>
      </w:pPr>
      <w:r>
        <w:rPr>
          <w:rFonts w:hint="eastAsia"/>
          <w:sz w:val="24"/>
          <w:szCs w:val="24"/>
        </w:rPr>
        <w:t>对仪器进行标定，按照快速使用流程校正分析仪。</w:t>
      </w:r>
    </w:p>
    <w:p>
      <w:pPr>
        <w:pStyle w:val="41"/>
        <w:numPr>
          <w:ilvl w:val="0"/>
          <w:numId w:val="3"/>
        </w:numPr>
        <w:spacing w:line="360" w:lineRule="auto"/>
        <w:ind w:firstLineChars="0"/>
        <w:rPr>
          <w:sz w:val="24"/>
          <w:szCs w:val="24"/>
        </w:rPr>
      </w:pPr>
      <w:r>
        <w:rPr>
          <w:rFonts w:hint="eastAsia"/>
          <w:sz w:val="24"/>
          <w:szCs w:val="24"/>
        </w:rPr>
        <w:t>开始测量模式，观察一个测量循环并检查结果。</w:t>
      </w:r>
    </w:p>
    <w:p>
      <w:pPr>
        <w:pStyle w:val="3"/>
      </w:pPr>
      <w:bookmarkStart w:id="30" w:name="_Toc276"/>
      <w:r>
        <w:rPr>
          <w:rFonts w:hint="eastAsia"/>
        </w:rPr>
        <w:t>每周保养维护</w:t>
      </w:r>
      <w:bookmarkEnd w:id="30"/>
    </w:p>
    <w:p>
      <w:pPr>
        <w:pStyle w:val="41"/>
        <w:numPr>
          <w:ilvl w:val="0"/>
          <w:numId w:val="3"/>
        </w:numPr>
        <w:spacing w:line="360" w:lineRule="auto"/>
        <w:ind w:firstLineChars="0"/>
        <w:rPr>
          <w:sz w:val="24"/>
          <w:szCs w:val="24"/>
        </w:rPr>
      </w:pPr>
      <w:r>
        <w:rPr>
          <w:rFonts w:hint="eastAsia"/>
          <w:sz w:val="24"/>
          <w:szCs w:val="24"/>
        </w:rPr>
        <w:t>检查</w:t>
      </w:r>
      <w:r>
        <w:rPr>
          <w:rFonts w:hint="eastAsia"/>
          <w:sz w:val="24"/>
          <w:szCs w:val="24"/>
          <w:lang w:eastAsia="zh-CN"/>
        </w:rPr>
        <w:t>采</w:t>
      </w:r>
      <w:r>
        <w:rPr>
          <w:rFonts w:hint="eastAsia"/>
          <w:sz w:val="24"/>
          <w:szCs w:val="24"/>
        </w:rPr>
        <w:t>样水泵进出水口，</w:t>
      </w:r>
      <w:r>
        <w:rPr>
          <w:rFonts w:hint="eastAsia"/>
          <w:sz w:val="24"/>
          <w:szCs w:val="24"/>
          <w:lang w:eastAsia="zh-CN"/>
        </w:rPr>
        <w:t>清洗过滤器，</w:t>
      </w:r>
      <w:r>
        <w:rPr>
          <w:rFonts w:hint="eastAsia"/>
          <w:sz w:val="24"/>
          <w:szCs w:val="24"/>
        </w:rPr>
        <w:t>并确保顺畅。</w:t>
      </w:r>
    </w:p>
    <w:p>
      <w:pPr>
        <w:pStyle w:val="41"/>
        <w:numPr>
          <w:ilvl w:val="0"/>
          <w:numId w:val="3"/>
        </w:numPr>
        <w:spacing w:line="360" w:lineRule="auto"/>
        <w:ind w:firstLineChars="0"/>
        <w:rPr>
          <w:sz w:val="24"/>
          <w:szCs w:val="24"/>
        </w:rPr>
      </w:pPr>
      <w:r>
        <w:rPr>
          <w:rFonts w:hint="eastAsia"/>
          <w:sz w:val="24"/>
          <w:szCs w:val="24"/>
        </w:rPr>
        <w:t>检查空调的运行状态</w:t>
      </w:r>
      <w:r>
        <w:rPr>
          <w:rFonts w:hint="eastAsia"/>
          <w:sz w:val="24"/>
          <w:szCs w:val="24"/>
          <w:lang w:eastAsia="zh-CN"/>
        </w:rPr>
        <w:t>，检查室内温度是否恒温在</w:t>
      </w:r>
      <w:r>
        <w:rPr>
          <w:rFonts w:hint="eastAsia"/>
          <w:sz w:val="24"/>
          <w:szCs w:val="24"/>
          <w:lang w:val="en-US" w:eastAsia="zh-CN"/>
        </w:rPr>
        <w:t>26℃</w:t>
      </w:r>
      <w:r>
        <w:rPr>
          <w:rFonts w:hint="eastAsia"/>
          <w:sz w:val="24"/>
          <w:szCs w:val="24"/>
        </w:rPr>
        <w:t>。</w:t>
      </w:r>
    </w:p>
    <w:p>
      <w:pPr>
        <w:pStyle w:val="41"/>
        <w:numPr>
          <w:ilvl w:val="0"/>
          <w:numId w:val="3"/>
        </w:numPr>
        <w:spacing w:line="360" w:lineRule="auto"/>
        <w:ind w:firstLineChars="0"/>
        <w:rPr>
          <w:sz w:val="24"/>
          <w:szCs w:val="24"/>
        </w:rPr>
      </w:pPr>
      <w:r>
        <w:rPr>
          <w:rFonts w:hint="eastAsia"/>
          <w:sz w:val="24"/>
          <w:szCs w:val="24"/>
        </w:rPr>
        <w:t>检查各试剂</w:t>
      </w:r>
      <w:r>
        <w:rPr>
          <w:rFonts w:hint="eastAsia"/>
          <w:sz w:val="24"/>
          <w:szCs w:val="24"/>
          <w:lang w:eastAsia="zh-CN"/>
        </w:rPr>
        <w:t>剩余量</w:t>
      </w:r>
      <w:r>
        <w:rPr>
          <w:rFonts w:hint="eastAsia"/>
          <w:sz w:val="24"/>
          <w:szCs w:val="24"/>
        </w:rPr>
        <w:t>并</w:t>
      </w:r>
      <w:r>
        <w:rPr>
          <w:rFonts w:hint="eastAsia"/>
          <w:sz w:val="24"/>
          <w:szCs w:val="24"/>
          <w:lang w:eastAsia="zh-CN"/>
        </w:rPr>
        <w:t>及时更换或</w:t>
      </w:r>
      <w:r>
        <w:rPr>
          <w:rFonts w:hint="eastAsia"/>
          <w:sz w:val="24"/>
          <w:szCs w:val="24"/>
        </w:rPr>
        <w:t>补充，以免试剂用完影响测定。</w:t>
      </w:r>
    </w:p>
    <w:p>
      <w:pPr>
        <w:pStyle w:val="41"/>
        <w:numPr>
          <w:ilvl w:val="0"/>
          <w:numId w:val="3"/>
        </w:numPr>
        <w:spacing w:line="360" w:lineRule="auto"/>
        <w:ind w:firstLineChars="0"/>
        <w:rPr>
          <w:sz w:val="24"/>
          <w:szCs w:val="24"/>
        </w:rPr>
      </w:pPr>
      <w:r>
        <w:rPr>
          <w:rFonts w:hint="eastAsia"/>
          <w:sz w:val="24"/>
          <w:szCs w:val="24"/>
        </w:rPr>
        <w:t>检查废液</w:t>
      </w:r>
      <w:r>
        <w:rPr>
          <w:rFonts w:hint="eastAsia"/>
          <w:sz w:val="24"/>
          <w:szCs w:val="24"/>
          <w:lang w:eastAsia="zh-CN"/>
        </w:rPr>
        <w:t>桶</w:t>
      </w:r>
      <w:r>
        <w:rPr>
          <w:rFonts w:hint="eastAsia"/>
          <w:sz w:val="24"/>
          <w:szCs w:val="24"/>
        </w:rPr>
        <w:t>内废液存量，确保废液</w:t>
      </w:r>
      <w:r>
        <w:rPr>
          <w:rFonts w:hint="eastAsia"/>
          <w:sz w:val="24"/>
          <w:szCs w:val="24"/>
          <w:lang w:eastAsia="zh-CN"/>
        </w:rPr>
        <w:t>桶</w:t>
      </w:r>
      <w:r>
        <w:rPr>
          <w:rFonts w:hint="eastAsia"/>
          <w:sz w:val="24"/>
          <w:szCs w:val="24"/>
        </w:rPr>
        <w:t>内的废液不会接触废液管底端，如已满，请及时处理排除，切勿造成废液溢流。</w:t>
      </w:r>
    </w:p>
    <w:p>
      <w:pPr>
        <w:pStyle w:val="41"/>
        <w:numPr>
          <w:ilvl w:val="0"/>
          <w:numId w:val="3"/>
        </w:numPr>
        <w:spacing w:line="360" w:lineRule="auto"/>
        <w:ind w:firstLineChars="0"/>
        <w:rPr>
          <w:sz w:val="24"/>
          <w:szCs w:val="24"/>
        </w:rPr>
      </w:pPr>
      <w:r>
        <w:rPr>
          <w:rFonts w:hint="eastAsia"/>
          <w:sz w:val="24"/>
          <w:szCs w:val="24"/>
          <w:lang w:eastAsia="zh-CN"/>
        </w:rPr>
        <w:t>检查换气溢流瓶的液体量，若有请排空。</w:t>
      </w:r>
    </w:p>
    <w:p>
      <w:pPr>
        <w:pStyle w:val="41"/>
        <w:numPr>
          <w:ilvl w:val="0"/>
          <w:numId w:val="3"/>
        </w:numPr>
        <w:spacing w:line="360" w:lineRule="auto"/>
        <w:ind w:firstLineChars="0"/>
        <w:rPr>
          <w:sz w:val="24"/>
          <w:szCs w:val="24"/>
        </w:rPr>
      </w:pPr>
      <w:r>
        <w:rPr>
          <w:rFonts w:hint="eastAsia"/>
          <w:sz w:val="24"/>
          <w:szCs w:val="24"/>
          <w:lang w:eastAsia="zh-CN"/>
        </w:rPr>
        <w:t>标液核查</w:t>
      </w:r>
      <w:r>
        <w:rPr>
          <w:rFonts w:hint="eastAsia"/>
          <w:sz w:val="24"/>
          <w:szCs w:val="24"/>
        </w:rPr>
        <w:t>，观察一个测量循环检查结果。</w:t>
      </w:r>
    </w:p>
    <w:p>
      <w:pPr>
        <w:pStyle w:val="41"/>
        <w:numPr>
          <w:ilvl w:val="0"/>
          <w:numId w:val="3"/>
        </w:numPr>
        <w:spacing w:line="360" w:lineRule="auto"/>
        <w:ind w:firstLineChars="0"/>
        <w:rPr>
          <w:sz w:val="24"/>
          <w:szCs w:val="24"/>
        </w:rPr>
      </w:pPr>
      <w:r>
        <w:rPr>
          <w:rFonts w:hint="eastAsia"/>
          <w:sz w:val="24"/>
          <w:szCs w:val="24"/>
          <w:lang w:eastAsia="zh-CN"/>
        </w:rPr>
        <w:t>手动测量考核标液，</w:t>
      </w:r>
      <w:r>
        <w:rPr>
          <w:rFonts w:hint="eastAsia"/>
          <w:sz w:val="24"/>
          <w:szCs w:val="24"/>
        </w:rPr>
        <w:t>开始</w:t>
      </w:r>
      <w:r>
        <w:rPr>
          <w:rFonts w:hint="eastAsia"/>
          <w:sz w:val="24"/>
          <w:szCs w:val="24"/>
          <w:lang w:eastAsia="zh-CN"/>
        </w:rPr>
        <w:t>定时</w:t>
      </w:r>
      <w:r>
        <w:rPr>
          <w:rFonts w:hint="eastAsia"/>
          <w:sz w:val="24"/>
          <w:szCs w:val="24"/>
        </w:rPr>
        <w:t>测量模式。</w:t>
      </w:r>
    </w:p>
    <w:p>
      <w:pPr>
        <w:pStyle w:val="3"/>
      </w:pPr>
      <w:bookmarkStart w:id="31" w:name="_Toc9729"/>
      <w:r>
        <w:rPr>
          <w:rFonts w:hint="eastAsia"/>
        </w:rPr>
        <w:t>每月保养维护</w:t>
      </w:r>
      <w:bookmarkEnd w:id="31"/>
    </w:p>
    <w:p>
      <w:pPr>
        <w:pStyle w:val="41"/>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480" w:firstLineChars="200"/>
        <w:textAlignment w:val="auto"/>
        <w:rPr>
          <w:sz w:val="24"/>
          <w:szCs w:val="24"/>
        </w:rPr>
      </w:pPr>
      <w:r>
        <w:rPr>
          <w:rFonts w:hint="eastAsia"/>
          <w:sz w:val="24"/>
          <w:szCs w:val="24"/>
          <w:lang w:eastAsia="zh-CN"/>
        </w:rPr>
        <w:t>检查分析流路管路接头是否松动，做好除尘。</w:t>
      </w:r>
    </w:p>
    <w:p>
      <w:pPr>
        <w:pStyle w:val="41"/>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480" w:firstLineChars="200"/>
        <w:textAlignment w:val="auto"/>
        <w:rPr>
          <w:sz w:val="24"/>
          <w:szCs w:val="24"/>
        </w:rPr>
      </w:pPr>
      <w:r>
        <w:rPr>
          <w:rFonts w:hint="eastAsia"/>
          <w:sz w:val="24"/>
          <w:szCs w:val="24"/>
        </w:rPr>
        <w:t>检查</w:t>
      </w:r>
      <w:r>
        <w:rPr>
          <w:rFonts w:hint="eastAsia"/>
          <w:sz w:val="24"/>
          <w:szCs w:val="24"/>
          <w:lang w:eastAsia="zh-CN"/>
        </w:rPr>
        <w:t>消解</w:t>
      </w:r>
      <w:r>
        <w:rPr>
          <w:rFonts w:hint="eastAsia"/>
          <w:sz w:val="24"/>
          <w:szCs w:val="24"/>
        </w:rPr>
        <w:t>池</w:t>
      </w:r>
      <w:r>
        <w:rPr>
          <w:rFonts w:hint="eastAsia"/>
          <w:sz w:val="24"/>
          <w:szCs w:val="24"/>
          <w:lang w:eastAsia="zh-CN"/>
        </w:rPr>
        <w:t>的消解管的</w:t>
      </w:r>
      <w:r>
        <w:rPr>
          <w:rFonts w:hint="eastAsia"/>
          <w:sz w:val="24"/>
          <w:szCs w:val="24"/>
        </w:rPr>
        <w:t>洁净程度，当光电压信号低于</w:t>
      </w:r>
      <w:r>
        <w:rPr>
          <w:rFonts w:hint="eastAsia"/>
          <w:sz w:val="24"/>
          <w:szCs w:val="24"/>
          <w:lang w:val="en-US" w:eastAsia="zh-CN"/>
        </w:rPr>
        <w:t>1</w:t>
      </w:r>
      <w:r>
        <w:rPr>
          <w:rFonts w:hint="eastAsia"/>
          <w:sz w:val="24"/>
          <w:szCs w:val="24"/>
        </w:rPr>
        <w:t>600</w:t>
      </w:r>
      <w:r>
        <w:rPr>
          <w:rFonts w:hint="eastAsia"/>
          <w:sz w:val="24"/>
          <w:szCs w:val="24"/>
          <w:lang w:val="en-US" w:eastAsia="zh-CN"/>
        </w:rPr>
        <w:t>nm（测量记录信号3的值）</w:t>
      </w:r>
      <w:r>
        <w:rPr>
          <w:rFonts w:hint="eastAsia"/>
          <w:sz w:val="24"/>
          <w:szCs w:val="24"/>
        </w:rPr>
        <w:t>时，请执行“手动清洗”，再用蒸馏水清洗一遍，如清洗结束后，消解管仍然无法清除干净，请</w:t>
      </w:r>
      <w:r>
        <w:rPr>
          <w:rFonts w:hint="eastAsia"/>
          <w:sz w:val="24"/>
          <w:szCs w:val="24"/>
          <w:lang w:eastAsia="zh-CN"/>
        </w:rPr>
        <w:t>用</w:t>
      </w:r>
      <w:r>
        <w:rPr>
          <w:rFonts w:hint="eastAsia"/>
          <w:sz w:val="24"/>
          <w:szCs w:val="24"/>
          <w:lang w:val="en-US" w:eastAsia="zh-CN"/>
        </w:rPr>
        <w:t>30%的氢氧化钠溶液插入水样管内，进行“取水样”操作清洗</w:t>
      </w:r>
      <w:r>
        <w:rPr>
          <w:rFonts w:hint="eastAsia"/>
          <w:sz w:val="24"/>
          <w:szCs w:val="24"/>
        </w:rPr>
        <w:t>。如清洗</w:t>
      </w:r>
      <w:r>
        <w:rPr>
          <w:rFonts w:hint="eastAsia"/>
          <w:sz w:val="24"/>
          <w:szCs w:val="24"/>
          <w:lang w:eastAsia="zh-CN"/>
        </w:rPr>
        <w:t>干净</w:t>
      </w:r>
      <w:r>
        <w:rPr>
          <w:rFonts w:hint="eastAsia"/>
          <w:sz w:val="24"/>
          <w:szCs w:val="24"/>
        </w:rPr>
        <w:t>后光电压</w:t>
      </w:r>
      <w:r>
        <w:rPr>
          <w:rFonts w:hint="eastAsia"/>
          <w:sz w:val="24"/>
          <w:szCs w:val="24"/>
          <w:lang w:eastAsia="zh-CN"/>
        </w:rPr>
        <w:t>信号</w:t>
      </w:r>
      <w:r>
        <w:rPr>
          <w:rFonts w:hint="eastAsia"/>
          <w:sz w:val="24"/>
          <w:szCs w:val="24"/>
        </w:rPr>
        <w:t>还是较低，则可以将发光光源的电流调大，以增大光电压值。</w:t>
      </w:r>
    </w:p>
    <w:p>
      <w:pPr>
        <w:pStyle w:val="41"/>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480" w:firstLineChars="200"/>
        <w:textAlignment w:val="auto"/>
        <w:rPr>
          <w:sz w:val="24"/>
          <w:szCs w:val="24"/>
        </w:rPr>
      </w:pPr>
      <w:r>
        <w:rPr>
          <w:rFonts w:hint="eastAsia"/>
          <w:sz w:val="24"/>
          <w:szCs w:val="24"/>
          <w:lang w:eastAsia="zh-CN"/>
        </w:rPr>
        <w:t>检查计量管的洁净程度，当计量管内有污垢及其他残留物时，</w:t>
      </w:r>
      <w:r>
        <w:rPr>
          <w:rFonts w:hint="eastAsia"/>
          <w:sz w:val="24"/>
          <w:szCs w:val="24"/>
        </w:rPr>
        <w:t>请执行“手动清洗”用蒸馏水清洗一遍，如清洗结束后，</w:t>
      </w:r>
      <w:r>
        <w:rPr>
          <w:rFonts w:hint="eastAsia"/>
          <w:sz w:val="24"/>
          <w:szCs w:val="24"/>
          <w:lang w:eastAsia="zh-CN"/>
        </w:rPr>
        <w:t>计量管</w:t>
      </w:r>
      <w:r>
        <w:rPr>
          <w:rFonts w:hint="eastAsia"/>
          <w:sz w:val="24"/>
          <w:szCs w:val="24"/>
        </w:rPr>
        <w:t>仍然无法清除干净，请关机后把</w:t>
      </w:r>
      <w:r>
        <w:rPr>
          <w:rFonts w:hint="eastAsia"/>
          <w:sz w:val="24"/>
          <w:szCs w:val="24"/>
          <w:lang w:eastAsia="zh-CN"/>
        </w:rPr>
        <w:t>计量</w:t>
      </w:r>
      <w:r>
        <w:rPr>
          <w:rFonts w:hint="eastAsia"/>
          <w:sz w:val="24"/>
          <w:szCs w:val="24"/>
        </w:rPr>
        <w:t>管拆下手动刷洗。</w:t>
      </w:r>
    </w:p>
    <w:p>
      <w:pPr>
        <w:pStyle w:val="41"/>
        <w:numPr>
          <w:ilvl w:val="0"/>
          <w:numId w:val="3"/>
        </w:numPr>
        <w:spacing w:line="360" w:lineRule="auto"/>
        <w:ind w:firstLineChars="0"/>
        <w:rPr>
          <w:sz w:val="24"/>
          <w:szCs w:val="24"/>
        </w:rPr>
      </w:pPr>
      <w:r>
        <w:rPr>
          <w:rFonts w:hint="eastAsia"/>
          <w:sz w:val="24"/>
          <w:szCs w:val="24"/>
        </w:rPr>
        <w:t>清洗试剂瓶及废液瓶，处理掉废液。</w:t>
      </w:r>
    </w:p>
    <w:p>
      <w:pPr>
        <w:pStyle w:val="41"/>
        <w:numPr>
          <w:ilvl w:val="0"/>
          <w:numId w:val="3"/>
        </w:numPr>
        <w:spacing w:line="360" w:lineRule="auto"/>
        <w:ind w:firstLineChars="0"/>
        <w:rPr>
          <w:sz w:val="24"/>
          <w:szCs w:val="24"/>
        </w:rPr>
      </w:pPr>
      <w:r>
        <w:rPr>
          <w:rFonts w:hint="eastAsia"/>
          <w:sz w:val="24"/>
          <w:szCs w:val="24"/>
        </w:rPr>
        <w:t>准备试剂，</w:t>
      </w:r>
      <w:r>
        <w:rPr>
          <w:rFonts w:hint="eastAsia"/>
          <w:sz w:val="24"/>
          <w:szCs w:val="24"/>
          <w:lang w:eastAsia="zh-CN"/>
        </w:rPr>
        <w:t>更换试剂和标液。</w:t>
      </w:r>
    </w:p>
    <w:p>
      <w:pPr>
        <w:pStyle w:val="41"/>
        <w:numPr>
          <w:ilvl w:val="0"/>
          <w:numId w:val="3"/>
        </w:numPr>
        <w:spacing w:line="360" w:lineRule="auto"/>
        <w:ind w:firstLineChars="0"/>
        <w:rPr>
          <w:sz w:val="24"/>
          <w:szCs w:val="24"/>
        </w:rPr>
      </w:pPr>
      <w:r>
        <w:rPr>
          <w:rFonts w:hint="eastAsia"/>
          <w:sz w:val="24"/>
          <w:szCs w:val="24"/>
        </w:rPr>
        <w:t>校正仪器，</w:t>
      </w:r>
      <w:r>
        <w:rPr>
          <w:rFonts w:hint="eastAsia"/>
          <w:sz w:val="24"/>
          <w:szCs w:val="24"/>
          <w:lang w:eastAsia="zh-CN"/>
        </w:rPr>
        <w:t>确认标定曲线</w:t>
      </w:r>
      <w:r>
        <w:rPr>
          <w:rFonts w:hint="eastAsia"/>
          <w:sz w:val="24"/>
          <w:szCs w:val="24"/>
        </w:rPr>
        <w:t>。</w:t>
      </w:r>
    </w:p>
    <w:p>
      <w:pPr>
        <w:pStyle w:val="41"/>
        <w:numPr>
          <w:ilvl w:val="0"/>
          <w:numId w:val="3"/>
        </w:numPr>
        <w:spacing w:line="360" w:lineRule="auto"/>
        <w:ind w:firstLineChars="0"/>
        <w:rPr>
          <w:sz w:val="24"/>
          <w:szCs w:val="24"/>
        </w:rPr>
      </w:pPr>
      <w:r>
        <w:rPr>
          <w:rFonts w:hint="eastAsia"/>
          <w:sz w:val="24"/>
          <w:szCs w:val="24"/>
          <w:lang w:eastAsia="zh-CN"/>
        </w:rPr>
        <w:t>手动测量考核标液，</w:t>
      </w:r>
      <w:r>
        <w:rPr>
          <w:rFonts w:hint="eastAsia"/>
          <w:sz w:val="24"/>
          <w:szCs w:val="24"/>
        </w:rPr>
        <w:t>开始</w:t>
      </w:r>
      <w:r>
        <w:rPr>
          <w:rFonts w:hint="eastAsia"/>
          <w:sz w:val="24"/>
          <w:szCs w:val="24"/>
          <w:lang w:eastAsia="zh-CN"/>
        </w:rPr>
        <w:t>定时</w:t>
      </w:r>
      <w:r>
        <w:rPr>
          <w:rFonts w:hint="eastAsia"/>
          <w:sz w:val="24"/>
          <w:szCs w:val="24"/>
        </w:rPr>
        <w:t>测量模式。</w:t>
      </w:r>
    </w:p>
    <w:p>
      <w:pPr>
        <w:pStyle w:val="3"/>
      </w:pPr>
      <w:bookmarkStart w:id="32" w:name="_Toc21823"/>
      <w:r>
        <w:rPr>
          <w:rFonts w:hint="eastAsia"/>
        </w:rPr>
        <w:t>季度保养维护</w:t>
      </w:r>
      <w:bookmarkEnd w:id="32"/>
    </w:p>
    <w:p>
      <w:pPr>
        <w:pStyle w:val="41"/>
        <w:numPr>
          <w:ilvl w:val="0"/>
          <w:numId w:val="3"/>
        </w:numPr>
        <w:spacing w:line="360" w:lineRule="auto"/>
        <w:ind w:firstLineChars="0"/>
        <w:rPr>
          <w:sz w:val="24"/>
          <w:szCs w:val="24"/>
        </w:rPr>
      </w:pPr>
      <w:r>
        <w:rPr>
          <w:rFonts w:hint="eastAsia"/>
          <w:sz w:val="24"/>
          <w:szCs w:val="24"/>
        </w:rPr>
        <w:t>每6个月更换蠕动泵的软管。</w:t>
      </w:r>
    </w:p>
    <w:p>
      <w:pPr>
        <w:pStyle w:val="41"/>
        <w:numPr>
          <w:ilvl w:val="0"/>
          <w:numId w:val="3"/>
        </w:numPr>
        <w:spacing w:line="360" w:lineRule="auto"/>
        <w:ind w:firstLineChars="0"/>
        <w:rPr>
          <w:sz w:val="24"/>
          <w:szCs w:val="24"/>
        </w:rPr>
      </w:pPr>
      <w:r>
        <w:rPr>
          <w:rFonts w:hint="eastAsia"/>
          <w:sz w:val="24"/>
          <w:szCs w:val="24"/>
        </w:rPr>
        <w:t>每6个月用1：9硫酸清洗管路及消解</w:t>
      </w:r>
      <w:r>
        <w:rPr>
          <w:rFonts w:hint="eastAsia"/>
          <w:sz w:val="24"/>
          <w:szCs w:val="24"/>
          <w:lang w:eastAsia="zh-CN"/>
        </w:rPr>
        <w:t>池。</w:t>
      </w:r>
    </w:p>
    <w:p>
      <w:pPr>
        <w:pStyle w:val="41"/>
        <w:numPr>
          <w:ilvl w:val="0"/>
          <w:numId w:val="3"/>
        </w:numPr>
        <w:spacing w:line="360" w:lineRule="auto"/>
        <w:ind w:firstLineChars="0"/>
        <w:rPr>
          <w:sz w:val="24"/>
          <w:szCs w:val="24"/>
        </w:rPr>
      </w:pPr>
      <w:r>
        <w:rPr>
          <w:rFonts w:hint="eastAsia"/>
          <w:sz w:val="24"/>
          <w:szCs w:val="24"/>
        </w:rPr>
        <w:t>每</w:t>
      </w:r>
      <w:r>
        <w:rPr>
          <w:rFonts w:hint="eastAsia"/>
          <w:sz w:val="24"/>
          <w:szCs w:val="24"/>
          <w:lang w:val="en-US" w:eastAsia="zh-CN"/>
        </w:rPr>
        <w:t>12</w:t>
      </w:r>
      <w:r>
        <w:rPr>
          <w:rFonts w:hint="eastAsia"/>
          <w:sz w:val="24"/>
          <w:szCs w:val="24"/>
        </w:rPr>
        <w:t>个月更换</w:t>
      </w:r>
      <w:r>
        <w:rPr>
          <w:rFonts w:hint="eastAsia"/>
          <w:sz w:val="24"/>
          <w:szCs w:val="24"/>
          <w:lang w:eastAsia="zh-CN"/>
        </w:rPr>
        <w:t>分析流路的管路及倒锥接头。</w:t>
      </w:r>
    </w:p>
    <w:p>
      <w:pPr>
        <w:pStyle w:val="41"/>
        <w:numPr>
          <w:ilvl w:val="0"/>
          <w:numId w:val="3"/>
        </w:numPr>
        <w:spacing w:line="360" w:lineRule="auto"/>
        <w:ind w:firstLineChars="0"/>
        <w:rPr>
          <w:sz w:val="24"/>
          <w:szCs w:val="24"/>
        </w:rPr>
      </w:pPr>
      <w:r>
        <w:rPr>
          <w:rFonts w:hint="eastAsia"/>
          <w:sz w:val="24"/>
          <w:szCs w:val="24"/>
        </w:rPr>
        <w:t>每12个月更换消解</w:t>
      </w:r>
      <w:r>
        <w:rPr>
          <w:rFonts w:hint="eastAsia"/>
          <w:sz w:val="24"/>
          <w:szCs w:val="24"/>
          <w:lang w:eastAsia="zh-CN"/>
        </w:rPr>
        <w:t>池比色池</w:t>
      </w:r>
      <w:r>
        <w:rPr>
          <w:rFonts w:hint="eastAsia"/>
          <w:sz w:val="24"/>
          <w:szCs w:val="24"/>
        </w:rPr>
        <w:t>。</w:t>
      </w:r>
    </w:p>
    <w:p>
      <w:pPr>
        <w:pStyle w:val="3"/>
      </w:pPr>
      <w:bookmarkStart w:id="33" w:name="_Toc2025"/>
      <w:r>
        <w:rPr>
          <w:rFonts w:hint="eastAsia"/>
          <w:lang w:eastAsia="zh-CN"/>
        </w:rPr>
        <w:t>主要备品备件</w:t>
      </w:r>
      <w:bookmarkEnd w:id="33"/>
    </w:p>
    <w:p>
      <w:pPr>
        <w:pStyle w:val="41"/>
        <w:widowControl w:val="0"/>
        <w:numPr>
          <w:ilvl w:val="0"/>
          <w:numId w:val="0"/>
        </w:numPr>
        <w:wordWrap w:val="0"/>
        <w:spacing w:line="360" w:lineRule="auto"/>
        <w:jc w:val="right"/>
        <w:rPr>
          <w:rFonts w:hint="default" w:eastAsiaTheme="minorEastAsia"/>
          <w:sz w:val="24"/>
          <w:szCs w:val="24"/>
          <w:lang w:val="en-US" w:eastAsia="zh-CN"/>
        </w:rPr>
      </w:pPr>
      <w:r>
        <w:rPr>
          <w:rFonts w:hint="eastAsia" w:asciiTheme="minorEastAsia" w:hAnsiTheme="minorEastAsia" w:eastAsiaTheme="minorEastAsia" w:cstheme="minorEastAsia"/>
          <w:sz w:val="21"/>
          <w:szCs w:val="21"/>
          <w:lang w:eastAsia="zh-CN"/>
        </w:rPr>
        <w:t>表</w:t>
      </w:r>
      <w:r>
        <w:rPr>
          <w:rFonts w:hint="eastAsia" w:asciiTheme="minorEastAsia" w:hAnsiTheme="minorEastAsia" w:eastAsiaTheme="minorEastAsia" w:cstheme="minorEastAsia"/>
          <w:sz w:val="21"/>
          <w:szCs w:val="21"/>
          <w:lang w:val="en-US" w:eastAsia="zh-CN"/>
        </w:rPr>
        <w:t>1 主要备品备件</w:t>
      </w:r>
      <w:r>
        <w:rPr>
          <w:rFonts w:hint="eastAsia" w:asciiTheme="minorEastAsia" w:hAnsiTheme="minorEastAsia" w:cstheme="minorEastAsia"/>
          <w:sz w:val="21"/>
          <w:szCs w:val="21"/>
          <w:lang w:val="en-US" w:eastAsia="zh-CN"/>
        </w:rPr>
        <w:t>表</w:t>
      </w:r>
      <w:r>
        <w:rPr>
          <w:rFonts w:hint="eastAsia"/>
          <w:sz w:val="24"/>
          <w:szCs w:val="24"/>
          <w:lang w:val="en-US" w:eastAsia="zh-CN"/>
        </w:rPr>
        <w:t xml:space="preserve">           </w:t>
      </w:r>
      <w:bookmarkStart w:id="34" w:name="_GoBack"/>
      <w:bookmarkEnd w:id="34"/>
      <w:r>
        <w:rPr>
          <w:rFonts w:hint="eastAsia"/>
          <w:sz w:val="24"/>
          <w:szCs w:val="24"/>
          <w:lang w:val="en-US" w:eastAsia="zh-CN"/>
        </w:rPr>
        <w:t xml:space="preserve">         </w:t>
      </w:r>
    </w:p>
    <w:tbl>
      <w:tblPr>
        <w:tblStyle w:val="24"/>
        <w:tblW w:w="4905" w:type="dxa"/>
        <w:jc w:val="center"/>
        <w:shd w:val="clear" w:color="auto" w:fill="auto"/>
        <w:tblLayout w:type="autofit"/>
        <w:tblCellMar>
          <w:top w:w="0" w:type="dxa"/>
          <w:left w:w="108" w:type="dxa"/>
          <w:bottom w:w="0" w:type="dxa"/>
          <w:right w:w="108" w:type="dxa"/>
        </w:tblCellMar>
      </w:tblPr>
      <w:tblGrid>
        <w:gridCol w:w="3105"/>
        <w:gridCol w:w="900"/>
        <w:gridCol w:w="900"/>
      </w:tblGrid>
      <w:tr>
        <w:tblPrEx>
          <w:shd w:val="clear" w:color="auto" w:fill="auto"/>
          <w:tblCellMar>
            <w:top w:w="0" w:type="dxa"/>
            <w:left w:w="108" w:type="dxa"/>
            <w:bottom w:w="0" w:type="dxa"/>
            <w:right w:w="108" w:type="dxa"/>
          </w:tblCellMar>
        </w:tblPrEx>
        <w:trPr>
          <w:trHeight w:val="400" w:hRule="atLeast"/>
          <w:jc w:val="center"/>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主要部件及辅材</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数量</w:t>
            </w:r>
          </w:p>
        </w:tc>
      </w:tr>
      <w:tr>
        <w:tblPrEx>
          <w:tblCellMar>
            <w:top w:w="0" w:type="dxa"/>
            <w:left w:w="108" w:type="dxa"/>
            <w:bottom w:w="0" w:type="dxa"/>
            <w:right w:w="108" w:type="dxa"/>
          </w:tblCellMar>
        </w:tblPrEx>
        <w:trPr>
          <w:trHeight w:val="400" w:hRule="atLeast"/>
          <w:jc w:val="center"/>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三通电磁阀</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r>
      <w:tr>
        <w:tblPrEx>
          <w:tblCellMar>
            <w:top w:w="0" w:type="dxa"/>
            <w:left w:w="108" w:type="dxa"/>
            <w:bottom w:w="0" w:type="dxa"/>
            <w:right w:w="108" w:type="dxa"/>
          </w:tblCellMar>
        </w:tblPrEx>
        <w:trPr>
          <w:trHeight w:val="400" w:hRule="atLeast"/>
          <w:jc w:val="center"/>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高温高压阀</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r>
      <w:tr>
        <w:tblPrEx>
          <w:tblCellMar>
            <w:top w:w="0" w:type="dxa"/>
            <w:left w:w="108" w:type="dxa"/>
            <w:bottom w:w="0" w:type="dxa"/>
            <w:right w:w="108" w:type="dxa"/>
          </w:tblCellMar>
        </w:tblPrEx>
        <w:trPr>
          <w:trHeight w:val="400" w:hRule="atLeast"/>
          <w:jc w:val="center"/>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八通阀</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r>
      <w:tr>
        <w:tblPrEx>
          <w:tblCellMar>
            <w:top w:w="0" w:type="dxa"/>
            <w:left w:w="108" w:type="dxa"/>
            <w:bottom w:w="0" w:type="dxa"/>
            <w:right w:w="108" w:type="dxa"/>
          </w:tblCellMar>
        </w:tblPrEx>
        <w:trPr>
          <w:trHeight w:val="400" w:hRule="atLeast"/>
          <w:jc w:val="center"/>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蠕动泵</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r>
      <w:tr>
        <w:tblPrEx>
          <w:tblCellMar>
            <w:top w:w="0" w:type="dxa"/>
            <w:left w:w="108" w:type="dxa"/>
            <w:bottom w:w="0" w:type="dxa"/>
            <w:right w:w="108" w:type="dxa"/>
          </w:tblCellMar>
        </w:tblPrEx>
        <w:trPr>
          <w:trHeight w:val="400" w:hRule="atLeast"/>
          <w:jc w:val="center"/>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蠕动软管</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r>
      <w:tr>
        <w:tblPrEx>
          <w:tblCellMar>
            <w:top w:w="0" w:type="dxa"/>
            <w:left w:w="108" w:type="dxa"/>
            <w:bottom w:w="0" w:type="dxa"/>
            <w:right w:w="108" w:type="dxa"/>
          </w:tblCellMar>
        </w:tblPrEx>
        <w:trPr>
          <w:trHeight w:val="400" w:hRule="atLeast"/>
          <w:jc w:val="center"/>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消解池</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r>
      <w:tr>
        <w:tblPrEx>
          <w:tblCellMar>
            <w:top w:w="0" w:type="dxa"/>
            <w:left w:w="108" w:type="dxa"/>
            <w:bottom w:w="0" w:type="dxa"/>
            <w:right w:w="108" w:type="dxa"/>
          </w:tblCellMar>
        </w:tblPrEx>
        <w:trPr>
          <w:trHeight w:val="400" w:hRule="atLeast"/>
          <w:jc w:val="center"/>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计量器组件（含玻璃管）</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r>
      <w:tr>
        <w:tblPrEx>
          <w:tblCellMar>
            <w:top w:w="0" w:type="dxa"/>
            <w:left w:w="108" w:type="dxa"/>
            <w:bottom w:w="0" w:type="dxa"/>
            <w:right w:w="108" w:type="dxa"/>
          </w:tblCellMar>
        </w:tblPrEx>
        <w:trPr>
          <w:trHeight w:val="400" w:hRule="atLeast"/>
          <w:jc w:val="center"/>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光源收发器（不含光纤）</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r>
      <w:tr>
        <w:tblPrEx>
          <w:tblCellMar>
            <w:top w:w="0" w:type="dxa"/>
            <w:left w:w="108" w:type="dxa"/>
            <w:bottom w:w="0" w:type="dxa"/>
            <w:right w:w="108" w:type="dxa"/>
          </w:tblCellMar>
        </w:tblPrEx>
        <w:trPr>
          <w:trHeight w:val="400" w:hRule="atLeast"/>
          <w:jc w:val="center"/>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光电检测PCB板</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r>
      <w:tr>
        <w:tblPrEx>
          <w:tblCellMar>
            <w:top w:w="0" w:type="dxa"/>
            <w:left w:w="108" w:type="dxa"/>
            <w:bottom w:w="0" w:type="dxa"/>
            <w:right w:w="108" w:type="dxa"/>
          </w:tblCellMar>
        </w:tblPrEx>
        <w:trPr>
          <w:trHeight w:val="400" w:hRule="atLeast"/>
          <w:jc w:val="center"/>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管路耗材（特氟龙硬管）</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r>
      <w:tr>
        <w:tblPrEx>
          <w:tblCellMar>
            <w:top w:w="0" w:type="dxa"/>
            <w:left w:w="108" w:type="dxa"/>
            <w:bottom w:w="0" w:type="dxa"/>
            <w:right w:w="108" w:type="dxa"/>
          </w:tblCellMar>
        </w:tblPrEx>
        <w:trPr>
          <w:trHeight w:val="400" w:hRule="atLeast"/>
          <w:jc w:val="center"/>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管路耗材（硬管倒锥接头）</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r>
    </w:tbl>
    <w:p>
      <w:pPr>
        <w:pStyle w:val="41"/>
        <w:widowControl w:val="0"/>
        <w:numPr>
          <w:ilvl w:val="0"/>
          <w:numId w:val="0"/>
        </w:numPr>
        <w:spacing w:line="360" w:lineRule="auto"/>
        <w:jc w:val="both"/>
        <w:rPr>
          <w:rFonts w:hint="eastAsia"/>
          <w:sz w:val="24"/>
          <w:szCs w:val="24"/>
        </w:rPr>
      </w:pPr>
    </w:p>
    <w:tbl>
      <w:tblPr>
        <w:tblStyle w:val="24"/>
        <w:tblW w:w="976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4961"/>
        <w:gridCol w:w="480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2" w:hRule="atLeast"/>
          <w:jc w:val="center"/>
        </w:trPr>
        <w:tc>
          <w:tcPr>
            <w:tcW w:w="4961" w:type="dxa"/>
            <w:tcBorders>
              <w:right w:val="nil"/>
            </w:tcBorders>
            <w:noWrap w:val="0"/>
            <w:vAlign w:val="top"/>
          </w:tcPr>
          <w:p>
            <w:r>
              <w:drawing>
                <wp:anchor distT="0" distB="0" distL="114300" distR="114300" simplePos="0" relativeHeight="251663360" behindDoc="1" locked="0" layoutInCell="1" allowOverlap="1">
                  <wp:simplePos x="0" y="0"/>
                  <wp:positionH relativeFrom="column">
                    <wp:posOffset>2610485</wp:posOffset>
                  </wp:positionH>
                  <wp:positionV relativeFrom="paragraph">
                    <wp:posOffset>-8890</wp:posOffset>
                  </wp:positionV>
                  <wp:extent cx="371475" cy="419100"/>
                  <wp:effectExtent l="0" t="0" r="9525" b="0"/>
                  <wp:wrapTight wrapText="bothSides">
                    <wp:wrapPolygon>
                      <wp:start x="0" y="0"/>
                      <wp:lineTo x="0" y="20618"/>
                      <wp:lineTo x="20345" y="20618"/>
                      <wp:lineTo x="20345" y="0"/>
                      <wp:lineTo x="0" y="0"/>
                    </wp:wrapPolygon>
                  </wp:wrapTight>
                  <wp:docPr id="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pic:cNvPicPr>
                            <a:picLocks noChangeAspect="1"/>
                          </pic:cNvPicPr>
                        </pic:nvPicPr>
                        <pic:blipFill>
                          <a:blip r:embed="rId26"/>
                          <a:stretch>
                            <a:fillRect/>
                          </a:stretch>
                        </pic:blipFill>
                        <pic:spPr>
                          <a:xfrm>
                            <a:off x="0" y="0"/>
                            <a:ext cx="371475" cy="419100"/>
                          </a:xfrm>
                          <a:prstGeom prst="rect">
                            <a:avLst/>
                          </a:prstGeom>
                          <a:noFill/>
                          <a:ln>
                            <a:noFill/>
                          </a:ln>
                        </pic:spPr>
                      </pic:pic>
                    </a:graphicData>
                  </a:graphic>
                </wp:anchor>
              </w:drawing>
            </w:r>
          </w:p>
        </w:tc>
        <w:tc>
          <w:tcPr>
            <w:tcW w:w="4801" w:type="dxa"/>
            <w:tcBorders>
              <w:left w:val="nil"/>
            </w:tcBorders>
            <w:noWrap w:val="0"/>
            <w:vAlign w:val="center"/>
          </w:tcPr>
          <w:p>
            <w:pPr>
              <w:jc w:val="both"/>
            </w:pPr>
            <w:r>
              <w:rPr>
                <w:rFonts w:hint="eastAsia"/>
              </w:rPr>
              <w:t>注  意</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9762" w:type="dxa"/>
            <w:gridSpan w:val="2"/>
            <w:noWrap w:val="0"/>
            <w:vAlign w:val="top"/>
          </w:tcPr>
          <w:p>
            <w:pPr>
              <w:pStyle w:val="41"/>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hanging="420" w:firstLineChars="0"/>
              <w:textAlignment w:val="auto"/>
              <w:rPr>
                <w:rFonts w:hint="eastAsia" w:ascii="宋体" w:hAnsi="宋体" w:cs="Times New Roman"/>
                <w:sz w:val="24"/>
                <w:szCs w:val="24"/>
              </w:rPr>
            </w:pPr>
            <w:r>
              <w:rPr>
                <w:rFonts w:hint="eastAsia" w:ascii="宋体" w:hAnsi="宋体" w:cs="Times New Roman"/>
                <w:sz w:val="24"/>
                <w:szCs w:val="24"/>
                <w:lang w:eastAsia="zh-CN"/>
              </w:rPr>
              <w:t>本备品备件清单表，仅供参考，以实际产品运维需求为准。</w:t>
            </w:r>
          </w:p>
          <w:p>
            <w:pPr>
              <w:pStyle w:val="41"/>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hanging="420" w:firstLineChars="0"/>
              <w:textAlignment w:val="auto"/>
              <w:rPr>
                <w:rFonts w:ascii="宋体" w:hAnsi="宋体" w:cs="Times New Roman"/>
                <w:sz w:val="24"/>
                <w:szCs w:val="24"/>
              </w:rPr>
            </w:pPr>
            <w:r>
              <w:rPr>
                <w:rFonts w:hint="eastAsia" w:ascii="宋体" w:hAnsi="宋体" w:cs="Times New Roman"/>
                <w:sz w:val="24"/>
                <w:szCs w:val="24"/>
                <w:lang w:eastAsia="zh-CN"/>
              </w:rPr>
              <w:t>若需购买备品备件，请拨打公司售后服务电话购买。</w:t>
            </w:r>
          </w:p>
        </w:tc>
      </w:tr>
    </w:tbl>
    <w:p>
      <w:pPr>
        <w:pStyle w:val="41"/>
        <w:widowControl w:val="0"/>
        <w:numPr>
          <w:ilvl w:val="0"/>
          <w:numId w:val="0"/>
        </w:numPr>
        <w:spacing w:line="360" w:lineRule="auto"/>
        <w:jc w:val="both"/>
        <w:rPr>
          <w:rFonts w:hint="eastAsia"/>
          <w:sz w:val="24"/>
          <w:szCs w:val="24"/>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0395305"/>
    </w:sdtPr>
    <w:sdtContent>
      <w:p>
        <w:pPr>
          <w:jc w:val="center"/>
        </w:pPr>
        <w:r>
          <w:rPr>
            <w:lang w:val="zh-CN"/>
          </w:rPr>
          <w:t xml:space="preserve"> </w:t>
        </w:r>
        <w:r>
          <w:fldChar w:fldCharType="begin"/>
        </w:r>
        <w:r>
          <w:instrText xml:space="preserve"> PAGE </w:instrText>
        </w:r>
        <w:r>
          <w:fldChar w:fldCharType="separate"/>
        </w:r>
        <w:r>
          <w:t>5</w:t>
        </w:r>
        <w:r>
          <w:fldChar w:fldCharType="end"/>
        </w:r>
        <w:r>
          <w:rPr>
            <w:lang w:val="zh-CN"/>
          </w:rPr>
          <w:t xml:space="preserve"> / </w:t>
        </w:r>
        <w:r>
          <w:fldChar w:fldCharType="begin"/>
        </w:r>
        <w:r>
          <w:instrText xml:space="preserve"> NUMPAGES  </w:instrText>
        </w:r>
        <w:r>
          <w:fldChar w:fldCharType="separate"/>
        </w:r>
        <w:r>
          <w:t>18</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rPr>
        <w:rFonts w:hint="eastAsia"/>
        <w:b/>
        <w:sz w:val="21"/>
        <w:szCs w:val="21"/>
        <w:u w:val="single"/>
      </w:rPr>
      <w:drawing>
        <wp:inline distT="0" distB="0" distL="114300" distR="114300">
          <wp:extent cx="567055" cy="377825"/>
          <wp:effectExtent l="0" t="0" r="4445" b="3175"/>
          <wp:docPr id="17" name="图片 1" descr="耐德自动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耐德自动化"/>
                  <pic:cNvPicPr>
                    <a:picLocks noChangeAspect="1"/>
                  </pic:cNvPicPr>
                </pic:nvPicPr>
                <pic:blipFill>
                  <a:blip r:embed="rId1"/>
                  <a:stretch>
                    <a:fillRect/>
                  </a:stretch>
                </pic:blipFill>
                <pic:spPr>
                  <a:xfrm>
                    <a:off x="0" y="0"/>
                    <a:ext cx="567055" cy="377825"/>
                  </a:xfrm>
                  <a:prstGeom prst="rect">
                    <a:avLst/>
                  </a:prstGeom>
                  <a:noFill/>
                  <a:ln>
                    <a:noFill/>
                  </a:ln>
                </pic:spPr>
              </pic:pic>
            </a:graphicData>
          </a:graphic>
        </wp:inline>
      </w:drawing>
    </w:r>
    <w:r>
      <w:rPr>
        <w:rFonts w:hint="eastAsia"/>
        <w:b/>
        <w:sz w:val="21"/>
        <w:szCs w:val="21"/>
        <w:u w:val="single"/>
      </w:rPr>
      <w:t xml:space="preserve">                       </w:t>
    </w:r>
    <w:r>
      <w:rPr>
        <w:rFonts w:hint="eastAsia"/>
        <w:b/>
        <w:sz w:val="21"/>
        <w:szCs w:val="21"/>
        <w:u w:val="single"/>
        <w:lang w:val="en-US" w:eastAsia="zh-CN"/>
      </w:rPr>
      <w:t xml:space="preserve">            </w:t>
    </w:r>
    <w:r>
      <w:rPr>
        <w:rFonts w:hint="eastAsia"/>
        <w:b/>
        <w:sz w:val="21"/>
        <w:szCs w:val="21"/>
        <w:u w:val="single"/>
      </w:rPr>
      <w:t xml:space="preserve">  </w:t>
    </w:r>
    <w:r>
      <w:rPr>
        <w:rFonts w:hint="eastAsia"/>
        <w:sz w:val="24"/>
        <w:szCs w:val="24"/>
        <w:u w:val="single"/>
        <w:lang w:eastAsia="zh-CN"/>
      </w:rPr>
      <w:t>NIPm-3000-CODcr型</w:t>
    </w:r>
    <w:r>
      <w:rPr>
        <w:rFonts w:hint="eastAsia"/>
        <w:sz w:val="24"/>
        <w:szCs w:val="24"/>
        <w:u w:val="single"/>
      </w:rPr>
      <w:t>水质</w:t>
    </w:r>
    <w:r>
      <w:rPr>
        <w:rFonts w:hint="eastAsia"/>
        <w:sz w:val="24"/>
        <w:szCs w:val="24"/>
        <w:u w:val="single"/>
        <w:lang w:eastAsia="zh-CN"/>
      </w:rPr>
      <w:t>分析</w:t>
    </w:r>
    <w:r>
      <w:rPr>
        <w:rFonts w:hint="eastAsia"/>
        <w:sz w:val="24"/>
        <w:szCs w:val="24"/>
        <w:u w:val="single"/>
      </w:rPr>
      <w:t>仪</w:t>
    </w:r>
    <w:r>
      <w:rPr>
        <w:rFonts w:hint="eastAsia"/>
        <w:b/>
        <w:sz w:val="21"/>
        <w:szCs w:val="21"/>
        <w:u w:val="single"/>
      </w:rPr>
      <w:t>安装使用说明书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2B506C"/>
    <w:multiLevelType w:val="multilevel"/>
    <w:tmpl w:val="062B506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9F04CD4"/>
    <w:multiLevelType w:val="multilevel"/>
    <w:tmpl w:val="19F04CD4"/>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2">
    <w:nsid w:val="46EB596D"/>
    <w:multiLevelType w:val="multilevel"/>
    <w:tmpl w:val="46EB596D"/>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3">
    <w:nsid w:val="5ACE6A2F"/>
    <w:multiLevelType w:val="multilevel"/>
    <w:tmpl w:val="5ACE6A2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513AB"/>
    <w:rsid w:val="00006C44"/>
    <w:rsid w:val="0000786B"/>
    <w:rsid w:val="00017150"/>
    <w:rsid w:val="000236D7"/>
    <w:rsid w:val="00034DA6"/>
    <w:rsid w:val="00040D76"/>
    <w:rsid w:val="000445B9"/>
    <w:rsid w:val="000501B7"/>
    <w:rsid w:val="00050D84"/>
    <w:rsid w:val="00054A0E"/>
    <w:rsid w:val="000643AB"/>
    <w:rsid w:val="000769FF"/>
    <w:rsid w:val="000830DF"/>
    <w:rsid w:val="00095900"/>
    <w:rsid w:val="000B09A6"/>
    <w:rsid w:val="000B0AB5"/>
    <w:rsid w:val="000C3636"/>
    <w:rsid w:val="000C7339"/>
    <w:rsid w:val="000D24F5"/>
    <w:rsid w:val="000D4550"/>
    <w:rsid w:val="000E7DEE"/>
    <w:rsid w:val="000E7EFB"/>
    <w:rsid w:val="000F32B5"/>
    <w:rsid w:val="00112B25"/>
    <w:rsid w:val="00117C3E"/>
    <w:rsid w:val="00124E98"/>
    <w:rsid w:val="00141839"/>
    <w:rsid w:val="001634F4"/>
    <w:rsid w:val="0016767A"/>
    <w:rsid w:val="00197BAE"/>
    <w:rsid w:val="001B333D"/>
    <w:rsid w:val="001C7D35"/>
    <w:rsid w:val="001D0311"/>
    <w:rsid w:val="001D1FF3"/>
    <w:rsid w:val="001D3DB5"/>
    <w:rsid w:val="001D53BA"/>
    <w:rsid w:val="001E1F2F"/>
    <w:rsid w:val="001F09E8"/>
    <w:rsid w:val="001F33C9"/>
    <w:rsid w:val="001F3476"/>
    <w:rsid w:val="001F4602"/>
    <w:rsid w:val="002506B2"/>
    <w:rsid w:val="00263A71"/>
    <w:rsid w:val="00271475"/>
    <w:rsid w:val="00275CD1"/>
    <w:rsid w:val="00275F95"/>
    <w:rsid w:val="00277859"/>
    <w:rsid w:val="002843F0"/>
    <w:rsid w:val="00295703"/>
    <w:rsid w:val="002B3E1A"/>
    <w:rsid w:val="002C5BE8"/>
    <w:rsid w:val="002C71B0"/>
    <w:rsid w:val="002C79FD"/>
    <w:rsid w:val="002D5417"/>
    <w:rsid w:val="002E1597"/>
    <w:rsid w:val="002E3305"/>
    <w:rsid w:val="002E4403"/>
    <w:rsid w:val="002E5C5F"/>
    <w:rsid w:val="002F3457"/>
    <w:rsid w:val="0030408B"/>
    <w:rsid w:val="00327EA1"/>
    <w:rsid w:val="00330A15"/>
    <w:rsid w:val="00332F1A"/>
    <w:rsid w:val="00333FF9"/>
    <w:rsid w:val="003375FC"/>
    <w:rsid w:val="0034104C"/>
    <w:rsid w:val="00351148"/>
    <w:rsid w:val="003512F7"/>
    <w:rsid w:val="003513AB"/>
    <w:rsid w:val="00355130"/>
    <w:rsid w:val="00367162"/>
    <w:rsid w:val="0037071A"/>
    <w:rsid w:val="00374108"/>
    <w:rsid w:val="003A06B8"/>
    <w:rsid w:val="003B0A6C"/>
    <w:rsid w:val="003C15A3"/>
    <w:rsid w:val="004031A8"/>
    <w:rsid w:val="004038C4"/>
    <w:rsid w:val="00413909"/>
    <w:rsid w:val="0042164A"/>
    <w:rsid w:val="00423B35"/>
    <w:rsid w:val="00430AD7"/>
    <w:rsid w:val="0043184B"/>
    <w:rsid w:val="004400BD"/>
    <w:rsid w:val="00464EC9"/>
    <w:rsid w:val="004718E7"/>
    <w:rsid w:val="004928AE"/>
    <w:rsid w:val="0049737D"/>
    <w:rsid w:val="004A144C"/>
    <w:rsid w:val="004C6324"/>
    <w:rsid w:val="004D241F"/>
    <w:rsid w:val="004E3C4F"/>
    <w:rsid w:val="004F0E03"/>
    <w:rsid w:val="005068DD"/>
    <w:rsid w:val="00511000"/>
    <w:rsid w:val="005327A4"/>
    <w:rsid w:val="00561627"/>
    <w:rsid w:val="00581C08"/>
    <w:rsid w:val="00581D27"/>
    <w:rsid w:val="00595860"/>
    <w:rsid w:val="005B6D3C"/>
    <w:rsid w:val="005B7BF0"/>
    <w:rsid w:val="005B7E3D"/>
    <w:rsid w:val="005C3A21"/>
    <w:rsid w:val="005C4230"/>
    <w:rsid w:val="005D24F3"/>
    <w:rsid w:val="005E5B88"/>
    <w:rsid w:val="005E7BE0"/>
    <w:rsid w:val="005F49DB"/>
    <w:rsid w:val="005F5086"/>
    <w:rsid w:val="00643B29"/>
    <w:rsid w:val="00650A98"/>
    <w:rsid w:val="0065215C"/>
    <w:rsid w:val="0066064D"/>
    <w:rsid w:val="00671362"/>
    <w:rsid w:val="00683952"/>
    <w:rsid w:val="00693137"/>
    <w:rsid w:val="006969A1"/>
    <w:rsid w:val="006A47A4"/>
    <w:rsid w:val="006C1A77"/>
    <w:rsid w:val="006C1B3E"/>
    <w:rsid w:val="006D1B33"/>
    <w:rsid w:val="006D7B42"/>
    <w:rsid w:val="006E1BEE"/>
    <w:rsid w:val="006E3C24"/>
    <w:rsid w:val="006E6132"/>
    <w:rsid w:val="006E6563"/>
    <w:rsid w:val="006F295E"/>
    <w:rsid w:val="006F51A6"/>
    <w:rsid w:val="006F63B0"/>
    <w:rsid w:val="006F6654"/>
    <w:rsid w:val="0070281E"/>
    <w:rsid w:val="007111DB"/>
    <w:rsid w:val="00712703"/>
    <w:rsid w:val="00725007"/>
    <w:rsid w:val="00730D6E"/>
    <w:rsid w:val="00745CE7"/>
    <w:rsid w:val="00751CAD"/>
    <w:rsid w:val="00755C0F"/>
    <w:rsid w:val="007602C5"/>
    <w:rsid w:val="00767B1C"/>
    <w:rsid w:val="0079081A"/>
    <w:rsid w:val="007B25EC"/>
    <w:rsid w:val="007B491E"/>
    <w:rsid w:val="007B727C"/>
    <w:rsid w:val="007D6C7E"/>
    <w:rsid w:val="007E1C52"/>
    <w:rsid w:val="007F2552"/>
    <w:rsid w:val="008015EE"/>
    <w:rsid w:val="00805C58"/>
    <w:rsid w:val="00811024"/>
    <w:rsid w:val="008115B0"/>
    <w:rsid w:val="00816301"/>
    <w:rsid w:val="0082072E"/>
    <w:rsid w:val="00825AA4"/>
    <w:rsid w:val="00827F0F"/>
    <w:rsid w:val="008332D5"/>
    <w:rsid w:val="0083607A"/>
    <w:rsid w:val="008408B7"/>
    <w:rsid w:val="008446CD"/>
    <w:rsid w:val="0085171A"/>
    <w:rsid w:val="00852981"/>
    <w:rsid w:val="00852DE3"/>
    <w:rsid w:val="008629D9"/>
    <w:rsid w:val="00876ED1"/>
    <w:rsid w:val="0088729A"/>
    <w:rsid w:val="00891545"/>
    <w:rsid w:val="00896F9D"/>
    <w:rsid w:val="008B0CF3"/>
    <w:rsid w:val="008B3DCE"/>
    <w:rsid w:val="008C013F"/>
    <w:rsid w:val="008C183B"/>
    <w:rsid w:val="008C482D"/>
    <w:rsid w:val="008C78AE"/>
    <w:rsid w:val="008C7B92"/>
    <w:rsid w:val="008D0339"/>
    <w:rsid w:val="008D1C22"/>
    <w:rsid w:val="008D712B"/>
    <w:rsid w:val="008E348A"/>
    <w:rsid w:val="008E723A"/>
    <w:rsid w:val="008F250A"/>
    <w:rsid w:val="008F2840"/>
    <w:rsid w:val="00903075"/>
    <w:rsid w:val="009033DB"/>
    <w:rsid w:val="00923500"/>
    <w:rsid w:val="009331CD"/>
    <w:rsid w:val="00950F9C"/>
    <w:rsid w:val="00957294"/>
    <w:rsid w:val="00992A55"/>
    <w:rsid w:val="009A5103"/>
    <w:rsid w:val="009A6F06"/>
    <w:rsid w:val="009B40C0"/>
    <w:rsid w:val="009D3C2F"/>
    <w:rsid w:val="009D6972"/>
    <w:rsid w:val="009E0CF4"/>
    <w:rsid w:val="009E53C8"/>
    <w:rsid w:val="00A02241"/>
    <w:rsid w:val="00A11400"/>
    <w:rsid w:val="00A14D90"/>
    <w:rsid w:val="00A22C5E"/>
    <w:rsid w:val="00A328EB"/>
    <w:rsid w:val="00A32F9A"/>
    <w:rsid w:val="00A73459"/>
    <w:rsid w:val="00A74A53"/>
    <w:rsid w:val="00A81C75"/>
    <w:rsid w:val="00A90EBB"/>
    <w:rsid w:val="00AA48F7"/>
    <w:rsid w:val="00AC1009"/>
    <w:rsid w:val="00AC77E2"/>
    <w:rsid w:val="00AD1CCD"/>
    <w:rsid w:val="00B04FA6"/>
    <w:rsid w:val="00B2443A"/>
    <w:rsid w:val="00B403B0"/>
    <w:rsid w:val="00B47EF1"/>
    <w:rsid w:val="00B62D94"/>
    <w:rsid w:val="00B80BC1"/>
    <w:rsid w:val="00B905C2"/>
    <w:rsid w:val="00B9244B"/>
    <w:rsid w:val="00B95DA8"/>
    <w:rsid w:val="00BA296F"/>
    <w:rsid w:val="00BA3F46"/>
    <w:rsid w:val="00BB1858"/>
    <w:rsid w:val="00BB2D6D"/>
    <w:rsid w:val="00BB3531"/>
    <w:rsid w:val="00BB5C80"/>
    <w:rsid w:val="00BC2C13"/>
    <w:rsid w:val="00BE0C55"/>
    <w:rsid w:val="00BE372A"/>
    <w:rsid w:val="00BE548D"/>
    <w:rsid w:val="00BF1B0B"/>
    <w:rsid w:val="00BF3173"/>
    <w:rsid w:val="00C03AD6"/>
    <w:rsid w:val="00C10EF1"/>
    <w:rsid w:val="00C202BA"/>
    <w:rsid w:val="00C2467F"/>
    <w:rsid w:val="00C3114C"/>
    <w:rsid w:val="00C32D16"/>
    <w:rsid w:val="00C357BD"/>
    <w:rsid w:val="00C50DE5"/>
    <w:rsid w:val="00C54D13"/>
    <w:rsid w:val="00C55CF6"/>
    <w:rsid w:val="00C65ABC"/>
    <w:rsid w:val="00C94771"/>
    <w:rsid w:val="00CA1CCD"/>
    <w:rsid w:val="00CA2B4A"/>
    <w:rsid w:val="00CA7448"/>
    <w:rsid w:val="00CB2AA8"/>
    <w:rsid w:val="00CB3B8A"/>
    <w:rsid w:val="00CB60C8"/>
    <w:rsid w:val="00CC3496"/>
    <w:rsid w:val="00CD6F39"/>
    <w:rsid w:val="00CE42EC"/>
    <w:rsid w:val="00CE693D"/>
    <w:rsid w:val="00CF144E"/>
    <w:rsid w:val="00CF2DBD"/>
    <w:rsid w:val="00CF3B4F"/>
    <w:rsid w:val="00CF4988"/>
    <w:rsid w:val="00CF4A78"/>
    <w:rsid w:val="00D003F5"/>
    <w:rsid w:val="00D22B5A"/>
    <w:rsid w:val="00D234F2"/>
    <w:rsid w:val="00D268E2"/>
    <w:rsid w:val="00D33D39"/>
    <w:rsid w:val="00D37419"/>
    <w:rsid w:val="00D73C2F"/>
    <w:rsid w:val="00D8277E"/>
    <w:rsid w:val="00D83B0F"/>
    <w:rsid w:val="00D843AA"/>
    <w:rsid w:val="00D92ADD"/>
    <w:rsid w:val="00DA0453"/>
    <w:rsid w:val="00DA58BF"/>
    <w:rsid w:val="00DA6EEB"/>
    <w:rsid w:val="00DA790D"/>
    <w:rsid w:val="00DB22FF"/>
    <w:rsid w:val="00DE0624"/>
    <w:rsid w:val="00DE49BD"/>
    <w:rsid w:val="00E03954"/>
    <w:rsid w:val="00E06E9B"/>
    <w:rsid w:val="00E11F01"/>
    <w:rsid w:val="00E12AC3"/>
    <w:rsid w:val="00E1362E"/>
    <w:rsid w:val="00E15559"/>
    <w:rsid w:val="00E33993"/>
    <w:rsid w:val="00E3637A"/>
    <w:rsid w:val="00E6154B"/>
    <w:rsid w:val="00E82234"/>
    <w:rsid w:val="00E863C1"/>
    <w:rsid w:val="00E9449D"/>
    <w:rsid w:val="00EA36F4"/>
    <w:rsid w:val="00EC4814"/>
    <w:rsid w:val="00ED44D8"/>
    <w:rsid w:val="00EE2372"/>
    <w:rsid w:val="00EE4E78"/>
    <w:rsid w:val="00EE5933"/>
    <w:rsid w:val="00F16BB4"/>
    <w:rsid w:val="00F2330E"/>
    <w:rsid w:val="00F3042A"/>
    <w:rsid w:val="00F40BB7"/>
    <w:rsid w:val="00F50720"/>
    <w:rsid w:val="00F516FD"/>
    <w:rsid w:val="00F5735F"/>
    <w:rsid w:val="00F7411F"/>
    <w:rsid w:val="00F75591"/>
    <w:rsid w:val="00F80099"/>
    <w:rsid w:val="00FA1658"/>
    <w:rsid w:val="00FB0F0C"/>
    <w:rsid w:val="00FB4865"/>
    <w:rsid w:val="00FC1713"/>
    <w:rsid w:val="00FC2D82"/>
    <w:rsid w:val="00FD4E59"/>
    <w:rsid w:val="00FF348F"/>
    <w:rsid w:val="035E5AED"/>
    <w:rsid w:val="04AF7383"/>
    <w:rsid w:val="07C5589E"/>
    <w:rsid w:val="08C47B0E"/>
    <w:rsid w:val="0C811871"/>
    <w:rsid w:val="0D8B2B40"/>
    <w:rsid w:val="10A77DB4"/>
    <w:rsid w:val="1844704A"/>
    <w:rsid w:val="18CF03D8"/>
    <w:rsid w:val="1A7D27EC"/>
    <w:rsid w:val="1BF5154D"/>
    <w:rsid w:val="1CC81D16"/>
    <w:rsid w:val="20432584"/>
    <w:rsid w:val="20B61650"/>
    <w:rsid w:val="21AD4199"/>
    <w:rsid w:val="22171C0B"/>
    <w:rsid w:val="22AE5DE9"/>
    <w:rsid w:val="23AB2F54"/>
    <w:rsid w:val="23D26E44"/>
    <w:rsid w:val="24D50DA8"/>
    <w:rsid w:val="260D5FFF"/>
    <w:rsid w:val="29882599"/>
    <w:rsid w:val="2CF8153A"/>
    <w:rsid w:val="2DD63304"/>
    <w:rsid w:val="2E51584F"/>
    <w:rsid w:val="3207489E"/>
    <w:rsid w:val="33BC68FF"/>
    <w:rsid w:val="346F50F9"/>
    <w:rsid w:val="350A6D6A"/>
    <w:rsid w:val="357E2B8A"/>
    <w:rsid w:val="35964B3C"/>
    <w:rsid w:val="35F23F34"/>
    <w:rsid w:val="36583EA4"/>
    <w:rsid w:val="369D7E47"/>
    <w:rsid w:val="37031D82"/>
    <w:rsid w:val="39114CD2"/>
    <w:rsid w:val="39FA5148"/>
    <w:rsid w:val="3F885E2E"/>
    <w:rsid w:val="3FCE6D1B"/>
    <w:rsid w:val="419F5C9B"/>
    <w:rsid w:val="4207796D"/>
    <w:rsid w:val="42BB7D10"/>
    <w:rsid w:val="42C02976"/>
    <w:rsid w:val="43030DB8"/>
    <w:rsid w:val="449700C6"/>
    <w:rsid w:val="45B03848"/>
    <w:rsid w:val="460718B8"/>
    <w:rsid w:val="468739DF"/>
    <w:rsid w:val="49825FFF"/>
    <w:rsid w:val="4C247215"/>
    <w:rsid w:val="4DCD3EC2"/>
    <w:rsid w:val="4F3C0A2F"/>
    <w:rsid w:val="50845090"/>
    <w:rsid w:val="52C249B8"/>
    <w:rsid w:val="54EC5BC3"/>
    <w:rsid w:val="54EF6024"/>
    <w:rsid w:val="57490C9C"/>
    <w:rsid w:val="579C35F7"/>
    <w:rsid w:val="57B15119"/>
    <w:rsid w:val="584B0F30"/>
    <w:rsid w:val="5B136F01"/>
    <w:rsid w:val="5B404906"/>
    <w:rsid w:val="5B632F0D"/>
    <w:rsid w:val="5BE24936"/>
    <w:rsid w:val="60AE6181"/>
    <w:rsid w:val="61593CE5"/>
    <w:rsid w:val="61A7365D"/>
    <w:rsid w:val="62A730EA"/>
    <w:rsid w:val="63F8433D"/>
    <w:rsid w:val="64472B45"/>
    <w:rsid w:val="65B96D0E"/>
    <w:rsid w:val="65E44192"/>
    <w:rsid w:val="670A4031"/>
    <w:rsid w:val="68191F5E"/>
    <w:rsid w:val="688D4846"/>
    <w:rsid w:val="6C305FD0"/>
    <w:rsid w:val="6DDE4F18"/>
    <w:rsid w:val="6F5307E6"/>
    <w:rsid w:val="6FCE5AFC"/>
    <w:rsid w:val="726D22E8"/>
    <w:rsid w:val="744E401D"/>
    <w:rsid w:val="75E75223"/>
    <w:rsid w:val="76330727"/>
    <w:rsid w:val="7AE86787"/>
    <w:rsid w:val="7BC40AD2"/>
    <w:rsid w:val="7E0111F3"/>
    <w:rsid w:val="7F117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4"/>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5"/>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6"/>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7"/>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8"/>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9"/>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cstheme="minorHAnsi"/>
      <w:sz w:val="18"/>
      <w:szCs w:val="18"/>
    </w:rPr>
  </w:style>
  <w:style w:type="paragraph" w:styleId="12">
    <w:name w:val="Document Map"/>
    <w:basedOn w:val="1"/>
    <w:link w:val="31"/>
    <w:semiHidden/>
    <w:unhideWhenUsed/>
    <w:qFormat/>
    <w:uiPriority w:val="99"/>
    <w:rPr>
      <w:rFonts w:ascii="宋体" w:eastAsia="宋体"/>
      <w:sz w:val="18"/>
      <w:szCs w:val="18"/>
    </w:rPr>
  </w:style>
  <w:style w:type="paragraph" w:styleId="13">
    <w:name w:val="toc 5"/>
    <w:basedOn w:val="1"/>
    <w:next w:val="1"/>
    <w:unhideWhenUsed/>
    <w:qFormat/>
    <w:uiPriority w:val="39"/>
    <w:pPr>
      <w:ind w:left="840"/>
      <w:jc w:val="left"/>
    </w:pPr>
    <w:rPr>
      <w:rFonts w:cstheme="minorHAnsi"/>
      <w:sz w:val="18"/>
      <w:szCs w:val="18"/>
    </w:rPr>
  </w:style>
  <w:style w:type="paragraph" w:styleId="14">
    <w:name w:val="toc 3"/>
    <w:basedOn w:val="1"/>
    <w:next w:val="1"/>
    <w:unhideWhenUsed/>
    <w:qFormat/>
    <w:uiPriority w:val="39"/>
    <w:pPr>
      <w:ind w:left="420"/>
      <w:jc w:val="left"/>
    </w:pPr>
    <w:rPr>
      <w:rFonts w:cstheme="minorHAnsi"/>
      <w:i/>
      <w:iCs/>
      <w:sz w:val="20"/>
      <w:szCs w:val="20"/>
    </w:rPr>
  </w:style>
  <w:style w:type="paragraph" w:styleId="15">
    <w:name w:val="toc 8"/>
    <w:basedOn w:val="1"/>
    <w:next w:val="1"/>
    <w:unhideWhenUsed/>
    <w:qFormat/>
    <w:uiPriority w:val="39"/>
    <w:pPr>
      <w:ind w:left="1470"/>
      <w:jc w:val="left"/>
    </w:pPr>
    <w:rPr>
      <w:rFonts w:cstheme="minorHAnsi"/>
      <w:sz w:val="18"/>
      <w:szCs w:val="18"/>
    </w:rPr>
  </w:style>
  <w:style w:type="paragraph" w:styleId="16">
    <w:name w:val="Balloon Text"/>
    <w:basedOn w:val="1"/>
    <w:link w:val="40"/>
    <w:semiHidden/>
    <w:unhideWhenUsed/>
    <w:qFormat/>
    <w:uiPriority w:val="99"/>
    <w:rPr>
      <w:sz w:val="18"/>
      <w:szCs w:val="18"/>
    </w:rPr>
  </w:style>
  <w:style w:type="paragraph" w:styleId="17">
    <w:name w:val="footer"/>
    <w:basedOn w:val="1"/>
    <w:link w:val="29"/>
    <w:semiHidden/>
    <w:unhideWhenUsed/>
    <w:qFormat/>
    <w:uiPriority w:val="99"/>
    <w:pPr>
      <w:tabs>
        <w:tab w:val="center" w:pos="4153"/>
        <w:tab w:val="right" w:pos="8306"/>
      </w:tabs>
      <w:snapToGrid w:val="0"/>
      <w:jc w:val="left"/>
    </w:pPr>
    <w:rPr>
      <w:sz w:val="18"/>
      <w:szCs w:val="18"/>
    </w:rPr>
  </w:style>
  <w:style w:type="paragraph" w:styleId="18">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before="120" w:after="120"/>
      <w:jc w:val="left"/>
    </w:pPr>
    <w:rPr>
      <w:rFonts w:cstheme="minorHAnsi"/>
      <w:b/>
      <w:bCs/>
      <w:caps/>
      <w:sz w:val="20"/>
      <w:szCs w:val="20"/>
    </w:rPr>
  </w:style>
  <w:style w:type="paragraph" w:styleId="20">
    <w:name w:val="toc 4"/>
    <w:basedOn w:val="1"/>
    <w:next w:val="1"/>
    <w:unhideWhenUsed/>
    <w:qFormat/>
    <w:uiPriority w:val="39"/>
    <w:pPr>
      <w:ind w:left="630"/>
      <w:jc w:val="left"/>
    </w:pPr>
    <w:rPr>
      <w:rFonts w:cstheme="minorHAnsi"/>
      <w:sz w:val="18"/>
      <w:szCs w:val="18"/>
    </w:rPr>
  </w:style>
  <w:style w:type="paragraph" w:styleId="21">
    <w:name w:val="toc 6"/>
    <w:basedOn w:val="1"/>
    <w:next w:val="1"/>
    <w:unhideWhenUsed/>
    <w:qFormat/>
    <w:uiPriority w:val="39"/>
    <w:pPr>
      <w:ind w:left="1050"/>
      <w:jc w:val="left"/>
    </w:pPr>
    <w:rPr>
      <w:rFonts w:cstheme="minorHAnsi"/>
      <w:sz w:val="18"/>
      <w:szCs w:val="18"/>
    </w:rPr>
  </w:style>
  <w:style w:type="paragraph" w:styleId="22">
    <w:name w:val="toc 2"/>
    <w:basedOn w:val="1"/>
    <w:next w:val="1"/>
    <w:unhideWhenUsed/>
    <w:qFormat/>
    <w:uiPriority w:val="39"/>
    <w:pPr>
      <w:ind w:left="210"/>
      <w:jc w:val="left"/>
    </w:pPr>
    <w:rPr>
      <w:rFonts w:cstheme="minorHAnsi"/>
      <w:smallCaps/>
      <w:sz w:val="20"/>
      <w:szCs w:val="20"/>
    </w:rPr>
  </w:style>
  <w:style w:type="paragraph" w:styleId="23">
    <w:name w:val="toc 9"/>
    <w:basedOn w:val="1"/>
    <w:next w:val="1"/>
    <w:unhideWhenUsed/>
    <w:qFormat/>
    <w:uiPriority w:val="39"/>
    <w:pPr>
      <w:ind w:left="1680"/>
      <w:jc w:val="left"/>
    </w:pPr>
    <w:rPr>
      <w:rFonts w:cstheme="minorHAnsi"/>
      <w:sz w:val="18"/>
      <w:szCs w:val="18"/>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Hyperlink"/>
    <w:basedOn w:val="26"/>
    <w:unhideWhenUsed/>
    <w:qFormat/>
    <w:uiPriority w:val="99"/>
    <w:rPr>
      <w:color w:val="0000FF" w:themeColor="hyperlink"/>
      <w:u w:val="single"/>
    </w:rPr>
  </w:style>
  <w:style w:type="character" w:customStyle="1" w:styleId="28">
    <w:name w:val="页眉 Char"/>
    <w:basedOn w:val="26"/>
    <w:link w:val="18"/>
    <w:semiHidden/>
    <w:qFormat/>
    <w:uiPriority w:val="99"/>
    <w:rPr>
      <w:sz w:val="18"/>
      <w:szCs w:val="18"/>
    </w:rPr>
  </w:style>
  <w:style w:type="character" w:customStyle="1" w:styleId="29">
    <w:name w:val="页脚 Char"/>
    <w:basedOn w:val="26"/>
    <w:link w:val="17"/>
    <w:semiHidden/>
    <w:qFormat/>
    <w:uiPriority w:val="99"/>
    <w:rPr>
      <w:sz w:val="18"/>
      <w:szCs w:val="18"/>
    </w:rPr>
  </w:style>
  <w:style w:type="character" w:customStyle="1" w:styleId="30">
    <w:name w:val="标题 1 Char"/>
    <w:basedOn w:val="26"/>
    <w:link w:val="2"/>
    <w:qFormat/>
    <w:uiPriority w:val="9"/>
    <w:rPr>
      <w:b/>
      <w:bCs/>
      <w:kern w:val="44"/>
      <w:sz w:val="44"/>
      <w:szCs w:val="44"/>
    </w:rPr>
  </w:style>
  <w:style w:type="character" w:customStyle="1" w:styleId="31">
    <w:name w:val="文档结构图 Char"/>
    <w:basedOn w:val="26"/>
    <w:link w:val="12"/>
    <w:semiHidden/>
    <w:qFormat/>
    <w:uiPriority w:val="99"/>
    <w:rPr>
      <w:rFonts w:ascii="宋体" w:eastAsia="宋体"/>
      <w:sz w:val="18"/>
      <w:szCs w:val="18"/>
    </w:rPr>
  </w:style>
  <w:style w:type="character" w:customStyle="1" w:styleId="32">
    <w:name w:val="标题 2 Char"/>
    <w:basedOn w:val="26"/>
    <w:link w:val="3"/>
    <w:qFormat/>
    <w:uiPriority w:val="9"/>
    <w:rPr>
      <w:rFonts w:asciiTheme="majorHAnsi" w:hAnsiTheme="majorHAnsi" w:eastAsiaTheme="majorEastAsia" w:cstheme="majorBidi"/>
      <w:b/>
      <w:bCs/>
      <w:sz w:val="32"/>
      <w:szCs w:val="32"/>
    </w:rPr>
  </w:style>
  <w:style w:type="character" w:customStyle="1" w:styleId="33">
    <w:name w:val="标题 3 Char"/>
    <w:basedOn w:val="26"/>
    <w:link w:val="4"/>
    <w:qFormat/>
    <w:uiPriority w:val="9"/>
    <w:rPr>
      <w:b/>
      <w:bCs/>
      <w:sz w:val="32"/>
      <w:szCs w:val="32"/>
    </w:rPr>
  </w:style>
  <w:style w:type="character" w:customStyle="1" w:styleId="34">
    <w:name w:val="标题 4 Char"/>
    <w:basedOn w:val="26"/>
    <w:link w:val="5"/>
    <w:qFormat/>
    <w:uiPriority w:val="9"/>
    <w:rPr>
      <w:rFonts w:asciiTheme="majorHAnsi" w:hAnsiTheme="majorHAnsi" w:eastAsiaTheme="majorEastAsia" w:cstheme="majorBidi"/>
      <w:b/>
      <w:bCs/>
      <w:sz w:val="28"/>
      <w:szCs w:val="28"/>
    </w:rPr>
  </w:style>
  <w:style w:type="character" w:customStyle="1" w:styleId="35">
    <w:name w:val="标题 5 Char"/>
    <w:basedOn w:val="26"/>
    <w:link w:val="6"/>
    <w:semiHidden/>
    <w:qFormat/>
    <w:uiPriority w:val="9"/>
    <w:rPr>
      <w:b/>
      <w:bCs/>
      <w:sz w:val="28"/>
      <w:szCs w:val="28"/>
    </w:rPr>
  </w:style>
  <w:style w:type="character" w:customStyle="1" w:styleId="36">
    <w:name w:val="标题 6 Char"/>
    <w:basedOn w:val="26"/>
    <w:link w:val="7"/>
    <w:semiHidden/>
    <w:qFormat/>
    <w:uiPriority w:val="9"/>
    <w:rPr>
      <w:rFonts w:asciiTheme="majorHAnsi" w:hAnsiTheme="majorHAnsi" w:eastAsiaTheme="majorEastAsia" w:cstheme="majorBidi"/>
      <w:b/>
      <w:bCs/>
      <w:sz w:val="24"/>
      <w:szCs w:val="24"/>
    </w:rPr>
  </w:style>
  <w:style w:type="character" w:customStyle="1" w:styleId="37">
    <w:name w:val="标题 7 Char"/>
    <w:basedOn w:val="26"/>
    <w:link w:val="8"/>
    <w:semiHidden/>
    <w:qFormat/>
    <w:uiPriority w:val="9"/>
    <w:rPr>
      <w:b/>
      <w:bCs/>
      <w:sz w:val="24"/>
      <w:szCs w:val="24"/>
    </w:rPr>
  </w:style>
  <w:style w:type="character" w:customStyle="1" w:styleId="38">
    <w:name w:val="标题 8 Char"/>
    <w:basedOn w:val="26"/>
    <w:link w:val="9"/>
    <w:semiHidden/>
    <w:qFormat/>
    <w:uiPriority w:val="9"/>
    <w:rPr>
      <w:rFonts w:asciiTheme="majorHAnsi" w:hAnsiTheme="majorHAnsi" w:eastAsiaTheme="majorEastAsia" w:cstheme="majorBidi"/>
      <w:sz w:val="24"/>
      <w:szCs w:val="24"/>
    </w:rPr>
  </w:style>
  <w:style w:type="character" w:customStyle="1" w:styleId="39">
    <w:name w:val="标题 9 Char"/>
    <w:basedOn w:val="26"/>
    <w:link w:val="10"/>
    <w:semiHidden/>
    <w:qFormat/>
    <w:uiPriority w:val="9"/>
    <w:rPr>
      <w:rFonts w:asciiTheme="majorHAnsi" w:hAnsiTheme="majorHAnsi" w:eastAsiaTheme="majorEastAsia" w:cstheme="majorBidi"/>
      <w:szCs w:val="21"/>
    </w:rPr>
  </w:style>
  <w:style w:type="character" w:customStyle="1" w:styleId="40">
    <w:name w:val="批注框文本 Char"/>
    <w:basedOn w:val="26"/>
    <w:link w:val="16"/>
    <w:semiHidden/>
    <w:qFormat/>
    <w:uiPriority w:val="99"/>
    <w:rPr>
      <w:sz w:val="18"/>
      <w:szCs w:val="18"/>
    </w:rPr>
  </w:style>
  <w:style w:type="paragraph" w:styleId="41">
    <w:name w:val="List Paragraph"/>
    <w:basedOn w:val="1"/>
    <w:qFormat/>
    <w:uiPriority w:val="34"/>
    <w:pPr>
      <w:ind w:firstLine="420" w:firstLineChars="200"/>
    </w:pPr>
  </w:style>
  <w:style w:type="character" w:customStyle="1" w:styleId="42">
    <w:name w:val="font01"/>
    <w:basedOn w:val="26"/>
    <w:qFormat/>
    <w:uiPriority w:val="0"/>
    <w:rPr>
      <w:rFonts w:ascii="Calibri" w:hAnsi="Calibri" w:cs="Calibri"/>
      <w:color w:val="000000"/>
      <w:sz w:val="20"/>
      <w:szCs w:val="20"/>
      <w:u w:val="none"/>
    </w:rPr>
  </w:style>
  <w:style w:type="character" w:customStyle="1" w:styleId="43">
    <w:name w:val="font21"/>
    <w:basedOn w:val="26"/>
    <w:qFormat/>
    <w:uiPriority w:val="0"/>
    <w:rPr>
      <w:rFonts w:hint="eastAsia" w:ascii="宋体" w:hAnsi="宋体" w:eastAsia="宋体" w:cs="宋体"/>
      <w:color w:val="000000"/>
      <w:sz w:val="20"/>
      <w:szCs w:val="20"/>
      <w:u w:val="none"/>
    </w:rPr>
  </w:style>
  <w:style w:type="character" w:customStyle="1" w:styleId="44">
    <w:name w:val="font11"/>
    <w:basedOn w:val="26"/>
    <w:qFormat/>
    <w:uiPriority w:val="0"/>
    <w:rPr>
      <w:rFonts w:ascii="Calibri" w:hAnsi="Calibri" w:cs="Calibri"/>
      <w:color w:val="000000"/>
      <w:sz w:val="20"/>
      <w:szCs w:val="20"/>
      <w:u w:val="none"/>
    </w:rPr>
  </w:style>
  <w:style w:type="character" w:customStyle="1" w:styleId="45">
    <w:name w:val="font31"/>
    <w:basedOn w:val="26"/>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wmf"/><Relationship Id="rId22" Type="http://schemas.openxmlformats.org/officeDocument/2006/relationships/image" Target="media/image18.wmf"/><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DB3F56-06D2-43D2-96F1-4574F5AB161F}">
  <ds:schemaRefs/>
</ds:datastoreItem>
</file>

<file path=docProps/app.xml><?xml version="1.0" encoding="utf-8"?>
<Properties xmlns="http://schemas.openxmlformats.org/officeDocument/2006/extended-properties" xmlns:vt="http://schemas.openxmlformats.org/officeDocument/2006/docPropsVTypes">
  <Template>Normal</Template>
  <Pages>18</Pages>
  <Words>1163</Words>
  <Characters>6632</Characters>
  <Lines>55</Lines>
  <Paragraphs>15</Paragraphs>
  <TotalTime>22</TotalTime>
  <ScaleCrop>false</ScaleCrop>
  <LinksUpToDate>false</LinksUpToDate>
  <CharactersWithSpaces>7780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2017-03-30T03:59:00Z</dcterms:created>
  <dc:creator>LiHB</dc:creator>
  <cp:lastModifiedBy>奋斗1386406450</cp:lastModifiedBy>
  <cp:lastPrinted>2019-07-24T15:03:00Z</cp:lastPrinted>
  <dcterms:modified xsi:type="dcterms:W3CDTF">2021-08-09T03:35:02Z</dcterms:modified>
  <cp:revision>157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966407454AA348B1B71C7D82A6278021</vt:lpwstr>
  </property>
</Properties>
</file>