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b/>
          <w:sz w:val="48"/>
          <w:szCs w:val="48"/>
        </w:rPr>
      </w:pPr>
    </w:p>
    <w:p>
      <w:pPr>
        <w:widowControl/>
        <w:jc w:val="center"/>
        <w:rPr>
          <w:b/>
          <w:sz w:val="48"/>
          <w:szCs w:val="48"/>
        </w:rPr>
      </w:pPr>
    </w:p>
    <w:p>
      <w:pPr>
        <w:widowControl/>
        <w:jc w:val="center"/>
        <w:rPr>
          <w:b/>
          <w:sz w:val="48"/>
          <w:szCs w:val="48"/>
        </w:rPr>
      </w:pPr>
    </w:p>
    <w:p>
      <w:pPr>
        <w:widowControl/>
        <w:jc w:val="center"/>
        <w:rPr>
          <w:b/>
          <w:sz w:val="48"/>
          <w:szCs w:val="48"/>
        </w:rPr>
      </w:pPr>
    </w:p>
    <w:p>
      <w:pPr>
        <w:widowControl/>
        <w:jc w:val="center"/>
        <w:rPr>
          <w:b/>
          <w:sz w:val="48"/>
          <w:szCs w:val="48"/>
        </w:rPr>
      </w:pPr>
    </w:p>
    <w:p>
      <w:pPr>
        <w:widowControl/>
        <w:jc w:val="center"/>
        <w:rPr>
          <w:b/>
          <w:sz w:val="48"/>
          <w:szCs w:val="48"/>
        </w:rPr>
      </w:pPr>
    </w:p>
    <w:p>
      <w:pPr>
        <w:widowControl/>
        <w:jc w:val="center"/>
        <w:rPr>
          <w:b/>
          <w:sz w:val="48"/>
          <w:szCs w:val="48"/>
        </w:rPr>
      </w:pPr>
    </w:p>
    <w:p>
      <w:pPr>
        <w:widowControl/>
        <w:jc w:val="center"/>
        <w:outlineLvl w:val="0"/>
        <w:rPr>
          <w:b/>
          <w:sz w:val="48"/>
          <w:szCs w:val="48"/>
        </w:rPr>
      </w:pPr>
      <w:bookmarkStart w:id="0" w:name="_Toc17319"/>
      <w:bookmarkStart w:id="1" w:name="_Toc5912732"/>
      <w:r>
        <w:rPr>
          <w:rFonts w:hint="eastAsia"/>
          <w:b/>
          <w:sz w:val="48"/>
          <w:szCs w:val="48"/>
        </w:rPr>
        <w:t>第二部分 仪器操作</w:t>
      </w:r>
      <w:bookmarkEnd w:id="0"/>
      <w:bookmarkEnd w:id="1"/>
    </w:p>
    <w:p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spacing w:line="360" w:lineRule="auto"/>
        <w:jc w:val="center"/>
        <w:outlineLvl w:val="0"/>
        <w:rPr>
          <w:b/>
          <w:bCs/>
          <w:sz w:val="24"/>
          <w:szCs w:val="24"/>
        </w:rPr>
      </w:pPr>
      <w:bookmarkStart w:id="2" w:name="_Toc5064"/>
      <w:bookmarkStart w:id="3" w:name="_Toc5912733"/>
      <w:r>
        <w:rPr>
          <w:rFonts w:hint="eastAsia"/>
          <w:b/>
          <w:bCs/>
          <w:sz w:val="24"/>
          <w:szCs w:val="24"/>
        </w:rPr>
        <w:t>目录</w:t>
      </w:r>
      <w:bookmarkEnd w:id="2"/>
      <w:bookmarkEnd w:id="3"/>
    </w:p>
    <w:p>
      <w:pPr>
        <w:pStyle w:val="19"/>
        <w:tabs>
          <w:tab w:val="right" w:leader="dot" w:pos="9746"/>
        </w:tabs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</w:instrText>
      </w:r>
      <w:r>
        <w:rPr>
          <w:rFonts w:hint="eastAsia"/>
          <w:sz w:val="24"/>
          <w:szCs w:val="24"/>
        </w:rPr>
        <w:instrText xml:space="preserve">TOC \o "1-3" \h \z \u</w:instrText>
      </w:r>
      <w:r>
        <w:rPr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szCs w:val="24"/>
        </w:rPr>
        <w:fldChar w:fldCharType="begin"/>
      </w:r>
      <w:r>
        <w:rPr>
          <w:szCs w:val="24"/>
        </w:rPr>
        <w:instrText xml:space="preserve"> HYPERLINK \l _Toc17319 </w:instrText>
      </w:r>
      <w:r>
        <w:rPr>
          <w:szCs w:val="24"/>
        </w:rPr>
        <w:fldChar w:fldCharType="separate"/>
      </w:r>
      <w:r>
        <w:rPr>
          <w:rFonts w:hint="eastAsia"/>
          <w:szCs w:val="48"/>
        </w:rPr>
        <w:t>第二部分 仪器操作</w:t>
      </w:r>
      <w:r>
        <w:tab/>
      </w:r>
      <w:r>
        <w:fldChar w:fldCharType="begin"/>
      </w:r>
      <w:r>
        <w:instrText xml:space="preserve"> PAGEREF _Toc17319 \h </w:instrText>
      </w:r>
      <w:r>
        <w:fldChar w:fldCharType="separate"/>
      </w:r>
      <w:r>
        <w:t>1</w:t>
      </w:r>
      <w:r>
        <w:fldChar w:fldCharType="end"/>
      </w:r>
      <w:r>
        <w:rPr>
          <w:szCs w:val="24"/>
        </w:rPr>
        <w:fldChar w:fldCharType="end"/>
      </w:r>
    </w:p>
    <w:p>
      <w:pPr>
        <w:pStyle w:val="19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_Toc5064 </w:instrText>
      </w:r>
      <w:r>
        <w:rPr>
          <w:szCs w:val="24"/>
        </w:rPr>
        <w:fldChar w:fldCharType="separate"/>
      </w:r>
      <w:r>
        <w:rPr>
          <w:rFonts w:hint="eastAsia"/>
          <w:szCs w:val="24"/>
        </w:rPr>
        <w:t>目录</w:t>
      </w:r>
      <w:r>
        <w:tab/>
      </w:r>
      <w:r>
        <w:fldChar w:fldCharType="begin"/>
      </w:r>
      <w:r>
        <w:instrText xml:space="preserve"> PAGEREF _Toc5064 \h </w:instrText>
      </w:r>
      <w:r>
        <w:fldChar w:fldCharType="separate"/>
      </w:r>
      <w:r>
        <w:t>2</w:t>
      </w:r>
      <w:r>
        <w:fldChar w:fldCharType="end"/>
      </w:r>
      <w:r>
        <w:rPr>
          <w:szCs w:val="24"/>
        </w:rPr>
        <w:fldChar w:fldCharType="end"/>
      </w:r>
    </w:p>
    <w:p>
      <w:pPr>
        <w:pStyle w:val="19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_Toc8749 </w:instrText>
      </w:r>
      <w:r>
        <w:rPr>
          <w:szCs w:val="24"/>
        </w:rPr>
        <w:fldChar w:fldCharType="separate"/>
      </w:r>
      <w:r>
        <w:t xml:space="preserve">1 </w:t>
      </w:r>
      <w:r>
        <w:rPr>
          <w:rFonts w:hint="eastAsia"/>
        </w:rPr>
        <w:t>首页界面</w:t>
      </w:r>
      <w:r>
        <w:tab/>
      </w:r>
      <w:r>
        <w:fldChar w:fldCharType="begin"/>
      </w:r>
      <w:r>
        <w:instrText xml:space="preserve"> PAGEREF _Toc8749 \h </w:instrText>
      </w:r>
      <w:r>
        <w:fldChar w:fldCharType="separate"/>
      </w:r>
      <w:r>
        <w:t>3</w:t>
      </w:r>
      <w:r>
        <w:fldChar w:fldCharType="end"/>
      </w:r>
      <w:r>
        <w:rPr>
          <w:szCs w:val="24"/>
        </w:rPr>
        <w:fldChar w:fldCharType="end"/>
      </w:r>
    </w:p>
    <w:p>
      <w:pPr>
        <w:pStyle w:val="19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_Toc14868 </w:instrText>
      </w:r>
      <w:r>
        <w:rPr>
          <w:szCs w:val="24"/>
        </w:rPr>
        <w:fldChar w:fldCharType="separate"/>
      </w:r>
      <w:r>
        <w:t xml:space="preserve">2 </w:t>
      </w:r>
      <w:r>
        <w:rPr>
          <w:rFonts w:hint="eastAsia"/>
        </w:rPr>
        <w:t>用户登录</w:t>
      </w:r>
      <w:r>
        <w:tab/>
      </w:r>
      <w:r>
        <w:fldChar w:fldCharType="begin"/>
      </w:r>
      <w:r>
        <w:instrText xml:space="preserve"> PAGEREF _Toc14868 \h </w:instrText>
      </w:r>
      <w:r>
        <w:fldChar w:fldCharType="separate"/>
      </w:r>
      <w:r>
        <w:t>5</w:t>
      </w:r>
      <w:r>
        <w:fldChar w:fldCharType="end"/>
      </w:r>
      <w:r>
        <w:rPr>
          <w:szCs w:val="24"/>
        </w:rPr>
        <w:fldChar w:fldCharType="end"/>
      </w:r>
    </w:p>
    <w:p>
      <w:pPr>
        <w:pStyle w:val="19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_Toc10960 </w:instrText>
      </w:r>
      <w:r>
        <w:rPr>
          <w:szCs w:val="24"/>
        </w:rPr>
        <w:fldChar w:fldCharType="separate"/>
      </w:r>
      <w:r>
        <w:t xml:space="preserve">3 </w:t>
      </w:r>
      <w:r>
        <w:rPr>
          <w:rFonts w:hint="eastAsia"/>
        </w:rPr>
        <w:t>历史数据</w:t>
      </w:r>
      <w:r>
        <w:tab/>
      </w:r>
      <w:r>
        <w:fldChar w:fldCharType="begin"/>
      </w:r>
      <w:r>
        <w:instrText xml:space="preserve"> PAGEREF _Toc10960 \h </w:instrText>
      </w:r>
      <w:r>
        <w:fldChar w:fldCharType="separate"/>
      </w:r>
      <w:r>
        <w:t>7</w:t>
      </w:r>
      <w:r>
        <w:fldChar w:fldCharType="end"/>
      </w:r>
      <w:r>
        <w:rPr>
          <w:szCs w:val="24"/>
        </w:rPr>
        <w:fldChar w:fldCharType="end"/>
      </w:r>
    </w:p>
    <w:p>
      <w:pPr>
        <w:pStyle w:val="22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_Toc27188 </w:instrText>
      </w:r>
      <w:r>
        <w:rPr>
          <w:szCs w:val="24"/>
        </w:rPr>
        <w:fldChar w:fldCharType="separate"/>
      </w:r>
      <w:r>
        <w:rPr>
          <w:rFonts w:hint="eastAsia"/>
          <w:szCs w:val="28"/>
        </w:rPr>
        <w:t xml:space="preserve">3.1 </w:t>
      </w:r>
      <w:r>
        <w:rPr>
          <w:rFonts w:hint="eastAsia"/>
          <w:szCs w:val="28"/>
          <w:lang w:val="en-US" w:eastAsia="zh-CN"/>
        </w:rPr>
        <w:t>COD</w:t>
      </w:r>
      <w:r>
        <w:rPr>
          <w:rFonts w:hint="eastAsia"/>
          <w:szCs w:val="28"/>
          <w:lang w:eastAsia="zh-CN"/>
        </w:rPr>
        <w:t>记录</w:t>
      </w:r>
      <w:r>
        <w:rPr>
          <w:rFonts w:hint="eastAsia"/>
          <w:szCs w:val="28"/>
        </w:rPr>
        <w:t>界面</w:t>
      </w:r>
      <w:r>
        <w:tab/>
      </w:r>
      <w:r>
        <w:fldChar w:fldCharType="begin"/>
      </w:r>
      <w:r>
        <w:instrText xml:space="preserve"> PAGEREF _Toc27188 \h </w:instrText>
      </w:r>
      <w:r>
        <w:fldChar w:fldCharType="separate"/>
      </w:r>
      <w:r>
        <w:t>7</w:t>
      </w:r>
      <w:r>
        <w:fldChar w:fldCharType="end"/>
      </w:r>
      <w:r>
        <w:rPr>
          <w:szCs w:val="24"/>
        </w:rPr>
        <w:fldChar w:fldCharType="end"/>
      </w:r>
    </w:p>
    <w:p>
      <w:pPr>
        <w:pStyle w:val="22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_Toc1642 </w:instrText>
      </w:r>
      <w:r>
        <w:rPr>
          <w:szCs w:val="24"/>
        </w:rPr>
        <w:fldChar w:fldCharType="separate"/>
      </w:r>
      <w:r>
        <w:rPr>
          <w:rFonts w:hint="eastAsia"/>
          <w:szCs w:val="28"/>
          <w:lang w:eastAsia="zh-CN"/>
        </w:rPr>
        <w:t>3.2 标一记录界面</w:t>
      </w:r>
      <w:r>
        <w:tab/>
      </w:r>
      <w:r>
        <w:fldChar w:fldCharType="begin"/>
      </w:r>
      <w:r>
        <w:instrText xml:space="preserve"> PAGEREF _Toc1642 \h </w:instrText>
      </w:r>
      <w:r>
        <w:fldChar w:fldCharType="separate"/>
      </w:r>
      <w:r>
        <w:t>8</w:t>
      </w:r>
      <w:r>
        <w:fldChar w:fldCharType="end"/>
      </w:r>
      <w:r>
        <w:rPr>
          <w:szCs w:val="24"/>
        </w:rPr>
        <w:fldChar w:fldCharType="end"/>
      </w:r>
    </w:p>
    <w:p>
      <w:pPr>
        <w:pStyle w:val="22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_Toc13588 </w:instrText>
      </w:r>
      <w:r>
        <w:rPr>
          <w:szCs w:val="24"/>
        </w:rPr>
        <w:fldChar w:fldCharType="separate"/>
      </w:r>
      <w:r>
        <w:rPr>
          <w:rFonts w:hint="eastAsia"/>
          <w:szCs w:val="28"/>
          <w:lang w:eastAsia="zh-CN"/>
        </w:rPr>
        <w:t>3.3 标二记录界面</w:t>
      </w:r>
      <w:r>
        <w:tab/>
      </w:r>
      <w:r>
        <w:fldChar w:fldCharType="begin"/>
      </w:r>
      <w:r>
        <w:instrText xml:space="preserve"> PAGEREF _Toc13588 \h </w:instrText>
      </w:r>
      <w:r>
        <w:fldChar w:fldCharType="separate"/>
      </w:r>
      <w:r>
        <w:t>9</w:t>
      </w:r>
      <w:r>
        <w:fldChar w:fldCharType="end"/>
      </w:r>
      <w:r>
        <w:rPr>
          <w:szCs w:val="24"/>
        </w:rPr>
        <w:fldChar w:fldCharType="end"/>
      </w:r>
    </w:p>
    <w:p>
      <w:pPr>
        <w:pStyle w:val="22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_Toc10215 </w:instrText>
      </w:r>
      <w:r>
        <w:rPr>
          <w:szCs w:val="24"/>
        </w:rPr>
        <w:fldChar w:fldCharType="separate"/>
      </w:r>
      <w:r>
        <w:rPr>
          <w:rFonts w:hint="eastAsia"/>
          <w:szCs w:val="28"/>
          <w:lang w:eastAsia="zh-CN"/>
        </w:rPr>
        <w:t>3.4 核查记录界面</w:t>
      </w:r>
      <w:r>
        <w:tab/>
      </w:r>
      <w:r>
        <w:fldChar w:fldCharType="begin"/>
      </w:r>
      <w:r>
        <w:instrText xml:space="preserve"> PAGEREF _Toc10215 \h </w:instrText>
      </w:r>
      <w:r>
        <w:fldChar w:fldCharType="separate"/>
      </w:r>
      <w:r>
        <w:t>11</w:t>
      </w:r>
      <w:r>
        <w:fldChar w:fldCharType="end"/>
      </w:r>
      <w:r>
        <w:rPr>
          <w:szCs w:val="24"/>
        </w:rPr>
        <w:fldChar w:fldCharType="end"/>
      </w:r>
    </w:p>
    <w:p>
      <w:pPr>
        <w:pStyle w:val="19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_Toc30954 </w:instrText>
      </w:r>
      <w:r>
        <w:rPr>
          <w:szCs w:val="24"/>
        </w:rPr>
        <w:fldChar w:fldCharType="separate"/>
      </w:r>
      <w:r>
        <w:t xml:space="preserve">4 </w:t>
      </w:r>
      <w:r>
        <w:rPr>
          <w:rFonts w:hint="eastAsia"/>
        </w:rPr>
        <w:t>操作设置</w:t>
      </w:r>
      <w:r>
        <w:tab/>
      </w:r>
      <w:r>
        <w:fldChar w:fldCharType="begin"/>
      </w:r>
      <w:r>
        <w:instrText xml:space="preserve"> PAGEREF _Toc30954 \h </w:instrText>
      </w:r>
      <w:r>
        <w:fldChar w:fldCharType="separate"/>
      </w:r>
      <w:r>
        <w:t>12</w:t>
      </w:r>
      <w:r>
        <w:fldChar w:fldCharType="end"/>
      </w:r>
      <w:r>
        <w:rPr>
          <w:szCs w:val="24"/>
        </w:rPr>
        <w:fldChar w:fldCharType="end"/>
      </w:r>
    </w:p>
    <w:p>
      <w:pPr>
        <w:pStyle w:val="22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_Toc22425 </w:instrText>
      </w:r>
      <w:r>
        <w:rPr>
          <w:szCs w:val="24"/>
        </w:rPr>
        <w:fldChar w:fldCharType="separate"/>
      </w:r>
      <w:r>
        <w:rPr>
          <w:rFonts w:hint="eastAsia"/>
          <w:szCs w:val="28"/>
          <w:lang w:eastAsia="zh-CN"/>
        </w:rPr>
        <w:t>4.1 定时测量界面</w:t>
      </w:r>
      <w:r>
        <w:tab/>
      </w:r>
      <w:r>
        <w:fldChar w:fldCharType="begin"/>
      </w:r>
      <w:r>
        <w:instrText xml:space="preserve"> PAGEREF _Toc22425 \h </w:instrText>
      </w:r>
      <w:r>
        <w:fldChar w:fldCharType="separate"/>
      </w:r>
      <w:r>
        <w:t>12</w:t>
      </w:r>
      <w:r>
        <w:fldChar w:fldCharType="end"/>
      </w:r>
      <w:r>
        <w:rPr>
          <w:szCs w:val="24"/>
        </w:rPr>
        <w:fldChar w:fldCharType="end"/>
      </w:r>
    </w:p>
    <w:p>
      <w:pPr>
        <w:pStyle w:val="22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_Toc7127 </w:instrText>
      </w:r>
      <w:r>
        <w:rPr>
          <w:szCs w:val="24"/>
        </w:rPr>
        <w:fldChar w:fldCharType="separate"/>
      </w:r>
      <w:r>
        <w:rPr>
          <w:rFonts w:hint="eastAsia"/>
          <w:szCs w:val="28"/>
          <w:lang w:eastAsia="zh-CN"/>
        </w:rPr>
        <w:t>4.2 间隔测量界面</w:t>
      </w:r>
      <w:r>
        <w:tab/>
      </w:r>
      <w:r>
        <w:fldChar w:fldCharType="begin"/>
      </w:r>
      <w:r>
        <w:instrText xml:space="preserve"> PAGEREF _Toc7127 \h </w:instrText>
      </w:r>
      <w:r>
        <w:fldChar w:fldCharType="separate"/>
      </w:r>
      <w:r>
        <w:t>13</w:t>
      </w:r>
      <w:r>
        <w:fldChar w:fldCharType="end"/>
      </w:r>
      <w:r>
        <w:rPr>
          <w:szCs w:val="24"/>
        </w:rPr>
        <w:fldChar w:fldCharType="end"/>
      </w:r>
    </w:p>
    <w:p>
      <w:pPr>
        <w:pStyle w:val="22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_Toc28137 </w:instrText>
      </w:r>
      <w:r>
        <w:rPr>
          <w:szCs w:val="24"/>
        </w:rPr>
        <w:fldChar w:fldCharType="separate"/>
      </w:r>
      <w:r>
        <w:rPr>
          <w:rFonts w:hint="eastAsia"/>
          <w:szCs w:val="28"/>
          <w:lang w:eastAsia="zh-CN"/>
        </w:rPr>
        <w:t>4.3 手动测量界面</w:t>
      </w:r>
      <w:r>
        <w:tab/>
      </w:r>
      <w:r>
        <w:fldChar w:fldCharType="begin"/>
      </w:r>
      <w:r>
        <w:instrText xml:space="preserve"> PAGEREF _Toc28137 \h </w:instrText>
      </w:r>
      <w:r>
        <w:fldChar w:fldCharType="separate"/>
      </w:r>
      <w:r>
        <w:t>14</w:t>
      </w:r>
      <w:r>
        <w:fldChar w:fldCharType="end"/>
      </w:r>
      <w:r>
        <w:rPr>
          <w:szCs w:val="24"/>
        </w:rPr>
        <w:fldChar w:fldCharType="end"/>
      </w:r>
    </w:p>
    <w:p>
      <w:pPr>
        <w:pStyle w:val="22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_Toc7233 </w:instrText>
      </w:r>
      <w:r>
        <w:rPr>
          <w:szCs w:val="24"/>
        </w:rPr>
        <w:fldChar w:fldCharType="separate"/>
      </w:r>
      <w:r>
        <w:rPr>
          <w:rFonts w:hint="eastAsia"/>
          <w:szCs w:val="28"/>
          <w:lang w:eastAsia="zh-CN"/>
        </w:rPr>
        <w:t>4.4 仪器工作模式</w:t>
      </w:r>
      <w:r>
        <w:tab/>
      </w:r>
      <w:r>
        <w:fldChar w:fldCharType="begin"/>
      </w:r>
      <w:r>
        <w:instrText xml:space="preserve"> PAGEREF _Toc7233 \h </w:instrText>
      </w:r>
      <w:r>
        <w:fldChar w:fldCharType="separate"/>
      </w:r>
      <w:r>
        <w:t>15</w:t>
      </w:r>
      <w:r>
        <w:fldChar w:fldCharType="end"/>
      </w:r>
      <w:r>
        <w:rPr>
          <w:szCs w:val="24"/>
        </w:rPr>
        <w:fldChar w:fldCharType="end"/>
      </w:r>
    </w:p>
    <w:p>
      <w:pPr>
        <w:pStyle w:val="19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_Toc24768 </w:instrText>
      </w:r>
      <w:r>
        <w:rPr>
          <w:szCs w:val="24"/>
        </w:rPr>
        <w:fldChar w:fldCharType="separate"/>
      </w:r>
      <w:r>
        <w:t xml:space="preserve">5 </w:t>
      </w:r>
      <w:r>
        <w:rPr>
          <w:rFonts w:hint="eastAsia"/>
        </w:rPr>
        <w:t>标定</w:t>
      </w:r>
      <w:r>
        <w:rPr>
          <w:rFonts w:hint="eastAsia"/>
          <w:lang w:eastAsia="zh-CN"/>
        </w:rPr>
        <w:t>核查</w:t>
      </w:r>
      <w:r>
        <w:tab/>
      </w:r>
      <w:r>
        <w:fldChar w:fldCharType="begin"/>
      </w:r>
      <w:r>
        <w:instrText xml:space="preserve"> PAGEREF _Toc24768 \h </w:instrText>
      </w:r>
      <w:r>
        <w:fldChar w:fldCharType="separate"/>
      </w:r>
      <w:r>
        <w:t>16</w:t>
      </w:r>
      <w:r>
        <w:fldChar w:fldCharType="end"/>
      </w:r>
      <w:r>
        <w:rPr>
          <w:szCs w:val="24"/>
        </w:rPr>
        <w:fldChar w:fldCharType="end"/>
      </w:r>
    </w:p>
    <w:p>
      <w:pPr>
        <w:pStyle w:val="22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_Toc11549 </w:instrText>
      </w:r>
      <w:r>
        <w:rPr>
          <w:szCs w:val="24"/>
        </w:rPr>
        <w:fldChar w:fldCharType="separate"/>
      </w:r>
      <w:r>
        <w:rPr>
          <w:rFonts w:hint="eastAsia"/>
          <w:szCs w:val="28"/>
          <w:lang w:eastAsia="zh-CN"/>
        </w:rPr>
        <w:t>5.1 定时标定界面</w:t>
      </w:r>
      <w:r>
        <w:tab/>
      </w:r>
      <w:r>
        <w:fldChar w:fldCharType="begin"/>
      </w:r>
      <w:r>
        <w:instrText xml:space="preserve"> PAGEREF _Toc11549 \h </w:instrText>
      </w:r>
      <w:r>
        <w:fldChar w:fldCharType="separate"/>
      </w:r>
      <w:r>
        <w:t>16</w:t>
      </w:r>
      <w:r>
        <w:fldChar w:fldCharType="end"/>
      </w:r>
      <w:r>
        <w:rPr>
          <w:szCs w:val="24"/>
        </w:rPr>
        <w:fldChar w:fldCharType="end"/>
      </w:r>
    </w:p>
    <w:p>
      <w:pPr>
        <w:pStyle w:val="22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_Toc8488 </w:instrText>
      </w:r>
      <w:r>
        <w:rPr>
          <w:szCs w:val="24"/>
        </w:rPr>
        <w:fldChar w:fldCharType="separate"/>
      </w:r>
      <w:r>
        <w:rPr>
          <w:rFonts w:hint="eastAsia"/>
          <w:szCs w:val="28"/>
          <w:lang w:eastAsia="zh-CN"/>
        </w:rPr>
        <w:t>5.2 手动标定界面</w:t>
      </w:r>
      <w:r>
        <w:tab/>
      </w:r>
      <w:r>
        <w:fldChar w:fldCharType="begin"/>
      </w:r>
      <w:r>
        <w:instrText xml:space="preserve"> PAGEREF _Toc8488 \h </w:instrText>
      </w:r>
      <w:r>
        <w:fldChar w:fldCharType="separate"/>
      </w:r>
      <w:r>
        <w:t>18</w:t>
      </w:r>
      <w:r>
        <w:fldChar w:fldCharType="end"/>
      </w:r>
      <w:r>
        <w:rPr>
          <w:szCs w:val="24"/>
        </w:rPr>
        <w:fldChar w:fldCharType="end"/>
      </w:r>
    </w:p>
    <w:p>
      <w:pPr>
        <w:pStyle w:val="22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_Toc1424 </w:instrText>
      </w:r>
      <w:r>
        <w:rPr>
          <w:szCs w:val="24"/>
        </w:rPr>
        <w:fldChar w:fldCharType="separate"/>
      </w:r>
      <w:r>
        <w:rPr>
          <w:rFonts w:hint="eastAsia"/>
          <w:szCs w:val="28"/>
          <w:lang w:eastAsia="zh-CN"/>
        </w:rPr>
        <w:t>5.3 定时核查界面</w:t>
      </w:r>
      <w:r>
        <w:tab/>
      </w:r>
      <w:r>
        <w:fldChar w:fldCharType="begin"/>
      </w:r>
      <w:r>
        <w:instrText xml:space="preserve"> PAGEREF _Toc1424 \h </w:instrText>
      </w:r>
      <w:r>
        <w:fldChar w:fldCharType="separate"/>
      </w:r>
      <w:r>
        <w:t>18</w:t>
      </w:r>
      <w:r>
        <w:fldChar w:fldCharType="end"/>
      </w:r>
      <w:r>
        <w:rPr>
          <w:szCs w:val="24"/>
        </w:rPr>
        <w:fldChar w:fldCharType="end"/>
      </w:r>
    </w:p>
    <w:p>
      <w:pPr>
        <w:pStyle w:val="22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_Toc29420 </w:instrText>
      </w:r>
      <w:r>
        <w:rPr>
          <w:szCs w:val="24"/>
        </w:rPr>
        <w:fldChar w:fldCharType="separate"/>
      </w:r>
      <w:r>
        <w:rPr>
          <w:rFonts w:hint="eastAsia"/>
          <w:szCs w:val="28"/>
          <w:lang w:eastAsia="zh-CN"/>
        </w:rPr>
        <w:t>5.4 手动核查界面</w:t>
      </w:r>
      <w:r>
        <w:tab/>
      </w:r>
      <w:r>
        <w:fldChar w:fldCharType="begin"/>
      </w:r>
      <w:r>
        <w:instrText xml:space="preserve"> PAGEREF _Toc29420 \h </w:instrText>
      </w:r>
      <w:r>
        <w:fldChar w:fldCharType="separate"/>
      </w:r>
      <w:r>
        <w:t>20</w:t>
      </w:r>
      <w:r>
        <w:fldChar w:fldCharType="end"/>
      </w:r>
      <w:r>
        <w:rPr>
          <w:szCs w:val="24"/>
        </w:rPr>
        <w:fldChar w:fldCharType="end"/>
      </w:r>
    </w:p>
    <w:p>
      <w:pPr>
        <w:pStyle w:val="19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_Toc1676 </w:instrText>
      </w:r>
      <w:r>
        <w:rPr>
          <w:szCs w:val="24"/>
        </w:rPr>
        <w:fldChar w:fldCharType="separate"/>
      </w:r>
      <w:r>
        <w:t xml:space="preserve">6 </w:t>
      </w:r>
      <w:r>
        <w:rPr>
          <w:rFonts w:hint="eastAsia"/>
        </w:rPr>
        <w:t>设备调试</w:t>
      </w:r>
      <w:r>
        <w:tab/>
      </w:r>
      <w:r>
        <w:fldChar w:fldCharType="begin"/>
      </w:r>
      <w:r>
        <w:instrText xml:space="preserve"> PAGEREF _Toc1676 \h </w:instrText>
      </w:r>
      <w:r>
        <w:fldChar w:fldCharType="separate"/>
      </w:r>
      <w:r>
        <w:t>22</w:t>
      </w:r>
      <w:r>
        <w:fldChar w:fldCharType="end"/>
      </w:r>
      <w:r>
        <w:rPr>
          <w:szCs w:val="24"/>
        </w:rPr>
        <w:fldChar w:fldCharType="end"/>
      </w:r>
    </w:p>
    <w:p>
      <w:pPr>
        <w:pStyle w:val="22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_Toc30275 </w:instrText>
      </w:r>
      <w:r>
        <w:rPr>
          <w:szCs w:val="24"/>
        </w:rPr>
        <w:fldChar w:fldCharType="separate"/>
      </w:r>
      <w:r>
        <w:rPr>
          <w:rFonts w:hint="eastAsia"/>
          <w:szCs w:val="28"/>
          <w:lang w:eastAsia="zh-CN"/>
        </w:rPr>
        <w:t>6.1 泵阀调试界面</w:t>
      </w:r>
      <w:r>
        <w:tab/>
      </w:r>
      <w:r>
        <w:fldChar w:fldCharType="begin"/>
      </w:r>
      <w:r>
        <w:instrText xml:space="preserve"> PAGEREF _Toc30275 \h </w:instrText>
      </w:r>
      <w:r>
        <w:fldChar w:fldCharType="separate"/>
      </w:r>
      <w:r>
        <w:t>22</w:t>
      </w:r>
      <w:r>
        <w:fldChar w:fldCharType="end"/>
      </w:r>
      <w:r>
        <w:rPr>
          <w:szCs w:val="24"/>
        </w:rPr>
        <w:fldChar w:fldCharType="end"/>
      </w:r>
    </w:p>
    <w:p>
      <w:pPr>
        <w:pStyle w:val="22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_Toc11854 </w:instrText>
      </w:r>
      <w:r>
        <w:rPr>
          <w:szCs w:val="24"/>
        </w:rPr>
        <w:fldChar w:fldCharType="separate"/>
      </w:r>
      <w:r>
        <w:rPr>
          <w:rFonts w:hint="eastAsia"/>
          <w:szCs w:val="28"/>
          <w:lang w:eastAsia="zh-CN"/>
        </w:rPr>
        <w:t>6.2 单步调试界面</w:t>
      </w:r>
      <w:r>
        <w:tab/>
      </w:r>
      <w:r>
        <w:fldChar w:fldCharType="begin"/>
      </w:r>
      <w:r>
        <w:instrText xml:space="preserve"> PAGEREF _Toc11854 \h </w:instrText>
      </w:r>
      <w:r>
        <w:fldChar w:fldCharType="separate"/>
      </w:r>
      <w:r>
        <w:t>23</w:t>
      </w:r>
      <w:r>
        <w:fldChar w:fldCharType="end"/>
      </w:r>
      <w:r>
        <w:rPr>
          <w:szCs w:val="24"/>
        </w:rPr>
        <w:fldChar w:fldCharType="end"/>
      </w:r>
    </w:p>
    <w:p>
      <w:pPr>
        <w:pStyle w:val="22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_Toc7112 </w:instrText>
      </w:r>
      <w:r>
        <w:rPr>
          <w:szCs w:val="24"/>
        </w:rPr>
        <w:fldChar w:fldCharType="separate"/>
      </w:r>
      <w:r>
        <w:rPr>
          <w:rFonts w:hint="eastAsia"/>
          <w:szCs w:val="28"/>
          <w:lang w:eastAsia="zh-CN"/>
        </w:rPr>
        <w:t>6.3 光源信号测试</w:t>
      </w:r>
      <w:r>
        <w:tab/>
      </w:r>
      <w:r>
        <w:fldChar w:fldCharType="begin"/>
      </w:r>
      <w:r>
        <w:instrText xml:space="preserve"> PAGEREF _Toc7112 \h </w:instrText>
      </w:r>
      <w:r>
        <w:fldChar w:fldCharType="separate"/>
      </w:r>
      <w:r>
        <w:t>24</w:t>
      </w:r>
      <w:r>
        <w:fldChar w:fldCharType="end"/>
      </w:r>
      <w:r>
        <w:rPr>
          <w:szCs w:val="24"/>
        </w:rPr>
        <w:fldChar w:fldCharType="end"/>
      </w:r>
    </w:p>
    <w:p>
      <w:pPr>
        <w:pStyle w:val="19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_Toc20724 </w:instrText>
      </w:r>
      <w:r>
        <w:rPr>
          <w:szCs w:val="24"/>
        </w:rPr>
        <w:fldChar w:fldCharType="separate"/>
      </w:r>
      <w:r>
        <w:t xml:space="preserve">7 </w:t>
      </w:r>
      <w:r>
        <w:rPr>
          <w:rFonts w:hint="eastAsia"/>
        </w:rPr>
        <w:t>参数信息</w:t>
      </w:r>
      <w:r>
        <w:tab/>
      </w:r>
      <w:r>
        <w:fldChar w:fldCharType="begin"/>
      </w:r>
      <w:r>
        <w:instrText xml:space="preserve"> PAGEREF _Toc20724 \h </w:instrText>
      </w:r>
      <w:r>
        <w:fldChar w:fldCharType="separate"/>
      </w:r>
      <w:r>
        <w:t>25</w:t>
      </w:r>
      <w:r>
        <w:fldChar w:fldCharType="end"/>
      </w:r>
      <w:r>
        <w:rPr>
          <w:szCs w:val="24"/>
        </w:rPr>
        <w:fldChar w:fldCharType="end"/>
      </w:r>
    </w:p>
    <w:p>
      <w:pPr>
        <w:pStyle w:val="22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_Toc15700 </w:instrText>
      </w:r>
      <w:r>
        <w:rPr>
          <w:szCs w:val="24"/>
        </w:rPr>
        <w:fldChar w:fldCharType="separate"/>
      </w:r>
      <w:r>
        <w:rPr>
          <w:rFonts w:hint="eastAsia"/>
          <w:szCs w:val="28"/>
          <w:lang w:eastAsia="zh-CN"/>
        </w:rPr>
        <w:t>7.1 系统参数</w:t>
      </w:r>
      <w:r>
        <w:tab/>
      </w:r>
      <w:r>
        <w:fldChar w:fldCharType="begin"/>
      </w:r>
      <w:r>
        <w:instrText xml:space="preserve"> PAGEREF _Toc15700 \h </w:instrText>
      </w:r>
      <w:r>
        <w:fldChar w:fldCharType="separate"/>
      </w:r>
      <w:r>
        <w:t>25</w:t>
      </w:r>
      <w:r>
        <w:fldChar w:fldCharType="end"/>
      </w:r>
      <w:r>
        <w:rPr>
          <w:szCs w:val="24"/>
        </w:rPr>
        <w:fldChar w:fldCharType="end"/>
      </w:r>
    </w:p>
    <w:p>
      <w:pPr>
        <w:pStyle w:val="22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_Toc1656 </w:instrText>
      </w:r>
      <w:r>
        <w:rPr>
          <w:szCs w:val="24"/>
        </w:rPr>
        <w:fldChar w:fldCharType="separate"/>
      </w:r>
      <w:r>
        <w:rPr>
          <w:rFonts w:hint="eastAsia"/>
          <w:szCs w:val="28"/>
          <w:lang w:eastAsia="zh-CN"/>
        </w:rPr>
        <w:t xml:space="preserve">7.2 </w:t>
      </w:r>
      <w:r>
        <w:rPr>
          <w:rFonts w:hint="eastAsia"/>
          <w:szCs w:val="28"/>
          <w:lang w:val="en-US" w:eastAsia="zh-CN"/>
        </w:rPr>
        <w:t>COD</w:t>
      </w:r>
      <w:r>
        <w:rPr>
          <w:rFonts w:hint="eastAsia"/>
          <w:szCs w:val="28"/>
          <w:lang w:eastAsia="zh-CN"/>
        </w:rPr>
        <w:t>参数</w:t>
      </w:r>
      <w:r>
        <w:tab/>
      </w:r>
      <w:r>
        <w:fldChar w:fldCharType="begin"/>
      </w:r>
      <w:r>
        <w:instrText xml:space="preserve"> PAGEREF _Toc1656 \h </w:instrText>
      </w:r>
      <w:r>
        <w:fldChar w:fldCharType="separate"/>
      </w:r>
      <w:r>
        <w:t>28</w:t>
      </w:r>
      <w:r>
        <w:fldChar w:fldCharType="end"/>
      </w:r>
      <w:r>
        <w:rPr>
          <w:szCs w:val="24"/>
        </w:rPr>
        <w:fldChar w:fldCharType="end"/>
      </w:r>
    </w:p>
    <w:p>
      <w:pPr>
        <w:pStyle w:val="22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_Toc10862 </w:instrText>
      </w:r>
      <w:r>
        <w:rPr>
          <w:szCs w:val="24"/>
        </w:rPr>
        <w:fldChar w:fldCharType="separate"/>
      </w:r>
      <w:r>
        <w:rPr>
          <w:rFonts w:hint="eastAsia"/>
          <w:szCs w:val="28"/>
          <w:lang w:eastAsia="zh-CN"/>
        </w:rPr>
        <w:t xml:space="preserve">7.3 </w:t>
      </w:r>
      <w:r>
        <w:rPr>
          <w:rFonts w:hint="eastAsia"/>
          <w:szCs w:val="28"/>
          <w:lang w:val="en-US" w:eastAsia="zh-CN"/>
        </w:rPr>
        <w:t>系统时间</w:t>
      </w:r>
      <w:r>
        <w:tab/>
      </w:r>
      <w:r>
        <w:fldChar w:fldCharType="begin"/>
      </w:r>
      <w:r>
        <w:instrText xml:space="preserve"> PAGEREF _Toc10862 \h </w:instrText>
      </w:r>
      <w:r>
        <w:fldChar w:fldCharType="separate"/>
      </w:r>
      <w:r>
        <w:t>32</w:t>
      </w:r>
      <w:r>
        <w:fldChar w:fldCharType="end"/>
      </w:r>
      <w:r>
        <w:rPr>
          <w:szCs w:val="24"/>
        </w:rPr>
        <w:fldChar w:fldCharType="end"/>
      </w:r>
    </w:p>
    <w:p>
      <w:pPr>
        <w:pStyle w:val="19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_Toc471 </w:instrText>
      </w:r>
      <w:r>
        <w:rPr>
          <w:szCs w:val="24"/>
        </w:rPr>
        <w:fldChar w:fldCharType="separate"/>
      </w:r>
      <w:r>
        <w:t xml:space="preserve">8 </w:t>
      </w:r>
      <w:r>
        <w:rPr>
          <w:rFonts w:hint="eastAsia"/>
        </w:rPr>
        <w:t>系统记录</w:t>
      </w:r>
      <w:r>
        <w:tab/>
      </w:r>
      <w:r>
        <w:fldChar w:fldCharType="begin"/>
      </w:r>
      <w:r>
        <w:instrText xml:space="preserve"> PAGEREF _Toc471 \h </w:instrText>
      </w:r>
      <w:r>
        <w:fldChar w:fldCharType="separate"/>
      </w:r>
      <w:r>
        <w:t>33</w:t>
      </w:r>
      <w:r>
        <w:fldChar w:fldCharType="end"/>
      </w:r>
      <w:r>
        <w:rPr>
          <w:szCs w:val="24"/>
        </w:rPr>
        <w:fldChar w:fldCharType="end"/>
      </w:r>
    </w:p>
    <w:p>
      <w:pPr>
        <w:pStyle w:val="22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_Toc11627 </w:instrText>
      </w:r>
      <w:r>
        <w:rPr>
          <w:szCs w:val="24"/>
        </w:rPr>
        <w:fldChar w:fldCharType="separate"/>
      </w:r>
      <w:r>
        <w:rPr>
          <w:rFonts w:hint="eastAsia"/>
          <w:szCs w:val="28"/>
          <w:lang w:eastAsia="zh-CN"/>
        </w:rPr>
        <w:t>8.1 报警记录</w:t>
      </w:r>
      <w:r>
        <w:tab/>
      </w:r>
      <w:r>
        <w:fldChar w:fldCharType="begin"/>
      </w:r>
      <w:r>
        <w:instrText xml:space="preserve"> PAGEREF _Toc11627 \h </w:instrText>
      </w:r>
      <w:r>
        <w:fldChar w:fldCharType="separate"/>
      </w:r>
      <w:r>
        <w:t>33</w:t>
      </w:r>
      <w:r>
        <w:fldChar w:fldCharType="end"/>
      </w:r>
      <w:r>
        <w:rPr>
          <w:szCs w:val="24"/>
        </w:rPr>
        <w:fldChar w:fldCharType="end"/>
      </w:r>
    </w:p>
    <w:p>
      <w:pPr>
        <w:pStyle w:val="22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_Toc25139 </w:instrText>
      </w:r>
      <w:r>
        <w:rPr>
          <w:szCs w:val="24"/>
        </w:rPr>
        <w:fldChar w:fldCharType="separate"/>
      </w:r>
      <w:r>
        <w:rPr>
          <w:rFonts w:hint="eastAsia"/>
          <w:szCs w:val="28"/>
          <w:lang w:eastAsia="zh-CN"/>
        </w:rPr>
        <w:t>8.2 操作日志</w:t>
      </w:r>
      <w:r>
        <w:tab/>
      </w:r>
      <w:r>
        <w:fldChar w:fldCharType="begin"/>
      </w:r>
      <w:r>
        <w:instrText xml:space="preserve"> PAGEREF _Toc25139 \h </w:instrText>
      </w:r>
      <w:r>
        <w:fldChar w:fldCharType="separate"/>
      </w:r>
      <w:r>
        <w:t>34</w:t>
      </w:r>
      <w:r>
        <w:fldChar w:fldCharType="end"/>
      </w:r>
      <w:r>
        <w:rPr>
          <w:szCs w:val="24"/>
        </w:rPr>
        <w:fldChar w:fldCharType="end"/>
      </w:r>
    </w:p>
    <w:p>
      <w:pPr>
        <w:pStyle w:val="22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_Toc30333 </w:instrText>
      </w:r>
      <w:r>
        <w:rPr>
          <w:szCs w:val="24"/>
        </w:rPr>
        <w:fldChar w:fldCharType="separate"/>
      </w:r>
      <w:r>
        <w:rPr>
          <w:rFonts w:hint="eastAsia"/>
          <w:szCs w:val="28"/>
          <w:lang w:eastAsia="zh-CN"/>
        </w:rPr>
        <w:t>8.3 运行日志</w:t>
      </w:r>
      <w:r>
        <w:tab/>
      </w:r>
      <w:r>
        <w:fldChar w:fldCharType="begin"/>
      </w:r>
      <w:r>
        <w:instrText xml:space="preserve"> PAGEREF _Toc30333 \h </w:instrText>
      </w:r>
      <w:r>
        <w:fldChar w:fldCharType="separate"/>
      </w:r>
      <w:r>
        <w:t>34</w:t>
      </w:r>
      <w:r>
        <w:fldChar w:fldCharType="end"/>
      </w:r>
      <w:r>
        <w:rPr>
          <w:szCs w:val="24"/>
        </w:rPr>
        <w:fldChar w:fldCharType="end"/>
      </w:r>
    </w:p>
    <w:p>
      <w:pPr>
        <w:pStyle w:val="19"/>
        <w:tabs>
          <w:tab w:val="right" w:leader="dot" w:pos="974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_Toc22057 </w:instrText>
      </w:r>
      <w:r>
        <w:rPr>
          <w:szCs w:val="24"/>
        </w:rPr>
        <w:fldChar w:fldCharType="separate"/>
      </w:r>
      <w:r>
        <w:t xml:space="preserve">9 </w:t>
      </w:r>
      <w:r>
        <w:rPr>
          <w:rFonts w:hint="eastAsia"/>
        </w:rPr>
        <w:t>紧急停止</w:t>
      </w:r>
      <w:r>
        <w:tab/>
      </w:r>
      <w:r>
        <w:fldChar w:fldCharType="begin"/>
      </w:r>
      <w:r>
        <w:instrText xml:space="preserve"> PAGEREF _Toc22057 \h </w:instrText>
      </w:r>
      <w:r>
        <w:fldChar w:fldCharType="separate"/>
      </w:r>
      <w:r>
        <w:t>35</w:t>
      </w:r>
      <w:r>
        <w:fldChar w:fldCharType="end"/>
      </w:r>
      <w:r>
        <w:rPr>
          <w:szCs w:val="24"/>
        </w:rPr>
        <w:fldChar w:fldCharType="end"/>
      </w:r>
    </w:p>
    <w:p>
      <w:pPr>
        <w:spacing w:line="360" w:lineRule="auto"/>
        <w:rPr>
          <w:rFonts w:hint="eastAsia"/>
          <w:sz w:val="24"/>
          <w:szCs w:val="24"/>
        </w:rPr>
        <w:sectPr>
          <w:headerReference r:id="rId3" w:type="default"/>
          <w:footerReference r:id="rId4" w:type="default"/>
          <w:pgSz w:w="11906" w:h="16838"/>
          <w:pgMar w:top="1134" w:right="1134" w:bottom="1134" w:left="1134" w:header="851" w:footer="992" w:gutter="0"/>
          <w:cols w:space="0" w:num="1"/>
          <w:rtlGutter w:val="0"/>
          <w:docGrid w:type="lines" w:linePitch="312" w:charSpace="0"/>
        </w:sectPr>
      </w:pPr>
      <w:r>
        <w:rPr>
          <w:szCs w:val="24"/>
        </w:rPr>
        <w:fldChar w:fldCharType="end"/>
      </w:r>
      <w:r>
        <w:rPr>
          <w:sz w:val="24"/>
          <w:szCs w:val="24"/>
        </w:rPr>
        <w:br w:type="page"/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分析仪采用工业触摸屏技术，操作用户既能查看当前测量结果，又能查寻历史测量数据，维护工程师能对仪器的各部分进行手动操作、查看样本各种测量数据、修改仪器各种模式，系统管理员能对仪器反应条件、测量周期、报警值等参数进行设定。</w:t>
      </w:r>
    </w:p>
    <w:p>
      <w:pPr>
        <w:spacing w:line="360" w:lineRule="auto"/>
        <w:ind w:firstLine="420" w:firstLineChars="200"/>
        <w:rPr>
          <w:sz w:val="24"/>
          <w:szCs w:val="24"/>
        </w:rPr>
      </w:pPr>
      <w:r>
        <w:drawing>
          <wp:inline distT="0" distB="0" distL="114300" distR="114300">
            <wp:extent cx="371475" cy="333375"/>
            <wp:effectExtent l="0" t="0" r="9525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u w:val="single"/>
        </w:rPr>
        <w:t>仪器启动</w:t>
      </w:r>
      <w:r>
        <w:rPr>
          <w:rFonts w:hint="eastAsia"/>
          <w:sz w:val="24"/>
          <w:szCs w:val="24"/>
          <w:u w:val="single"/>
          <w:lang w:eastAsia="zh-CN"/>
        </w:rPr>
        <w:t>前</w:t>
      </w:r>
      <w:r>
        <w:rPr>
          <w:rFonts w:hint="eastAsia"/>
          <w:sz w:val="24"/>
          <w:szCs w:val="24"/>
          <w:u w:val="single"/>
        </w:rPr>
        <w:t>，要确保所有试剂均已经正确放置到位，蒸馏水和废液桶均已配置齐全，安装正确。</w:t>
      </w:r>
    </w:p>
    <w:p>
      <w:pPr>
        <w:pStyle w:val="2"/>
      </w:pPr>
      <w:bookmarkStart w:id="4" w:name="_Toc8749"/>
      <w:r>
        <w:rPr>
          <w:rFonts w:hint="eastAsia"/>
        </w:rPr>
        <w:t>首页界面</w:t>
      </w:r>
      <w:bookmarkEnd w:id="4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仪器开机后，出现的首页界面如图1。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3675" cy="3168650"/>
            <wp:effectExtent l="0" t="0" r="317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 首页界面</w:t>
      </w:r>
    </w:p>
    <w:p>
      <w:pPr>
        <w:pStyle w:val="41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界面顶部为标题栏，显示“产品型号”。</w:t>
      </w:r>
    </w:p>
    <w:tbl>
      <w:tblPr>
        <w:tblStyle w:val="24"/>
        <w:tblW w:w="860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3"/>
        <w:gridCol w:w="1272"/>
        <w:gridCol w:w="2930"/>
        <w:gridCol w:w="2255"/>
        <w:gridCol w:w="158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</w:rPr>
              <w:t>序号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</w:rPr>
              <w:t>系列</w:t>
            </w:r>
          </w:p>
        </w:tc>
        <w:tc>
          <w:tcPr>
            <w:tcW w:w="2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</w:rPr>
              <w:t>产品名称</w:t>
            </w:r>
          </w:p>
        </w:tc>
        <w:tc>
          <w:tcPr>
            <w:tcW w:w="2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</w:rPr>
              <w:t>产品型号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</w:rPr>
              <w:t>检测因子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AEEF3" w:fill="DAEEF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2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AEEF3" w:fill="DAEEF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NIPm-3000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水质分析仪</w:t>
            </w:r>
          </w:p>
        </w:tc>
        <w:tc>
          <w:tcPr>
            <w:tcW w:w="2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AEEF3" w:fill="DAEEF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化学需氧量（COD）水质分析仪</w:t>
            </w:r>
          </w:p>
        </w:tc>
        <w:tc>
          <w:tcPr>
            <w:tcW w:w="2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AEEF3" w:fill="DAEEF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NPm-3000-CODcr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AEEF3" w:fill="DAEEF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COD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2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AEEF3" w:fill="DAEEF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2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氨氮水质分析仪</w:t>
            </w:r>
          </w:p>
        </w:tc>
        <w:tc>
          <w:tcPr>
            <w:tcW w:w="2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NPm-3000-NH3N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氨氮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AEEF3" w:fill="DAEEF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12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AEEF3" w:fill="DAEEF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2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AEEF3" w:fill="DAEEF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总磷水质分析仪</w:t>
            </w:r>
          </w:p>
        </w:tc>
        <w:tc>
          <w:tcPr>
            <w:tcW w:w="2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AEEF3" w:fill="DAEEF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NPm-3000-TP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AEEF3" w:fill="DAEEF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总磷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2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AEEF3" w:fill="DAEEF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2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总氮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水质分析仪</w:t>
            </w:r>
          </w:p>
        </w:tc>
        <w:tc>
          <w:tcPr>
            <w:tcW w:w="2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NPm-3000-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TN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总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氮</w:t>
            </w:r>
          </w:p>
        </w:tc>
      </w:tr>
    </w:tbl>
    <w:p>
      <w:pPr>
        <w:pStyle w:val="41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界面顶部为标题栏，显示“仪器型号”。</w:t>
      </w:r>
    </w:p>
    <w:p>
      <w:pPr>
        <w:pStyle w:val="41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界面底部为状态栏，显示“版本”和“日期时间”信息。</w:t>
      </w:r>
    </w:p>
    <w:p>
      <w:pPr>
        <w:pStyle w:val="41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界面左侧为主显示区域，显示COD当前测量值和测量完成时间信息。</w:t>
      </w:r>
    </w:p>
    <w:p>
      <w:pPr>
        <w:pStyle w:val="41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界面右侧为信息提示栏和操作按钮栏，信息提示包括“登录状态”、“运行状态”、“参数异常”和“温度”信息，其中“运行状态”根据仪器的设置可显示为“手动测量”、“定时测量”、“间隔测量”和“远程控制”四种信息，“参数异常”信息在出现异常时显示；操作按钮包括“首页界面”、“历史数据”、“操作设置”、“标定核查”、“设备调试”、“参数信息”、“系统记录”和“紧急停止”按钮。</w:t>
      </w:r>
    </w:p>
    <w:p>
      <w:pPr>
        <w:pStyle w:val="41"/>
        <w:numPr>
          <w:ilvl w:val="0"/>
          <w:numId w:val="0"/>
        </w:numPr>
        <w:spacing w:line="360" w:lineRule="auto"/>
        <w:ind w:left="480" w:leftChars="0"/>
        <w:rPr>
          <w:sz w:val="24"/>
          <w:szCs w:val="24"/>
        </w:rPr>
      </w:pPr>
    </w:p>
    <w:tbl>
      <w:tblPr>
        <w:tblStyle w:val="2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4" w:type="dxa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操作按钮</w:t>
            </w:r>
          </w:p>
        </w:tc>
        <w:tc>
          <w:tcPr>
            <w:tcW w:w="4264" w:type="dxa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4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object>
                <v:shape id="_x0000_i1025" o:spt="75" type="#_x0000_t75" style="height:45.2pt;width:45.2pt;" o:ole="t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10">
                  <o:LockedField>false</o:LockedField>
                </o:OLEObject>
              </w:object>
            </w:r>
          </w:p>
        </w:tc>
        <w:tc>
          <w:tcPr>
            <w:tcW w:w="4264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首页界面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4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object>
                <v:shape id="_x0000_i1026" o:spt="75" type="#_x0000_t75" style="height:45.2pt;width:45.2pt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12">
                  <o:LockedField>false</o:LockedField>
                </o:OLEObject>
              </w:object>
            </w:r>
          </w:p>
        </w:tc>
        <w:tc>
          <w:tcPr>
            <w:tcW w:w="4264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历史数据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4" w:type="dxa"/>
            <w:vAlign w:val="center"/>
          </w:tcPr>
          <w:p>
            <w:pPr>
              <w:spacing w:line="360" w:lineRule="auto"/>
              <w:jc w:val="center"/>
            </w:pPr>
            <w:r>
              <w:object>
                <v:shape id="_x0000_i1027" o:spt="75" type="#_x0000_t75" style="height:45.2pt;width:45.2pt;" o:ole="t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7" r:id="rId14">
                  <o:LockedField>false</o:LockedField>
                </o:OLEObject>
              </w:object>
            </w:r>
          </w:p>
        </w:tc>
        <w:tc>
          <w:tcPr>
            <w:tcW w:w="4264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操作设置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4" w:type="dxa"/>
            <w:vAlign w:val="center"/>
          </w:tcPr>
          <w:p>
            <w:pPr>
              <w:spacing w:line="360" w:lineRule="auto"/>
              <w:jc w:val="center"/>
            </w:pPr>
            <w:r>
              <w:object>
                <v:shape id="_x0000_i1028" o:spt="75" type="#_x0000_t75" style="height:45.2pt;width:45.2pt;" o:ole="t" filled="f" o:preferrelative="t" stroked="f" coordsize="21600,21600">
                  <v:path/>
                  <v:fill on="f" focussize="0,0"/>
                  <v:stroke on="f" joinstyle="miter"/>
                  <v:imagedata r:id="rId17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8" r:id="rId16">
                  <o:LockedField>false</o:LockedField>
                </o:OLEObject>
              </w:object>
            </w:r>
          </w:p>
        </w:tc>
        <w:tc>
          <w:tcPr>
            <w:tcW w:w="4264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标定核查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4" w:type="dxa"/>
            <w:vAlign w:val="center"/>
          </w:tcPr>
          <w:p>
            <w:pPr>
              <w:spacing w:line="360" w:lineRule="auto"/>
              <w:jc w:val="center"/>
            </w:pPr>
            <w:r>
              <w:object>
                <v:shape id="_x0000_i1029" o:spt="75" type="#_x0000_t75" style="height:45.2pt;width:45.2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PBrush" ShapeID="_x0000_i1029" DrawAspect="Content" ObjectID="_1468075729" r:id="rId18">
                  <o:LockedField>false</o:LockedField>
                </o:OLEObject>
              </w:object>
            </w:r>
          </w:p>
        </w:tc>
        <w:tc>
          <w:tcPr>
            <w:tcW w:w="4264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设备调试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4" w:type="dxa"/>
            <w:vAlign w:val="center"/>
          </w:tcPr>
          <w:p>
            <w:pPr>
              <w:spacing w:line="360" w:lineRule="auto"/>
              <w:jc w:val="center"/>
            </w:pPr>
            <w:r>
              <w:object>
                <v:shape id="_x0000_i1030" o:spt="75" type="#_x0000_t75" style="height:45.2pt;width:45.2pt;" o:ole="t" filled="f" o:preferrelative="t" stroked="f" coordsize="21600,21600">
                  <v:path/>
                  <v:fill on="f" focussize="0,0"/>
                  <v:stroke on="f" joinstyle="miter"/>
                  <v:imagedata r:id="rId21" o:title=""/>
                  <o:lock v:ext="edit" aspectratio="t"/>
                  <w10:wrap type="none"/>
                  <w10:anchorlock/>
                </v:shape>
                <o:OLEObject Type="Embed" ProgID="PBrush" ShapeID="_x0000_i1030" DrawAspect="Content" ObjectID="_1468075730" r:id="rId20">
                  <o:LockedField>false</o:LockedField>
                </o:OLEObject>
              </w:object>
            </w:r>
          </w:p>
        </w:tc>
        <w:tc>
          <w:tcPr>
            <w:tcW w:w="4264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参数信息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4" w:type="dxa"/>
            <w:vAlign w:val="center"/>
          </w:tcPr>
          <w:p>
            <w:pPr>
              <w:spacing w:line="360" w:lineRule="auto"/>
              <w:jc w:val="center"/>
            </w:pPr>
            <w:r>
              <w:object>
                <v:shape id="_x0000_i1031" o:spt="75" type="#_x0000_t75" style="height:45.2pt;width:45.2pt;" o:ole="t" filled="f" o:preferrelative="t" stroked="f" coordsize="21600,21600">
                  <v:path/>
                  <v:fill on="f" focussize="0,0"/>
                  <v:stroke on="f" joinstyle="miter"/>
                  <v:imagedata r:id="rId23" o:title=""/>
                  <o:lock v:ext="edit" aspectratio="t"/>
                  <w10:wrap type="none"/>
                  <w10:anchorlock/>
                </v:shape>
                <o:OLEObject Type="Embed" ProgID="PBrush" ShapeID="_x0000_i1031" DrawAspect="Content" ObjectID="_1468075731" r:id="rId22">
                  <o:LockedField>false</o:LockedField>
                </o:OLEObject>
              </w:object>
            </w:r>
          </w:p>
        </w:tc>
        <w:tc>
          <w:tcPr>
            <w:tcW w:w="4264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系统记录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4" w:type="dxa"/>
            <w:vAlign w:val="center"/>
          </w:tcPr>
          <w:p>
            <w:pPr>
              <w:spacing w:line="360" w:lineRule="auto"/>
              <w:jc w:val="center"/>
            </w:pPr>
            <w:r>
              <w:object>
                <v:shape id="_x0000_i1032" o:spt="75" type="#_x0000_t75" style="height:45.2pt;width:45.2pt;" o:ole="t" filled="f" o:preferrelative="t" stroked="f" coordsize="21600,21600">
                  <v:path/>
                  <v:fill on="f" focussize="0,0"/>
                  <v:stroke on="f" joinstyle="miter"/>
                  <v:imagedata r:id="rId25" o:title=""/>
                  <o:lock v:ext="edit" aspectratio="t"/>
                  <w10:wrap type="none"/>
                  <w10:anchorlock/>
                </v:shape>
                <o:OLEObject Type="Embed" ProgID="PBrush" ShapeID="_x0000_i1032" DrawAspect="Content" ObjectID="_1468075732" r:id="rId24">
                  <o:LockedField>false</o:LockedField>
                </o:OLEObject>
              </w:object>
            </w:r>
          </w:p>
        </w:tc>
        <w:tc>
          <w:tcPr>
            <w:tcW w:w="4264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紧急停止</w:t>
            </w:r>
          </w:p>
        </w:tc>
      </w:tr>
    </w:tbl>
    <w:p>
      <w:pPr>
        <w:pStyle w:val="41"/>
        <w:numPr>
          <w:ilvl w:val="0"/>
          <w:numId w:val="0"/>
        </w:numPr>
        <w:spacing w:line="360" w:lineRule="auto"/>
        <w:ind w:left="480" w:leftChars="0"/>
        <w:rPr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所有的界面标题栏、状态栏和操作按钮是相同的，主显示区域的内容在不同的界面有差异。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</w:p>
    <w:p>
      <w:pPr>
        <w:spacing w:line="360" w:lineRule="auto"/>
        <w:rPr>
          <w:rFonts w:hint="eastAsia"/>
          <w:sz w:val="24"/>
          <w:szCs w:val="24"/>
        </w:rPr>
      </w:pPr>
    </w:p>
    <w:p>
      <w:pPr>
        <w:spacing w:line="360" w:lineRule="auto"/>
        <w:rPr>
          <w:rFonts w:hint="eastAsia"/>
          <w:sz w:val="24"/>
          <w:szCs w:val="24"/>
        </w:rPr>
        <w:sectPr>
          <w:pgSz w:w="11906" w:h="16838"/>
          <w:pgMar w:top="1134" w:right="1134" w:bottom="1134" w:left="1134" w:header="851" w:footer="992" w:gutter="0"/>
          <w:cols w:space="0" w:num="1"/>
          <w:rtlGutter w:val="0"/>
          <w:docGrid w:type="lines" w:linePitch="312" w:charSpace="0"/>
        </w:sectPr>
      </w:pPr>
    </w:p>
    <w:p>
      <w:pPr>
        <w:pStyle w:val="2"/>
      </w:pPr>
      <w:bookmarkStart w:id="5" w:name="_Toc14868"/>
      <w:r>
        <w:rPr>
          <w:rFonts w:hint="eastAsia"/>
        </w:rPr>
        <w:t>用户登录</w:t>
      </w:r>
      <w:bookmarkEnd w:id="5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用户未登录前不能进行使用操作，登录后赋予相应的权限，可以执行对应的操作，点击界面右上角的</w:t>
      </w:r>
      <w:r>
        <w:rPr>
          <w:rFonts w:hint="eastAsia"/>
          <w:sz w:val="24"/>
          <w:szCs w:val="24"/>
        </w:rPr>
        <w:drawing>
          <wp:inline distT="0" distB="0" distL="0" distR="0">
            <wp:extent cx="637540" cy="212725"/>
            <wp:effectExtent l="0" t="0" r="10160" b="1587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，打开用户登录界面（如图2）。</w:t>
      </w:r>
    </w:p>
    <w:p>
      <w:pPr>
        <w:spacing w:line="360" w:lineRule="auto"/>
        <w:jc w:val="center"/>
      </w:pPr>
      <w:r>
        <w:rPr>
          <w:rFonts w:hint="eastAsia"/>
        </w:rPr>
        <w:drawing>
          <wp:inline distT="0" distB="0" distL="0" distR="0">
            <wp:extent cx="3628390" cy="2813050"/>
            <wp:effectExtent l="0" t="0" r="10160" b="635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 登录操作界面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选择用户名、输入密码，验证通过后登录显示用户名信息（如图3）。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3675" cy="3168650"/>
            <wp:effectExtent l="0" t="0" r="3175" b="1270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图3 登录后的操作界面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点击界面右上角的</w:t>
      </w:r>
      <w:r>
        <w:rPr>
          <w:rFonts w:hint="eastAsia"/>
          <w:sz w:val="24"/>
          <w:szCs w:val="24"/>
        </w:rPr>
        <w:drawing>
          <wp:inline distT="0" distB="0" distL="0" distR="0">
            <wp:extent cx="257175" cy="257175"/>
            <wp:effectExtent l="19050" t="0" r="9303" b="0"/>
            <wp:docPr id="6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602" cy="25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，打开用户密码修改界面（如图4），正确输入原密码和新密码后完成密码修改操作。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882265" cy="2444750"/>
            <wp:effectExtent l="0" t="0" r="13335" b="12700"/>
            <wp:docPr id="6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图4 密码修改操作界面</w:t>
      </w:r>
    </w:p>
    <w:p>
      <w:pPr>
        <w:spacing w:line="36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</w:rPr>
      </w:pPr>
      <w:r>
        <w:drawing>
          <wp:inline distT="0" distB="0" distL="114300" distR="114300">
            <wp:extent cx="371475" cy="333375"/>
            <wp:effectExtent l="0" t="0" r="9525" b="9525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注意：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eastAsia="zh-CN"/>
        </w:rPr>
        <w:t>密码修改后请自己保存记录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eastAsia="zh-CN"/>
        </w:rPr>
        <w:t>，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eastAsia="zh-CN"/>
        </w:rPr>
        <w:t>没有密码找回功能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eastAsia="zh-CN"/>
        </w:rPr>
        <w:t>。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eastAsia="zh-CN"/>
        </w:rPr>
        <w:t>若丢失后请拨打产品售后服务电话，联系售后服务人员进行软件恢复出厂设置。</w:t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</w:p>
    <w:p>
      <w:pPr>
        <w:spacing w:line="360" w:lineRule="auto"/>
        <w:jc w:val="center"/>
        <w:rPr>
          <w:rFonts w:hint="eastAsia"/>
          <w:sz w:val="24"/>
          <w:szCs w:val="24"/>
        </w:rPr>
      </w:pPr>
    </w:p>
    <w:p>
      <w:pPr>
        <w:spacing w:line="360" w:lineRule="auto"/>
        <w:jc w:val="center"/>
        <w:rPr>
          <w:rFonts w:hint="eastAsia"/>
          <w:sz w:val="24"/>
          <w:szCs w:val="24"/>
        </w:rPr>
      </w:pPr>
    </w:p>
    <w:p>
      <w:pPr>
        <w:spacing w:line="360" w:lineRule="auto"/>
        <w:jc w:val="center"/>
        <w:rPr>
          <w:rFonts w:hint="eastAsia"/>
          <w:sz w:val="24"/>
          <w:szCs w:val="24"/>
        </w:rPr>
      </w:pPr>
    </w:p>
    <w:p>
      <w:pPr>
        <w:spacing w:line="360" w:lineRule="auto"/>
        <w:jc w:val="center"/>
        <w:rPr>
          <w:rFonts w:hint="eastAsia"/>
          <w:sz w:val="24"/>
          <w:szCs w:val="24"/>
        </w:rPr>
      </w:pPr>
    </w:p>
    <w:p>
      <w:pPr>
        <w:spacing w:line="360" w:lineRule="auto"/>
        <w:jc w:val="center"/>
        <w:rPr>
          <w:rFonts w:hint="eastAsia"/>
          <w:sz w:val="24"/>
          <w:szCs w:val="24"/>
        </w:rPr>
      </w:pPr>
    </w:p>
    <w:p>
      <w:pPr>
        <w:spacing w:line="360" w:lineRule="auto"/>
        <w:jc w:val="center"/>
        <w:rPr>
          <w:rFonts w:hint="eastAsia"/>
          <w:sz w:val="24"/>
          <w:szCs w:val="24"/>
        </w:rPr>
      </w:pPr>
    </w:p>
    <w:p>
      <w:pPr>
        <w:spacing w:line="360" w:lineRule="auto"/>
        <w:jc w:val="center"/>
        <w:rPr>
          <w:rFonts w:hint="eastAsia"/>
          <w:sz w:val="24"/>
          <w:szCs w:val="24"/>
        </w:rPr>
        <w:sectPr>
          <w:pgSz w:w="11906" w:h="16838"/>
          <w:pgMar w:top="1134" w:right="1134" w:bottom="1134" w:left="1134" w:header="851" w:footer="992" w:gutter="0"/>
          <w:cols w:space="0" w:num="1"/>
          <w:rtlGutter w:val="0"/>
          <w:docGrid w:type="lines" w:linePitch="312" w:charSpace="0"/>
        </w:sectPr>
      </w:pPr>
    </w:p>
    <w:p>
      <w:pPr>
        <w:pStyle w:val="2"/>
      </w:pPr>
      <w:bookmarkStart w:id="6" w:name="_Toc10960"/>
      <w:r>
        <w:rPr>
          <w:rFonts w:hint="eastAsia"/>
        </w:rPr>
        <w:t>历史数据</w:t>
      </w:r>
      <w:bookmarkEnd w:id="6"/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在界面选择</w:t>
      </w:r>
      <w:r>
        <w:object>
          <v:shape id="_x0000_i1033" o:spt="75" type="#_x0000_t75" style="height:24pt;width:23.2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PBrush" ShapeID="_x0000_i1033" DrawAspect="Content" ObjectID="_1468075733" r:id="rId31">
            <o:LockedField>false</o:LockedField>
          </o:OLEObject>
        </w:object>
      </w:r>
      <w:r>
        <w:rPr>
          <w:rFonts w:hint="eastAsia"/>
          <w:sz w:val="24"/>
          <w:szCs w:val="24"/>
        </w:rPr>
        <w:t>“历史数据”按钮进入历史数据察看界面（如图5）</w:t>
      </w:r>
      <w:r>
        <w:rPr>
          <w:rFonts w:hint="eastAsia"/>
          <w:sz w:val="24"/>
          <w:szCs w:val="24"/>
          <w:lang w:eastAsia="zh-CN"/>
        </w:rPr>
        <w:t>，该界面</w:t>
      </w:r>
      <w:r>
        <w:rPr>
          <w:rFonts w:hint="eastAsia"/>
          <w:sz w:val="24"/>
          <w:szCs w:val="24"/>
        </w:rPr>
        <w:t>包含有“测量记录”、“标一记录”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“标二记录”</w:t>
      </w:r>
      <w:r>
        <w:rPr>
          <w:rFonts w:hint="eastAsia"/>
          <w:sz w:val="24"/>
          <w:szCs w:val="24"/>
          <w:lang w:eastAsia="zh-CN"/>
        </w:rPr>
        <w:t>和“核查记录”四</w:t>
      </w:r>
      <w:r>
        <w:rPr>
          <w:rFonts w:hint="eastAsia"/>
          <w:sz w:val="24"/>
          <w:szCs w:val="24"/>
        </w:rPr>
        <w:t>个菜单（当前页面对应的菜单不显示）。</w:t>
      </w:r>
      <w:r>
        <w:rPr>
          <w:rFonts w:hint="eastAsia"/>
          <w:sz w:val="24"/>
          <w:szCs w:val="24"/>
          <w:lang w:eastAsia="zh-CN"/>
        </w:rPr>
        <w:t>所有记录数据可保存</w:t>
      </w:r>
      <w:r>
        <w:rPr>
          <w:rFonts w:hint="eastAsia"/>
          <w:sz w:val="24"/>
          <w:szCs w:val="24"/>
          <w:lang w:val="en-US" w:eastAsia="zh-CN"/>
        </w:rPr>
        <w:t>12个月以上。</w:t>
      </w:r>
    </w:p>
    <w:p>
      <w:pPr>
        <w:spacing w:line="360" w:lineRule="auto"/>
        <w:ind w:firstLine="480" w:firstLineChars="200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“测量记录”</w:t>
      </w:r>
      <w:r>
        <w:rPr>
          <w:rFonts w:hint="eastAsia"/>
          <w:sz w:val="24"/>
          <w:szCs w:val="24"/>
          <w:lang w:eastAsia="zh-CN"/>
        </w:rPr>
        <w:t>：指实际测量的水样（</w:t>
      </w:r>
      <w:r>
        <w:rPr>
          <w:rFonts w:hint="eastAsia"/>
          <w:sz w:val="24"/>
          <w:szCs w:val="24"/>
          <w:lang w:val="en-US" w:eastAsia="zh-CN"/>
        </w:rPr>
        <w:t>S管</w:t>
      </w:r>
      <w:r>
        <w:rPr>
          <w:rFonts w:hint="eastAsia"/>
          <w:sz w:val="24"/>
          <w:szCs w:val="24"/>
          <w:lang w:eastAsia="zh-CN"/>
        </w:rPr>
        <w:t>）的记录值，包含有手动测量、间隔测试和定时测量的值。具备对不同测试数据添加标识的功能。</w:t>
      </w:r>
    </w:p>
    <w:p>
      <w:pPr>
        <w:spacing w:line="360" w:lineRule="auto"/>
        <w:ind w:firstLine="480" w:firstLineChars="200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“标一记录”</w:t>
      </w:r>
      <w:r>
        <w:rPr>
          <w:rFonts w:hint="eastAsia"/>
          <w:sz w:val="24"/>
          <w:szCs w:val="24"/>
          <w:lang w:eastAsia="zh-CN"/>
        </w:rPr>
        <w:t>：指标定低浓度（一般是零点）的标定记录。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“标</w:t>
      </w:r>
      <w:r>
        <w:rPr>
          <w:rFonts w:hint="eastAsia"/>
          <w:sz w:val="24"/>
          <w:szCs w:val="24"/>
          <w:lang w:eastAsia="zh-CN"/>
        </w:rPr>
        <w:t>二</w:t>
      </w:r>
      <w:r>
        <w:rPr>
          <w:rFonts w:hint="eastAsia"/>
          <w:sz w:val="24"/>
          <w:szCs w:val="24"/>
        </w:rPr>
        <w:t>记录”</w:t>
      </w:r>
      <w:r>
        <w:rPr>
          <w:rFonts w:hint="eastAsia"/>
          <w:sz w:val="24"/>
          <w:szCs w:val="24"/>
          <w:lang w:eastAsia="zh-CN"/>
        </w:rPr>
        <w:t>：指标定高浓度（一般是量程）的标定记录。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  <w:lang w:eastAsia="zh-CN"/>
        </w:rPr>
        <w:t>核查</w:t>
      </w:r>
      <w:r>
        <w:rPr>
          <w:rFonts w:hint="eastAsia"/>
          <w:sz w:val="24"/>
          <w:szCs w:val="24"/>
        </w:rPr>
        <w:t>记录”</w:t>
      </w:r>
      <w:r>
        <w:rPr>
          <w:rFonts w:hint="eastAsia"/>
          <w:sz w:val="24"/>
          <w:szCs w:val="24"/>
          <w:lang w:eastAsia="zh-CN"/>
        </w:rPr>
        <w:t>：指标准样品核查的记录。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3675" cy="3168650"/>
            <wp:effectExtent l="0" t="0" r="317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图5 历史数据界面</w:t>
      </w:r>
    </w:p>
    <w:p>
      <w:pPr>
        <w:pStyle w:val="3"/>
        <w:bidi w:val="0"/>
        <w:ind w:left="576" w:leftChars="0" w:hanging="576" w:firstLineChars="0"/>
        <w:rPr>
          <w:rFonts w:hint="eastAsia"/>
          <w:sz w:val="28"/>
          <w:szCs w:val="28"/>
        </w:rPr>
      </w:pPr>
      <w:bookmarkStart w:id="7" w:name="_Toc27188"/>
      <w:r>
        <w:rPr>
          <w:rFonts w:hint="eastAsia"/>
          <w:sz w:val="28"/>
          <w:szCs w:val="28"/>
          <w:lang w:val="en-US" w:eastAsia="zh-CN"/>
        </w:rPr>
        <w:t>COD</w:t>
      </w:r>
      <w:r>
        <w:rPr>
          <w:rFonts w:hint="eastAsia"/>
          <w:sz w:val="28"/>
          <w:szCs w:val="28"/>
          <w:lang w:eastAsia="zh-CN"/>
        </w:rPr>
        <w:t>记录</w:t>
      </w:r>
      <w:r>
        <w:rPr>
          <w:rFonts w:hint="eastAsia"/>
          <w:sz w:val="28"/>
          <w:szCs w:val="28"/>
        </w:rPr>
        <w:t>界面</w:t>
      </w:r>
      <w:bookmarkEnd w:id="7"/>
    </w:p>
    <w:p>
      <w:pPr>
        <w:pStyle w:val="41"/>
        <w:numPr>
          <w:ilvl w:val="0"/>
          <w:numId w:val="3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选择“</w:t>
      </w:r>
      <w:r>
        <w:rPr>
          <w:rFonts w:hint="eastAsia"/>
          <w:sz w:val="24"/>
          <w:szCs w:val="24"/>
          <w:lang w:val="en-US" w:eastAsia="zh-CN"/>
        </w:rPr>
        <w:t>COD</w:t>
      </w:r>
      <w:r>
        <w:rPr>
          <w:rFonts w:hint="eastAsia"/>
          <w:sz w:val="24"/>
          <w:szCs w:val="24"/>
        </w:rPr>
        <w:t>记录”按钮打开测量记录报表界面（如图5）</w:t>
      </w:r>
      <w:r>
        <w:rPr>
          <w:rFonts w:hint="eastAsia"/>
          <w:sz w:val="24"/>
          <w:szCs w:val="24"/>
          <w:lang w:eastAsia="zh-CN"/>
        </w:rPr>
        <w:t>，记录里有测量完成时间、测量值、光源信号值及相关的测量标识</w:t>
      </w:r>
      <w:r>
        <w:rPr>
          <w:rFonts w:hint="eastAsia"/>
          <w:sz w:val="24"/>
          <w:szCs w:val="24"/>
        </w:rPr>
        <w:t>；选择“导出”按钮将数据保存到移动存储设备（如图6）。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6850" cy="3171825"/>
            <wp:effectExtent l="0" t="0" r="0" b="952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图6 测量记录导出设置界面</w:t>
      </w:r>
    </w:p>
    <w:p>
      <w:pPr>
        <w:pStyle w:val="3"/>
        <w:bidi w:val="0"/>
        <w:ind w:left="576" w:leftChars="0" w:hanging="576" w:firstLineChars="0"/>
        <w:rPr>
          <w:rFonts w:hint="eastAsia"/>
          <w:sz w:val="28"/>
          <w:szCs w:val="28"/>
          <w:lang w:eastAsia="zh-CN"/>
        </w:rPr>
      </w:pPr>
      <w:bookmarkStart w:id="8" w:name="_Toc1642"/>
      <w:r>
        <w:rPr>
          <w:rFonts w:hint="eastAsia"/>
          <w:sz w:val="28"/>
          <w:szCs w:val="28"/>
          <w:lang w:eastAsia="zh-CN"/>
        </w:rPr>
        <w:t>标一记录界面</w:t>
      </w:r>
      <w:bookmarkEnd w:id="8"/>
    </w:p>
    <w:p>
      <w:pPr>
        <w:pStyle w:val="41"/>
        <w:numPr>
          <w:ilvl w:val="0"/>
          <w:numId w:val="3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选择“标一记录”按钮打开标一校正报表界面（如图7）</w:t>
      </w:r>
      <w:r>
        <w:rPr>
          <w:rFonts w:hint="eastAsia"/>
          <w:sz w:val="24"/>
          <w:szCs w:val="24"/>
          <w:lang w:eastAsia="zh-CN"/>
        </w:rPr>
        <w:t>，信号</w:t>
      </w:r>
      <w:r>
        <w:rPr>
          <w:rFonts w:hint="eastAsia"/>
          <w:sz w:val="24"/>
          <w:szCs w:val="24"/>
          <w:lang w:val="en-US" w:eastAsia="zh-CN"/>
        </w:rPr>
        <w:t>3为标一校正值的吸光度，以此值可以判定校正值是否正确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选择“导出”按钮将数据保存到移动存储设备（如图8）。</w:t>
      </w:r>
      <w:r>
        <w:rPr>
          <w:rFonts w:hint="eastAsia"/>
          <w:sz w:val="24"/>
          <w:szCs w:val="24"/>
          <w:lang w:eastAsia="zh-CN"/>
        </w:rPr>
        <w:t>执行结果若为</w:t>
      </w:r>
      <w:r>
        <w:rPr>
          <w:rFonts w:hint="eastAsia"/>
          <w:sz w:val="24"/>
          <w:szCs w:val="24"/>
          <w:lang w:val="en-US" w:eastAsia="zh-CN"/>
        </w:rPr>
        <w:t>1表示导出数据成功，可以拔出移动存储设备。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3675" cy="3168650"/>
            <wp:effectExtent l="0" t="0" r="3175" b="1270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图7 标一校正报表界面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3675" cy="3168650"/>
            <wp:effectExtent l="0" t="0" r="3175" b="12700"/>
            <wp:docPr id="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图8 标一记录导出设置界面</w:t>
      </w:r>
    </w:p>
    <w:p>
      <w:pPr>
        <w:pStyle w:val="3"/>
        <w:bidi w:val="0"/>
        <w:ind w:left="576" w:leftChars="0" w:hanging="576" w:firstLineChars="0"/>
        <w:rPr>
          <w:rFonts w:hint="eastAsia"/>
          <w:sz w:val="28"/>
          <w:szCs w:val="28"/>
          <w:lang w:eastAsia="zh-CN"/>
        </w:rPr>
      </w:pPr>
      <w:bookmarkStart w:id="9" w:name="_Toc13588"/>
      <w:r>
        <w:rPr>
          <w:rFonts w:hint="eastAsia"/>
          <w:sz w:val="28"/>
          <w:szCs w:val="28"/>
          <w:lang w:eastAsia="zh-CN"/>
        </w:rPr>
        <w:t>标二记录界面</w:t>
      </w:r>
      <w:bookmarkEnd w:id="9"/>
    </w:p>
    <w:p>
      <w:pPr>
        <w:pStyle w:val="41"/>
        <w:numPr>
          <w:ilvl w:val="0"/>
          <w:numId w:val="3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选择“标二记录”按钮打开标二校正报表界面（如图9）</w:t>
      </w:r>
      <w:r>
        <w:rPr>
          <w:rFonts w:hint="eastAsia"/>
          <w:sz w:val="24"/>
          <w:szCs w:val="24"/>
          <w:lang w:eastAsia="zh-CN"/>
        </w:rPr>
        <w:t>，信号</w:t>
      </w:r>
      <w:r>
        <w:rPr>
          <w:rFonts w:hint="eastAsia"/>
          <w:sz w:val="24"/>
          <w:szCs w:val="24"/>
          <w:lang w:val="en-US" w:eastAsia="zh-CN"/>
        </w:rPr>
        <w:t>3为标二校正值的吸光度，以此值可以判定校正值是否正确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选择“导出”按钮将数据保存到移动存储设备（如图10）</w:t>
      </w:r>
      <w:r>
        <w:rPr>
          <w:rFonts w:hint="eastAsia"/>
          <w:sz w:val="24"/>
          <w:szCs w:val="24"/>
          <w:lang w:eastAsia="zh-CN"/>
        </w:rPr>
        <w:t>，执行结果若为</w:t>
      </w:r>
      <w:r>
        <w:rPr>
          <w:rFonts w:hint="eastAsia"/>
          <w:sz w:val="24"/>
          <w:szCs w:val="24"/>
          <w:lang w:val="en-US" w:eastAsia="zh-CN"/>
        </w:rPr>
        <w:t>1表示导出数据成功，可以拔出移动存储设备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3675" cy="3168650"/>
            <wp:effectExtent l="0" t="0" r="3175" b="12700"/>
            <wp:docPr id="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图9 标二校正报表界面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3675" cy="3168650"/>
            <wp:effectExtent l="0" t="0" r="3175" b="12700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图10 标二记录导出设置界面</w:t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</w:p>
    <w:p>
      <w:pPr>
        <w:pStyle w:val="3"/>
        <w:bidi w:val="0"/>
        <w:ind w:left="576" w:leftChars="0" w:hanging="576" w:firstLineChars="0"/>
        <w:rPr>
          <w:rFonts w:hint="eastAsia"/>
          <w:sz w:val="28"/>
          <w:szCs w:val="28"/>
          <w:lang w:eastAsia="zh-CN"/>
        </w:rPr>
      </w:pPr>
      <w:bookmarkStart w:id="10" w:name="_Toc10215"/>
      <w:r>
        <w:rPr>
          <w:rFonts w:hint="eastAsia"/>
          <w:sz w:val="28"/>
          <w:szCs w:val="28"/>
          <w:lang w:eastAsia="zh-CN"/>
        </w:rPr>
        <w:t>核查记录界面</w:t>
      </w:r>
      <w:bookmarkEnd w:id="10"/>
    </w:p>
    <w:p>
      <w:pPr>
        <w:pStyle w:val="41"/>
        <w:numPr>
          <w:ilvl w:val="0"/>
          <w:numId w:val="3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选择“核查记录”按钮打开核查记录报表界面（如图11）；选择“导出”按钮将数据保存到移动存储设备（如图12）。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3675" cy="3168650"/>
            <wp:effectExtent l="0" t="0" r="3175" b="12700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图11核查记录报表界面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3675" cy="3168650"/>
            <wp:effectExtent l="0" t="0" r="3175" b="12700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图12 核查记录导出设置界面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  <w:sectPr>
          <w:pgSz w:w="11906" w:h="16838"/>
          <w:pgMar w:top="1134" w:right="1134" w:bottom="1134" w:left="1134" w:header="851" w:footer="992" w:gutter="0"/>
          <w:cols w:space="0" w:num="1"/>
          <w:rtlGutter w:val="0"/>
          <w:docGrid w:type="lines" w:linePitch="312" w:charSpace="0"/>
        </w:sectPr>
      </w:pPr>
    </w:p>
    <w:p>
      <w:pPr>
        <w:pStyle w:val="2"/>
      </w:pPr>
      <w:bookmarkStart w:id="11" w:name="_Toc30954"/>
      <w:r>
        <w:rPr>
          <w:rFonts w:hint="eastAsia"/>
        </w:rPr>
        <w:t>操作设置</w:t>
      </w:r>
      <w:bookmarkEnd w:id="11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在界面选择</w:t>
      </w:r>
      <w:r>
        <w:object>
          <v:shape id="_x0000_i1034" o:spt="75" type="#_x0000_t75" style="height:23.25pt;width:23.2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PBrush" ShapeID="_x0000_i1034" DrawAspect="Content" ObjectID="_1468075734" r:id="rId41">
            <o:LockedField>false</o:LockedField>
          </o:OLEObject>
        </w:object>
      </w:r>
      <w:r>
        <w:rPr>
          <w:rFonts w:hint="eastAsia"/>
          <w:sz w:val="24"/>
          <w:szCs w:val="24"/>
        </w:rPr>
        <w:t>“操作设置”按钮进入操作设置功能界面（如图1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）。操作设置界面包含“定时测量”、“间隔测量”和“手动测量”三个导航按钮。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3675" cy="3168650"/>
            <wp:effectExtent l="0" t="0" r="3175" b="12700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图1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 xml:space="preserve"> 操作设置界面</w:t>
      </w:r>
    </w:p>
    <w:p>
      <w:pPr>
        <w:pStyle w:val="3"/>
        <w:bidi w:val="0"/>
        <w:ind w:left="576" w:leftChars="0" w:hanging="576" w:firstLineChars="0"/>
        <w:rPr>
          <w:rFonts w:hint="eastAsia"/>
          <w:sz w:val="28"/>
          <w:szCs w:val="28"/>
          <w:lang w:eastAsia="zh-CN"/>
        </w:rPr>
      </w:pPr>
      <w:bookmarkStart w:id="12" w:name="_Toc22425"/>
      <w:r>
        <w:rPr>
          <w:rFonts w:hint="eastAsia"/>
          <w:sz w:val="28"/>
          <w:szCs w:val="28"/>
          <w:lang w:eastAsia="zh-CN"/>
        </w:rPr>
        <w:t>定时测量界面</w:t>
      </w:r>
      <w:bookmarkEnd w:id="12"/>
    </w:p>
    <w:p>
      <w:pPr>
        <w:pStyle w:val="41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jc w:val="left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选择“定时测量”按钮打开定时测量设置界面（如图1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），根据需要选择测量的时间点（如图1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</w:rPr>
        <w:t>），绿色为选中状态。</w:t>
      </w:r>
    </w:p>
    <w:p>
      <w:pPr>
        <w:spacing w:line="360" w:lineRule="auto"/>
        <w:ind w:firstLine="480" w:firstLineChars="200"/>
        <w:jc w:val="left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定时测量有24个时间点选择按钮，通过选择时间点作为定时测量的开始时间，选中的时间点背景为绿色，未选中的时间点背景色为灰色。</w:t>
      </w:r>
      <w:r>
        <w:rPr>
          <w:rFonts w:hint="eastAsia"/>
          <w:sz w:val="24"/>
          <w:szCs w:val="24"/>
          <w:lang w:eastAsia="zh-CN"/>
        </w:rPr>
        <w:t>以选中“</w:t>
      </w:r>
      <w:r>
        <w:rPr>
          <w:rFonts w:hint="eastAsia"/>
          <w:sz w:val="24"/>
          <w:szCs w:val="24"/>
          <w:lang w:val="en-US" w:eastAsia="zh-CN"/>
        </w:rPr>
        <w:t>2:00</w:t>
      </w:r>
      <w:r>
        <w:rPr>
          <w:rFonts w:hint="eastAsia"/>
          <w:sz w:val="24"/>
          <w:szCs w:val="24"/>
          <w:lang w:eastAsia="zh-CN"/>
        </w:rPr>
        <w:t>”为绿色为例，表示仪器在北京时间</w:t>
      </w:r>
      <w:r>
        <w:rPr>
          <w:rFonts w:hint="eastAsia"/>
          <w:sz w:val="24"/>
          <w:szCs w:val="24"/>
          <w:lang w:val="en-US" w:eastAsia="zh-CN"/>
        </w:rPr>
        <w:t>2:00时自动开始测量水样。图14中所选测量的时间点表示每天在整点数为偶数时自动测量水样，即2小时测量一次水样。</w:t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3675" cy="3168650"/>
            <wp:effectExtent l="0" t="0" r="3175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图1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</w:rPr>
        <w:t xml:space="preserve"> 定时测量设置</w:t>
      </w:r>
    </w:p>
    <w:p>
      <w:pPr>
        <w:spacing w:line="36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eastAsia="zh-CN"/>
        </w:rPr>
      </w:pPr>
      <w:r>
        <w:drawing>
          <wp:inline distT="0" distB="0" distL="114300" distR="114300">
            <wp:extent cx="371475" cy="333375"/>
            <wp:effectExtent l="0" t="0" r="9525" b="9525"/>
            <wp:docPr id="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注意：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eastAsia="zh-CN"/>
        </w:rPr>
        <w:t>定时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eastAsia="zh-CN"/>
        </w:rPr>
        <w:t>测量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eastAsia="zh-CN"/>
        </w:rPr>
        <w:t>时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eastAsia="zh-CN"/>
        </w:rPr>
        <w:t>，必须确认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eastAsia="zh-CN"/>
        </w:rPr>
        <w:t>所需整点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eastAsia="zh-CN"/>
        </w:rPr>
        <w:t>状态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eastAsia="zh-CN"/>
        </w:rPr>
        <w:t>是否为绿色状态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eastAsia="zh-CN"/>
        </w:rPr>
        <w:t>，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eastAsia="zh-CN"/>
        </w:rPr>
        <w:t>只有整点颜色为“绿色”时到整点时间时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eastAsia="zh-CN"/>
        </w:rPr>
        <w:t>仪器才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eastAsia="zh-CN"/>
        </w:rPr>
        <w:t>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eastAsia="zh-CN"/>
        </w:rPr>
        <w:t>自动测量。</w:t>
      </w:r>
    </w:p>
    <w:p>
      <w:pPr>
        <w:pStyle w:val="3"/>
        <w:bidi w:val="0"/>
        <w:ind w:left="576" w:leftChars="0" w:hanging="576" w:firstLineChars="0"/>
        <w:rPr>
          <w:rFonts w:hint="eastAsia"/>
          <w:sz w:val="28"/>
          <w:szCs w:val="28"/>
          <w:lang w:eastAsia="zh-CN"/>
        </w:rPr>
      </w:pPr>
      <w:bookmarkStart w:id="13" w:name="_Toc7127"/>
      <w:r>
        <w:rPr>
          <w:rFonts w:hint="eastAsia"/>
          <w:sz w:val="28"/>
          <w:szCs w:val="28"/>
          <w:lang w:eastAsia="zh-CN"/>
        </w:rPr>
        <w:t>间隔测量界面</w:t>
      </w:r>
      <w:bookmarkEnd w:id="13"/>
    </w:p>
    <w:p>
      <w:pPr>
        <w:pStyle w:val="41"/>
        <w:numPr>
          <w:ilvl w:val="0"/>
          <w:numId w:val="3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选择“间隔测量”按钮打开间隔测量设置界面（如图13）。</w:t>
      </w:r>
    </w:p>
    <w:p>
      <w:pPr>
        <w:spacing w:line="360" w:lineRule="auto"/>
        <w:jc w:val="center"/>
        <w:rPr>
          <w:sz w:val="24"/>
          <w:szCs w:val="24"/>
        </w:rPr>
      </w:pPr>
      <w:r>
        <w:drawing>
          <wp:inline distT="0" distB="0" distL="114300" distR="114300">
            <wp:extent cx="5267325" cy="315277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图1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</w:rPr>
        <w:t xml:space="preserve"> 间隔测量设置界面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点击“间隔时间”输入框，弹出数值输入框（如图1</w:t>
      </w:r>
      <w:r>
        <w:rPr>
          <w:rFonts w:hint="eastAsia"/>
          <w:sz w:val="24"/>
          <w:szCs w:val="24"/>
          <w:lang w:val="en-US" w:eastAsia="zh-CN"/>
        </w:rPr>
        <w:t>7</w:t>
      </w:r>
      <w:r>
        <w:rPr>
          <w:rFonts w:hint="eastAsia"/>
          <w:sz w:val="24"/>
          <w:szCs w:val="24"/>
        </w:rPr>
        <w:t>），输入间隔数值（单位为分钟），点击“确定”按钮完成设置。</w:t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4919980" cy="2952115"/>
            <wp:effectExtent l="0" t="0" r="13970" b="63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图1</w:t>
      </w:r>
      <w:r>
        <w:rPr>
          <w:rFonts w:hint="eastAsia"/>
          <w:sz w:val="24"/>
          <w:szCs w:val="24"/>
          <w:lang w:val="en-US" w:eastAsia="zh-CN"/>
        </w:rPr>
        <w:t>6</w:t>
      </w:r>
      <w:r>
        <w:rPr>
          <w:rFonts w:hint="eastAsia"/>
          <w:sz w:val="24"/>
          <w:szCs w:val="24"/>
        </w:rPr>
        <w:t>测量间隔时间输入界面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设置间隔测量后，如图1</w:t>
      </w:r>
      <w:r>
        <w:rPr>
          <w:rFonts w:hint="eastAsia"/>
          <w:sz w:val="24"/>
          <w:szCs w:val="24"/>
          <w:lang w:val="en-US" w:eastAsia="zh-CN"/>
        </w:rPr>
        <w:t>7</w:t>
      </w:r>
      <w:r>
        <w:rPr>
          <w:rFonts w:hint="eastAsia"/>
          <w:sz w:val="24"/>
          <w:szCs w:val="24"/>
        </w:rPr>
        <w:t>所示，表示等待5分钟后</w:t>
      </w:r>
      <w:r>
        <w:rPr>
          <w:rFonts w:hint="eastAsia"/>
          <w:sz w:val="24"/>
          <w:szCs w:val="24"/>
          <w:lang w:eastAsia="zh-CN"/>
        </w:rPr>
        <w:t>开始测量水样</w:t>
      </w:r>
      <w:r>
        <w:rPr>
          <w:rFonts w:hint="eastAsia"/>
          <w:sz w:val="24"/>
          <w:szCs w:val="24"/>
        </w:rPr>
        <w:t>，测完再等待5分钟，又</w:t>
      </w:r>
      <w:r>
        <w:rPr>
          <w:rFonts w:hint="eastAsia"/>
          <w:sz w:val="24"/>
          <w:szCs w:val="24"/>
          <w:lang w:eastAsia="zh-CN"/>
        </w:rPr>
        <w:t>再次</w:t>
      </w:r>
      <w:r>
        <w:rPr>
          <w:rFonts w:hint="eastAsia"/>
          <w:sz w:val="24"/>
          <w:szCs w:val="24"/>
        </w:rPr>
        <w:t>开始测量。</w:t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913630" cy="2952115"/>
            <wp:effectExtent l="0" t="0" r="1270" b="635"/>
            <wp:docPr id="4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图1</w:t>
      </w:r>
      <w:r>
        <w:rPr>
          <w:rFonts w:hint="eastAsia"/>
          <w:sz w:val="24"/>
          <w:szCs w:val="24"/>
          <w:lang w:val="en-US" w:eastAsia="zh-CN"/>
        </w:rPr>
        <w:t>7</w:t>
      </w:r>
      <w:r>
        <w:rPr>
          <w:rFonts w:hint="eastAsia"/>
          <w:sz w:val="24"/>
          <w:szCs w:val="24"/>
        </w:rPr>
        <w:t xml:space="preserve"> 间隔测量设置后界面</w:t>
      </w:r>
    </w:p>
    <w:p>
      <w:pPr>
        <w:pStyle w:val="3"/>
        <w:bidi w:val="0"/>
        <w:ind w:left="576" w:leftChars="0" w:hanging="576" w:firstLineChars="0"/>
        <w:rPr>
          <w:rFonts w:hint="eastAsia"/>
          <w:sz w:val="28"/>
          <w:szCs w:val="28"/>
          <w:lang w:eastAsia="zh-CN"/>
        </w:rPr>
      </w:pPr>
      <w:bookmarkStart w:id="14" w:name="_Toc28137"/>
      <w:r>
        <w:rPr>
          <w:rFonts w:hint="eastAsia"/>
          <w:sz w:val="28"/>
          <w:szCs w:val="28"/>
          <w:lang w:eastAsia="zh-CN"/>
        </w:rPr>
        <w:t>手动测量界面</w:t>
      </w:r>
      <w:bookmarkEnd w:id="14"/>
    </w:p>
    <w:p>
      <w:pPr>
        <w:pStyle w:val="41"/>
        <w:numPr>
          <w:ilvl w:val="0"/>
          <w:numId w:val="3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选择“手动测量”按钮打开手动测量操作界面（如图1</w:t>
      </w:r>
      <w:r>
        <w:rPr>
          <w:rFonts w:hint="eastAsia"/>
          <w:sz w:val="24"/>
          <w:szCs w:val="24"/>
          <w:lang w:val="en-US" w:eastAsia="zh-CN"/>
        </w:rPr>
        <w:t>8</w:t>
      </w:r>
      <w:r>
        <w:rPr>
          <w:rFonts w:hint="eastAsia"/>
          <w:sz w:val="24"/>
          <w:szCs w:val="24"/>
        </w:rPr>
        <w:t>）。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2405" cy="3168015"/>
            <wp:effectExtent l="0" t="0" r="4445" b="133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图1</w:t>
      </w:r>
      <w:r>
        <w:rPr>
          <w:rFonts w:hint="eastAsia"/>
          <w:sz w:val="24"/>
          <w:szCs w:val="24"/>
          <w:lang w:val="en-US" w:eastAsia="zh-CN"/>
        </w:rPr>
        <w:t>8</w:t>
      </w:r>
      <w:r>
        <w:rPr>
          <w:rFonts w:hint="eastAsia"/>
          <w:sz w:val="24"/>
          <w:szCs w:val="24"/>
        </w:rPr>
        <w:t xml:space="preserve"> 手动测量操作界面</w:t>
      </w:r>
    </w:p>
    <w:p>
      <w:pPr>
        <w:spacing w:line="36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eastAsia="zh-CN"/>
        </w:rPr>
      </w:pPr>
      <w:r>
        <w:drawing>
          <wp:inline distT="0" distB="0" distL="114300" distR="114300">
            <wp:extent cx="371475" cy="333375"/>
            <wp:effectExtent l="0" t="0" r="9525" b="952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注意：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eastAsia="zh-CN"/>
        </w:rPr>
        <w:t>手动测量后，必须确认在定时测量或间隔测量状态，仪器才能自动测量。</w:t>
      </w:r>
    </w:p>
    <w:p>
      <w:pPr>
        <w:pStyle w:val="3"/>
        <w:bidi w:val="0"/>
        <w:ind w:left="576" w:leftChars="0" w:hanging="576" w:firstLineChars="0"/>
        <w:rPr>
          <w:rFonts w:hint="eastAsia"/>
          <w:sz w:val="28"/>
          <w:szCs w:val="28"/>
          <w:lang w:eastAsia="zh-CN"/>
        </w:rPr>
      </w:pPr>
      <w:bookmarkStart w:id="15" w:name="_Toc7233"/>
      <w:r>
        <w:rPr>
          <w:rFonts w:hint="eastAsia"/>
          <w:sz w:val="28"/>
          <w:szCs w:val="28"/>
          <w:lang w:eastAsia="zh-CN"/>
        </w:rPr>
        <w:t>仪器工作模式</w:t>
      </w:r>
      <w:bookmarkEnd w:id="15"/>
    </w:p>
    <w:p>
      <w:pPr>
        <w:pStyle w:val="41"/>
        <w:numPr>
          <w:ilvl w:val="0"/>
          <w:numId w:val="3"/>
        </w:numPr>
        <w:spacing w:line="360" w:lineRule="auto"/>
        <w:ind w:firstLineChars="0"/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仪器工作模式显示（如图</w:t>
      </w:r>
      <w:r>
        <w:rPr>
          <w:rFonts w:hint="eastAsia"/>
          <w:sz w:val="24"/>
          <w:szCs w:val="24"/>
          <w:lang w:val="en-US" w:eastAsia="zh-CN"/>
        </w:rPr>
        <w:t>19</w:t>
      </w:r>
      <w:r>
        <w:rPr>
          <w:rFonts w:hint="eastAsia"/>
          <w:sz w:val="24"/>
          <w:szCs w:val="24"/>
          <w:lang w:eastAsia="zh-CN"/>
        </w:rPr>
        <w:t>），图中右上角所圈位置，显示当前仪器测量的工作模式。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5270500" cy="3168015"/>
            <wp:effectExtent l="0" t="0" r="6350" b="13335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图1</w:t>
      </w:r>
      <w:r>
        <w:rPr>
          <w:rFonts w:hint="eastAsia"/>
          <w:sz w:val="24"/>
          <w:szCs w:val="24"/>
          <w:lang w:val="en-US" w:eastAsia="zh-CN"/>
        </w:rPr>
        <w:t>9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eastAsia="zh-CN"/>
        </w:rPr>
        <w:t>仪器工作模式显示</w:t>
      </w:r>
    </w:p>
    <w:p>
      <w:pPr>
        <w:pStyle w:val="2"/>
      </w:pPr>
      <w:bookmarkStart w:id="16" w:name="_Toc24768"/>
      <w:r>
        <w:rPr>
          <w:rFonts w:hint="eastAsia"/>
        </w:rPr>
        <w:t>标定</w:t>
      </w:r>
      <w:r>
        <w:rPr>
          <w:rFonts w:hint="eastAsia"/>
          <w:lang w:eastAsia="zh-CN"/>
        </w:rPr>
        <w:t>核查</w:t>
      </w:r>
      <w:bookmarkEnd w:id="16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在界面选择</w:t>
      </w:r>
      <w:r>
        <w:object>
          <v:shape id="_x0000_i1035" o:spt="75" type="#_x0000_t75" style="height:27pt;width:27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PBrush" ShapeID="_x0000_i1035" DrawAspect="Content" ObjectID="_1468075735" r:id="rId50">
            <o:LockedField>false</o:LockedField>
          </o:OLEObject>
        </w:object>
      </w:r>
      <w:r>
        <w:rPr>
          <w:rFonts w:hint="eastAsia"/>
          <w:sz w:val="24"/>
          <w:szCs w:val="24"/>
        </w:rPr>
        <w:t>“标定设置”按钮进入标定设置功能界面（如图</w:t>
      </w:r>
      <w:r>
        <w:rPr>
          <w:rFonts w:hint="eastAsia"/>
          <w:sz w:val="24"/>
          <w:szCs w:val="24"/>
          <w:lang w:val="en-US" w:eastAsia="zh-CN"/>
        </w:rPr>
        <w:t>20</w:t>
      </w:r>
      <w:r>
        <w:rPr>
          <w:rFonts w:hint="eastAsia"/>
          <w:sz w:val="24"/>
          <w:szCs w:val="24"/>
        </w:rPr>
        <w:t>）。标定设置界面包含“定时标定”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“手动标定”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“定时</w:t>
      </w:r>
      <w:r>
        <w:rPr>
          <w:rFonts w:hint="eastAsia"/>
          <w:sz w:val="24"/>
          <w:szCs w:val="24"/>
          <w:lang w:eastAsia="zh-CN"/>
        </w:rPr>
        <w:t>核查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和</w:t>
      </w:r>
      <w:r>
        <w:rPr>
          <w:rFonts w:hint="eastAsia"/>
          <w:sz w:val="24"/>
          <w:szCs w:val="24"/>
        </w:rPr>
        <w:t>“手动</w:t>
      </w:r>
      <w:r>
        <w:rPr>
          <w:rFonts w:hint="eastAsia"/>
          <w:sz w:val="24"/>
          <w:szCs w:val="24"/>
          <w:lang w:eastAsia="zh-CN"/>
        </w:rPr>
        <w:t>核查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四</w:t>
      </w:r>
      <w:r>
        <w:rPr>
          <w:rFonts w:hint="eastAsia"/>
          <w:sz w:val="24"/>
          <w:szCs w:val="24"/>
        </w:rPr>
        <w:t>个导航按钮。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912995" cy="2952115"/>
            <wp:effectExtent l="0" t="0" r="190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20</w:t>
      </w:r>
      <w:r>
        <w:rPr>
          <w:rFonts w:hint="eastAsia"/>
          <w:sz w:val="24"/>
          <w:szCs w:val="24"/>
        </w:rPr>
        <w:t xml:space="preserve"> 标定设置界面</w:t>
      </w:r>
    </w:p>
    <w:p>
      <w:pPr>
        <w:pStyle w:val="3"/>
        <w:bidi w:val="0"/>
        <w:ind w:left="576" w:leftChars="0" w:hanging="576" w:firstLineChars="0"/>
        <w:rPr>
          <w:rFonts w:hint="eastAsia"/>
          <w:sz w:val="28"/>
          <w:szCs w:val="28"/>
          <w:lang w:eastAsia="zh-CN"/>
        </w:rPr>
      </w:pPr>
      <w:bookmarkStart w:id="17" w:name="_Toc11549"/>
      <w:r>
        <w:rPr>
          <w:rFonts w:hint="eastAsia"/>
          <w:sz w:val="28"/>
          <w:szCs w:val="28"/>
          <w:lang w:eastAsia="zh-CN"/>
        </w:rPr>
        <w:t>定时标定界面</w:t>
      </w:r>
      <w:bookmarkEnd w:id="17"/>
    </w:p>
    <w:p>
      <w:pPr>
        <w:pStyle w:val="41"/>
        <w:numPr>
          <w:ilvl w:val="0"/>
          <w:numId w:val="3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选</w:t>
      </w:r>
      <w:r>
        <w:rPr>
          <w:rFonts w:hint="eastAsia"/>
          <w:sz w:val="24"/>
          <w:szCs w:val="24"/>
        </w:rPr>
        <w:t>择“定时标定”按钮打开定时标定设置界面（如图</w:t>
      </w:r>
      <w:r>
        <w:rPr>
          <w:rFonts w:hint="eastAsia"/>
          <w:sz w:val="24"/>
          <w:szCs w:val="24"/>
          <w:lang w:val="en-US" w:eastAsia="zh-CN"/>
        </w:rPr>
        <w:t>21</w:t>
      </w:r>
      <w:r>
        <w:rPr>
          <w:rFonts w:hint="eastAsia"/>
          <w:sz w:val="24"/>
          <w:szCs w:val="24"/>
        </w:rPr>
        <w:t>）。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913630" cy="2952115"/>
            <wp:effectExtent l="0" t="0" r="1270" b="635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21</w:t>
      </w:r>
      <w:r>
        <w:rPr>
          <w:rFonts w:hint="eastAsia"/>
          <w:sz w:val="24"/>
          <w:szCs w:val="24"/>
        </w:rPr>
        <w:t xml:space="preserve"> 定时标定</w:t>
      </w:r>
      <w:r>
        <w:rPr>
          <w:rFonts w:hint="eastAsia"/>
          <w:sz w:val="24"/>
          <w:szCs w:val="24"/>
          <w:lang w:eastAsia="zh-CN"/>
        </w:rPr>
        <w:t>时间</w:t>
      </w:r>
      <w:r>
        <w:rPr>
          <w:rFonts w:hint="eastAsia"/>
          <w:sz w:val="24"/>
          <w:szCs w:val="24"/>
        </w:rPr>
        <w:t>设置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定时标定有31个日期选择按钮，通过选择作为定时标定的开始日期，选中的日期背景为绿色，未选中的日期背景色为灰色。校正时间处输入开始标定的时间，前两位表示小时，后两位表示分钟。点击“校正时间”输入框，弹出数值输入框（如图2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），输入时间，点击“确定”按钮完成设置。</w:t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80025" cy="3168015"/>
            <wp:effectExtent l="0" t="0" r="15875" b="13335"/>
            <wp:docPr id="5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 xml:space="preserve"> 自动标定时间输入界面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表示每月的1、7、13、19、25、31号的12点15分开始自动标定。</w:t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70500" cy="3168015"/>
            <wp:effectExtent l="0" t="0" r="6350" b="13335"/>
            <wp:docPr id="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 xml:space="preserve"> 自动标定时间输入界面</w:t>
      </w:r>
    </w:p>
    <w:p>
      <w:pPr>
        <w:pStyle w:val="3"/>
        <w:bidi w:val="0"/>
        <w:ind w:left="576" w:leftChars="0" w:hanging="576" w:firstLineChars="0"/>
        <w:rPr>
          <w:rFonts w:hint="eastAsia"/>
          <w:sz w:val="28"/>
          <w:szCs w:val="28"/>
          <w:lang w:eastAsia="zh-CN"/>
        </w:rPr>
      </w:pPr>
      <w:bookmarkStart w:id="18" w:name="_Toc8488"/>
      <w:r>
        <w:rPr>
          <w:rFonts w:hint="eastAsia"/>
          <w:sz w:val="28"/>
          <w:szCs w:val="28"/>
          <w:lang w:eastAsia="zh-CN"/>
        </w:rPr>
        <w:t>手动标定界面</w:t>
      </w:r>
      <w:bookmarkEnd w:id="18"/>
    </w:p>
    <w:p>
      <w:pPr>
        <w:pStyle w:val="41"/>
        <w:numPr>
          <w:ilvl w:val="0"/>
          <w:numId w:val="3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选择“手动标定”按钮打开手动标定操作界面（如图</w:t>
      </w:r>
      <w:r>
        <w:rPr>
          <w:rFonts w:hint="eastAsia"/>
          <w:sz w:val="24"/>
          <w:szCs w:val="24"/>
          <w:lang w:val="en-US" w:eastAsia="zh-CN"/>
        </w:rPr>
        <w:t>24</w:t>
      </w:r>
      <w:r>
        <w:rPr>
          <w:rFonts w:hint="eastAsia"/>
          <w:sz w:val="24"/>
          <w:szCs w:val="24"/>
        </w:rPr>
        <w:t>）。“标一”表示标定</w:t>
      </w:r>
      <w:r>
        <w:rPr>
          <w:rFonts w:hint="eastAsia"/>
          <w:sz w:val="24"/>
          <w:szCs w:val="24"/>
          <w:lang w:eastAsia="zh-CN"/>
        </w:rPr>
        <w:t>较小值（俗称零点）</w:t>
      </w:r>
      <w:r>
        <w:rPr>
          <w:rFonts w:hint="eastAsia"/>
          <w:sz w:val="24"/>
          <w:szCs w:val="24"/>
        </w:rPr>
        <w:t>，“标二”表示标定</w:t>
      </w:r>
      <w:r>
        <w:rPr>
          <w:rFonts w:hint="eastAsia"/>
          <w:sz w:val="24"/>
          <w:szCs w:val="24"/>
          <w:lang w:eastAsia="zh-CN"/>
        </w:rPr>
        <w:t>较大值（俗称量程）</w:t>
      </w:r>
      <w:r>
        <w:rPr>
          <w:rFonts w:hint="eastAsia"/>
          <w:sz w:val="24"/>
          <w:szCs w:val="24"/>
        </w:rPr>
        <w:t>，在“</w:t>
      </w:r>
      <w:r>
        <w:rPr>
          <w:rFonts w:hint="eastAsia"/>
          <w:sz w:val="24"/>
          <w:szCs w:val="24"/>
          <w:lang w:eastAsia="zh-CN"/>
        </w:rPr>
        <w:t>参数设置</w:t>
      </w:r>
      <w:r>
        <w:rPr>
          <w:rFonts w:hint="eastAsia"/>
          <w:sz w:val="24"/>
          <w:szCs w:val="24"/>
        </w:rPr>
        <w:t>”界面</w:t>
      </w:r>
      <w:r>
        <w:rPr>
          <w:rFonts w:hint="eastAsia"/>
          <w:sz w:val="24"/>
          <w:szCs w:val="24"/>
          <w:lang w:eastAsia="zh-CN"/>
        </w:rPr>
        <w:t>才能设置</w:t>
      </w:r>
      <w:r>
        <w:rPr>
          <w:rFonts w:hint="eastAsia"/>
          <w:sz w:val="24"/>
          <w:szCs w:val="24"/>
        </w:rPr>
        <w:t>标定浓度</w:t>
      </w:r>
      <w:r>
        <w:rPr>
          <w:rFonts w:hint="eastAsia"/>
          <w:sz w:val="24"/>
          <w:szCs w:val="24"/>
          <w:lang w:eastAsia="zh-CN"/>
        </w:rPr>
        <w:t>值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eastAsia="zh-CN"/>
        </w:rPr>
        <w:t>此处标定浓度值仅供查看。</w:t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70500" cy="3168015"/>
            <wp:effectExtent l="0" t="0" r="6350" b="13335"/>
            <wp:docPr id="4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24</w:t>
      </w:r>
      <w:r>
        <w:rPr>
          <w:rFonts w:hint="eastAsia"/>
          <w:sz w:val="24"/>
          <w:szCs w:val="24"/>
        </w:rPr>
        <w:t xml:space="preserve"> 手动标定操作界面</w:t>
      </w:r>
    </w:p>
    <w:p>
      <w:pPr>
        <w:spacing w:line="360" w:lineRule="auto"/>
        <w:ind w:firstLine="480" w:firstLineChars="20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如上图所示，</w:t>
      </w:r>
      <w:r>
        <w:rPr>
          <w:rFonts w:hint="eastAsia"/>
          <w:sz w:val="24"/>
          <w:szCs w:val="24"/>
        </w:rPr>
        <w:t>点击对应标定按钮，开始标定。标定完后进入历史记录界面，查看标定的信号值是否与</w:t>
      </w:r>
      <w:r>
        <w:rPr>
          <w:rFonts w:hint="eastAsia"/>
          <w:sz w:val="24"/>
          <w:szCs w:val="24"/>
          <w:lang w:eastAsia="zh-CN"/>
        </w:rPr>
        <w:t>历史</w:t>
      </w:r>
      <w:r>
        <w:rPr>
          <w:rFonts w:hint="eastAsia"/>
          <w:sz w:val="24"/>
          <w:szCs w:val="24"/>
        </w:rPr>
        <w:t>记录的</w:t>
      </w:r>
      <w:r>
        <w:rPr>
          <w:rFonts w:hint="eastAsia"/>
          <w:sz w:val="24"/>
          <w:szCs w:val="24"/>
          <w:lang w:eastAsia="zh-CN"/>
        </w:rPr>
        <w:t>吸光度</w:t>
      </w:r>
      <w:r>
        <w:rPr>
          <w:rFonts w:hint="eastAsia"/>
          <w:sz w:val="24"/>
          <w:szCs w:val="24"/>
        </w:rPr>
        <w:t>信号值接近，相差太大需要查找原因</w:t>
      </w:r>
      <w:r>
        <w:rPr>
          <w:rFonts w:hint="eastAsia"/>
          <w:sz w:val="24"/>
          <w:szCs w:val="24"/>
          <w:lang w:eastAsia="zh-CN"/>
        </w:rPr>
        <w:t>，找到原因后需要</w:t>
      </w:r>
      <w:r>
        <w:rPr>
          <w:rFonts w:hint="eastAsia"/>
          <w:sz w:val="24"/>
          <w:szCs w:val="24"/>
        </w:rPr>
        <w:t>重新标定。</w:t>
      </w:r>
    </w:p>
    <w:p>
      <w:pPr>
        <w:spacing w:line="360" w:lineRule="auto"/>
        <w:jc w:val="left"/>
        <w:rPr>
          <w:rFonts w:hint="eastAsia"/>
          <w:sz w:val="21"/>
          <w:szCs w:val="21"/>
          <w:u w:val="single"/>
          <w:lang w:eastAsia="zh-CN"/>
        </w:rPr>
      </w:pPr>
      <w:r>
        <w:drawing>
          <wp:inline distT="0" distB="0" distL="114300" distR="114300">
            <wp:extent cx="371475" cy="333375"/>
            <wp:effectExtent l="0" t="0" r="9525" b="952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u w:val="single"/>
          <w:lang w:eastAsia="zh-CN"/>
        </w:rPr>
        <w:t>注意：标定时不会出测量值，只记录吸光度。向平台上传的数据还是上次测量的值。</w:t>
      </w:r>
    </w:p>
    <w:p>
      <w:pPr>
        <w:spacing w:line="360" w:lineRule="auto"/>
        <w:jc w:val="left"/>
        <w:rPr>
          <w:rFonts w:hint="eastAsia"/>
          <w:sz w:val="21"/>
          <w:szCs w:val="21"/>
          <w:u w:val="single"/>
          <w:lang w:eastAsia="zh-CN"/>
        </w:rPr>
      </w:pPr>
      <w:r>
        <w:drawing>
          <wp:inline distT="0" distB="0" distL="114300" distR="114300">
            <wp:extent cx="371475" cy="333375"/>
            <wp:effectExtent l="0" t="0" r="9525" b="9525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u w:val="single"/>
          <w:lang w:eastAsia="zh-CN"/>
        </w:rPr>
        <w:t>注意：手动标定时，需要将水样测量模式切换至手动测量模式才能操作。</w:t>
      </w:r>
    </w:p>
    <w:p>
      <w:pPr>
        <w:spacing w:line="360" w:lineRule="auto"/>
        <w:jc w:val="left"/>
        <w:rPr>
          <w:rFonts w:hint="eastAsia"/>
          <w:sz w:val="21"/>
          <w:szCs w:val="21"/>
          <w:u w:val="single"/>
          <w:lang w:eastAsia="zh-CN"/>
        </w:rPr>
      </w:pPr>
      <w:r>
        <w:drawing>
          <wp:inline distT="0" distB="0" distL="114300" distR="114300">
            <wp:extent cx="371475" cy="333375"/>
            <wp:effectExtent l="0" t="0" r="9525" b="9525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u w:val="single"/>
          <w:lang w:eastAsia="zh-CN"/>
        </w:rPr>
        <w:t>注意：手动标定后，必须检查右上角仪器工作状态是否在“定时测量”或“者间隔测量”模式，否则仪器不会自动测量水样。</w:t>
      </w:r>
    </w:p>
    <w:p>
      <w:pPr>
        <w:pStyle w:val="3"/>
        <w:bidi w:val="0"/>
        <w:ind w:left="576" w:leftChars="0" w:hanging="576" w:firstLineChars="0"/>
        <w:rPr>
          <w:rFonts w:hint="eastAsia"/>
          <w:sz w:val="28"/>
          <w:szCs w:val="28"/>
          <w:lang w:eastAsia="zh-CN"/>
        </w:rPr>
      </w:pPr>
      <w:bookmarkStart w:id="19" w:name="_Toc1424"/>
      <w:r>
        <w:rPr>
          <w:rFonts w:hint="eastAsia"/>
          <w:sz w:val="28"/>
          <w:szCs w:val="28"/>
          <w:lang w:eastAsia="zh-CN"/>
        </w:rPr>
        <w:t>定时核查界面</w:t>
      </w:r>
      <w:bookmarkEnd w:id="19"/>
    </w:p>
    <w:p>
      <w:pPr>
        <w:pStyle w:val="41"/>
        <w:numPr>
          <w:ilvl w:val="0"/>
          <w:numId w:val="3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选择“定时核查”按钮打开定时核查界面（如图2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</w:rPr>
        <w:t>），根据需要选择测量的时间点（如图2</w:t>
      </w:r>
      <w:r>
        <w:rPr>
          <w:rFonts w:hint="eastAsia"/>
          <w:sz w:val="24"/>
          <w:szCs w:val="24"/>
          <w:lang w:val="en-US" w:eastAsia="zh-CN"/>
        </w:rPr>
        <w:t>6</w:t>
      </w:r>
      <w:r>
        <w:rPr>
          <w:rFonts w:hint="eastAsia"/>
          <w:sz w:val="24"/>
          <w:szCs w:val="24"/>
        </w:rPr>
        <w:t>），绿色为选中的日期。选择定时核查的时间点后，该时间点的定时测量状态被关联选中，取消定时核查的时间点后，对应的定时测量状态不会关联取消，需要手动设置恢复。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912995" cy="2952115"/>
            <wp:effectExtent l="0" t="0" r="1905" b="635"/>
            <wp:docPr id="5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</w:rPr>
        <w:t xml:space="preserve"> 定时核查界面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4912995" cy="2952115"/>
            <wp:effectExtent l="0" t="0" r="1905" b="635"/>
            <wp:docPr id="5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rFonts w:hint="eastAsia"/>
          <w:sz w:val="24"/>
          <w:szCs w:val="24"/>
          <w:lang w:val="en-US" w:eastAsia="zh-CN"/>
        </w:rPr>
        <w:t>6</w:t>
      </w:r>
      <w:r>
        <w:rPr>
          <w:rFonts w:hint="eastAsia"/>
          <w:sz w:val="24"/>
          <w:szCs w:val="24"/>
        </w:rPr>
        <w:t xml:space="preserve"> 定时核查设置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如上图</w:t>
      </w:r>
      <w:r>
        <w:rPr>
          <w:rFonts w:hint="eastAsia"/>
          <w:sz w:val="24"/>
          <w:szCs w:val="24"/>
          <w:lang w:val="en-US" w:eastAsia="zh-CN"/>
        </w:rPr>
        <w:t>26所示，绿色表示每天的“0”点自动开始核查。绿色表示定时核查时间点，灰色表示无核查。</w:t>
      </w:r>
    </w:p>
    <w:p>
      <w:pPr>
        <w:pStyle w:val="3"/>
        <w:bidi w:val="0"/>
        <w:ind w:left="576" w:leftChars="0" w:hanging="576" w:firstLineChars="0"/>
        <w:rPr>
          <w:rFonts w:hint="eastAsia"/>
          <w:sz w:val="28"/>
          <w:szCs w:val="28"/>
          <w:lang w:eastAsia="zh-CN"/>
        </w:rPr>
      </w:pPr>
      <w:bookmarkStart w:id="20" w:name="_Toc29420"/>
      <w:r>
        <w:rPr>
          <w:rFonts w:hint="eastAsia"/>
          <w:sz w:val="28"/>
          <w:szCs w:val="28"/>
          <w:lang w:eastAsia="zh-CN"/>
        </w:rPr>
        <w:t>手动核查界面</w:t>
      </w:r>
      <w:bookmarkEnd w:id="20"/>
    </w:p>
    <w:p>
      <w:pPr>
        <w:pStyle w:val="41"/>
        <w:numPr>
          <w:ilvl w:val="0"/>
          <w:numId w:val="3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选择“手动核查”按钮打开手动核查操作界面（如图2</w:t>
      </w:r>
      <w:r>
        <w:rPr>
          <w:rFonts w:hint="eastAsia"/>
          <w:sz w:val="24"/>
          <w:szCs w:val="24"/>
          <w:lang w:val="en-US" w:eastAsia="zh-CN"/>
        </w:rPr>
        <w:t>7</w:t>
      </w:r>
      <w:r>
        <w:rPr>
          <w:rFonts w:hint="eastAsia"/>
          <w:sz w:val="24"/>
          <w:szCs w:val="24"/>
        </w:rPr>
        <w:t>），在“手动核查”界面可以对特定的水样浓度进行核查。在手动核查操作界面可以设置核查浓度（如图2</w:t>
      </w:r>
      <w:r>
        <w:rPr>
          <w:rFonts w:hint="eastAsia"/>
          <w:sz w:val="24"/>
          <w:szCs w:val="24"/>
          <w:lang w:val="en-US" w:eastAsia="zh-CN"/>
        </w:rPr>
        <w:t>8</w:t>
      </w:r>
      <w:r>
        <w:rPr>
          <w:rFonts w:hint="eastAsia"/>
          <w:sz w:val="24"/>
          <w:szCs w:val="24"/>
        </w:rPr>
        <w:t>）。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032375" cy="3023870"/>
            <wp:effectExtent l="0" t="0" r="15875" b="5080"/>
            <wp:docPr id="5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rFonts w:hint="eastAsia"/>
          <w:sz w:val="24"/>
          <w:szCs w:val="24"/>
          <w:lang w:val="en-US" w:eastAsia="zh-CN"/>
        </w:rPr>
        <w:t>7</w:t>
      </w:r>
      <w:r>
        <w:rPr>
          <w:rFonts w:hint="eastAsia"/>
          <w:sz w:val="24"/>
          <w:szCs w:val="24"/>
        </w:rPr>
        <w:t xml:space="preserve"> 手动核查操作界面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030470" cy="3023870"/>
            <wp:effectExtent l="0" t="0" r="17780" b="5080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rFonts w:hint="eastAsia"/>
          <w:sz w:val="24"/>
          <w:szCs w:val="24"/>
          <w:lang w:val="en-US" w:eastAsia="zh-CN"/>
        </w:rPr>
        <w:t>8</w:t>
      </w:r>
      <w:r>
        <w:rPr>
          <w:rFonts w:hint="eastAsia"/>
          <w:sz w:val="24"/>
          <w:szCs w:val="24"/>
        </w:rPr>
        <w:t xml:space="preserve"> 核查浓度设置</w:t>
      </w:r>
    </w:p>
    <w:p>
      <w:pPr>
        <w:spacing w:line="360" w:lineRule="auto"/>
        <w:jc w:val="left"/>
        <w:rPr>
          <w:rFonts w:hint="eastAsia"/>
          <w:sz w:val="21"/>
          <w:szCs w:val="21"/>
          <w:u w:val="single"/>
          <w:lang w:eastAsia="zh-CN"/>
        </w:rPr>
      </w:pPr>
      <w:r>
        <w:drawing>
          <wp:inline distT="0" distB="0" distL="114300" distR="114300">
            <wp:extent cx="371475" cy="333375"/>
            <wp:effectExtent l="0" t="0" r="9525" b="952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u w:val="single"/>
          <w:lang w:eastAsia="zh-CN"/>
        </w:rPr>
        <w:t>注意：手动核查时，需要将水样测量模式切换至手动测量模式才能操作。</w:t>
      </w:r>
    </w:p>
    <w:p>
      <w:pPr>
        <w:spacing w:line="360" w:lineRule="auto"/>
        <w:jc w:val="center"/>
        <w:rPr>
          <w:rFonts w:hint="eastAsia"/>
          <w:sz w:val="21"/>
          <w:szCs w:val="21"/>
          <w:u w:val="single"/>
          <w:lang w:eastAsia="zh-CN"/>
        </w:rPr>
      </w:pPr>
    </w:p>
    <w:p>
      <w:pPr>
        <w:spacing w:line="360" w:lineRule="auto"/>
        <w:jc w:val="left"/>
        <w:rPr>
          <w:rFonts w:hint="eastAsia"/>
          <w:sz w:val="21"/>
          <w:szCs w:val="21"/>
          <w:u w:val="single"/>
          <w:lang w:eastAsia="zh-CN"/>
        </w:rPr>
      </w:pPr>
      <w:r>
        <w:drawing>
          <wp:inline distT="0" distB="0" distL="114300" distR="114300">
            <wp:extent cx="371475" cy="333375"/>
            <wp:effectExtent l="0" t="0" r="9525" b="9525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u w:val="single"/>
          <w:lang w:eastAsia="zh-CN"/>
        </w:rPr>
        <w:t>注意：手动核查后，必须检查右上角仪器工作状态是否在“定时测量”或“者间隔测量”模式，否则仪器不会自动测量水样。</w:t>
      </w:r>
    </w:p>
    <w:p>
      <w:pPr>
        <w:spacing w:line="360" w:lineRule="auto"/>
        <w:jc w:val="center"/>
        <w:rPr>
          <w:rFonts w:hint="eastAsia"/>
          <w:sz w:val="21"/>
          <w:szCs w:val="21"/>
          <w:u w:val="single"/>
          <w:lang w:eastAsia="zh-CN"/>
        </w:rPr>
        <w:sectPr>
          <w:pgSz w:w="11906" w:h="16838"/>
          <w:pgMar w:top="1134" w:right="1134" w:bottom="1134" w:left="1134" w:header="851" w:footer="992" w:gutter="0"/>
          <w:cols w:space="0" w:num="1"/>
          <w:rtlGutter w:val="0"/>
          <w:docGrid w:type="lines" w:linePitch="312" w:charSpace="0"/>
        </w:sectPr>
      </w:pPr>
    </w:p>
    <w:p>
      <w:pPr>
        <w:pStyle w:val="2"/>
      </w:pPr>
      <w:bookmarkStart w:id="21" w:name="_Toc1676"/>
      <w:r>
        <w:rPr>
          <w:rFonts w:hint="eastAsia"/>
        </w:rPr>
        <w:t>设备调试</w:t>
      </w:r>
      <w:bookmarkEnd w:id="21"/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在界面选择</w:t>
      </w:r>
      <w:r>
        <w:object>
          <v:shape id="_x0000_i1036" o:spt="75" type="#_x0000_t75" style="height:24pt;width:24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PBrush" ShapeID="_x0000_i1036" DrawAspect="Content" ObjectID="_1468075736" r:id="rId61">
            <o:LockedField>false</o:LockedField>
          </o:OLEObject>
        </w:object>
      </w:r>
      <w:r>
        <w:rPr>
          <w:rFonts w:hint="eastAsia"/>
          <w:sz w:val="24"/>
          <w:szCs w:val="24"/>
        </w:rPr>
        <w:t>“设备调试”按钮进入调试功能界面（如图2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</w:rPr>
        <w:t>）。设备调试界面包含“泵阀测试”和“单步调试”两个导航按钮。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3675" cy="3168650"/>
            <wp:effectExtent l="0" t="0" r="3175" b="1270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rFonts w:hint="eastAsia"/>
          <w:sz w:val="24"/>
          <w:szCs w:val="24"/>
          <w:lang w:val="en-US" w:eastAsia="zh-CN"/>
        </w:rPr>
        <w:t>9</w:t>
      </w:r>
      <w:r>
        <w:rPr>
          <w:rFonts w:hint="eastAsia"/>
          <w:sz w:val="24"/>
          <w:szCs w:val="24"/>
        </w:rPr>
        <w:t xml:space="preserve"> 设备调试界面</w:t>
      </w:r>
    </w:p>
    <w:p>
      <w:pPr>
        <w:pStyle w:val="3"/>
        <w:bidi w:val="0"/>
        <w:ind w:left="576" w:leftChars="0" w:hanging="576" w:firstLineChars="0"/>
        <w:rPr>
          <w:rFonts w:hint="eastAsia"/>
          <w:sz w:val="28"/>
          <w:szCs w:val="28"/>
          <w:lang w:eastAsia="zh-CN"/>
        </w:rPr>
      </w:pPr>
      <w:bookmarkStart w:id="22" w:name="_Toc30275"/>
      <w:r>
        <w:rPr>
          <w:rFonts w:hint="eastAsia"/>
          <w:sz w:val="28"/>
          <w:szCs w:val="28"/>
          <w:lang w:eastAsia="zh-CN"/>
        </w:rPr>
        <w:t>泵阀调试界面</w:t>
      </w:r>
      <w:bookmarkEnd w:id="22"/>
    </w:p>
    <w:p>
      <w:pPr>
        <w:pStyle w:val="41"/>
        <w:numPr>
          <w:ilvl w:val="0"/>
          <w:numId w:val="3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选择“泵阀测试”按钮打开泵阀测试操作界面（如图2</w:t>
      </w:r>
      <w:r>
        <w:rPr>
          <w:rFonts w:hint="eastAsia"/>
          <w:sz w:val="24"/>
          <w:szCs w:val="24"/>
          <w:lang w:val="en-US" w:eastAsia="zh-CN"/>
        </w:rPr>
        <w:t>9</w:t>
      </w:r>
      <w:r>
        <w:rPr>
          <w:rFonts w:hint="eastAsia"/>
          <w:sz w:val="24"/>
          <w:szCs w:val="24"/>
        </w:rPr>
        <w:t>）。</w:t>
      </w:r>
    </w:p>
    <w:p>
      <w:pPr>
        <w:pStyle w:val="41"/>
        <w:spacing w:line="360" w:lineRule="auto"/>
        <w:ind w:left="482" w:firstLine="480"/>
        <w:jc w:val="left"/>
        <w:rPr>
          <w:sz w:val="24"/>
          <w:szCs w:val="24"/>
        </w:rPr>
      </w:pPr>
      <w:r>
        <w:drawing>
          <wp:inline distT="0" distB="0" distL="114300" distR="114300">
            <wp:extent cx="371475" cy="333375"/>
            <wp:effectExtent l="0" t="0" r="9525" b="9525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t>注意：</w:t>
      </w:r>
      <w:r>
        <w:rPr>
          <w:rFonts w:hint="eastAsia"/>
          <w:sz w:val="24"/>
          <w:szCs w:val="24"/>
          <w:u w:val="single"/>
        </w:rPr>
        <w:t>“泵阀测试”操作界面主要用于出厂调试和现场运维人员故障处理时使用，严禁其他人员操作，否则会因操作失误导致仪器损坏。</w:t>
      </w:r>
    </w:p>
    <w:p>
      <w:pPr>
        <w:pStyle w:val="41"/>
        <w:spacing w:line="360" w:lineRule="auto"/>
        <w:ind w:left="482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V1-1至V1-8对应开关八通阀的八个通道，V1-1代表试剂R1的通道阀，其他阀及蠕动泵等操作符号，请查看</w:t>
      </w:r>
      <w:r>
        <w:rPr>
          <w:rFonts w:hint="eastAsia"/>
          <w:sz w:val="24"/>
          <w:szCs w:val="24"/>
          <w:lang w:eastAsia="zh-CN"/>
        </w:rPr>
        <w:t>仪器柜门上</w:t>
      </w:r>
      <w:r>
        <w:rPr>
          <w:rFonts w:hint="eastAsia"/>
          <w:sz w:val="24"/>
          <w:szCs w:val="24"/>
        </w:rPr>
        <w:t>分析仪流路图。</w:t>
      </w:r>
    </w:p>
    <w:p>
      <w:pPr>
        <w:pStyle w:val="41"/>
        <w:spacing w:line="360" w:lineRule="auto"/>
        <w:ind w:left="482" w:firstLine="480"/>
        <w:jc w:val="left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P1代表蠕动泵。P1左转代表从计量器的计量管向下排水；P1右转代表向计量器的计量管内抽取液体。</w:t>
      </w:r>
    </w:p>
    <w:p>
      <w:pPr>
        <w:pStyle w:val="41"/>
        <w:spacing w:line="360" w:lineRule="auto"/>
        <w:ind w:left="482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加热开关，表示对消解池进行加热操作，“加热关”按键右边温度是可设置的，设置加热保持恒温时的温度。该设置温度下面显示“0秒”的位置是可设置的时间，表示加热到设置温度后，保持恒温的时间段，即保温多少秒。</w:t>
      </w:r>
    </w:p>
    <w:p>
      <w:pPr>
        <w:pStyle w:val="41"/>
        <w:spacing w:line="360" w:lineRule="auto"/>
        <w:ind w:left="482"/>
        <w:jc w:val="left"/>
        <w:rPr>
          <w:rFonts w:hint="eastAsia"/>
          <w:sz w:val="24"/>
          <w:szCs w:val="24"/>
          <w:u w:val="single"/>
        </w:rPr>
      </w:pPr>
      <w:r>
        <w:drawing>
          <wp:inline distT="0" distB="0" distL="114300" distR="114300">
            <wp:extent cx="371475" cy="333375"/>
            <wp:effectExtent l="0" t="0" r="9525" b="952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u w:val="single"/>
          <w:lang w:eastAsia="zh-CN"/>
        </w:rPr>
        <w:t>注意：</w:t>
      </w:r>
      <w:r>
        <w:rPr>
          <w:rFonts w:hint="eastAsia"/>
          <w:sz w:val="24"/>
          <w:szCs w:val="24"/>
          <w:u w:val="single"/>
        </w:rPr>
        <w:t>加热时，消解池内必须有液体介质，严禁空管加热，否则会导致消解池损坏。</w:t>
      </w:r>
    </w:p>
    <w:p>
      <w:pPr>
        <w:pStyle w:val="41"/>
        <w:spacing w:line="360" w:lineRule="auto"/>
        <w:ind w:left="482"/>
        <w:jc w:val="left"/>
        <w:rPr>
          <w:rFonts w:hint="eastAsia"/>
          <w:sz w:val="24"/>
          <w:szCs w:val="24"/>
          <w:u w:val="single"/>
        </w:rPr>
      </w:pPr>
      <w:r>
        <w:drawing>
          <wp:inline distT="0" distB="0" distL="114300" distR="114300">
            <wp:extent cx="371475" cy="333375"/>
            <wp:effectExtent l="0" t="0" r="9525" b="9525"/>
            <wp:docPr id="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u w:val="single"/>
          <w:lang w:eastAsia="zh-CN"/>
        </w:rPr>
        <w:t>注意：</w:t>
      </w:r>
      <w:r>
        <w:rPr>
          <w:rFonts w:hint="eastAsia"/>
          <w:sz w:val="24"/>
          <w:szCs w:val="24"/>
          <w:u w:val="single"/>
        </w:rPr>
        <w:t>加热时</w:t>
      </w:r>
      <w:r>
        <w:rPr>
          <w:rFonts w:hint="eastAsia"/>
          <w:sz w:val="24"/>
          <w:szCs w:val="24"/>
          <w:u w:val="single"/>
          <w:lang w:eastAsia="zh-CN"/>
        </w:rPr>
        <w:t>必须盖好</w:t>
      </w:r>
      <w:r>
        <w:rPr>
          <w:rFonts w:hint="eastAsia"/>
          <w:sz w:val="24"/>
          <w:szCs w:val="24"/>
          <w:u w:val="single"/>
        </w:rPr>
        <w:t>消解池</w:t>
      </w:r>
      <w:r>
        <w:rPr>
          <w:rFonts w:hint="eastAsia"/>
          <w:sz w:val="24"/>
          <w:szCs w:val="24"/>
          <w:u w:val="single"/>
          <w:lang w:eastAsia="zh-CN"/>
        </w:rPr>
        <w:t>保护盖，并关上仪器防护门</w:t>
      </w:r>
      <w:r>
        <w:rPr>
          <w:rFonts w:hint="eastAsia"/>
          <w:sz w:val="24"/>
          <w:szCs w:val="24"/>
          <w:u w:val="single"/>
        </w:rPr>
        <w:t>。</w:t>
      </w:r>
    </w:p>
    <w:p>
      <w:pPr>
        <w:pStyle w:val="3"/>
        <w:bidi w:val="0"/>
        <w:ind w:left="576" w:leftChars="0" w:hanging="576" w:firstLineChars="0"/>
        <w:rPr>
          <w:rFonts w:hint="eastAsia"/>
          <w:sz w:val="28"/>
          <w:szCs w:val="28"/>
          <w:lang w:eastAsia="zh-CN"/>
        </w:rPr>
      </w:pPr>
      <w:bookmarkStart w:id="23" w:name="_Toc11854"/>
      <w:r>
        <w:rPr>
          <w:rFonts w:hint="eastAsia"/>
          <w:sz w:val="28"/>
          <w:szCs w:val="28"/>
          <w:lang w:eastAsia="zh-CN"/>
        </w:rPr>
        <w:t>单步调试界面</w:t>
      </w:r>
      <w:bookmarkEnd w:id="23"/>
    </w:p>
    <w:p>
      <w:pPr>
        <w:pStyle w:val="41"/>
        <w:numPr>
          <w:ilvl w:val="0"/>
          <w:numId w:val="3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选择“单步调试”按钮打开单步调试操作界面（如图</w:t>
      </w:r>
      <w:r>
        <w:rPr>
          <w:rFonts w:hint="eastAsia"/>
          <w:sz w:val="24"/>
          <w:szCs w:val="24"/>
          <w:lang w:val="en-US" w:eastAsia="zh-CN"/>
        </w:rPr>
        <w:t>30</w:t>
      </w:r>
      <w:r>
        <w:rPr>
          <w:rFonts w:hint="eastAsia"/>
          <w:sz w:val="24"/>
          <w:szCs w:val="24"/>
        </w:rPr>
        <w:t>）。该操作界面主要用于设备维护，判断仪器各项功能是否正常。该界面各个按钮操作后会开始工作，工作完成后自动停止，若需立即停止，请按“STOP”键。</w:t>
      </w:r>
    </w:p>
    <w:p>
      <w:pPr>
        <w:spacing w:line="360" w:lineRule="auto"/>
        <w:jc w:val="center"/>
        <w:rPr>
          <w:sz w:val="24"/>
          <w:szCs w:val="24"/>
        </w:rPr>
      </w:pPr>
      <w:r>
        <w:drawing>
          <wp:inline distT="0" distB="0" distL="114300" distR="114300">
            <wp:extent cx="5276850" cy="3171825"/>
            <wp:effectExtent l="0" t="0" r="0" b="9525"/>
            <wp:docPr id="7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30</w:t>
      </w:r>
      <w:r>
        <w:rPr>
          <w:rFonts w:hint="eastAsia"/>
          <w:sz w:val="24"/>
          <w:szCs w:val="24"/>
        </w:rPr>
        <w:t xml:space="preserve"> 单步调试操作界面</w:t>
      </w:r>
    </w:p>
    <w:p>
      <w:pPr>
        <w:pStyle w:val="41"/>
        <w:numPr>
          <w:ilvl w:val="0"/>
          <w:numId w:val="0"/>
        </w:numPr>
        <w:spacing w:line="360" w:lineRule="auto"/>
        <w:ind w:left="480" w:leftChars="0"/>
        <w:jc w:val="left"/>
        <w:rPr>
          <w:sz w:val="24"/>
          <w:szCs w:val="24"/>
        </w:rPr>
      </w:pPr>
    </w:p>
    <w:p>
      <w:pPr>
        <w:pStyle w:val="41"/>
        <w:numPr>
          <w:ilvl w:val="0"/>
          <w:numId w:val="4"/>
        </w:numPr>
        <w:spacing w:line="360" w:lineRule="auto"/>
        <w:ind w:left="425" w:leftChars="0" w:hanging="425" w:firstLine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“取</w:t>
      </w:r>
      <w:r>
        <w:rPr>
          <w:rFonts w:hint="eastAsia"/>
          <w:sz w:val="24"/>
          <w:szCs w:val="24"/>
          <w:lang w:val="en-US" w:eastAsia="zh-CN"/>
        </w:rPr>
        <w:t>R1~R7”操作代表取对应试剂管的试剂。</w:t>
      </w:r>
    </w:p>
    <w:p>
      <w:pPr>
        <w:pStyle w:val="41"/>
        <w:numPr>
          <w:ilvl w:val="0"/>
          <w:numId w:val="4"/>
        </w:numPr>
        <w:spacing w:line="360" w:lineRule="auto"/>
        <w:ind w:left="425" w:leftChars="0" w:hanging="425" w:firstLine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“取B1”操作代表取B1管的蒸馏水。</w:t>
      </w:r>
    </w:p>
    <w:p>
      <w:pPr>
        <w:pStyle w:val="41"/>
        <w:numPr>
          <w:ilvl w:val="0"/>
          <w:numId w:val="4"/>
        </w:numPr>
        <w:spacing w:line="360" w:lineRule="auto"/>
        <w:ind w:left="425" w:leftChars="0" w:hanging="425" w:firstLine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“取B2”操作代表取B2管的标液。</w:t>
      </w:r>
    </w:p>
    <w:p>
      <w:pPr>
        <w:pStyle w:val="41"/>
        <w:numPr>
          <w:ilvl w:val="0"/>
          <w:numId w:val="4"/>
        </w:numPr>
        <w:spacing w:line="360" w:lineRule="auto"/>
        <w:ind w:left="425" w:leftChars="0" w:hanging="425" w:firstLine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“取水样”操作代表取S管的实际水样。</w:t>
      </w:r>
    </w:p>
    <w:p>
      <w:pPr>
        <w:pStyle w:val="41"/>
        <w:numPr>
          <w:ilvl w:val="0"/>
          <w:numId w:val="4"/>
        </w:numPr>
        <w:spacing w:line="360" w:lineRule="auto"/>
        <w:ind w:left="425" w:leftChars="0" w:hanging="425" w:firstLine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左下角的高位和低位表示计量器的液位状态。</w:t>
      </w:r>
    </w:p>
    <w:p>
      <w:pPr>
        <w:pStyle w:val="41"/>
        <w:numPr>
          <w:ilvl w:val="0"/>
          <w:numId w:val="4"/>
        </w:numPr>
        <w:spacing w:line="360" w:lineRule="auto"/>
        <w:ind w:left="425" w:leftChars="0" w:hanging="425" w:firstLine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取B1\B2\水样的右侧有低位操作键，可以点击后切换高低位状态，表示取对应液体的体积量到消解池。</w:t>
      </w:r>
    </w:p>
    <w:p>
      <w:pPr>
        <w:pStyle w:val="41"/>
        <w:numPr>
          <w:ilvl w:val="0"/>
          <w:numId w:val="4"/>
        </w:numPr>
        <w:spacing w:line="360" w:lineRule="auto"/>
        <w:ind w:left="425" w:leftChars="0" w:hanging="425" w:firstLine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“清洗消解池”和“排消解废液”的右侧的管数是可以设置的。</w:t>
      </w:r>
    </w:p>
    <w:p>
      <w:pPr>
        <w:pStyle w:val="41"/>
        <w:numPr>
          <w:ilvl w:val="0"/>
          <w:numId w:val="4"/>
        </w:numPr>
        <w:spacing w:line="360" w:lineRule="auto"/>
        <w:ind w:left="425" w:leftChars="0" w:hanging="425" w:firstLine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“清洗计量管”的清洗次数与“清洗消解池”右侧的管数一致，修改其管数即可。</w:t>
      </w:r>
    </w:p>
    <w:p>
      <w:pPr>
        <w:pStyle w:val="41"/>
        <w:spacing w:line="360" w:lineRule="auto"/>
        <w:ind w:left="482"/>
        <w:jc w:val="left"/>
      </w:pPr>
      <w:r>
        <w:drawing>
          <wp:inline distT="0" distB="0" distL="114300" distR="114300">
            <wp:extent cx="371475" cy="333375"/>
            <wp:effectExtent l="0" t="0" r="9525" b="952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eastAsia="zh-CN"/>
        </w:rPr>
        <w:t>注意：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严禁同时取R1-R7的多种试剂操作，COD的试剂混合</w:t>
      </w:r>
      <w:r>
        <w:rPr>
          <w:rFonts w:hint="eastAsia" w:asciiTheme="minorEastAsia" w:hAnsiTheme="minorEastAsia" w:cstheme="minorEastAsia"/>
          <w:sz w:val="24"/>
          <w:szCs w:val="24"/>
          <w:u w:val="single"/>
          <w:lang w:eastAsia="zh-CN"/>
        </w:rPr>
        <w:t>后可能会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产生沉淀，</w:t>
      </w:r>
      <w:r>
        <w:rPr>
          <w:rFonts w:hint="eastAsia" w:asciiTheme="minorEastAsia" w:hAnsiTheme="minorEastAsia" w:cstheme="minorEastAsia"/>
          <w:sz w:val="24"/>
          <w:szCs w:val="24"/>
          <w:u w:val="single"/>
          <w:lang w:eastAsia="zh-CN"/>
        </w:rPr>
        <w:t>将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导致消解池和阀门堵塞。</w:t>
      </w:r>
    </w:p>
    <w:p>
      <w:pPr>
        <w:pStyle w:val="41"/>
        <w:spacing w:line="360" w:lineRule="auto"/>
        <w:ind w:left="482"/>
        <w:jc w:val="left"/>
        <w:rPr>
          <w:rFonts w:hint="eastAsia"/>
        </w:rPr>
      </w:pPr>
      <w:r>
        <w:rPr>
          <w:rFonts w:hint="eastAsia"/>
          <w:sz w:val="24"/>
          <w:szCs w:val="24"/>
        </w:rPr>
        <w:t>每次取试剂后，需</w:t>
      </w:r>
      <w:r>
        <w:rPr>
          <w:rFonts w:hint="eastAsia"/>
          <w:sz w:val="24"/>
          <w:szCs w:val="24"/>
          <w:lang w:eastAsia="zh-CN"/>
        </w:rPr>
        <w:t>操作</w:t>
      </w:r>
      <w:r>
        <w:rPr>
          <w:rFonts w:hint="eastAsia"/>
          <w:sz w:val="24"/>
          <w:szCs w:val="24"/>
        </w:rPr>
        <w:t>按“排</w:t>
      </w:r>
      <w:r>
        <w:rPr>
          <w:rFonts w:hint="eastAsia"/>
          <w:sz w:val="24"/>
          <w:szCs w:val="24"/>
          <w:lang w:eastAsia="zh-CN"/>
        </w:rPr>
        <w:t>消解池废液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进行排液，</w:t>
      </w:r>
      <w:r>
        <w:rPr>
          <w:rFonts w:hint="eastAsia"/>
          <w:sz w:val="24"/>
          <w:szCs w:val="24"/>
        </w:rPr>
        <w:t>按“清洗消解池”</w:t>
      </w:r>
      <w:r>
        <w:rPr>
          <w:rFonts w:hint="eastAsia"/>
          <w:sz w:val="24"/>
          <w:szCs w:val="24"/>
          <w:lang w:eastAsia="zh-CN"/>
        </w:rPr>
        <w:t>进行清洗</w:t>
      </w:r>
      <w:r>
        <w:rPr>
          <w:rFonts w:hint="eastAsia"/>
          <w:sz w:val="24"/>
          <w:szCs w:val="24"/>
        </w:rPr>
        <w:t>，然后</w:t>
      </w:r>
      <w:r>
        <w:rPr>
          <w:rFonts w:hint="eastAsia"/>
          <w:sz w:val="24"/>
          <w:szCs w:val="24"/>
          <w:lang w:eastAsia="zh-CN"/>
        </w:rPr>
        <w:t>再</w:t>
      </w:r>
      <w:r>
        <w:rPr>
          <w:rFonts w:hint="eastAsia"/>
          <w:sz w:val="24"/>
          <w:szCs w:val="24"/>
        </w:rPr>
        <w:t>按“排解消解池”</w:t>
      </w:r>
      <w:r>
        <w:rPr>
          <w:rFonts w:hint="eastAsia"/>
          <w:sz w:val="24"/>
          <w:szCs w:val="24"/>
          <w:lang w:eastAsia="zh-CN"/>
        </w:rPr>
        <w:t>进行排液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eastAsia="zh-CN"/>
        </w:rPr>
        <w:t>消解池清洗干净后</w:t>
      </w:r>
      <w:r>
        <w:rPr>
          <w:rFonts w:hint="eastAsia"/>
          <w:sz w:val="24"/>
          <w:szCs w:val="24"/>
        </w:rPr>
        <w:t>才可以取下一种试剂</w:t>
      </w:r>
      <w:r>
        <w:rPr>
          <w:rFonts w:hint="eastAsia"/>
        </w:rPr>
        <w:t>。</w:t>
      </w:r>
    </w:p>
    <w:p>
      <w:pPr>
        <w:pStyle w:val="41"/>
        <w:spacing w:line="360" w:lineRule="auto"/>
        <w:ind w:left="482"/>
        <w:jc w:val="left"/>
        <w:rPr>
          <w:rFonts w:hint="eastAsia" w:asciiTheme="minorEastAsia" w:hAnsiTheme="minorEastAsia" w:cstheme="minorEastAsia"/>
          <w:sz w:val="24"/>
          <w:szCs w:val="24"/>
          <w:u w:val="single"/>
          <w:lang w:eastAsia="zh-CN"/>
        </w:rPr>
      </w:pPr>
      <w:r>
        <w:drawing>
          <wp:inline distT="0" distB="0" distL="114300" distR="114300">
            <wp:extent cx="371475" cy="333375"/>
            <wp:effectExtent l="0" t="0" r="9525" b="9525"/>
            <wp:docPr id="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eastAsia="zh-CN"/>
        </w:rPr>
        <w:t>注意：</w:t>
      </w:r>
      <w:r>
        <w:rPr>
          <w:rFonts w:hint="eastAsia" w:asciiTheme="minorEastAsia" w:hAnsiTheme="minorEastAsia" w:cstheme="minorEastAsia"/>
          <w:sz w:val="24"/>
          <w:szCs w:val="24"/>
          <w:u w:val="single"/>
          <w:lang w:eastAsia="zh-CN"/>
        </w:rPr>
        <w:t>取</w:t>
      </w:r>
      <w:r>
        <w:rPr>
          <w:rFonts w:hint="eastAsia" w:asciiTheme="minorEastAsia" w:hAnsiTheme="minorEastAsia" w:cstheme="minorEastAsia"/>
          <w:sz w:val="24"/>
          <w:szCs w:val="24"/>
          <w:u w:val="single"/>
          <w:lang w:val="en-US" w:eastAsia="zh-CN"/>
        </w:rPr>
        <w:t>R1~R7、取B1、取B2、取水样这几个在单步工作时会取两遍，第一遍取的速度比较快，第二遍速度较慢属于正常现象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。</w:t>
      </w:r>
      <w:r>
        <w:rPr>
          <w:rFonts w:hint="eastAsia" w:asciiTheme="minorEastAsia" w:hAnsiTheme="minorEastAsia" w:cstheme="minorEastAsia"/>
          <w:sz w:val="24"/>
          <w:szCs w:val="24"/>
          <w:u w:val="single"/>
          <w:lang w:eastAsia="zh-CN"/>
        </w:rPr>
        <w:t>第二遍的液体会进入消解池，请测量前要排空后清洗干净。</w:t>
      </w:r>
    </w:p>
    <w:p>
      <w:pPr>
        <w:pStyle w:val="3"/>
        <w:bidi w:val="0"/>
        <w:ind w:left="576" w:leftChars="0" w:hanging="576" w:firstLineChars="0"/>
        <w:rPr>
          <w:rFonts w:hint="eastAsia"/>
          <w:sz w:val="28"/>
          <w:szCs w:val="28"/>
          <w:lang w:eastAsia="zh-CN"/>
        </w:rPr>
      </w:pPr>
      <w:bookmarkStart w:id="24" w:name="_Toc7112"/>
      <w:r>
        <w:rPr>
          <w:rFonts w:hint="eastAsia"/>
          <w:sz w:val="28"/>
          <w:szCs w:val="28"/>
          <w:lang w:eastAsia="zh-CN"/>
        </w:rPr>
        <w:t>光源信号测试</w:t>
      </w:r>
      <w:bookmarkEnd w:id="24"/>
    </w:p>
    <w:p>
      <w:pPr>
        <w:pStyle w:val="41"/>
        <w:spacing w:line="360" w:lineRule="auto"/>
        <w:ind w:left="482"/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光源信号测试前，最佳效果是把消解池清洗干净后，再加入</w:t>
      </w:r>
      <w:r>
        <w:rPr>
          <w:rFonts w:hint="eastAsia"/>
          <w:sz w:val="24"/>
          <w:szCs w:val="24"/>
          <w:lang w:val="en-US" w:eastAsia="zh-CN"/>
        </w:rPr>
        <w:t>2管清洗水到消解池中</w:t>
      </w:r>
      <w:r>
        <w:rPr>
          <w:rFonts w:hint="eastAsia"/>
          <w:sz w:val="24"/>
          <w:szCs w:val="24"/>
          <w:lang w:eastAsia="zh-CN"/>
        </w:rPr>
        <w:t>。如图</w:t>
      </w:r>
      <w:r>
        <w:rPr>
          <w:rFonts w:hint="eastAsia"/>
          <w:sz w:val="24"/>
          <w:szCs w:val="24"/>
          <w:lang w:val="en-US" w:eastAsia="zh-CN"/>
        </w:rPr>
        <w:t>31所示，点击“600nm”操作打开光源后变成绿色状态。其右侧显示当前的光源信号值，其值在2000~3500mv之间时为最佳工作区间。</w:t>
      </w:r>
    </w:p>
    <w:p>
      <w:pPr>
        <w:pStyle w:val="41"/>
        <w:spacing w:line="360" w:lineRule="auto"/>
        <w:ind w:left="482"/>
        <w:jc w:val="left"/>
        <w:rPr>
          <w:rFonts w:hint="eastAsia"/>
        </w:rPr>
      </w:pPr>
      <w:r>
        <w:drawing>
          <wp:inline distT="0" distB="0" distL="114300" distR="114300">
            <wp:extent cx="5276850" cy="3171825"/>
            <wp:effectExtent l="0" t="0" r="0" b="9525"/>
            <wp:docPr id="7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31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eastAsia="zh-CN"/>
        </w:rPr>
        <w:t>光源信号调试界面</w:t>
      </w:r>
    </w:p>
    <w:p>
      <w:pPr>
        <w:pStyle w:val="41"/>
        <w:spacing w:line="360" w:lineRule="auto"/>
        <w:ind w:left="482"/>
        <w:jc w:val="left"/>
        <w:rPr>
          <w:rFonts w:hint="eastAsia"/>
        </w:rPr>
      </w:pPr>
    </w:p>
    <w:p>
      <w:pPr>
        <w:pStyle w:val="41"/>
        <w:spacing w:line="360" w:lineRule="auto"/>
        <w:ind w:left="482"/>
        <w:jc w:val="left"/>
        <w:rPr>
          <w:rFonts w:hint="eastAsia"/>
        </w:rPr>
        <w:sectPr>
          <w:pgSz w:w="11906" w:h="16838"/>
          <w:pgMar w:top="1134" w:right="1134" w:bottom="1134" w:left="1134" w:header="851" w:footer="992" w:gutter="0"/>
          <w:cols w:space="0" w:num="1"/>
          <w:rtlGutter w:val="0"/>
          <w:docGrid w:type="lines" w:linePitch="312" w:charSpace="0"/>
        </w:sectPr>
      </w:pPr>
    </w:p>
    <w:p>
      <w:pPr>
        <w:pStyle w:val="2"/>
      </w:pPr>
      <w:bookmarkStart w:id="25" w:name="_Toc20724"/>
      <w:r>
        <w:rPr>
          <w:rFonts w:hint="eastAsia"/>
        </w:rPr>
        <w:t>参数信息</w:t>
      </w:r>
      <w:bookmarkEnd w:id="25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在界面选择</w:t>
      </w:r>
      <w:r>
        <w:object>
          <v:shape id="_x0000_i1037" o:spt="75" type="#_x0000_t75" style="height:23.25pt;width:23.2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PBrush" ShapeID="_x0000_i1037" DrawAspect="Content" ObjectID="_1468075737" r:id="rId66">
            <o:LockedField>false</o:LockedField>
          </o:OLEObject>
        </w:object>
      </w:r>
      <w:r>
        <w:rPr>
          <w:rFonts w:hint="eastAsia"/>
          <w:sz w:val="24"/>
          <w:szCs w:val="24"/>
        </w:rPr>
        <w:t>“参数信息”按钮进入参数信息设置功能界面（如图</w:t>
      </w:r>
      <w:r>
        <w:rPr>
          <w:rFonts w:hint="eastAsia"/>
          <w:sz w:val="24"/>
          <w:szCs w:val="24"/>
          <w:lang w:val="en-US" w:eastAsia="zh-CN"/>
        </w:rPr>
        <w:t>32</w:t>
      </w:r>
      <w:r>
        <w:rPr>
          <w:rFonts w:hint="eastAsia"/>
          <w:sz w:val="24"/>
          <w:szCs w:val="24"/>
        </w:rPr>
        <w:t>）。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3675" cy="3168650"/>
            <wp:effectExtent l="0" t="0" r="3175" b="1270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32</w:t>
      </w:r>
      <w:r>
        <w:rPr>
          <w:rFonts w:hint="eastAsia"/>
          <w:sz w:val="24"/>
          <w:szCs w:val="24"/>
        </w:rPr>
        <w:t xml:space="preserve"> 参数信息设置界面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参数信息设置界面包含“系统参数”、“COD参数”</w:t>
      </w:r>
      <w:r>
        <w:rPr>
          <w:rFonts w:hint="eastAsia"/>
          <w:sz w:val="24"/>
          <w:szCs w:val="24"/>
          <w:lang w:eastAsia="zh-CN"/>
        </w:rPr>
        <w:t>和</w:t>
      </w:r>
      <w:r>
        <w:rPr>
          <w:rFonts w:hint="eastAsia"/>
          <w:sz w:val="24"/>
          <w:szCs w:val="24"/>
        </w:rPr>
        <w:t>“系统时间”</w:t>
      </w:r>
      <w:r>
        <w:rPr>
          <w:rFonts w:hint="eastAsia"/>
          <w:sz w:val="24"/>
          <w:szCs w:val="24"/>
          <w:lang w:eastAsia="zh-CN"/>
        </w:rPr>
        <w:t>三</w:t>
      </w:r>
      <w:r>
        <w:rPr>
          <w:rFonts w:hint="eastAsia"/>
          <w:sz w:val="24"/>
          <w:szCs w:val="24"/>
        </w:rPr>
        <w:t>个导航按钮。</w:t>
      </w:r>
    </w:p>
    <w:p>
      <w:pPr>
        <w:pStyle w:val="3"/>
        <w:bidi w:val="0"/>
        <w:ind w:left="576" w:leftChars="0" w:hanging="576" w:firstLineChars="0"/>
        <w:rPr>
          <w:rFonts w:hint="eastAsia"/>
          <w:sz w:val="28"/>
          <w:szCs w:val="28"/>
          <w:lang w:eastAsia="zh-CN"/>
        </w:rPr>
      </w:pPr>
      <w:bookmarkStart w:id="26" w:name="_Toc15700"/>
      <w:r>
        <w:rPr>
          <w:rFonts w:hint="eastAsia"/>
          <w:sz w:val="28"/>
          <w:szCs w:val="28"/>
          <w:lang w:eastAsia="zh-CN"/>
        </w:rPr>
        <w:t>系统参数</w:t>
      </w:r>
      <w:bookmarkEnd w:id="26"/>
    </w:p>
    <w:p>
      <w:pPr>
        <w:pStyle w:val="41"/>
        <w:numPr>
          <w:ilvl w:val="0"/>
          <w:numId w:val="3"/>
        </w:numPr>
        <w:spacing w:line="360" w:lineRule="auto"/>
        <w:ind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选择“系统参数”按钮打开系统参数设置界面第一页（如图</w:t>
      </w:r>
      <w:r>
        <w:rPr>
          <w:rFonts w:hint="eastAsia"/>
          <w:sz w:val="24"/>
          <w:szCs w:val="24"/>
          <w:lang w:val="en-US" w:eastAsia="zh-CN"/>
        </w:rPr>
        <w:t>32</w:t>
      </w:r>
      <w:r>
        <w:rPr>
          <w:rFonts w:hint="eastAsia"/>
          <w:sz w:val="24"/>
          <w:szCs w:val="24"/>
        </w:rPr>
        <w:t>），通过“上一页”、“下一页”菜单进行切换。</w:t>
      </w:r>
    </w:p>
    <w:tbl>
      <w:tblPr>
        <w:tblStyle w:val="2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2268"/>
        <w:gridCol w:w="51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序号</w:t>
            </w:r>
          </w:p>
        </w:tc>
        <w:tc>
          <w:tcPr>
            <w:tcW w:w="2268" w:type="dxa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参数</w:t>
            </w:r>
          </w:p>
        </w:tc>
        <w:tc>
          <w:tcPr>
            <w:tcW w:w="5159" w:type="dxa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水泵开启时间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测量开始取样水泵的运行时间，单位为秒。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通讯站号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串口通讯Modbus从站的地址。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单因子模式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启用后通过YV1阀门的通道6进水样，通道7进B1，通道8进B2。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清洗液分离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启用后通过YV1阀门的通道4排出清洗液。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流量开关连锁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启用后只有在流量开关有信号时才会启动测量。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远程控制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通过串口对仪器进行控制。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标一分离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启用后通过YV1阀门的通道3进标一。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测量浓度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启用高浓度测量后可测量8000mg/L水样。</w:t>
            </w:r>
          </w:p>
        </w:tc>
      </w:tr>
    </w:tbl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3675" cy="3168650"/>
            <wp:effectExtent l="0" t="0" r="3175" b="12700"/>
            <wp:docPr id="6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32</w:t>
      </w:r>
      <w:r>
        <w:rPr>
          <w:rFonts w:hint="eastAsia"/>
          <w:sz w:val="24"/>
          <w:szCs w:val="24"/>
        </w:rPr>
        <w:t xml:space="preserve"> 参数信息设置界面第二页</w:t>
      </w:r>
    </w:p>
    <w:tbl>
      <w:tblPr>
        <w:tblStyle w:val="2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2268"/>
        <w:gridCol w:w="51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序号</w:t>
            </w:r>
          </w:p>
        </w:tc>
        <w:tc>
          <w:tcPr>
            <w:tcW w:w="2268" w:type="dxa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参数</w:t>
            </w:r>
          </w:p>
        </w:tc>
        <w:tc>
          <w:tcPr>
            <w:tcW w:w="5159" w:type="dxa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水样返回时间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设置取水样后管路中水样返回取样点的时间。</w:t>
            </w:r>
          </w:p>
        </w:tc>
      </w:tr>
    </w:tbl>
    <w:p>
      <w:pPr>
        <w:pStyle w:val="41"/>
        <w:numPr>
          <w:ilvl w:val="0"/>
          <w:numId w:val="0"/>
        </w:numPr>
        <w:spacing w:line="360" w:lineRule="auto"/>
        <w:ind w:left="480" w:leftChars="0"/>
        <w:jc w:val="left"/>
        <w:rPr>
          <w:rFonts w:hint="eastAsia"/>
          <w:sz w:val="24"/>
          <w:szCs w:val="24"/>
        </w:rPr>
      </w:pPr>
    </w:p>
    <w:p>
      <w:pPr>
        <w:pStyle w:val="41"/>
        <w:spacing w:line="360" w:lineRule="auto"/>
        <w:ind w:left="900" w:firstLine="0" w:firstLineChars="0"/>
        <w:jc w:val="left"/>
        <w:rPr>
          <w:rFonts w:hint="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◎</w:t>
      </w:r>
      <w:r>
        <w:rPr>
          <w:rFonts w:hint="eastAsia"/>
          <w:sz w:val="24"/>
          <w:szCs w:val="24"/>
        </w:rPr>
        <w:t>点击“水泵开启时间”输入框，弹出数值输入框（如图</w:t>
      </w:r>
      <w:r>
        <w:rPr>
          <w:rFonts w:hint="eastAsia"/>
          <w:sz w:val="24"/>
          <w:szCs w:val="24"/>
          <w:lang w:val="en-US" w:eastAsia="zh-CN"/>
        </w:rPr>
        <w:t>33</w:t>
      </w:r>
      <w:r>
        <w:rPr>
          <w:rFonts w:hint="eastAsia"/>
          <w:sz w:val="24"/>
          <w:szCs w:val="24"/>
        </w:rPr>
        <w:t>），输入时间（单位为秒），点击“确定”按钮完成设置。</w:t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3604260" cy="2138045"/>
            <wp:effectExtent l="0" t="0" r="15240" b="14605"/>
            <wp:docPr id="6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33</w:t>
      </w:r>
      <w:r>
        <w:rPr>
          <w:rFonts w:hint="eastAsia"/>
          <w:sz w:val="24"/>
          <w:szCs w:val="24"/>
        </w:rPr>
        <w:t xml:space="preserve"> 水泵开启时间输入界面</w:t>
      </w:r>
    </w:p>
    <w:p>
      <w:pPr>
        <w:pStyle w:val="41"/>
        <w:spacing w:line="360" w:lineRule="auto"/>
        <w:ind w:left="900" w:firstLine="0" w:firstLineChars="0"/>
        <w:jc w:val="left"/>
        <w:rPr>
          <w:rFonts w:hint="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◎</w:t>
      </w:r>
      <w:r>
        <w:rPr>
          <w:rFonts w:hint="eastAsia"/>
          <w:sz w:val="24"/>
          <w:szCs w:val="24"/>
        </w:rPr>
        <w:t>点击“通讯站号”输入框，弹出数值输入框（如图</w:t>
      </w:r>
      <w:r>
        <w:rPr>
          <w:rFonts w:hint="eastAsia"/>
          <w:sz w:val="24"/>
          <w:szCs w:val="24"/>
          <w:lang w:val="en-US" w:eastAsia="zh-CN"/>
        </w:rPr>
        <w:t>34</w:t>
      </w:r>
      <w:r>
        <w:rPr>
          <w:rFonts w:hint="eastAsia"/>
          <w:sz w:val="24"/>
          <w:szCs w:val="24"/>
        </w:rPr>
        <w:t>），输入站号（范围1-10，默认为1），点击“确定”按钮完成设置。</w:t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3580130" cy="2190750"/>
            <wp:effectExtent l="0" t="0" r="1270" b="0"/>
            <wp:docPr id="6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34</w:t>
      </w:r>
      <w:r>
        <w:rPr>
          <w:rFonts w:hint="eastAsia"/>
          <w:sz w:val="24"/>
          <w:szCs w:val="24"/>
        </w:rPr>
        <w:t xml:space="preserve"> 通讯站号输入界面</w:t>
      </w:r>
    </w:p>
    <w:p>
      <w:pPr>
        <w:pStyle w:val="41"/>
        <w:spacing w:line="360" w:lineRule="auto"/>
        <w:ind w:left="900" w:firstLine="0" w:firstLineChars="0"/>
        <w:jc w:val="left"/>
        <w:rPr>
          <w:rFonts w:hint="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◎</w:t>
      </w:r>
      <w:r>
        <w:rPr>
          <w:rFonts w:hint="eastAsia" w:eastAsia="宋体"/>
          <w:sz w:val="24"/>
          <w:szCs w:val="24"/>
          <w:lang w:eastAsia="zh-CN"/>
        </w:rPr>
        <w:t>单因子模式选中后变为绿色表示</w:t>
      </w:r>
      <w:r>
        <w:rPr>
          <w:rFonts w:hint="eastAsia"/>
          <w:sz w:val="24"/>
          <w:szCs w:val="24"/>
        </w:rPr>
        <w:t>启用</w:t>
      </w:r>
      <w:r>
        <w:rPr>
          <w:rFonts w:hint="eastAsia"/>
          <w:sz w:val="24"/>
          <w:szCs w:val="24"/>
          <w:lang w:val="en-US" w:eastAsia="zh-CN"/>
        </w:rPr>
        <w:t>COD单通道阀</w:t>
      </w:r>
      <w:r>
        <w:rPr>
          <w:rFonts w:hint="eastAsia"/>
          <w:sz w:val="24"/>
          <w:szCs w:val="24"/>
        </w:rPr>
        <w:t>。</w:t>
      </w:r>
    </w:p>
    <w:p>
      <w:pPr>
        <w:pStyle w:val="41"/>
        <w:spacing w:line="360" w:lineRule="auto"/>
        <w:ind w:left="900" w:firstLine="0" w:firstLineChars="0"/>
        <w:jc w:val="left"/>
        <w:rPr>
          <w:rFonts w:hint="eastAsia" w:eastAsia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◎</w:t>
      </w:r>
      <w:r>
        <w:rPr>
          <w:rFonts w:hint="eastAsia" w:eastAsia="宋体"/>
          <w:sz w:val="24"/>
          <w:szCs w:val="24"/>
          <w:lang w:eastAsia="zh-CN"/>
        </w:rPr>
        <w:t>清洗液分离模式选中后变为绿色表示启用清洗液和废液分离功能，各自排液到对应的废液桶中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  <w:lang w:eastAsia="zh-CN"/>
        </w:rPr>
        <w:t>灰色表示不启用</w:t>
      </w:r>
      <w:r>
        <w:rPr>
          <w:rFonts w:hint="eastAsia" w:eastAsia="宋体"/>
          <w:sz w:val="24"/>
          <w:szCs w:val="24"/>
          <w:lang w:eastAsia="zh-CN"/>
        </w:rPr>
        <w:t>清洗液和废液分离功能。</w:t>
      </w:r>
    </w:p>
    <w:p>
      <w:pPr>
        <w:pStyle w:val="41"/>
        <w:spacing w:line="360" w:lineRule="auto"/>
        <w:ind w:left="900" w:firstLine="0" w:firstLine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标一分离</w:t>
      </w:r>
      <w:r>
        <w:rPr>
          <w:rFonts w:hint="eastAsia"/>
          <w:sz w:val="24"/>
          <w:szCs w:val="24"/>
          <w:lang w:val="en-US" w:eastAsia="zh-CN"/>
        </w:rPr>
        <w:t>：指选中后变为绿色，表示可以用其他低浓度的标液作为零点标液，此处零点是高于0mg/L的标液，与标定操作界面的设定值对应。若使用清洗的蒸馏水作零点，建议设置为灰色，不启动零标分离功能。</w:t>
      </w:r>
    </w:p>
    <w:p>
      <w:pPr>
        <w:pStyle w:val="4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1" w:firstLine="480" w:firstLineChars="200"/>
        <w:jc w:val="left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出厂默认设置如下图</w:t>
      </w:r>
      <w:r>
        <w:rPr>
          <w:rFonts w:hint="eastAsia"/>
          <w:sz w:val="24"/>
          <w:szCs w:val="24"/>
          <w:lang w:val="en-US" w:eastAsia="zh-CN"/>
        </w:rPr>
        <w:t>35所示，若有其他设置请拨打售后服务电话处理。</w:t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76850" cy="3171825"/>
            <wp:effectExtent l="0" t="0" r="0" b="9525"/>
            <wp:docPr id="8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35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eastAsia="zh-CN"/>
        </w:rPr>
        <w:t>清洗液分离</w:t>
      </w:r>
      <w:r>
        <w:rPr>
          <w:rFonts w:hint="eastAsia"/>
          <w:sz w:val="24"/>
          <w:szCs w:val="24"/>
        </w:rPr>
        <w:t>启用</w:t>
      </w:r>
      <w:r>
        <w:rPr>
          <w:rFonts w:hint="eastAsia"/>
          <w:sz w:val="24"/>
          <w:szCs w:val="24"/>
          <w:lang w:eastAsia="zh-CN"/>
        </w:rPr>
        <w:t>图</w:t>
      </w:r>
    </w:p>
    <w:p>
      <w:pPr>
        <w:pStyle w:val="3"/>
        <w:bidi w:val="0"/>
        <w:ind w:left="576" w:leftChars="0" w:hanging="576" w:firstLineChars="0"/>
        <w:rPr>
          <w:rFonts w:hint="eastAsia"/>
          <w:sz w:val="28"/>
          <w:szCs w:val="28"/>
          <w:lang w:eastAsia="zh-CN"/>
        </w:rPr>
      </w:pPr>
      <w:bookmarkStart w:id="27" w:name="_Toc1656"/>
      <w:r>
        <w:rPr>
          <w:rFonts w:hint="eastAsia"/>
          <w:sz w:val="28"/>
          <w:szCs w:val="28"/>
          <w:lang w:val="en-US" w:eastAsia="zh-CN"/>
        </w:rPr>
        <w:t>COD</w:t>
      </w:r>
      <w:r>
        <w:rPr>
          <w:rFonts w:hint="eastAsia"/>
          <w:sz w:val="28"/>
          <w:szCs w:val="28"/>
          <w:lang w:eastAsia="zh-CN"/>
        </w:rPr>
        <w:t>参数</w:t>
      </w:r>
      <w:bookmarkEnd w:id="27"/>
    </w:p>
    <w:p>
      <w:pPr>
        <w:pStyle w:val="41"/>
        <w:numPr>
          <w:ilvl w:val="0"/>
          <w:numId w:val="3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选择“COD参数”按钮打开COD参数设置界面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>（如图</w:t>
      </w:r>
      <w:r>
        <w:rPr>
          <w:rFonts w:hint="eastAsia"/>
          <w:sz w:val="24"/>
          <w:szCs w:val="24"/>
          <w:lang w:val="en-US" w:eastAsia="zh-CN"/>
        </w:rPr>
        <w:t>36</w:t>
      </w:r>
      <w:r>
        <w:rPr>
          <w:rFonts w:hint="eastAsia"/>
          <w:sz w:val="24"/>
          <w:szCs w:val="24"/>
        </w:rPr>
        <w:t>），通过“上一页”、“下一页”菜单进行切换COD参数设置界面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</w:rPr>
        <w:t>如图</w:t>
      </w:r>
      <w:r>
        <w:rPr>
          <w:rFonts w:hint="eastAsia"/>
          <w:sz w:val="24"/>
          <w:szCs w:val="24"/>
          <w:lang w:val="en-US" w:eastAsia="zh-CN"/>
        </w:rPr>
        <w:t>37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。</w:t>
      </w:r>
    </w:p>
    <w:p>
      <w:pPr>
        <w:pStyle w:val="41"/>
        <w:widowControl w:val="0"/>
        <w:numPr>
          <w:ilvl w:val="0"/>
          <w:numId w:val="0"/>
        </w:numPr>
        <w:spacing w:line="360" w:lineRule="auto"/>
        <w:jc w:val="left"/>
        <w:rPr>
          <w:rFonts w:hint="default" w:eastAsiaTheme="minorEastAsia"/>
          <w:sz w:val="24"/>
          <w:szCs w:val="24"/>
          <w:lang w:val="en-US" w:eastAsia="zh-CN"/>
        </w:rPr>
      </w:pPr>
    </w:p>
    <w:p>
      <w:pPr>
        <w:spacing w:line="360" w:lineRule="auto"/>
        <w:jc w:val="center"/>
        <w:rPr>
          <w:sz w:val="24"/>
          <w:szCs w:val="24"/>
        </w:rPr>
      </w:pPr>
      <w:r>
        <w:drawing>
          <wp:inline distT="0" distB="0" distL="114300" distR="114300">
            <wp:extent cx="5276850" cy="3171825"/>
            <wp:effectExtent l="0" t="0" r="0" b="9525"/>
            <wp:docPr id="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4" w:name="_GoBack"/>
      <w:bookmarkEnd w:id="34"/>
    </w:p>
    <w:p>
      <w:pPr>
        <w:spacing w:line="360" w:lineRule="auto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 xml:space="preserve">36  </w:t>
      </w:r>
      <w:r>
        <w:rPr>
          <w:rFonts w:hint="eastAsia"/>
          <w:sz w:val="24"/>
          <w:szCs w:val="24"/>
        </w:rPr>
        <w:t>COD参数设置界面</w:t>
      </w:r>
      <w:r>
        <w:rPr>
          <w:rFonts w:hint="eastAsia"/>
          <w:sz w:val="24"/>
          <w:szCs w:val="24"/>
          <w:lang w:val="en-US" w:eastAsia="zh-CN"/>
        </w:rPr>
        <w:t>1</w:t>
      </w:r>
    </w:p>
    <w:tbl>
      <w:tblPr>
        <w:tblStyle w:val="2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2268"/>
        <w:gridCol w:w="51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序号</w:t>
            </w:r>
          </w:p>
        </w:tc>
        <w:tc>
          <w:tcPr>
            <w:tcW w:w="2268" w:type="dxa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参数</w:t>
            </w:r>
          </w:p>
        </w:tc>
        <w:tc>
          <w:tcPr>
            <w:tcW w:w="5159" w:type="dxa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模拟量程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测量上限。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测量时间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测量过程时间。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消解温度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消解过程的温度。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消解时间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消解过程的持续时间。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冷却温度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消解后冷却的温度。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报警高温度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温度报警上限。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报警低温度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温度报警下限。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报警限值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测量值报警上限。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如图</w:t>
      </w:r>
      <w:r>
        <w:rPr>
          <w:rFonts w:hint="eastAsia"/>
          <w:sz w:val="24"/>
          <w:szCs w:val="24"/>
          <w:lang w:val="en-US" w:eastAsia="zh-CN"/>
        </w:rPr>
        <w:t>36所示，参数信息描述如下：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模拟量程：指可测量的最大量程，与标定量程无关，测量实际水样超过此设定值后也显示该值。比如标定量程是0-200mg/L，模拟量程设为100mg/L，实际水样为150mg/L，测出来的值显示为100mg/L。若标定量程是0-200mg/L，模拟量程设为500mg/L，实际水样为350mg/L，测出来的值显示为350mg/L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测量时间：指测量完一次水样所需的时间，该时间仅供参考，该值大小不影响测量值。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消解温度：指消解池加入水样和试剂后恒温反应时的温度。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消解时间：指消解池加入水样和试剂后恒温反应时的时间。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冷却</w:t>
      </w:r>
      <w:r>
        <w:rPr>
          <w:rFonts w:hint="eastAsia"/>
          <w:sz w:val="24"/>
          <w:szCs w:val="24"/>
          <w:lang w:val="en-US" w:eastAsia="zh-CN"/>
        </w:rPr>
        <w:t>温度：指消解池加入水样和试剂后化学反应完成后比色时的温度。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报警高温度：指测量过程中最高允许测量的最高温度，超过该设定值报警温度异常。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报警低温度：指测量过程中最高允许测量的最低温度，超过该设定值报警温度异常。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报警限值：指测量该水样允许的最大排放值，超过该设定值报警。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eastAsia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71475" cy="333375"/>
            <wp:effectExtent l="0" t="0" r="9525" b="952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u w:val="single"/>
          <w:lang w:eastAsia="zh-CN"/>
        </w:rPr>
        <w:t>注意：该界面</w:t>
      </w:r>
      <w:r>
        <w:rPr>
          <w:rFonts w:hint="eastAsia"/>
          <w:sz w:val="24"/>
          <w:szCs w:val="24"/>
          <w:u w:val="single"/>
          <w:lang w:val="en-US" w:eastAsia="zh-CN"/>
        </w:rPr>
        <w:t>1</w:t>
      </w:r>
      <w:r>
        <w:rPr>
          <w:rFonts w:hint="eastAsia"/>
          <w:sz w:val="24"/>
          <w:szCs w:val="24"/>
          <w:u w:val="single"/>
          <w:lang w:eastAsia="zh-CN"/>
        </w:rPr>
        <w:t>参数设定值出厂前已调好，严禁随意改动。请在厂家售后人员指导下修改，每次修改值不应与原值相差太大。</w:t>
      </w:r>
    </w:p>
    <w:p>
      <w:pPr>
        <w:spacing w:line="360" w:lineRule="auto"/>
        <w:jc w:val="center"/>
        <w:rPr>
          <w:rFonts w:hint="eastAsia"/>
          <w:sz w:val="24"/>
          <w:szCs w:val="24"/>
          <w:lang w:val="en-US" w:eastAsia="zh-CN"/>
        </w:rPr>
      </w:pPr>
    </w:p>
    <w:p>
      <w:pPr>
        <w:spacing w:line="360" w:lineRule="auto"/>
        <w:jc w:val="center"/>
      </w:pPr>
      <w:r>
        <w:rPr>
          <w:sz w:val="24"/>
          <w:szCs w:val="24"/>
        </w:rPr>
        <w:drawing>
          <wp:inline distT="0" distB="0" distL="0" distR="0">
            <wp:extent cx="5273675" cy="3168650"/>
            <wp:effectExtent l="0" t="0" r="3175" b="12700"/>
            <wp:docPr id="8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37</w:t>
      </w:r>
      <w:r>
        <w:rPr>
          <w:rFonts w:hint="eastAsia"/>
          <w:sz w:val="24"/>
          <w:szCs w:val="24"/>
        </w:rPr>
        <w:t xml:space="preserve"> COD参数设置界面</w:t>
      </w:r>
      <w:r>
        <w:rPr>
          <w:rFonts w:hint="eastAsia"/>
          <w:sz w:val="24"/>
          <w:szCs w:val="24"/>
          <w:lang w:val="en-US" w:eastAsia="zh-CN"/>
        </w:rPr>
        <w:t>2</w:t>
      </w:r>
    </w:p>
    <w:tbl>
      <w:tblPr>
        <w:tblStyle w:val="2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2268"/>
        <w:gridCol w:w="51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序号</w:t>
            </w:r>
          </w:p>
        </w:tc>
        <w:tc>
          <w:tcPr>
            <w:tcW w:w="2268" w:type="dxa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参数</w:t>
            </w:r>
          </w:p>
        </w:tc>
        <w:tc>
          <w:tcPr>
            <w:tcW w:w="5159" w:type="dxa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标定后自动计算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完成标定会自动计算修正点的浓度、信号。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标二参数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标二的浓度、信号。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修正点3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中间量程</w:t>
            </w:r>
            <w:r>
              <w:rPr>
                <w:rFonts w:hint="eastAsia"/>
                <w:sz w:val="24"/>
                <w:szCs w:val="24"/>
              </w:rPr>
              <w:t>3的浓度、信号。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修正点2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中间量程</w:t>
            </w:r>
            <w:r>
              <w:rPr>
                <w:rFonts w:hint="eastAsia"/>
                <w:sz w:val="24"/>
                <w:szCs w:val="24"/>
              </w:rPr>
              <w:t>2的浓度、信号。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修正点1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中间量程</w:t>
            </w:r>
            <w:r>
              <w:rPr>
                <w:rFonts w:hint="eastAsia"/>
                <w:sz w:val="24"/>
                <w:szCs w:val="24"/>
              </w:rPr>
              <w:t>1的浓度、信号。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标一参数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标一的浓度、信号。</w:t>
            </w:r>
          </w:p>
        </w:tc>
      </w:tr>
    </w:tbl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标定参数根据系统参数中“测量浓度”的状态设置为两组不同的参数。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如图</w:t>
      </w:r>
      <w:r>
        <w:rPr>
          <w:rFonts w:hint="eastAsia"/>
          <w:sz w:val="24"/>
          <w:szCs w:val="24"/>
          <w:lang w:val="en-US" w:eastAsia="zh-CN"/>
        </w:rPr>
        <w:t>37所示该界面为多量程设定界面，左边列为量程设定值，右边列为对应的量程吸光度。COD与其他型号的参数信息内容是一致的，只是设定值不同而已。参数信息描述如下：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常规参数：右侧的“标定后自动计算”选中为绿色时表示标定完后默认为2点标定，自动计算出中间量程。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标二参数：指最大标定量程点，该量程吸光度和手/自动标定的B2值是一致的。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中间量程3：指中间第3个标定量程。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中间量程2：指中间第2个标定量程。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中间量程1</w:t>
      </w:r>
      <w:r>
        <w:rPr>
          <w:rFonts w:hint="eastAsia"/>
          <w:sz w:val="24"/>
          <w:szCs w:val="24"/>
          <w:lang w:val="en-US" w:eastAsia="zh-CN"/>
        </w:rPr>
        <w:t>：指中间第1个标定量程。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标一参数：指最小标定量程点，该量程吸光度和手/自动标定的B1值是一致的。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量程计算</w:t>
      </w:r>
      <w:r>
        <w:rPr>
          <w:rFonts w:hint="eastAsia"/>
          <w:sz w:val="24"/>
          <w:szCs w:val="24"/>
          <w:lang w:val="en-US" w:eastAsia="zh-CN"/>
        </w:rPr>
        <w:t>：不需要使用手动做中间量程标定时，按下此按钮后，自动计算中间量程，并绘制标定曲线。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查看标线</w:t>
      </w:r>
      <w:r>
        <w:rPr>
          <w:rFonts w:hint="eastAsia"/>
          <w:sz w:val="24"/>
          <w:szCs w:val="24"/>
          <w:lang w:val="en-US" w:eastAsia="zh-CN"/>
        </w:rPr>
        <w:t>：查看标定量程的标定曲线。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71475" cy="333375"/>
            <wp:effectExtent l="0" t="0" r="9525" b="952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u w:val="single"/>
          <w:lang w:eastAsia="zh-CN"/>
        </w:rPr>
        <w:t>注意：该界面</w:t>
      </w:r>
      <w:r>
        <w:rPr>
          <w:rFonts w:hint="eastAsia"/>
          <w:sz w:val="24"/>
          <w:szCs w:val="24"/>
          <w:u w:val="single"/>
          <w:lang w:val="en-US" w:eastAsia="zh-CN"/>
        </w:rPr>
        <w:t>2</w:t>
      </w:r>
      <w:r>
        <w:rPr>
          <w:rFonts w:hint="eastAsia"/>
          <w:sz w:val="24"/>
          <w:szCs w:val="24"/>
          <w:u w:val="single"/>
          <w:lang w:eastAsia="zh-CN"/>
        </w:rPr>
        <w:t>参数用于多量程水样测定用。若只使用一个量程（两点标定）时，“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标定后自动计算</w:t>
      </w:r>
      <w:r>
        <w:rPr>
          <w:rFonts w:hint="eastAsia"/>
          <w:sz w:val="24"/>
          <w:szCs w:val="24"/>
          <w:u w:val="single"/>
          <w:lang w:eastAsia="zh-CN"/>
        </w:rPr>
        <w:t>”须选中为绿色或者手动点击“量程计算”，绘制标定曲线。</w:t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76850" cy="3171825"/>
            <wp:effectExtent l="0" t="0" r="0" b="9525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38</w:t>
      </w:r>
      <w:r>
        <w:rPr>
          <w:rFonts w:hint="eastAsia"/>
          <w:sz w:val="24"/>
          <w:szCs w:val="24"/>
        </w:rPr>
        <w:t xml:space="preserve"> COD参数设置界面</w:t>
      </w:r>
      <w:r>
        <w:rPr>
          <w:rFonts w:hint="eastAsia"/>
          <w:sz w:val="24"/>
          <w:szCs w:val="24"/>
          <w:lang w:val="en-US" w:eastAsia="zh-CN"/>
        </w:rPr>
        <w:t>3</w:t>
      </w:r>
    </w:p>
    <w:tbl>
      <w:tblPr>
        <w:tblStyle w:val="2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2268"/>
        <w:gridCol w:w="51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序号</w:t>
            </w:r>
          </w:p>
        </w:tc>
        <w:tc>
          <w:tcPr>
            <w:tcW w:w="2268" w:type="dxa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参数</w:t>
            </w:r>
          </w:p>
        </w:tc>
        <w:tc>
          <w:tcPr>
            <w:tcW w:w="5159" w:type="dxa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测量前排清洗液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测量前排清洗液的管数。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测量前清洗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测量前清洗的次数。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测前进清洗液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测前进清洗液的管数。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测前排清洗液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测前排清洗液的管数。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测完排废液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测完排废液的管数。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测量后清洗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测量后清洗的次数。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测后进清洗液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测后进清洗液的管数。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测后排清洗液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测后排清洗液的管数。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/>
          <w:sz w:val="24"/>
          <w:szCs w:val="24"/>
          <w:u w:val="single"/>
          <w:lang w:eastAsia="zh-CN"/>
        </w:rPr>
      </w:pPr>
      <w:r>
        <w:drawing>
          <wp:inline distT="0" distB="0" distL="114300" distR="114300">
            <wp:extent cx="371475" cy="333375"/>
            <wp:effectExtent l="0" t="0" r="9525" b="9525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u w:val="single"/>
          <w:lang w:eastAsia="zh-CN"/>
        </w:rPr>
        <w:t>注意：该界面</w:t>
      </w:r>
      <w:r>
        <w:rPr>
          <w:rFonts w:hint="eastAsia"/>
          <w:sz w:val="24"/>
          <w:szCs w:val="24"/>
          <w:u w:val="single"/>
          <w:lang w:val="en-US" w:eastAsia="zh-CN"/>
        </w:rPr>
        <w:t>3</w:t>
      </w:r>
      <w:r>
        <w:rPr>
          <w:rFonts w:hint="eastAsia"/>
          <w:sz w:val="24"/>
          <w:szCs w:val="24"/>
          <w:u w:val="single"/>
          <w:lang w:eastAsia="zh-CN"/>
        </w:rPr>
        <w:t>参数设定值出厂前已调好，严禁随意改动。请在厂家售后人员指导下修改。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/>
          <w:sz w:val="24"/>
          <w:szCs w:val="24"/>
          <w:u w:val="single"/>
          <w:lang w:eastAsia="zh-CN"/>
        </w:rPr>
      </w:pP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3675" cy="3168650"/>
            <wp:effectExtent l="0" t="0" r="3175" b="12700"/>
            <wp:docPr id="7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图3</w:t>
      </w:r>
      <w:r>
        <w:rPr>
          <w:rFonts w:hint="eastAsia"/>
          <w:sz w:val="24"/>
          <w:szCs w:val="24"/>
          <w:lang w:val="en-US" w:eastAsia="zh-CN"/>
        </w:rPr>
        <w:t>9</w:t>
      </w:r>
      <w:r>
        <w:rPr>
          <w:rFonts w:hint="eastAsia"/>
          <w:sz w:val="24"/>
          <w:szCs w:val="24"/>
        </w:rPr>
        <w:t xml:space="preserve"> COD参数设置界面第四页</w:t>
      </w:r>
    </w:p>
    <w:tbl>
      <w:tblPr>
        <w:tblStyle w:val="2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2268"/>
        <w:gridCol w:w="51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序号</w:t>
            </w:r>
          </w:p>
        </w:tc>
        <w:tc>
          <w:tcPr>
            <w:tcW w:w="2268" w:type="dxa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参数</w:t>
            </w:r>
          </w:p>
        </w:tc>
        <w:tc>
          <w:tcPr>
            <w:tcW w:w="5159" w:type="dxa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设备停运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设置仪器为停运状态。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设备故障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设置仪器为故障状态。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设备维护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设置仪器为维护状态。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比对不合格</w:t>
            </w:r>
          </w:p>
        </w:tc>
        <w:tc>
          <w:tcPr>
            <w:tcW w:w="5159" w:type="dxa"/>
            <w:vAlign w:val="center"/>
          </w:tcPr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设置仪器为比对不合格状态。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/>
          <w:sz w:val="24"/>
          <w:szCs w:val="24"/>
          <w:u w:val="single"/>
          <w:lang w:eastAsia="zh-CN"/>
        </w:rPr>
      </w:pPr>
      <w:r>
        <w:drawing>
          <wp:inline distT="0" distB="0" distL="114300" distR="114300">
            <wp:extent cx="371475" cy="333375"/>
            <wp:effectExtent l="0" t="0" r="9525" b="9525"/>
            <wp:docPr id="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u w:val="none"/>
          <w:lang w:eastAsia="zh-CN"/>
        </w:rPr>
        <w:t>注意</w:t>
      </w:r>
      <w:r>
        <w:rPr>
          <w:rFonts w:hint="eastAsia"/>
          <w:sz w:val="24"/>
          <w:szCs w:val="24"/>
          <w:u w:val="single"/>
          <w:lang w:eastAsia="zh-CN"/>
        </w:rPr>
        <w:t>：该界面</w:t>
      </w:r>
      <w:r>
        <w:rPr>
          <w:rFonts w:hint="eastAsia"/>
          <w:sz w:val="24"/>
          <w:szCs w:val="24"/>
          <w:u w:val="single"/>
          <w:lang w:val="en-US" w:eastAsia="zh-CN"/>
        </w:rPr>
        <w:t>4</w:t>
      </w:r>
      <w:r>
        <w:rPr>
          <w:rFonts w:hint="eastAsia"/>
          <w:sz w:val="24"/>
          <w:szCs w:val="24"/>
          <w:u w:val="single"/>
          <w:lang w:eastAsia="zh-CN"/>
        </w:rPr>
        <w:t>参数用于测试记录数据标记，请在仪器维护时选中对应状态。灰色表示未选中，绿色表示选中，选中后测试结果数据才会有对应的状态标识。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/>
          <w:sz w:val="24"/>
          <w:szCs w:val="24"/>
          <w:u w:val="none"/>
          <w:lang w:eastAsia="zh-CN"/>
        </w:rPr>
      </w:pPr>
    </w:p>
    <w:p>
      <w:pPr>
        <w:pStyle w:val="3"/>
        <w:bidi w:val="0"/>
        <w:ind w:left="576" w:leftChars="0" w:hanging="576" w:firstLineChars="0"/>
        <w:rPr>
          <w:rFonts w:hint="eastAsia"/>
          <w:sz w:val="28"/>
          <w:szCs w:val="28"/>
          <w:lang w:eastAsia="zh-CN"/>
        </w:rPr>
      </w:pPr>
      <w:bookmarkStart w:id="28" w:name="_Toc10862"/>
      <w:r>
        <w:rPr>
          <w:rFonts w:hint="eastAsia"/>
          <w:sz w:val="28"/>
          <w:szCs w:val="28"/>
          <w:lang w:val="en-US" w:eastAsia="zh-CN"/>
        </w:rPr>
        <w:t>系统时间</w:t>
      </w:r>
      <w:bookmarkEnd w:id="28"/>
    </w:p>
    <w:p>
      <w:pPr>
        <w:pStyle w:val="41"/>
        <w:numPr>
          <w:ilvl w:val="0"/>
          <w:numId w:val="3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选择“系统时间”按钮打开系统时间设置界面（如图</w:t>
      </w:r>
      <w:r>
        <w:rPr>
          <w:rFonts w:hint="eastAsia"/>
          <w:sz w:val="24"/>
          <w:szCs w:val="24"/>
          <w:lang w:val="en-US" w:eastAsia="zh-CN"/>
        </w:rPr>
        <w:t>40</w:t>
      </w:r>
      <w:r>
        <w:rPr>
          <w:rFonts w:hint="eastAsia"/>
          <w:sz w:val="24"/>
          <w:szCs w:val="24"/>
        </w:rPr>
        <w:t>）。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3675" cy="3168650"/>
            <wp:effectExtent l="0" t="0" r="3175" b="12700"/>
            <wp:docPr id="7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40</w:t>
      </w:r>
      <w:r>
        <w:rPr>
          <w:rFonts w:hint="eastAsia"/>
          <w:sz w:val="24"/>
          <w:szCs w:val="24"/>
        </w:rPr>
        <w:t xml:space="preserve"> 系统时间设置界面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/>
          <w:sz w:val="24"/>
          <w:szCs w:val="24"/>
          <w:u w:val="single"/>
          <w:lang w:eastAsia="zh-CN"/>
        </w:rPr>
      </w:pPr>
      <w:r>
        <w:drawing>
          <wp:inline distT="0" distB="0" distL="114300" distR="114300">
            <wp:extent cx="371475" cy="333375"/>
            <wp:effectExtent l="0" t="0" r="9525" b="9525"/>
            <wp:docPr id="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u w:val="single"/>
          <w:lang w:eastAsia="zh-CN"/>
        </w:rPr>
        <w:t>注意：该界面参数为系统时间参数，至少每年核对一次北京时间，进行时间校正。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/>
          <w:sz w:val="24"/>
          <w:szCs w:val="24"/>
          <w:u w:val="singl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/>
          <w:sz w:val="24"/>
          <w:szCs w:val="24"/>
          <w:u w:val="single"/>
          <w:lang w:eastAsia="zh-CN"/>
        </w:rPr>
      </w:pPr>
      <w:r>
        <w:drawing>
          <wp:inline distT="0" distB="0" distL="114300" distR="114300">
            <wp:extent cx="371475" cy="333375"/>
            <wp:effectExtent l="0" t="0" r="9525" b="9525"/>
            <wp:docPr id="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u w:val="single"/>
          <w:lang w:eastAsia="zh-CN"/>
        </w:rPr>
        <w:t>注意：在时间校正操作后，必须核对是否校正正确，否则会导致测量记录时间与北京时间不一致。</w:t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</w:p>
    <w:p>
      <w:pPr>
        <w:spacing w:line="360" w:lineRule="auto"/>
        <w:jc w:val="both"/>
        <w:rPr>
          <w:rFonts w:hint="eastAsia"/>
          <w:sz w:val="24"/>
          <w:szCs w:val="24"/>
        </w:rPr>
        <w:sectPr>
          <w:pgSz w:w="11906" w:h="16838"/>
          <w:pgMar w:top="1134" w:right="1134" w:bottom="1134" w:left="1134" w:header="851" w:footer="992" w:gutter="0"/>
          <w:cols w:space="0" w:num="1"/>
          <w:rtlGutter w:val="0"/>
          <w:docGrid w:type="lines" w:linePitch="312" w:charSpace="0"/>
        </w:sectPr>
      </w:pPr>
    </w:p>
    <w:p>
      <w:pPr>
        <w:pStyle w:val="2"/>
      </w:pPr>
      <w:bookmarkStart w:id="29" w:name="_Toc471"/>
      <w:r>
        <w:rPr>
          <w:rFonts w:hint="eastAsia"/>
        </w:rPr>
        <w:t>系统记录</w:t>
      </w:r>
      <w:bookmarkEnd w:id="29"/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在界面选择</w:t>
      </w:r>
      <w:r>
        <w:object>
          <v:shape id="_x0000_i1038" o:spt="75" type="#_x0000_t75" style="height:21pt;width:21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PBrush" ShapeID="_x0000_i1038" DrawAspect="Content" ObjectID="_1468075738" r:id="rId78">
            <o:LockedField>false</o:LockedField>
          </o:OLEObject>
        </w:object>
      </w:r>
      <w:r>
        <w:rPr>
          <w:rFonts w:hint="eastAsia"/>
          <w:sz w:val="24"/>
          <w:szCs w:val="24"/>
        </w:rPr>
        <w:t>“系统记录”按钮进入系统记录信息察看界面（如图</w:t>
      </w:r>
      <w:r>
        <w:rPr>
          <w:rFonts w:hint="eastAsia"/>
          <w:sz w:val="24"/>
          <w:szCs w:val="24"/>
          <w:lang w:val="en-US" w:eastAsia="zh-CN"/>
        </w:rPr>
        <w:t>41</w:t>
      </w:r>
      <w:r>
        <w:rPr>
          <w:rFonts w:hint="eastAsia"/>
          <w:sz w:val="24"/>
          <w:szCs w:val="24"/>
        </w:rPr>
        <w:t>）。日志查询界面包含“报警记录”、“操作日志”和“运行日志”三个导航按钮。</w:t>
      </w:r>
    </w:p>
    <w:p>
      <w:pPr>
        <w:pStyle w:val="3"/>
        <w:bidi w:val="0"/>
        <w:ind w:left="576" w:leftChars="0" w:hanging="576" w:firstLineChars="0"/>
        <w:rPr>
          <w:rFonts w:hint="eastAsia"/>
          <w:sz w:val="28"/>
          <w:szCs w:val="28"/>
          <w:lang w:eastAsia="zh-CN"/>
        </w:rPr>
      </w:pPr>
      <w:bookmarkStart w:id="30" w:name="_Toc11627"/>
      <w:r>
        <w:rPr>
          <w:rFonts w:hint="eastAsia"/>
          <w:sz w:val="28"/>
          <w:szCs w:val="28"/>
          <w:lang w:eastAsia="zh-CN"/>
        </w:rPr>
        <w:t>报警记录</w:t>
      </w:r>
      <w:bookmarkEnd w:id="30"/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3675" cy="3168650"/>
            <wp:effectExtent l="0" t="0" r="3175" b="1270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41</w:t>
      </w:r>
      <w:r>
        <w:rPr>
          <w:rFonts w:hint="eastAsia"/>
          <w:sz w:val="24"/>
          <w:szCs w:val="24"/>
        </w:rPr>
        <w:t xml:space="preserve"> 系统记录信息察看界面</w:t>
      </w:r>
    </w:p>
    <w:p>
      <w:pPr>
        <w:pStyle w:val="41"/>
        <w:numPr>
          <w:ilvl w:val="0"/>
          <w:numId w:val="3"/>
        </w:numPr>
        <w:spacing w:line="360" w:lineRule="auto"/>
        <w:ind w:firstLineChars="0"/>
        <w:jc w:val="left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选择“报警记录”按钮打开报警记录信息查看界面（如图</w:t>
      </w:r>
      <w:r>
        <w:rPr>
          <w:rFonts w:hint="eastAsia"/>
          <w:sz w:val="24"/>
          <w:szCs w:val="24"/>
          <w:lang w:val="en-US" w:eastAsia="zh-CN"/>
        </w:rPr>
        <w:t>41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  <w:lang w:eastAsia="zh-CN"/>
        </w:rPr>
        <w:t>，报警记录主要记录超量程报警、缺试剂报警、部件故障报警、取样故障等。</w:t>
      </w:r>
    </w:p>
    <w:p>
      <w:pPr>
        <w:pStyle w:val="4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2" w:leftChars="0" w:firstLine="480" w:firstLineChars="200"/>
        <w:jc w:val="left"/>
        <w:textAlignment w:val="auto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报警记录数据储存至少 </w:t>
      </w:r>
      <w:r>
        <w:rPr>
          <w:rFonts w:hint="eastAsia"/>
          <w:sz w:val="24"/>
          <w:szCs w:val="24"/>
          <w:lang w:val="en-US" w:eastAsia="zh-CN"/>
        </w:rPr>
        <w:t>36</w:t>
      </w:r>
      <w:r>
        <w:rPr>
          <w:rFonts w:hint="eastAsia"/>
          <w:sz w:val="24"/>
          <w:szCs w:val="24"/>
          <w:lang w:eastAsia="zh-CN"/>
        </w:rPr>
        <w:t xml:space="preserve"> 个月，点击“导出”按钮可以导出记录到优盘上，其记录可以用</w:t>
      </w:r>
      <w:r>
        <w:rPr>
          <w:rFonts w:hint="eastAsia"/>
          <w:sz w:val="24"/>
          <w:szCs w:val="24"/>
          <w:lang w:val="en-US" w:eastAsia="zh-CN"/>
        </w:rPr>
        <w:t>Excel文件格式打开查看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spacing w:line="360" w:lineRule="auto"/>
        <w:ind w:firstLine="420" w:firstLineChars="200"/>
        <w:rPr>
          <w:sz w:val="24"/>
          <w:szCs w:val="24"/>
          <w:u w:val="single"/>
        </w:rPr>
      </w:pPr>
      <w:r>
        <w:drawing>
          <wp:inline distT="0" distB="0" distL="114300" distR="114300">
            <wp:extent cx="371475" cy="333375"/>
            <wp:effectExtent l="0" t="0" r="9525" b="9525"/>
            <wp:docPr id="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t>注意：</w:t>
      </w:r>
      <w:r>
        <w:rPr>
          <w:rFonts w:hint="eastAsia"/>
          <w:sz w:val="24"/>
          <w:szCs w:val="24"/>
          <w:u w:val="single"/>
          <w:lang w:eastAsia="zh-CN"/>
        </w:rPr>
        <w:t>仪常见的报警故障信息见第一部份安装维护的（</w:t>
      </w:r>
      <w:r>
        <w:rPr>
          <w:rFonts w:hint="eastAsia"/>
          <w:sz w:val="24"/>
          <w:szCs w:val="24"/>
          <w:u w:val="single"/>
          <w:lang w:val="en-US" w:eastAsia="zh-CN"/>
        </w:rPr>
        <w:t>5故障与处理</w:t>
      </w:r>
      <w:r>
        <w:rPr>
          <w:rFonts w:hint="eastAsia"/>
          <w:sz w:val="24"/>
          <w:szCs w:val="24"/>
          <w:u w:val="single"/>
          <w:lang w:eastAsia="zh-CN"/>
        </w:rPr>
        <w:t>）内容，请按故障处理解决方法执行，若不懂请及时拨打仪器售后服务电话处理</w:t>
      </w:r>
      <w:r>
        <w:rPr>
          <w:rFonts w:hint="eastAsia"/>
          <w:sz w:val="24"/>
          <w:szCs w:val="24"/>
          <w:u w:val="single"/>
        </w:rPr>
        <w:t>。</w:t>
      </w:r>
    </w:p>
    <w:p>
      <w:pPr>
        <w:pStyle w:val="41"/>
        <w:numPr>
          <w:ilvl w:val="0"/>
          <w:numId w:val="0"/>
        </w:numPr>
        <w:spacing w:line="360" w:lineRule="auto"/>
        <w:ind w:left="480" w:leftChars="0"/>
        <w:jc w:val="left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ind w:firstLine="420" w:firstLineChars="200"/>
        <w:rPr>
          <w:sz w:val="24"/>
          <w:szCs w:val="24"/>
          <w:u w:val="single"/>
        </w:rPr>
      </w:pPr>
      <w:r>
        <w:drawing>
          <wp:inline distT="0" distB="0" distL="114300" distR="114300">
            <wp:extent cx="371475" cy="333375"/>
            <wp:effectExtent l="0" t="0" r="9525" b="9525"/>
            <wp:docPr id="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t>注意：</w:t>
      </w:r>
      <w:r>
        <w:rPr>
          <w:rFonts w:hint="eastAsia"/>
          <w:sz w:val="24"/>
          <w:szCs w:val="24"/>
          <w:u w:val="single"/>
          <w:lang w:eastAsia="zh-CN"/>
        </w:rPr>
        <w:t>仪器产生新的报警后会发出间断报警的蜂鸣声，请点右下角</w:t>
      </w:r>
      <w:r>
        <w:drawing>
          <wp:inline distT="0" distB="0" distL="114300" distR="114300">
            <wp:extent cx="332105" cy="316865"/>
            <wp:effectExtent l="0" t="0" r="10795" b="6985"/>
            <wp:docPr id="9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u w:val="single"/>
          <w:lang w:eastAsia="zh-CN"/>
        </w:rPr>
        <w:t>图标进行消音</w:t>
      </w:r>
      <w:r>
        <w:rPr>
          <w:rFonts w:hint="eastAsia"/>
          <w:sz w:val="24"/>
          <w:szCs w:val="24"/>
          <w:u w:val="single"/>
          <w:lang w:val="en-US" w:eastAsia="zh-CN"/>
        </w:rPr>
        <w:t>操作</w:t>
      </w:r>
      <w:r>
        <w:rPr>
          <w:rFonts w:hint="eastAsia"/>
          <w:sz w:val="24"/>
          <w:szCs w:val="24"/>
          <w:u w:val="single"/>
        </w:rPr>
        <w:t>。</w:t>
      </w:r>
    </w:p>
    <w:p>
      <w:pPr>
        <w:pStyle w:val="3"/>
        <w:bidi w:val="0"/>
        <w:ind w:left="576" w:leftChars="0" w:hanging="576" w:firstLineChars="0"/>
        <w:rPr>
          <w:rFonts w:hint="eastAsia"/>
          <w:sz w:val="28"/>
          <w:szCs w:val="28"/>
          <w:lang w:eastAsia="zh-CN"/>
        </w:rPr>
      </w:pPr>
      <w:bookmarkStart w:id="31" w:name="_Toc25139"/>
      <w:r>
        <w:rPr>
          <w:rFonts w:hint="eastAsia"/>
          <w:sz w:val="28"/>
          <w:szCs w:val="28"/>
          <w:lang w:eastAsia="zh-CN"/>
        </w:rPr>
        <w:t>操作日志</w:t>
      </w:r>
      <w:bookmarkEnd w:id="31"/>
    </w:p>
    <w:p>
      <w:pPr>
        <w:pStyle w:val="41"/>
        <w:numPr>
          <w:ilvl w:val="0"/>
          <w:numId w:val="3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选择“操作日志”按钮打开操作日志记录信息查看界面（如图</w:t>
      </w:r>
      <w:r>
        <w:rPr>
          <w:rFonts w:hint="eastAsia"/>
          <w:sz w:val="24"/>
          <w:szCs w:val="24"/>
          <w:lang w:val="en-US" w:eastAsia="zh-CN"/>
        </w:rPr>
        <w:t>42</w:t>
      </w:r>
      <w:r>
        <w:rPr>
          <w:rFonts w:hint="eastAsia"/>
          <w:sz w:val="24"/>
          <w:szCs w:val="24"/>
        </w:rPr>
        <w:t>）。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153025" cy="3096260"/>
            <wp:effectExtent l="0" t="0" r="9525" b="8890"/>
            <wp:docPr id="8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5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42</w:t>
      </w:r>
      <w:r>
        <w:rPr>
          <w:rFonts w:hint="eastAsia"/>
          <w:sz w:val="24"/>
          <w:szCs w:val="24"/>
        </w:rPr>
        <w:t xml:space="preserve"> 操作日志记录信息察看界面</w:t>
      </w:r>
    </w:p>
    <w:p>
      <w:pPr>
        <w:pStyle w:val="3"/>
        <w:bidi w:val="0"/>
        <w:ind w:left="576" w:leftChars="0" w:hanging="576" w:firstLineChars="0"/>
        <w:rPr>
          <w:rFonts w:hint="eastAsia"/>
          <w:sz w:val="28"/>
          <w:szCs w:val="28"/>
          <w:lang w:eastAsia="zh-CN"/>
        </w:rPr>
      </w:pPr>
      <w:bookmarkStart w:id="32" w:name="_Toc30333"/>
      <w:r>
        <w:rPr>
          <w:rFonts w:hint="eastAsia"/>
          <w:sz w:val="28"/>
          <w:szCs w:val="28"/>
          <w:lang w:eastAsia="zh-CN"/>
        </w:rPr>
        <w:t>运行日志</w:t>
      </w:r>
      <w:bookmarkEnd w:id="32"/>
    </w:p>
    <w:p>
      <w:pPr>
        <w:pStyle w:val="41"/>
        <w:numPr>
          <w:ilvl w:val="0"/>
          <w:numId w:val="3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选择“运行日志”按钮打开运行日志记录信息查看界面（如图</w:t>
      </w:r>
      <w:r>
        <w:rPr>
          <w:rFonts w:hint="eastAsia"/>
          <w:sz w:val="24"/>
          <w:szCs w:val="24"/>
          <w:lang w:val="en-US" w:eastAsia="zh-CN"/>
        </w:rPr>
        <w:t>43</w:t>
      </w:r>
      <w:r>
        <w:rPr>
          <w:rFonts w:hint="eastAsia"/>
          <w:sz w:val="24"/>
          <w:szCs w:val="24"/>
        </w:rPr>
        <w:t>）。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153025" cy="3096260"/>
            <wp:effectExtent l="0" t="0" r="9525" b="8890"/>
            <wp:docPr id="8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43</w:t>
      </w:r>
      <w:r>
        <w:rPr>
          <w:rFonts w:hint="eastAsia"/>
          <w:sz w:val="24"/>
          <w:szCs w:val="24"/>
        </w:rPr>
        <w:t xml:space="preserve"> 运行日志记录信息察看界面</w:t>
      </w:r>
    </w:p>
    <w:p>
      <w:pPr>
        <w:spacing w:line="360" w:lineRule="auto"/>
        <w:jc w:val="center"/>
        <w:rPr>
          <w:rFonts w:hint="eastAsia"/>
          <w:sz w:val="24"/>
          <w:szCs w:val="24"/>
        </w:rPr>
        <w:sectPr>
          <w:pgSz w:w="11906" w:h="16838"/>
          <w:pgMar w:top="1134" w:right="1134" w:bottom="1134" w:left="1134" w:header="851" w:footer="992" w:gutter="0"/>
          <w:cols w:space="0" w:num="1"/>
          <w:rtlGutter w:val="0"/>
          <w:docGrid w:type="lines" w:linePitch="312" w:charSpace="0"/>
        </w:sectPr>
      </w:pPr>
    </w:p>
    <w:p>
      <w:pPr>
        <w:pStyle w:val="2"/>
      </w:pPr>
      <w:bookmarkStart w:id="33" w:name="_Toc22057"/>
      <w:r>
        <w:rPr>
          <w:rFonts w:hint="eastAsia"/>
        </w:rPr>
        <w:t>紧急停止</w:t>
      </w:r>
      <w:bookmarkEnd w:id="33"/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任何时候在界面上按下</w:t>
      </w:r>
      <w:r>
        <w:object>
          <v:shape id="_x0000_i1039" o:spt="75" type="#_x0000_t75" style="height:23.25pt;width:23.2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PBrush" ShapeID="_x0000_i1039" DrawAspect="Content" ObjectID="_1468075739" r:id="rId84">
            <o:LockedField>false</o:LockedField>
          </o:OLEObject>
        </w:object>
      </w:r>
      <w:r>
        <w:rPr>
          <w:rFonts w:hint="eastAsia"/>
          <w:sz w:val="24"/>
          <w:szCs w:val="24"/>
        </w:rPr>
        <w:t xml:space="preserve"> “紧急停止”按钮，系统将停止所有的操作。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</w:p>
    <w:p>
      <w:pPr>
        <w:spacing w:line="360" w:lineRule="auto"/>
        <w:ind w:firstLine="420" w:firstLineChars="200"/>
        <w:rPr>
          <w:rFonts w:hint="eastAsia"/>
          <w:sz w:val="24"/>
          <w:szCs w:val="24"/>
          <w:u w:val="single"/>
        </w:rPr>
      </w:pPr>
      <w:r>
        <w:drawing>
          <wp:inline distT="0" distB="0" distL="114300" distR="114300">
            <wp:extent cx="371475" cy="333375"/>
            <wp:effectExtent l="0" t="0" r="9525" b="9525"/>
            <wp:docPr id="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u w:val="single"/>
          <w:lang w:eastAsia="zh-CN"/>
        </w:rPr>
        <w:t>注意：在测量和标定状态时，触摸屏界面会锁定不能进行任何操作，只能按下“紧急停止”后才行</w:t>
      </w:r>
      <w:r>
        <w:rPr>
          <w:rFonts w:hint="eastAsia"/>
          <w:sz w:val="24"/>
          <w:szCs w:val="24"/>
          <w:u w:val="single"/>
        </w:rPr>
        <w:t>。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  <w:u w:val="none"/>
        </w:rPr>
      </w:pPr>
    </w:p>
    <w:p>
      <w:pPr>
        <w:spacing w:line="360" w:lineRule="auto"/>
        <w:ind w:firstLine="420" w:firstLineChars="200"/>
        <w:rPr>
          <w:sz w:val="24"/>
          <w:szCs w:val="24"/>
        </w:rPr>
      </w:pPr>
      <w:r>
        <w:drawing>
          <wp:inline distT="0" distB="0" distL="114300" distR="114300">
            <wp:extent cx="371475" cy="333375"/>
            <wp:effectExtent l="0" t="0" r="9525" b="952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u w:val="single"/>
          <w:lang w:eastAsia="zh-CN"/>
        </w:rPr>
        <w:t>危险！在消解加热过程中，按下“紧急停止”后，若需要立即维护，必须手动开风扇运行降温，温度低于</w:t>
      </w:r>
      <w:r>
        <w:rPr>
          <w:rFonts w:hint="eastAsia"/>
          <w:sz w:val="24"/>
          <w:szCs w:val="24"/>
          <w:u w:val="single"/>
          <w:lang w:val="en-US" w:eastAsia="zh-CN"/>
        </w:rPr>
        <w:t>50℃后维修人员才可以进行其他操作</w:t>
      </w:r>
      <w:r>
        <w:rPr>
          <w:rFonts w:hint="eastAsia"/>
          <w:sz w:val="24"/>
          <w:szCs w:val="24"/>
          <w:u w:val="single"/>
        </w:rPr>
        <w:t>。</w:t>
      </w:r>
    </w:p>
    <w:p>
      <w:pPr>
        <w:rPr>
          <w:rFonts w:hint="eastAsia"/>
        </w:rPr>
        <w:sectPr>
          <w:pgSz w:w="11906" w:h="16838"/>
          <w:pgMar w:top="1134" w:right="1134" w:bottom="1134" w:left="1134" w:header="851" w:footer="992" w:gutter="0"/>
          <w:cols w:space="0" w:num="1"/>
          <w:rtlGutter w:val="0"/>
          <w:docGrid w:type="lines" w:linePitch="312" w:charSpace="0"/>
        </w:sectPr>
      </w:pPr>
    </w:p>
    <w:p/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</w:p>
    <w:p>
      <w:pPr>
        <w:spacing w:line="360" w:lineRule="auto"/>
        <w:ind w:firstLine="48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1249045" cy="781685"/>
            <wp:effectExtent l="0" t="0" r="8255" b="18415"/>
            <wp:docPr id="6" name="图片 6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无标题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</w:p>
    <w:p>
      <w:pPr>
        <w:spacing w:line="360" w:lineRule="auto"/>
        <w:rPr>
          <w:rFonts w:hint="eastAsia"/>
          <w:sz w:val="24"/>
          <w:szCs w:val="24"/>
        </w:rPr>
      </w:pPr>
    </w:p>
    <w:p>
      <w:pPr>
        <w:spacing w:line="360" w:lineRule="auto"/>
        <w:rPr>
          <w:rFonts w:hint="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</w:p>
    <w:p>
      <w:pPr>
        <w:spacing w:line="360" w:lineRule="auto"/>
        <w:rPr>
          <w:rFonts w:hint="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3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重庆耐德自动化技术有限公司</w:t>
      </w:r>
    </w:p>
    <w:p>
      <w:pPr>
        <w:keepNext w:val="0"/>
        <w:keepLines w:val="0"/>
        <w:pageBreakBefore w:val="0"/>
        <w:widowControl/>
        <w:numPr>
          <w:ilvl w:val="3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default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124460</wp:posOffset>
            </wp:positionV>
            <wp:extent cx="1038225" cy="1038225"/>
            <wp:effectExtent l="0" t="0" r="9525" b="9525"/>
            <wp:wrapSquare wrapText="bothSides"/>
            <wp:docPr id="12" name="图片 12" descr="微信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二维码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CHONGQING ENDURANCE AUTOMATION SOLUTIONS CO.,LTD.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电话：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400-777-1970                                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传真：023-67706074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地址：重庆市北部新区杨柳路6号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      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 w:firstLineChars="0"/>
        <w:jc w:val="left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网址：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fldChar w:fldCharType="begin"/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instrText xml:space="preserve"> HYPERLINK "http://www.naideceas.com/" </w:instrTex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fldChar w:fldCharType="separate"/>
      </w:r>
      <w:r>
        <w:rPr>
          <w:rStyle w:val="27"/>
          <w:rFonts w:hint="eastAsia" w:asciiTheme="minorEastAsia" w:hAnsiTheme="minorEastAsia" w:cstheme="minorEastAsia"/>
          <w:sz w:val="24"/>
          <w:szCs w:val="24"/>
          <w:lang w:eastAsia="zh-CN"/>
        </w:rPr>
        <w:t>http://www.naideceas.com/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                   微信公众号</w:t>
      </w:r>
    </w:p>
    <w:p>
      <w:pPr>
        <w:spacing w:line="360" w:lineRule="auto"/>
        <w:rPr>
          <w:rFonts w:hint="eastAsia"/>
          <w:sz w:val="24"/>
          <w:szCs w:val="24"/>
        </w:rPr>
      </w:pPr>
    </w:p>
    <w:sectPr>
      <w:headerReference r:id="rId5" w:type="default"/>
      <w:footerReference r:id="rId6" w:type="default"/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50395305"/>
    </w:sdtPr>
    <w:sdtContent>
      <w:p>
        <w:pPr>
          <w:jc w:val="center"/>
        </w:pPr>
        <w:r>
          <w:rPr>
            <w:lang w:val="zh-CN"/>
          </w:rPr>
          <w:t xml:space="preserve">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>
          <w:t>24</w:t>
        </w:r>
        <w:r>
          <w:fldChar w:fldCharType="end"/>
        </w:r>
        <w:r>
          <w:rPr>
            <w:lang w:val="zh-CN"/>
          </w:rPr>
          <w:t xml:space="preserve"> / </w:t>
        </w:r>
        <w:r>
          <w:fldChar w:fldCharType="begin"/>
        </w:r>
        <w:r>
          <w:instrText xml:space="preserve"> NUMPAGES  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50395305"/>
    </w:sdtPr>
    <w:sdtContent>
      <w:p>
        <w:pPr>
          <w:jc w:val="center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both"/>
    </w:pPr>
    <w:r>
      <w:rPr>
        <w:rFonts w:hint="eastAsia"/>
        <w:b/>
        <w:sz w:val="21"/>
        <w:szCs w:val="21"/>
        <w:u w:val="single"/>
      </w:rPr>
      <w:drawing>
        <wp:inline distT="0" distB="0" distL="114300" distR="114300">
          <wp:extent cx="567055" cy="377825"/>
          <wp:effectExtent l="0" t="0" r="4445" b="3175"/>
          <wp:docPr id="17" name="图片 1" descr="耐德自动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" descr="耐德自动化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705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b/>
        <w:sz w:val="21"/>
        <w:szCs w:val="21"/>
        <w:u w:val="single"/>
      </w:rPr>
      <w:t xml:space="preserve">                         </w:t>
    </w:r>
    <w:r>
      <w:rPr>
        <w:rFonts w:hint="eastAsia"/>
        <w:b/>
        <w:sz w:val="21"/>
        <w:szCs w:val="21"/>
        <w:u w:val="single"/>
        <w:lang w:val="en-US" w:eastAsia="zh-CN"/>
      </w:rPr>
      <w:t xml:space="preserve">             </w:t>
    </w:r>
    <w:r>
      <w:rPr>
        <w:rFonts w:hint="eastAsia"/>
        <w:b/>
        <w:sz w:val="21"/>
        <w:szCs w:val="21"/>
        <w:u w:val="single"/>
      </w:rPr>
      <w:t xml:space="preserve"> </w:t>
    </w:r>
    <w:r>
      <w:rPr>
        <w:rFonts w:hint="eastAsia"/>
        <w:sz w:val="24"/>
        <w:szCs w:val="24"/>
        <w:u w:val="single"/>
        <w:lang w:eastAsia="zh-CN"/>
      </w:rPr>
      <w:t>NIPm-3000-CODcr</w:t>
    </w:r>
    <w:r>
      <w:rPr>
        <w:rFonts w:hint="eastAsia"/>
        <w:sz w:val="24"/>
        <w:szCs w:val="24"/>
        <w:u w:val="single"/>
      </w:rPr>
      <w:t>水质</w:t>
    </w:r>
    <w:r>
      <w:rPr>
        <w:rFonts w:hint="eastAsia"/>
        <w:sz w:val="24"/>
        <w:szCs w:val="24"/>
        <w:u w:val="single"/>
        <w:lang w:eastAsia="zh-CN"/>
      </w:rPr>
      <w:t>分析</w:t>
    </w:r>
    <w:r>
      <w:rPr>
        <w:rFonts w:hint="eastAsia"/>
        <w:sz w:val="24"/>
        <w:szCs w:val="24"/>
        <w:u w:val="single"/>
      </w:rPr>
      <w:t>仪</w:t>
    </w:r>
    <w:r>
      <w:rPr>
        <w:rFonts w:hint="eastAsia"/>
        <w:b/>
        <w:sz w:val="21"/>
        <w:szCs w:val="21"/>
        <w:u w:val="single"/>
      </w:rPr>
      <w:t>安装使用说明书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25BB98"/>
    <w:multiLevelType w:val="singleLevel"/>
    <w:tmpl w:val="A725BB9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15DF49AB"/>
    <w:multiLevelType w:val="singleLevel"/>
    <w:tmpl w:val="15DF49A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19F04CD4"/>
    <w:multiLevelType w:val="multilevel"/>
    <w:tmpl w:val="19F04CD4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3">
    <w:nsid w:val="2F5A0A0A"/>
    <w:multiLevelType w:val="singleLevel"/>
    <w:tmpl w:val="2F5A0A0A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300D2947"/>
    <w:multiLevelType w:val="multilevel"/>
    <w:tmpl w:val="300D2947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">
    <w:nsid w:val="3CBE0C22"/>
    <w:multiLevelType w:val="multilevel"/>
    <w:tmpl w:val="3CBE0C22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3AB"/>
    <w:rsid w:val="00006B45"/>
    <w:rsid w:val="0000786B"/>
    <w:rsid w:val="00017150"/>
    <w:rsid w:val="00021D8D"/>
    <w:rsid w:val="000236D7"/>
    <w:rsid w:val="00033084"/>
    <w:rsid w:val="00034DA6"/>
    <w:rsid w:val="00040D76"/>
    <w:rsid w:val="00042CD5"/>
    <w:rsid w:val="000445B9"/>
    <w:rsid w:val="000501B7"/>
    <w:rsid w:val="00050D84"/>
    <w:rsid w:val="00054A0E"/>
    <w:rsid w:val="00074958"/>
    <w:rsid w:val="000769FF"/>
    <w:rsid w:val="000830DF"/>
    <w:rsid w:val="00085EC0"/>
    <w:rsid w:val="00095900"/>
    <w:rsid w:val="000A472C"/>
    <w:rsid w:val="000A7878"/>
    <w:rsid w:val="000B09A6"/>
    <w:rsid w:val="000B0AB5"/>
    <w:rsid w:val="000B4873"/>
    <w:rsid w:val="000C3636"/>
    <w:rsid w:val="000C7339"/>
    <w:rsid w:val="000D24F5"/>
    <w:rsid w:val="000D4550"/>
    <w:rsid w:val="000E7DEE"/>
    <w:rsid w:val="000E7EFB"/>
    <w:rsid w:val="000F3CF6"/>
    <w:rsid w:val="000F411D"/>
    <w:rsid w:val="000F7AFD"/>
    <w:rsid w:val="001102DC"/>
    <w:rsid w:val="00112B25"/>
    <w:rsid w:val="00113790"/>
    <w:rsid w:val="00117C3E"/>
    <w:rsid w:val="00124E98"/>
    <w:rsid w:val="0013278B"/>
    <w:rsid w:val="00141839"/>
    <w:rsid w:val="001634F4"/>
    <w:rsid w:val="0016767A"/>
    <w:rsid w:val="0019529F"/>
    <w:rsid w:val="00197BAE"/>
    <w:rsid w:val="001A2B48"/>
    <w:rsid w:val="001C7D35"/>
    <w:rsid w:val="001D0311"/>
    <w:rsid w:val="001D1FF3"/>
    <w:rsid w:val="001D3DB5"/>
    <w:rsid w:val="001D53BA"/>
    <w:rsid w:val="001E1F2F"/>
    <w:rsid w:val="001E4A4D"/>
    <w:rsid w:val="001F33C9"/>
    <w:rsid w:val="001F3476"/>
    <w:rsid w:val="001F4602"/>
    <w:rsid w:val="00217627"/>
    <w:rsid w:val="00221EA0"/>
    <w:rsid w:val="002506B2"/>
    <w:rsid w:val="00253E7F"/>
    <w:rsid w:val="00263153"/>
    <w:rsid w:val="00263A71"/>
    <w:rsid w:val="00271475"/>
    <w:rsid w:val="00275CD1"/>
    <w:rsid w:val="00275F95"/>
    <w:rsid w:val="002843F0"/>
    <w:rsid w:val="00295703"/>
    <w:rsid w:val="002B06B9"/>
    <w:rsid w:val="002B16CE"/>
    <w:rsid w:val="002B3E1A"/>
    <w:rsid w:val="002B7FAB"/>
    <w:rsid w:val="002C5BE8"/>
    <w:rsid w:val="002C71B0"/>
    <w:rsid w:val="002C79FD"/>
    <w:rsid w:val="002D5417"/>
    <w:rsid w:val="002E1597"/>
    <w:rsid w:val="002E3305"/>
    <w:rsid w:val="002E4403"/>
    <w:rsid w:val="002E5C5F"/>
    <w:rsid w:val="002E6879"/>
    <w:rsid w:val="002F19A8"/>
    <w:rsid w:val="002F3457"/>
    <w:rsid w:val="00301D79"/>
    <w:rsid w:val="0030408B"/>
    <w:rsid w:val="0030528A"/>
    <w:rsid w:val="00307E30"/>
    <w:rsid w:val="00312357"/>
    <w:rsid w:val="00313C4B"/>
    <w:rsid w:val="00316594"/>
    <w:rsid w:val="00320AD8"/>
    <w:rsid w:val="00327EA1"/>
    <w:rsid w:val="00330A15"/>
    <w:rsid w:val="003325D6"/>
    <w:rsid w:val="00332F1A"/>
    <w:rsid w:val="00333FF9"/>
    <w:rsid w:val="003375FC"/>
    <w:rsid w:val="0034104C"/>
    <w:rsid w:val="00341181"/>
    <w:rsid w:val="003420CB"/>
    <w:rsid w:val="00351148"/>
    <w:rsid w:val="003512F7"/>
    <w:rsid w:val="003513AB"/>
    <w:rsid w:val="00355130"/>
    <w:rsid w:val="00362FA5"/>
    <w:rsid w:val="00367162"/>
    <w:rsid w:val="0037071A"/>
    <w:rsid w:val="00374108"/>
    <w:rsid w:val="00397D83"/>
    <w:rsid w:val="003A06B8"/>
    <w:rsid w:val="003A3AD6"/>
    <w:rsid w:val="003A43DD"/>
    <w:rsid w:val="003B0A6C"/>
    <w:rsid w:val="003C15A3"/>
    <w:rsid w:val="003C564F"/>
    <w:rsid w:val="003D2DD4"/>
    <w:rsid w:val="003E4B53"/>
    <w:rsid w:val="004001A1"/>
    <w:rsid w:val="004031A8"/>
    <w:rsid w:val="004038C4"/>
    <w:rsid w:val="00413909"/>
    <w:rsid w:val="0042164A"/>
    <w:rsid w:val="00423615"/>
    <w:rsid w:val="00423B35"/>
    <w:rsid w:val="00424088"/>
    <w:rsid w:val="00430AD7"/>
    <w:rsid w:val="00431DD3"/>
    <w:rsid w:val="004400BD"/>
    <w:rsid w:val="00440F76"/>
    <w:rsid w:val="0044183B"/>
    <w:rsid w:val="00442906"/>
    <w:rsid w:val="00443737"/>
    <w:rsid w:val="00451999"/>
    <w:rsid w:val="00452A01"/>
    <w:rsid w:val="004718E7"/>
    <w:rsid w:val="00480211"/>
    <w:rsid w:val="00487B37"/>
    <w:rsid w:val="004928AE"/>
    <w:rsid w:val="0049737D"/>
    <w:rsid w:val="004A1DC4"/>
    <w:rsid w:val="004A3092"/>
    <w:rsid w:val="004A4508"/>
    <w:rsid w:val="004C6324"/>
    <w:rsid w:val="004D241F"/>
    <w:rsid w:val="004D418C"/>
    <w:rsid w:val="004E1FFD"/>
    <w:rsid w:val="004E3C4F"/>
    <w:rsid w:val="004F0E03"/>
    <w:rsid w:val="004F6804"/>
    <w:rsid w:val="005068DD"/>
    <w:rsid w:val="00511000"/>
    <w:rsid w:val="005118F6"/>
    <w:rsid w:val="00523E82"/>
    <w:rsid w:val="005327A4"/>
    <w:rsid w:val="005437C6"/>
    <w:rsid w:val="00561627"/>
    <w:rsid w:val="005647B7"/>
    <w:rsid w:val="00567953"/>
    <w:rsid w:val="00570D67"/>
    <w:rsid w:val="00581C08"/>
    <w:rsid w:val="00581D27"/>
    <w:rsid w:val="00595860"/>
    <w:rsid w:val="005B4CC2"/>
    <w:rsid w:val="005B6D3C"/>
    <w:rsid w:val="005B7E3D"/>
    <w:rsid w:val="005C3A21"/>
    <w:rsid w:val="005C4230"/>
    <w:rsid w:val="005E2BA4"/>
    <w:rsid w:val="005E5B88"/>
    <w:rsid w:val="005E7BE0"/>
    <w:rsid w:val="005F0F5D"/>
    <w:rsid w:val="005F5086"/>
    <w:rsid w:val="00605BF6"/>
    <w:rsid w:val="00635210"/>
    <w:rsid w:val="00643B29"/>
    <w:rsid w:val="00644472"/>
    <w:rsid w:val="00650A98"/>
    <w:rsid w:val="00650B44"/>
    <w:rsid w:val="0065215C"/>
    <w:rsid w:val="0066064D"/>
    <w:rsid w:val="00671362"/>
    <w:rsid w:val="0067168A"/>
    <w:rsid w:val="00683952"/>
    <w:rsid w:val="00693137"/>
    <w:rsid w:val="00696242"/>
    <w:rsid w:val="006969A1"/>
    <w:rsid w:val="006A00EF"/>
    <w:rsid w:val="006A52BE"/>
    <w:rsid w:val="006B04DA"/>
    <w:rsid w:val="006C1A77"/>
    <w:rsid w:val="006C1B3E"/>
    <w:rsid w:val="006D1B33"/>
    <w:rsid w:val="006D335F"/>
    <w:rsid w:val="006D629D"/>
    <w:rsid w:val="006E1BEE"/>
    <w:rsid w:val="006E3C24"/>
    <w:rsid w:val="006E6132"/>
    <w:rsid w:val="006E6563"/>
    <w:rsid w:val="006F295E"/>
    <w:rsid w:val="006F51A6"/>
    <w:rsid w:val="006F6654"/>
    <w:rsid w:val="0070281E"/>
    <w:rsid w:val="00703593"/>
    <w:rsid w:val="007111DB"/>
    <w:rsid w:val="00712703"/>
    <w:rsid w:val="007144A5"/>
    <w:rsid w:val="0072446D"/>
    <w:rsid w:val="00725007"/>
    <w:rsid w:val="007258F0"/>
    <w:rsid w:val="00725ACF"/>
    <w:rsid w:val="00730D6E"/>
    <w:rsid w:val="007313A0"/>
    <w:rsid w:val="00744071"/>
    <w:rsid w:val="00745CE7"/>
    <w:rsid w:val="00751CAD"/>
    <w:rsid w:val="0075416A"/>
    <w:rsid w:val="00760D18"/>
    <w:rsid w:val="00767B1C"/>
    <w:rsid w:val="00782C42"/>
    <w:rsid w:val="0079081A"/>
    <w:rsid w:val="007956F3"/>
    <w:rsid w:val="007A246A"/>
    <w:rsid w:val="007B491E"/>
    <w:rsid w:val="007B727C"/>
    <w:rsid w:val="007C2D49"/>
    <w:rsid w:val="007C3CD5"/>
    <w:rsid w:val="007D6075"/>
    <w:rsid w:val="007D6C7E"/>
    <w:rsid w:val="007E1C52"/>
    <w:rsid w:val="007E3280"/>
    <w:rsid w:val="007F21BF"/>
    <w:rsid w:val="007F2552"/>
    <w:rsid w:val="008015EE"/>
    <w:rsid w:val="00805C58"/>
    <w:rsid w:val="00811024"/>
    <w:rsid w:val="008115B0"/>
    <w:rsid w:val="00816301"/>
    <w:rsid w:val="0082072E"/>
    <w:rsid w:val="00825AA4"/>
    <w:rsid w:val="00827F0F"/>
    <w:rsid w:val="008332D5"/>
    <w:rsid w:val="0083607A"/>
    <w:rsid w:val="00843B08"/>
    <w:rsid w:val="008446CD"/>
    <w:rsid w:val="00846190"/>
    <w:rsid w:val="00847795"/>
    <w:rsid w:val="00852981"/>
    <w:rsid w:val="00852DE3"/>
    <w:rsid w:val="0085676A"/>
    <w:rsid w:val="008629D9"/>
    <w:rsid w:val="00876ED1"/>
    <w:rsid w:val="0088729A"/>
    <w:rsid w:val="00891545"/>
    <w:rsid w:val="00896F9D"/>
    <w:rsid w:val="008B0CF3"/>
    <w:rsid w:val="008B3DCE"/>
    <w:rsid w:val="008C013F"/>
    <w:rsid w:val="008C0215"/>
    <w:rsid w:val="008C183B"/>
    <w:rsid w:val="008C482D"/>
    <w:rsid w:val="008C78AE"/>
    <w:rsid w:val="008C7B92"/>
    <w:rsid w:val="008D0339"/>
    <w:rsid w:val="008D1C22"/>
    <w:rsid w:val="008D712B"/>
    <w:rsid w:val="008E348A"/>
    <w:rsid w:val="008E723A"/>
    <w:rsid w:val="008F250A"/>
    <w:rsid w:val="008F2840"/>
    <w:rsid w:val="008F47D2"/>
    <w:rsid w:val="00902A67"/>
    <w:rsid w:val="00903075"/>
    <w:rsid w:val="009033DB"/>
    <w:rsid w:val="00905910"/>
    <w:rsid w:val="00907EFB"/>
    <w:rsid w:val="00912056"/>
    <w:rsid w:val="009331CD"/>
    <w:rsid w:val="00937FF7"/>
    <w:rsid w:val="00950F9C"/>
    <w:rsid w:val="00951960"/>
    <w:rsid w:val="00957294"/>
    <w:rsid w:val="00992A55"/>
    <w:rsid w:val="0099706C"/>
    <w:rsid w:val="009A5103"/>
    <w:rsid w:val="009A6F06"/>
    <w:rsid w:val="009B40C0"/>
    <w:rsid w:val="009B7170"/>
    <w:rsid w:val="009C256F"/>
    <w:rsid w:val="009C5817"/>
    <w:rsid w:val="009D3C2F"/>
    <w:rsid w:val="009D674F"/>
    <w:rsid w:val="009D6972"/>
    <w:rsid w:val="009D79D8"/>
    <w:rsid w:val="009E0CF4"/>
    <w:rsid w:val="009E53C8"/>
    <w:rsid w:val="00A02241"/>
    <w:rsid w:val="00A04220"/>
    <w:rsid w:val="00A11400"/>
    <w:rsid w:val="00A12360"/>
    <w:rsid w:val="00A14D90"/>
    <w:rsid w:val="00A21968"/>
    <w:rsid w:val="00A22C5E"/>
    <w:rsid w:val="00A328EB"/>
    <w:rsid w:val="00A32F9A"/>
    <w:rsid w:val="00A35157"/>
    <w:rsid w:val="00A35952"/>
    <w:rsid w:val="00A4117B"/>
    <w:rsid w:val="00A51851"/>
    <w:rsid w:val="00A73459"/>
    <w:rsid w:val="00A74A53"/>
    <w:rsid w:val="00A81C75"/>
    <w:rsid w:val="00A93412"/>
    <w:rsid w:val="00AA48F7"/>
    <w:rsid w:val="00AC0472"/>
    <w:rsid w:val="00AC1009"/>
    <w:rsid w:val="00AC7220"/>
    <w:rsid w:val="00AC77E2"/>
    <w:rsid w:val="00AD1CCD"/>
    <w:rsid w:val="00AD7355"/>
    <w:rsid w:val="00AF41EC"/>
    <w:rsid w:val="00B01E4A"/>
    <w:rsid w:val="00B04FA6"/>
    <w:rsid w:val="00B15A1A"/>
    <w:rsid w:val="00B2443A"/>
    <w:rsid w:val="00B403B0"/>
    <w:rsid w:val="00B47EF1"/>
    <w:rsid w:val="00B55344"/>
    <w:rsid w:val="00B568CC"/>
    <w:rsid w:val="00B62D94"/>
    <w:rsid w:val="00B709EB"/>
    <w:rsid w:val="00B80BC1"/>
    <w:rsid w:val="00B819FB"/>
    <w:rsid w:val="00B905C2"/>
    <w:rsid w:val="00B9244B"/>
    <w:rsid w:val="00B93372"/>
    <w:rsid w:val="00B95DA8"/>
    <w:rsid w:val="00BA296F"/>
    <w:rsid w:val="00BA3F46"/>
    <w:rsid w:val="00BB1858"/>
    <w:rsid w:val="00BB2D6D"/>
    <w:rsid w:val="00BB3531"/>
    <w:rsid w:val="00BB5C80"/>
    <w:rsid w:val="00BC1D1A"/>
    <w:rsid w:val="00BC4EEB"/>
    <w:rsid w:val="00BE0C55"/>
    <w:rsid w:val="00BE372A"/>
    <w:rsid w:val="00BE548D"/>
    <w:rsid w:val="00BF1B0B"/>
    <w:rsid w:val="00BF3CD2"/>
    <w:rsid w:val="00BF7BA8"/>
    <w:rsid w:val="00C03AD6"/>
    <w:rsid w:val="00C10EF1"/>
    <w:rsid w:val="00C202BA"/>
    <w:rsid w:val="00C2467F"/>
    <w:rsid w:val="00C3114C"/>
    <w:rsid w:val="00C32D16"/>
    <w:rsid w:val="00C357BD"/>
    <w:rsid w:val="00C378C0"/>
    <w:rsid w:val="00C43021"/>
    <w:rsid w:val="00C50DE5"/>
    <w:rsid w:val="00C54D13"/>
    <w:rsid w:val="00C55CF6"/>
    <w:rsid w:val="00C65ABC"/>
    <w:rsid w:val="00C72962"/>
    <w:rsid w:val="00C74F25"/>
    <w:rsid w:val="00C75E96"/>
    <w:rsid w:val="00C81619"/>
    <w:rsid w:val="00C9067A"/>
    <w:rsid w:val="00C93FBF"/>
    <w:rsid w:val="00C94771"/>
    <w:rsid w:val="00CA1559"/>
    <w:rsid w:val="00CA1CCD"/>
    <w:rsid w:val="00CA2B4A"/>
    <w:rsid w:val="00CA7448"/>
    <w:rsid w:val="00CB2AA8"/>
    <w:rsid w:val="00CB3B8A"/>
    <w:rsid w:val="00CB60C8"/>
    <w:rsid w:val="00CC2ED3"/>
    <w:rsid w:val="00CC30E6"/>
    <w:rsid w:val="00CC3496"/>
    <w:rsid w:val="00CD6F39"/>
    <w:rsid w:val="00CD704F"/>
    <w:rsid w:val="00CE2F5D"/>
    <w:rsid w:val="00CE42EC"/>
    <w:rsid w:val="00CE5CAE"/>
    <w:rsid w:val="00CF0B9A"/>
    <w:rsid w:val="00CF2DBD"/>
    <w:rsid w:val="00CF3B4F"/>
    <w:rsid w:val="00CF4988"/>
    <w:rsid w:val="00CF4A78"/>
    <w:rsid w:val="00D003F5"/>
    <w:rsid w:val="00D22B5A"/>
    <w:rsid w:val="00D234F2"/>
    <w:rsid w:val="00D268E2"/>
    <w:rsid w:val="00D33D39"/>
    <w:rsid w:val="00D37419"/>
    <w:rsid w:val="00D611A9"/>
    <w:rsid w:val="00D63936"/>
    <w:rsid w:val="00D75F6E"/>
    <w:rsid w:val="00D8277E"/>
    <w:rsid w:val="00D83B0F"/>
    <w:rsid w:val="00D843AA"/>
    <w:rsid w:val="00D92ADD"/>
    <w:rsid w:val="00DA0453"/>
    <w:rsid w:val="00DA3244"/>
    <w:rsid w:val="00DA58BF"/>
    <w:rsid w:val="00DA6E3B"/>
    <w:rsid w:val="00DA6EEB"/>
    <w:rsid w:val="00DA790D"/>
    <w:rsid w:val="00DA7EE5"/>
    <w:rsid w:val="00DB21ED"/>
    <w:rsid w:val="00DB22FF"/>
    <w:rsid w:val="00DD10E9"/>
    <w:rsid w:val="00DE0624"/>
    <w:rsid w:val="00DE49BD"/>
    <w:rsid w:val="00DE4CBC"/>
    <w:rsid w:val="00E05CE6"/>
    <w:rsid w:val="00E06E9B"/>
    <w:rsid w:val="00E11F01"/>
    <w:rsid w:val="00E12AC3"/>
    <w:rsid w:val="00E1362E"/>
    <w:rsid w:val="00E15559"/>
    <w:rsid w:val="00E26075"/>
    <w:rsid w:val="00E33993"/>
    <w:rsid w:val="00E3637A"/>
    <w:rsid w:val="00E55A47"/>
    <w:rsid w:val="00E6154B"/>
    <w:rsid w:val="00E854A1"/>
    <w:rsid w:val="00E863C1"/>
    <w:rsid w:val="00E92109"/>
    <w:rsid w:val="00E9449D"/>
    <w:rsid w:val="00E97914"/>
    <w:rsid w:val="00EA36F4"/>
    <w:rsid w:val="00ED44D8"/>
    <w:rsid w:val="00EE2372"/>
    <w:rsid w:val="00EE23ED"/>
    <w:rsid w:val="00EE4E78"/>
    <w:rsid w:val="00EE5933"/>
    <w:rsid w:val="00EF1C92"/>
    <w:rsid w:val="00F05A0D"/>
    <w:rsid w:val="00F0612E"/>
    <w:rsid w:val="00F2330E"/>
    <w:rsid w:val="00F3042A"/>
    <w:rsid w:val="00F40BB7"/>
    <w:rsid w:val="00F50720"/>
    <w:rsid w:val="00F516FD"/>
    <w:rsid w:val="00F56029"/>
    <w:rsid w:val="00F5735F"/>
    <w:rsid w:val="00F67FA4"/>
    <w:rsid w:val="00F75591"/>
    <w:rsid w:val="00F80099"/>
    <w:rsid w:val="00F87FDE"/>
    <w:rsid w:val="00F9112D"/>
    <w:rsid w:val="00FA1658"/>
    <w:rsid w:val="00FB0F0C"/>
    <w:rsid w:val="00FB4865"/>
    <w:rsid w:val="00FB7A37"/>
    <w:rsid w:val="00FC2D82"/>
    <w:rsid w:val="00FF348F"/>
    <w:rsid w:val="012724C4"/>
    <w:rsid w:val="02AF4649"/>
    <w:rsid w:val="02B616D3"/>
    <w:rsid w:val="046F645A"/>
    <w:rsid w:val="04AE107C"/>
    <w:rsid w:val="061874D6"/>
    <w:rsid w:val="08162C4D"/>
    <w:rsid w:val="0BA37536"/>
    <w:rsid w:val="0BB71C33"/>
    <w:rsid w:val="0CD31166"/>
    <w:rsid w:val="0D0F0003"/>
    <w:rsid w:val="0D177B80"/>
    <w:rsid w:val="0DE2275C"/>
    <w:rsid w:val="0E4278B7"/>
    <w:rsid w:val="0E454CE1"/>
    <w:rsid w:val="0EE23267"/>
    <w:rsid w:val="0EE25342"/>
    <w:rsid w:val="0F54677F"/>
    <w:rsid w:val="100C16DF"/>
    <w:rsid w:val="102C57F4"/>
    <w:rsid w:val="103419C5"/>
    <w:rsid w:val="109D12D7"/>
    <w:rsid w:val="10BD6D33"/>
    <w:rsid w:val="11832AAA"/>
    <w:rsid w:val="13283594"/>
    <w:rsid w:val="133B3A16"/>
    <w:rsid w:val="14F16074"/>
    <w:rsid w:val="16224742"/>
    <w:rsid w:val="16293BCF"/>
    <w:rsid w:val="167F6D3C"/>
    <w:rsid w:val="17013344"/>
    <w:rsid w:val="17F46EB6"/>
    <w:rsid w:val="1A26043E"/>
    <w:rsid w:val="1AAF3F2D"/>
    <w:rsid w:val="1ABB40DF"/>
    <w:rsid w:val="1AD72990"/>
    <w:rsid w:val="1B6750F2"/>
    <w:rsid w:val="1C2C33E5"/>
    <w:rsid w:val="1C514AA5"/>
    <w:rsid w:val="1CFF6349"/>
    <w:rsid w:val="1EDF145D"/>
    <w:rsid w:val="20534B32"/>
    <w:rsid w:val="232B749B"/>
    <w:rsid w:val="24094E4E"/>
    <w:rsid w:val="244C2326"/>
    <w:rsid w:val="249A0860"/>
    <w:rsid w:val="25BF1747"/>
    <w:rsid w:val="261110A7"/>
    <w:rsid w:val="29D27CE9"/>
    <w:rsid w:val="29D406EE"/>
    <w:rsid w:val="2A445AE4"/>
    <w:rsid w:val="2B3B7155"/>
    <w:rsid w:val="2B8F4484"/>
    <w:rsid w:val="2BAF12EA"/>
    <w:rsid w:val="2BEB3CD0"/>
    <w:rsid w:val="2C1C0270"/>
    <w:rsid w:val="2D1B78D7"/>
    <w:rsid w:val="2F60479F"/>
    <w:rsid w:val="316653FD"/>
    <w:rsid w:val="318D4621"/>
    <w:rsid w:val="322C136D"/>
    <w:rsid w:val="32726D50"/>
    <w:rsid w:val="34D13387"/>
    <w:rsid w:val="358462C9"/>
    <w:rsid w:val="37165B2F"/>
    <w:rsid w:val="378317CD"/>
    <w:rsid w:val="38267131"/>
    <w:rsid w:val="389C69AB"/>
    <w:rsid w:val="38DB062F"/>
    <w:rsid w:val="38EE48AC"/>
    <w:rsid w:val="39F003D3"/>
    <w:rsid w:val="3B64373D"/>
    <w:rsid w:val="3BEC2D42"/>
    <w:rsid w:val="3D0B0AF5"/>
    <w:rsid w:val="3D7E3472"/>
    <w:rsid w:val="3F2205A2"/>
    <w:rsid w:val="403942A4"/>
    <w:rsid w:val="404F344C"/>
    <w:rsid w:val="4052024F"/>
    <w:rsid w:val="41D672EA"/>
    <w:rsid w:val="43D65BF9"/>
    <w:rsid w:val="451E6193"/>
    <w:rsid w:val="46E837D1"/>
    <w:rsid w:val="477D4EB3"/>
    <w:rsid w:val="480955A9"/>
    <w:rsid w:val="4A0160F0"/>
    <w:rsid w:val="4A136AE1"/>
    <w:rsid w:val="4A8E3FF9"/>
    <w:rsid w:val="4AD2323D"/>
    <w:rsid w:val="4BB11E05"/>
    <w:rsid w:val="4C964358"/>
    <w:rsid w:val="4E8465C5"/>
    <w:rsid w:val="4EA27F48"/>
    <w:rsid w:val="4F6C56EA"/>
    <w:rsid w:val="51C93C2D"/>
    <w:rsid w:val="52075379"/>
    <w:rsid w:val="52F85645"/>
    <w:rsid w:val="54E45BE2"/>
    <w:rsid w:val="5690683B"/>
    <w:rsid w:val="56D945AD"/>
    <w:rsid w:val="57D639C2"/>
    <w:rsid w:val="5B206447"/>
    <w:rsid w:val="5B25662F"/>
    <w:rsid w:val="5B2F698B"/>
    <w:rsid w:val="5C8E12D3"/>
    <w:rsid w:val="5CA44362"/>
    <w:rsid w:val="5D8F0270"/>
    <w:rsid w:val="606671B2"/>
    <w:rsid w:val="611C40BB"/>
    <w:rsid w:val="6145782A"/>
    <w:rsid w:val="616C7FB6"/>
    <w:rsid w:val="624C73A6"/>
    <w:rsid w:val="63833F25"/>
    <w:rsid w:val="64CE0480"/>
    <w:rsid w:val="66D44ECA"/>
    <w:rsid w:val="670523DA"/>
    <w:rsid w:val="67841E50"/>
    <w:rsid w:val="68EC39F7"/>
    <w:rsid w:val="68F2695B"/>
    <w:rsid w:val="6A541D6C"/>
    <w:rsid w:val="6C590DFE"/>
    <w:rsid w:val="6E182119"/>
    <w:rsid w:val="6E221FB5"/>
    <w:rsid w:val="6EED10C3"/>
    <w:rsid w:val="713C3E59"/>
    <w:rsid w:val="72656A0F"/>
    <w:rsid w:val="738513BD"/>
    <w:rsid w:val="74CE3763"/>
    <w:rsid w:val="76423AF0"/>
    <w:rsid w:val="77383330"/>
    <w:rsid w:val="79C25DE5"/>
    <w:rsid w:val="7A071DA8"/>
    <w:rsid w:val="7A09556D"/>
    <w:rsid w:val="7C2C4FFD"/>
    <w:rsid w:val="7E0B7FEE"/>
    <w:rsid w:val="7E797BD1"/>
    <w:rsid w:val="7E8B4697"/>
    <w:rsid w:val="7F2D4934"/>
    <w:rsid w:val="7F6C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3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4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5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6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7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8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39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1260"/>
      <w:jc w:val="left"/>
    </w:pPr>
    <w:rPr>
      <w:rFonts w:cstheme="minorHAnsi"/>
      <w:sz w:val="18"/>
      <w:szCs w:val="18"/>
    </w:rPr>
  </w:style>
  <w:style w:type="paragraph" w:styleId="12">
    <w:name w:val="Document Map"/>
    <w:basedOn w:val="1"/>
    <w:link w:val="31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13">
    <w:name w:val="toc 5"/>
    <w:basedOn w:val="1"/>
    <w:next w:val="1"/>
    <w:unhideWhenUsed/>
    <w:qFormat/>
    <w:uiPriority w:val="39"/>
    <w:pPr>
      <w:ind w:left="840"/>
      <w:jc w:val="left"/>
    </w:pPr>
    <w:rPr>
      <w:rFonts w:cstheme="minorHAnsi"/>
      <w:sz w:val="18"/>
      <w:szCs w:val="18"/>
    </w:rPr>
  </w:style>
  <w:style w:type="paragraph" w:styleId="14">
    <w:name w:val="toc 3"/>
    <w:basedOn w:val="1"/>
    <w:next w:val="1"/>
    <w:unhideWhenUsed/>
    <w:qFormat/>
    <w:uiPriority w:val="39"/>
    <w:pPr>
      <w:ind w:left="420"/>
      <w:jc w:val="left"/>
    </w:pPr>
    <w:rPr>
      <w:rFonts w:cstheme="minorHAnsi"/>
      <w:i/>
      <w:iCs/>
      <w:sz w:val="20"/>
      <w:szCs w:val="20"/>
    </w:rPr>
  </w:style>
  <w:style w:type="paragraph" w:styleId="15">
    <w:name w:val="toc 8"/>
    <w:basedOn w:val="1"/>
    <w:next w:val="1"/>
    <w:unhideWhenUsed/>
    <w:qFormat/>
    <w:uiPriority w:val="39"/>
    <w:pPr>
      <w:ind w:left="1470"/>
      <w:jc w:val="left"/>
    </w:pPr>
    <w:rPr>
      <w:rFonts w:cstheme="minorHAnsi"/>
      <w:sz w:val="18"/>
      <w:szCs w:val="18"/>
    </w:rPr>
  </w:style>
  <w:style w:type="paragraph" w:styleId="16">
    <w:name w:val="Balloon Text"/>
    <w:basedOn w:val="1"/>
    <w:link w:val="40"/>
    <w:semiHidden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2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2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cstheme="minorHAnsi"/>
      <w:b/>
      <w:bCs/>
      <w:caps/>
      <w:sz w:val="20"/>
      <w:szCs w:val="20"/>
    </w:rPr>
  </w:style>
  <w:style w:type="paragraph" w:styleId="20">
    <w:name w:val="toc 4"/>
    <w:basedOn w:val="1"/>
    <w:next w:val="1"/>
    <w:unhideWhenUsed/>
    <w:qFormat/>
    <w:uiPriority w:val="39"/>
    <w:pPr>
      <w:ind w:left="630"/>
      <w:jc w:val="left"/>
    </w:pPr>
    <w:rPr>
      <w:rFonts w:cstheme="minorHAnsi"/>
      <w:sz w:val="18"/>
      <w:szCs w:val="18"/>
    </w:rPr>
  </w:style>
  <w:style w:type="paragraph" w:styleId="21">
    <w:name w:val="toc 6"/>
    <w:basedOn w:val="1"/>
    <w:next w:val="1"/>
    <w:unhideWhenUsed/>
    <w:qFormat/>
    <w:uiPriority w:val="39"/>
    <w:pPr>
      <w:ind w:left="1050"/>
      <w:jc w:val="left"/>
    </w:pPr>
    <w:rPr>
      <w:rFonts w:cstheme="minorHAnsi"/>
      <w:sz w:val="18"/>
      <w:szCs w:val="18"/>
    </w:rPr>
  </w:style>
  <w:style w:type="paragraph" w:styleId="22">
    <w:name w:val="toc 2"/>
    <w:basedOn w:val="1"/>
    <w:next w:val="1"/>
    <w:unhideWhenUsed/>
    <w:qFormat/>
    <w:uiPriority w:val="39"/>
    <w:pPr>
      <w:ind w:left="210"/>
      <w:jc w:val="left"/>
    </w:pPr>
    <w:rPr>
      <w:rFonts w:cstheme="minorHAnsi"/>
      <w:smallCaps/>
      <w:sz w:val="20"/>
      <w:szCs w:val="20"/>
    </w:rPr>
  </w:style>
  <w:style w:type="paragraph" w:styleId="23">
    <w:name w:val="toc 9"/>
    <w:basedOn w:val="1"/>
    <w:next w:val="1"/>
    <w:unhideWhenUsed/>
    <w:qFormat/>
    <w:uiPriority w:val="39"/>
    <w:pPr>
      <w:ind w:left="1680"/>
      <w:jc w:val="left"/>
    </w:pPr>
    <w:rPr>
      <w:rFonts w:cstheme="minorHAnsi"/>
      <w:sz w:val="18"/>
      <w:szCs w:val="18"/>
    </w:rPr>
  </w:style>
  <w:style w:type="table" w:styleId="25">
    <w:name w:val="Table Grid"/>
    <w:basedOn w:val="2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7">
    <w:name w:val="Hyperlink"/>
    <w:basedOn w:val="2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8">
    <w:name w:val="页眉 Char"/>
    <w:basedOn w:val="26"/>
    <w:link w:val="18"/>
    <w:semiHidden/>
    <w:qFormat/>
    <w:uiPriority w:val="99"/>
    <w:rPr>
      <w:sz w:val="18"/>
      <w:szCs w:val="18"/>
    </w:rPr>
  </w:style>
  <w:style w:type="character" w:customStyle="1" w:styleId="29">
    <w:name w:val="页脚 Char"/>
    <w:basedOn w:val="26"/>
    <w:link w:val="17"/>
    <w:semiHidden/>
    <w:qFormat/>
    <w:uiPriority w:val="99"/>
    <w:rPr>
      <w:sz w:val="18"/>
      <w:szCs w:val="18"/>
    </w:rPr>
  </w:style>
  <w:style w:type="character" w:customStyle="1" w:styleId="30">
    <w:name w:val="标题 1 Char"/>
    <w:basedOn w:val="2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31">
    <w:name w:val="文档结构图 Char"/>
    <w:basedOn w:val="26"/>
    <w:link w:val="12"/>
    <w:semiHidden/>
    <w:qFormat/>
    <w:uiPriority w:val="99"/>
    <w:rPr>
      <w:rFonts w:ascii="宋体" w:eastAsia="宋体"/>
      <w:sz w:val="18"/>
      <w:szCs w:val="18"/>
    </w:rPr>
  </w:style>
  <w:style w:type="character" w:customStyle="1" w:styleId="32">
    <w:name w:val="标题 2 Char"/>
    <w:basedOn w:val="2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3">
    <w:name w:val="标题 3 Char"/>
    <w:basedOn w:val="26"/>
    <w:link w:val="4"/>
    <w:qFormat/>
    <w:uiPriority w:val="9"/>
    <w:rPr>
      <w:b/>
      <w:bCs/>
      <w:sz w:val="32"/>
      <w:szCs w:val="32"/>
    </w:rPr>
  </w:style>
  <w:style w:type="character" w:customStyle="1" w:styleId="34">
    <w:name w:val="标题 4 Char"/>
    <w:basedOn w:val="2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5">
    <w:name w:val="标题 5 Char"/>
    <w:basedOn w:val="26"/>
    <w:link w:val="6"/>
    <w:semiHidden/>
    <w:qFormat/>
    <w:uiPriority w:val="9"/>
    <w:rPr>
      <w:b/>
      <w:bCs/>
      <w:sz w:val="28"/>
      <w:szCs w:val="28"/>
    </w:rPr>
  </w:style>
  <w:style w:type="character" w:customStyle="1" w:styleId="36">
    <w:name w:val="标题 6 Char"/>
    <w:basedOn w:val="26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7">
    <w:name w:val="标题 7 Char"/>
    <w:basedOn w:val="26"/>
    <w:link w:val="8"/>
    <w:semiHidden/>
    <w:qFormat/>
    <w:uiPriority w:val="9"/>
    <w:rPr>
      <w:b/>
      <w:bCs/>
      <w:sz w:val="24"/>
      <w:szCs w:val="24"/>
    </w:rPr>
  </w:style>
  <w:style w:type="character" w:customStyle="1" w:styleId="38">
    <w:name w:val="标题 8 Char"/>
    <w:basedOn w:val="26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9">
    <w:name w:val="标题 9 Char"/>
    <w:basedOn w:val="26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40">
    <w:name w:val="批注框文本 Char"/>
    <w:basedOn w:val="26"/>
    <w:link w:val="16"/>
    <w:semiHidden/>
    <w:qFormat/>
    <w:uiPriority w:val="99"/>
    <w:rPr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1" Type="http://schemas.openxmlformats.org/officeDocument/2006/relationships/fontTable" Target="fontTable.xml"/><Relationship Id="rId90" Type="http://schemas.openxmlformats.org/officeDocument/2006/relationships/customXml" Target="../customXml/item2.xml"/><Relationship Id="rId9" Type="http://schemas.openxmlformats.org/officeDocument/2006/relationships/image" Target="media/image3.png"/><Relationship Id="rId89" Type="http://schemas.openxmlformats.org/officeDocument/2006/relationships/numbering" Target="numbering.xml"/><Relationship Id="rId88" Type="http://schemas.openxmlformats.org/officeDocument/2006/relationships/customXml" Target="../customXml/item1.xml"/><Relationship Id="rId87" Type="http://schemas.openxmlformats.org/officeDocument/2006/relationships/image" Target="media/image66.png"/><Relationship Id="rId86" Type="http://schemas.openxmlformats.org/officeDocument/2006/relationships/image" Target="media/image65.png"/><Relationship Id="rId85" Type="http://schemas.openxmlformats.org/officeDocument/2006/relationships/image" Target="media/image64.png"/><Relationship Id="rId84" Type="http://schemas.openxmlformats.org/officeDocument/2006/relationships/oleObject" Target="embeddings/oleObject15.bin"/><Relationship Id="rId83" Type="http://schemas.openxmlformats.org/officeDocument/2006/relationships/image" Target="media/image63.png"/><Relationship Id="rId82" Type="http://schemas.openxmlformats.org/officeDocument/2006/relationships/image" Target="media/image62.png"/><Relationship Id="rId81" Type="http://schemas.openxmlformats.org/officeDocument/2006/relationships/image" Target="media/image61.png"/><Relationship Id="rId80" Type="http://schemas.openxmlformats.org/officeDocument/2006/relationships/image" Target="media/image60.png"/><Relationship Id="rId8" Type="http://schemas.openxmlformats.org/officeDocument/2006/relationships/image" Target="media/image2.png"/><Relationship Id="rId79" Type="http://schemas.openxmlformats.org/officeDocument/2006/relationships/image" Target="media/image59.png"/><Relationship Id="rId78" Type="http://schemas.openxmlformats.org/officeDocument/2006/relationships/oleObject" Target="embeddings/oleObject14.bin"/><Relationship Id="rId77" Type="http://schemas.openxmlformats.org/officeDocument/2006/relationships/image" Target="media/image58.png"/><Relationship Id="rId76" Type="http://schemas.openxmlformats.org/officeDocument/2006/relationships/image" Target="media/image57.png"/><Relationship Id="rId75" Type="http://schemas.openxmlformats.org/officeDocument/2006/relationships/image" Target="media/image56.png"/><Relationship Id="rId74" Type="http://schemas.openxmlformats.org/officeDocument/2006/relationships/image" Target="media/image55.png"/><Relationship Id="rId73" Type="http://schemas.openxmlformats.org/officeDocument/2006/relationships/image" Target="media/image54.png"/><Relationship Id="rId72" Type="http://schemas.openxmlformats.org/officeDocument/2006/relationships/image" Target="media/image53.png"/><Relationship Id="rId71" Type="http://schemas.openxmlformats.org/officeDocument/2006/relationships/image" Target="media/image52.png"/><Relationship Id="rId70" Type="http://schemas.openxmlformats.org/officeDocument/2006/relationships/image" Target="media/image51.png"/><Relationship Id="rId7" Type="http://schemas.openxmlformats.org/officeDocument/2006/relationships/theme" Target="theme/theme1.xml"/><Relationship Id="rId69" Type="http://schemas.openxmlformats.org/officeDocument/2006/relationships/image" Target="media/image50.png"/><Relationship Id="rId68" Type="http://schemas.openxmlformats.org/officeDocument/2006/relationships/image" Target="media/image49.png"/><Relationship Id="rId67" Type="http://schemas.openxmlformats.org/officeDocument/2006/relationships/image" Target="media/image48.png"/><Relationship Id="rId66" Type="http://schemas.openxmlformats.org/officeDocument/2006/relationships/oleObject" Target="embeddings/oleObject13.bin"/><Relationship Id="rId65" Type="http://schemas.openxmlformats.org/officeDocument/2006/relationships/image" Target="media/image47.png"/><Relationship Id="rId64" Type="http://schemas.openxmlformats.org/officeDocument/2006/relationships/image" Target="media/image46.png"/><Relationship Id="rId63" Type="http://schemas.openxmlformats.org/officeDocument/2006/relationships/image" Target="media/image45.png"/><Relationship Id="rId62" Type="http://schemas.openxmlformats.org/officeDocument/2006/relationships/image" Target="media/image44.png"/><Relationship Id="rId61" Type="http://schemas.openxmlformats.org/officeDocument/2006/relationships/oleObject" Target="embeddings/oleObject12.bin"/><Relationship Id="rId60" Type="http://schemas.openxmlformats.org/officeDocument/2006/relationships/image" Target="media/image43.png"/><Relationship Id="rId6" Type="http://schemas.openxmlformats.org/officeDocument/2006/relationships/footer" Target="footer2.xml"/><Relationship Id="rId59" Type="http://schemas.openxmlformats.org/officeDocument/2006/relationships/image" Target="media/image42.png"/><Relationship Id="rId58" Type="http://schemas.openxmlformats.org/officeDocument/2006/relationships/image" Target="media/image41.png"/><Relationship Id="rId57" Type="http://schemas.openxmlformats.org/officeDocument/2006/relationships/image" Target="media/image40.png"/><Relationship Id="rId56" Type="http://schemas.openxmlformats.org/officeDocument/2006/relationships/image" Target="media/image39.png"/><Relationship Id="rId55" Type="http://schemas.openxmlformats.org/officeDocument/2006/relationships/image" Target="media/image38.png"/><Relationship Id="rId54" Type="http://schemas.openxmlformats.org/officeDocument/2006/relationships/image" Target="media/image37.png"/><Relationship Id="rId53" Type="http://schemas.openxmlformats.org/officeDocument/2006/relationships/image" Target="media/image36.png"/><Relationship Id="rId52" Type="http://schemas.openxmlformats.org/officeDocument/2006/relationships/image" Target="media/image35.png"/><Relationship Id="rId51" Type="http://schemas.openxmlformats.org/officeDocument/2006/relationships/image" Target="media/image34.png"/><Relationship Id="rId50" Type="http://schemas.openxmlformats.org/officeDocument/2006/relationships/oleObject" Target="embeddings/oleObject11.bin"/><Relationship Id="rId5" Type="http://schemas.openxmlformats.org/officeDocument/2006/relationships/header" Target="header2.xml"/><Relationship Id="rId49" Type="http://schemas.openxmlformats.org/officeDocument/2006/relationships/image" Target="media/image33.png"/><Relationship Id="rId48" Type="http://schemas.openxmlformats.org/officeDocument/2006/relationships/image" Target="media/image32.png"/><Relationship Id="rId47" Type="http://schemas.openxmlformats.org/officeDocument/2006/relationships/image" Target="media/image31.png"/><Relationship Id="rId46" Type="http://schemas.openxmlformats.org/officeDocument/2006/relationships/image" Target="media/image30.png"/><Relationship Id="rId45" Type="http://schemas.openxmlformats.org/officeDocument/2006/relationships/image" Target="media/image29.png"/><Relationship Id="rId44" Type="http://schemas.openxmlformats.org/officeDocument/2006/relationships/image" Target="media/image28.png"/><Relationship Id="rId43" Type="http://schemas.openxmlformats.org/officeDocument/2006/relationships/image" Target="media/image27.png"/><Relationship Id="rId42" Type="http://schemas.openxmlformats.org/officeDocument/2006/relationships/image" Target="media/image26.png"/><Relationship Id="rId41" Type="http://schemas.openxmlformats.org/officeDocument/2006/relationships/oleObject" Target="embeddings/oleObject10.bin"/><Relationship Id="rId40" Type="http://schemas.openxmlformats.org/officeDocument/2006/relationships/image" Target="media/image25.png"/><Relationship Id="rId4" Type="http://schemas.openxmlformats.org/officeDocument/2006/relationships/footer" Target="footer1.xml"/><Relationship Id="rId39" Type="http://schemas.openxmlformats.org/officeDocument/2006/relationships/image" Target="media/image24.png"/><Relationship Id="rId38" Type="http://schemas.openxmlformats.org/officeDocument/2006/relationships/image" Target="media/image23.png"/><Relationship Id="rId37" Type="http://schemas.openxmlformats.org/officeDocument/2006/relationships/image" Target="media/image22.png"/><Relationship Id="rId36" Type="http://schemas.openxmlformats.org/officeDocument/2006/relationships/image" Target="media/image21.png"/><Relationship Id="rId35" Type="http://schemas.openxmlformats.org/officeDocument/2006/relationships/image" Target="media/image20.png"/><Relationship Id="rId34" Type="http://schemas.openxmlformats.org/officeDocument/2006/relationships/image" Target="media/image19.png"/><Relationship Id="rId33" Type="http://schemas.openxmlformats.org/officeDocument/2006/relationships/image" Target="media/image18.png"/><Relationship Id="rId32" Type="http://schemas.openxmlformats.org/officeDocument/2006/relationships/image" Target="media/image17.png"/><Relationship Id="rId31" Type="http://schemas.openxmlformats.org/officeDocument/2006/relationships/oleObject" Target="embeddings/oleObject9.bin"/><Relationship Id="rId30" Type="http://schemas.openxmlformats.org/officeDocument/2006/relationships/image" Target="media/image16.png"/><Relationship Id="rId3" Type="http://schemas.openxmlformats.org/officeDocument/2006/relationships/header" Target="header1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oleObject" Target="embeddings/oleObject8.bin"/><Relationship Id="rId23" Type="http://schemas.openxmlformats.org/officeDocument/2006/relationships/image" Target="media/image10.png"/><Relationship Id="rId22" Type="http://schemas.openxmlformats.org/officeDocument/2006/relationships/oleObject" Target="embeddings/oleObject7.bin"/><Relationship Id="rId21" Type="http://schemas.openxmlformats.org/officeDocument/2006/relationships/image" Target="media/image9.png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oleObject" Target="embeddings/oleObject5.bin"/><Relationship Id="rId17" Type="http://schemas.openxmlformats.org/officeDocument/2006/relationships/image" Target="media/image7.png"/><Relationship Id="rId16" Type="http://schemas.openxmlformats.org/officeDocument/2006/relationships/oleObject" Target="embeddings/oleObject4.bin"/><Relationship Id="rId15" Type="http://schemas.openxmlformats.org/officeDocument/2006/relationships/image" Target="media/image6.png"/><Relationship Id="rId14" Type="http://schemas.openxmlformats.org/officeDocument/2006/relationships/oleObject" Target="embeddings/oleObject3.bin"/><Relationship Id="rId13" Type="http://schemas.openxmlformats.org/officeDocument/2006/relationships/image" Target="media/image5.png"/><Relationship Id="rId12" Type="http://schemas.openxmlformats.org/officeDocument/2006/relationships/oleObject" Target="embeddings/oleObject2.bin"/><Relationship Id="rId11" Type="http://schemas.openxmlformats.org/officeDocument/2006/relationships/image" Target="media/image4.png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E42808-C51B-4B08-8E41-9431D3B5486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745</Words>
  <Characters>4247</Characters>
  <Lines>35</Lines>
  <Paragraphs>9</Paragraphs>
  <TotalTime>12</TotalTime>
  <ScaleCrop>false</ScaleCrop>
  <LinksUpToDate>false</LinksUpToDate>
  <CharactersWithSpaces>4983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2017-03-30T03:59:00Z</dcterms:created>
  <dc:creator>LiHB</dc:creator>
  <cp:lastModifiedBy>奋斗1386406450</cp:lastModifiedBy>
  <cp:lastPrinted>2021-05-08T07:17:00Z</cp:lastPrinted>
  <dcterms:modified xsi:type="dcterms:W3CDTF">2021-08-09T02:39:25Z</dcterms:modified>
  <cp:revision>212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A050AF2E8F1243EAA877C2D5D9713EC5</vt:lpwstr>
  </property>
</Properties>
</file>