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3" w:tblpY="1"/>
        <w:tblOverlap w:val="never"/>
        <w:tblW w:w="8393" w:type="dxa"/>
        <w:tblInd w:w="0" w:type="dxa"/>
        <w:tblBorders>
          <w:top w:val="single" w:color="231F20" w:sz="8" w:space="0"/>
          <w:left w:val="single" w:color="231F20" w:sz="8" w:space="0"/>
          <w:bottom w:val="single" w:color="231F20" w:sz="8" w:space="0"/>
          <w:right w:val="single" w:color="231F20" w:sz="6" w:space="0"/>
          <w:insideH w:val="none" w:color="auto" w:sz="0" w:space="0"/>
          <w:insideV w:val="none" w:color="auto" w:sz="0" w:space="0"/>
        </w:tblBorders>
        <w:tblLayout w:type="fixed"/>
        <w:tblCellMar>
          <w:top w:w="0" w:type="dxa"/>
          <w:left w:w="0" w:type="dxa"/>
          <w:bottom w:w="0" w:type="dxa"/>
          <w:right w:w="0" w:type="dxa"/>
        </w:tblCellMar>
      </w:tblPr>
      <w:tblGrid>
        <w:gridCol w:w="8393"/>
      </w:tblGrid>
      <w:tr>
        <w:tblPrEx>
          <w:tblBorders>
            <w:top w:val="single" w:color="231F20" w:sz="8" w:space="0"/>
            <w:left w:val="single" w:color="231F20" w:sz="8" w:space="0"/>
            <w:bottom w:val="single" w:color="231F20" w:sz="8" w:space="0"/>
            <w:right w:val="single" w:color="231F20" w:sz="6" w:space="0"/>
            <w:insideH w:val="none" w:color="auto" w:sz="0" w:space="0"/>
            <w:insideV w:val="none" w:color="auto" w:sz="0" w:space="0"/>
          </w:tblBorders>
          <w:tblCellMar>
            <w:top w:w="0" w:type="dxa"/>
            <w:left w:w="0" w:type="dxa"/>
            <w:bottom w:w="0" w:type="dxa"/>
            <w:right w:w="0" w:type="dxa"/>
          </w:tblCellMar>
        </w:tblPrEx>
        <w:trPr>
          <w:trHeight w:val="11881" w:hRule="atLeast"/>
        </w:trPr>
        <w:tc>
          <w:tcPr>
            <w:tcW w:w="8393" w:type="dxa"/>
            <w:vAlign w:val="top"/>
          </w:tcPr>
          <w:p>
            <w:pPr>
              <w:spacing w:line="249" w:lineRule="auto"/>
              <w:rPr>
                <w:rFonts w:ascii="Arial"/>
                <w:sz w:val="21"/>
              </w:rPr>
            </w:pPr>
          </w:p>
          <w:p>
            <w:pPr>
              <w:spacing w:line="249" w:lineRule="auto"/>
              <w:rPr>
                <w:rFonts w:ascii="Arial"/>
                <w:sz w:val="21"/>
              </w:rPr>
            </w:pPr>
          </w:p>
          <w:p>
            <w:pPr>
              <w:spacing w:line="249" w:lineRule="auto"/>
              <w:jc w:val="center"/>
              <w:rPr>
                <w:rFonts w:ascii="Arial"/>
                <w:sz w:val="21"/>
              </w:rPr>
            </w:pPr>
          </w:p>
          <w:p>
            <w:pPr>
              <w:spacing w:line="250" w:lineRule="auto"/>
              <w:jc w:val="center"/>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3"/>
              <w:bidi w:val="0"/>
              <w:jc w:val="center"/>
              <w:rPr>
                <w:rFonts w:hint="eastAsia" w:ascii="微软雅黑" w:hAnsi="微软雅黑" w:eastAsia="微软雅黑" w:cs="微软雅黑"/>
                <w:color w:val="211814"/>
                <w:spacing w:val="6"/>
                <w:sz w:val="30"/>
                <w:szCs w:val="30"/>
                <w:lang w:val="en-US" w:eastAsia="zh-CN"/>
              </w:rPr>
            </w:pPr>
            <w:r>
              <w:rPr>
                <w:rFonts w:hint="eastAsia" w:ascii="宋体" w:hAnsi="宋体" w:eastAsia="宋体" w:cs="宋体"/>
                <w:b/>
                <w:bCs/>
                <w:lang w:val="en-US" w:eastAsia="zh-CN"/>
              </w:rPr>
              <w:t>无人机智能机场一体化平台</w:t>
            </w:r>
          </w:p>
          <w:p>
            <w:pPr>
              <w:spacing w:before="307" w:line="176" w:lineRule="auto"/>
              <w:jc w:val="center"/>
              <w:rPr>
                <w:rFonts w:hint="default" w:ascii="宋体" w:hAnsi="宋体" w:eastAsia="宋体" w:cs="宋体"/>
                <w:sz w:val="30"/>
                <w:szCs w:val="30"/>
                <w:lang w:val="en-US" w:eastAsia="zh-CN"/>
              </w:rPr>
            </w:pPr>
            <w:r>
              <w:rPr>
                <w:rFonts w:hint="eastAsia" w:ascii="宋体" w:hAnsi="宋体" w:eastAsia="宋体" w:cs="宋体"/>
                <w:color w:val="211814"/>
                <w:spacing w:val="6"/>
                <w:sz w:val="30"/>
                <w:szCs w:val="30"/>
                <w:lang w:val="en-US" w:eastAsia="zh-CN"/>
              </w:rPr>
              <w:t>用户快速</w:t>
            </w:r>
            <w:r>
              <w:rPr>
                <w:rFonts w:hint="eastAsia" w:ascii="宋体" w:hAnsi="宋体" w:eastAsia="宋体" w:cs="宋体"/>
                <w:color w:val="211814"/>
                <w:spacing w:val="3"/>
                <w:sz w:val="30"/>
                <w:szCs w:val="30"/>
                <w:lang w:val="en-US" w:eastAsia="zh-CN"/>
              </w:rPr>
              <w:t>使用指南1.0</w:t>
            </w:r>
          </w:p>
          <w:p>
            <w:pPr>
              <w:spacing w:line="242" w:lineRule="auto"/>
              <w:rPr>
                <w:rFonts w:ascii="Arial"/>
                <w:sz w:val="21"/>
              </w:rPr>
            </w:pPr>
          </w:p>
          <w:p>
            <w:pPr>
              <w:spacing w:line="242" w:lineRule="auto"/>
              <w:rPr>
                <w:rFonts w:ascii="Arial"/>
                <w:sz w:val="21"/>
              </w:rPr>
            </w:pPr>
          </w:p>
          <w:p>
            <w:pPr>
              <w:spacing w:line="242" w:lineRule="auto"/>
              <w:rPr>
                <w:rFonts w:hint="eastAsia" w:ascii="Arial" w:eastAsia="宋体"/>
                <w:sz w:val="21"/>
                <w:lang w:eastAsia="zh-CN"/>
              </w:rPr>
            </w:pPr>
            <w:r>
              <w:rPr>
                <w:rFonts w:hint="eastAsia" w:eastAsia="宋体"/>
                <w:sz w:val="21"/>
                <w:lang w:val="en-US" w:eastAsia="zh-CN"/>
              </w:rPr>
              <w:t xml:space="preserve">                </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hint="eastAsia" w:ascii="Arial" w:eastAsia="宋体"/>
                <w:sz w:val="21"/>
                <w:lang w:eastAsia="zh-CN"/>
              </w:rPr>
            </w:pPr>
          </w:p>
          <w:p>
            <w:pPr>
              <w:spacing w:line="291" w:lineRule="exact"/>
              <w:ind w:firstLine="3460"/>
              <w:textAlignment w:val="center"/>
            </w:pPr>
          </w:p>
          <w:p>
            <w:pPr>
              <w:spacing w:before="307" w:line="176" w:lineRule="auto"/>
              <w:jc w:val="both"/>
              <w:rPr>
                <w:rFonts w:hint="eastAsia" w:ascii="Yu Gothic UI Semibold" w:hAnsi="Yu Gothic UI Semibold" w:eastAsia="Yu Gothic UI Semibold" w:cs="Yu Gothic UI Semibold"/>
                <w:color w:val="211814"/>
                <w:spacing w:val="6"/>
                <w:sz w:val="30"/>
                <w:szCs w:val="30"/>
              </w:rPr>
            </w:pPr>
          </w:p>
          <w:p>
            <w:pPr>
              <w:pStyle w:val="2"/>
              <w:rPr>
                <w:rFonts w:hint="eastAsia" w:ascii="Yu Gothic UI Semibold" w:hAnsi="Yu Gothic UI Semibold" w:eastAsia="Yu Gothic UI Semibold" w:cs="Yu Gothic UI Semibold"/>
                <w:color w:val="211814"/>
                <w:spacing w:val="6"/>
                <w:sz w:val="30"/>
                <w:szCs w:val="30"/>
              </w:rPr>
            </w:pPr>
          </w:p>
          <w:p>
            <w:pPr>
              <w:pStyle w:val="2"/>
              <w:ind w:left="0" w:leftChars="0" w:firstLine="0" w:firstLineChars="0"/>
              <w:rPr>
                <w:rFonts w:hint="eastAsia" w:ascii="Yu Gothic UI Semibold" w:hAnsi="Yu Gothic UI Semibold" w:eastAsia="Yu Gothic UI Semibold" w:cs="Yu Gothic UI Semibold"/>
                <w:color w:val="211814"/>
                <w:spacing w:val="6"/>
                <w:sz w:val="30"/>
                <w:szCs w:val="30"/>
              </w:rPr>
            </w:pPr>
          </w:p>
          <w:p>
            <w:pPr>
              <w:pStyle w:val="2"/>
              <w:rPr>
                <w:rFonts w:hint="eastAsia" w:ascii="Yu Gothic UI Semibold" w:hAnsi="Yu Gothic UI Semibold" w:eastAsia="Yu Gothic UI Semibold" w:cs="Yu Gothic UI Semibold"/>
                <w:color w:val="211814"/>
                <w:spacing w:val="6"/>
                <w:sz w:val="30"/>
                <w:szCs w:val="30"/>
              </w:rPr>
            </w:pPr>
          </w:p>
          <w:p>
            <w:pPr>
              <w:pStyle w:val="2"/>
              <w:rPr>
                <w:rFonts w:hint="eastAsia" w:ascii="Yu Gothic UI Semibold" w:hAnsi="Yu Gothic UI Semibold" w:eastAsia="Yu Gothic UI Semibold" w:cs="Yu Gothic UI Semibold"/>
                <w:color w:val="211814"/>
                <w:spacing w:val="6"/>
                <w:sz w:val="30"/>
                <w:szCs w:val="30"/>
              </w:rPr>
            </w:pPr>
          </w:p>
          <w:p>
            <w:pPr>
              <w:pStyle w:val="2"/>
              <w:rPr>
                <w:rFonts w:hint="eastAsia"/>
              </w:rPr>
            </w:pPr>
          </w:p>
          <w:p>
            <w:pPr>
              <w:pStyle w:val="2"/>
              <w:ind w:left="0" w:leftChars="0" w:firstLine="0" w:firstLineChars="0"/>
              <w:rPr>
                <w:rFonts w:hint="eastAsia"/>
              </w:rPr>
            </w:pPr>
          </w:p>
          <w:p>
            <w:pPr>
              <w:pStyle w:val="2"/>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387985" cy="529590"/>
                  <wp:effectExtent l="0" t="0" r="12065" b="3810"/>
                  <wp:docPr id="2" name="图片 2" descr="微信图片_20220722094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722094644"/>
                          <pic:cNvPicPr>
                            <a:picLocks noChangeAspect="1"/>
                          </pic:cNvPicPr>
                        </pic:nvPicPr>
                        <pic:blipFill>
                          <a:blip r:embed="rId8"/>
                          <a:stretch>
                            <a:fillRect/>
                          </a:stretch>
                        </pic:blipFill>
                        <pic:spPr>
                          <a:xfrm>
                            <a:off x="0" y="0"/>
                            <a:ext cx="387985" cy="529590"/>
                          </a:xfrm>
                          <a:prstGeom prst="rect">
                            <a:avLst/>
                          </a:prstGeom>
                        </pic:spPr>
                      </pic:pic>
                    </a:graphicData>
                  </a:graphic>
                </wp:inline>
              </w:drawing>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before="96" w:line="96" w:lineRule="exact"/>
              <w:jc w:val="both"/>
              <w:textAlignment w:val="center"/>
              <w:rPr>
                <w:rFonts w:hint="eastAsia" w:eastAsia="宋体"/>
                <w:lang w:eastAsia="zh-CN"/>
              </w:rPr>
            </w:pPr>
          </w:p>
        </w:tc>
      </w:tr>
    </w:tbl>
    <w:p>
      <w:pPr>
        <w:spacing w:line="14" w:lineRule="auto"/>
        <w:rPr>
          <w:rFonts w:ascii="Arial"/>
          <w:sz w:val="2"/>
        </w:rPr>
      </w:pPr>
    </w:p>
    <w:p>
      <w:pPr>
        <w:sectPr>
          <w:headerReference r:id="rId5" w:type="default"/>
          <w:footerReference r:id="rId6" w:type="default"/>
          <w:pgSz w:w="8411" w:h="11926"/>
          <w:pgMar w:top="1" w:right="0" w:bottom="1" w:left="0" w:header="0" w:footer="0" w:gutter="0"/>
          <w:cols w:space="720" w:num="1"/>
        </w:sectPr>
      </w:pPr>
    </w:p>
    <w:p>
      <w:pPr>
        <w:pageBreakBefore w:val="0"/>
        <w:widowControl w:val="0"/>
        <w:numPr>
          <w:ilvl w:val="0"/>
          <w:numId w:val="1"/>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免责声明</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r>
        <w:rPr>
          <w:rFonts w:hint="eastAsia"/>
        </w:rPr>
        <w:t>为确保</w:t>
      </w:r>
      <w:r>
        <w:rPr>
          <w:rFonts w:hint="eastAsia" w:eastAsia="宋体"/>
          <w:lang w:val="en-US" w:eastAsia="zh-CN"/>
        </w:rPr>
        <w:t>正确</w:t>
      </w:r>
      <w:r>
        <w:rPr>
          <w:rFonts w:hint="eastAsia"/>
        </w:rPr>
        <w:t>、成功地</w:t>
      </w:r>
      <w:r>
        <w:rPr>
          <w:rFonts w:hint="eastAsia"/>
          <w:lang w:val="en-US" w:eastAsia="zh-CN"/>
        </w:rPr>
        <w:t>使用EBIT无人机自动机场一体化平台</w:t>
      </w:r>
      <w:r>
        <w:rPr>
          <w:rFonts w:hint="eastAsia"/>
        </w:rPr>
        <w:t>，</w:t>
      </w:r>
      <w:r>
        <w:rPr>
          <w:rFonts w:hint="eastAsia"/>
          <w:lang w:val="en-US" w:eastAsia="zh-CN"/>
        </w:rPr>
        <w:t>操作时</w:t>
      </w:r>
      <w:r>
        <w:rPr>
          <w:rFonts w:hint="eastAsia"/>
        </w:rPr>
        <w:t>请严格遵守本手册中的操作说明和步骤</w:t>
      </w:r>
      <w:r>
        <w:rPr>
          <w:rFonts w:hint="eastAsia"/>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lang w:val="en-US" w:eastAsia="zh-CN"/>
        </w:rPr>
      </w:pPr>
      <w:r>
        <w:rPr>
          <w:rFonts w:hint="eastAsia"/>
          <w:lang w:val="en-US" w:eastAsia="zh-CN"/>
        </w:rPr>
        <w:t>请在使用产品前认真阅读配套的快速使用指南，当您使用“无人机一体化平台”时，本公司认为您已经阅读了本快速指南。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r>
        <w:rPr>
          <w:rFonts w:hint="eastAsia"/>
        </w:rPr>
        <w:t>如用户不遵守操作说明，</w:t>
      </w:r>
      <w:r>
        <w:rPr>
          <w:rFonts w:hint="eastAsia"/>
          <w:lang w:val="en-US" w:eastAsia="zh-CN"/>
        </w:rPr>
        <w:t>成都翼比特</w:t>
      </w:r>
      <w:r>
        <w:rPr>
          <w:rFonts w:hint="eastAsia"/>
        </w:rPr>
        <w:t>对于使用中发生的任何损失无论直接还是间接、法律、特殊</w:t>
      </w:r>
      <w:r>
        <w:rPr>
          <w:rFonts w:hint="eastAsia"/>
          <w:lang w:eastAsia="zh-CN"/>
        </w:rPr>
        <w:t>、</w:t>
      </w:r>
      <w:r>
        <w:rPr>
          <w:rFonts w:hint="eastAsia"/>
        </w:rPr>
        <w:t>事故还是经济损失</w:t>
      </w:r>
      <w:r>
        <w:rPr>
          <w:rFonts w:hint="eastAsia"/>
          <w:lang w:eastAsia="zh-CN"/>
        </w:rPr>
        <w:t>（</w:t>
      </w:r>
      <w:r>
        <w:rPr>
          <w:rFonts w:hint="eastAsia"/>
        </w:rPr>
        <w:t>包括但不限于利润损失</w:t>
      </w:r>
      <w:r>
        <w:rPr>
          <w:rFonts w:hint="eastAsia"/>
          <w:lang w:eastAsia="zh-CN"/>
        </w:rPr>
        <w:t>）</w:t>
      </w:r>
      <w:r>
        <w:rPr>
          <w:rFonts w:hint="eastAsia"/>
        </w:rPr>
        <w:t>概不负责，并且不提供保修服务。请勿使用</w:t>
      </w:r>
      <w:r>
        <w:rPr>
          <w:rFonts w:hint="eastAsia"/>
          <w:lang w:val="en-US" w:eastAsia="zh-CN"/>
        </w:rPr>
        <w:t>非官方版本</w:t>
      </w:r>
      <w:r>
        <w:rPr>
          <w:rFonts w:hint="eastAsia"/>
        </w:rPr>
        <w:t>或以任何不符合</w:t>
      </w:r>
      <w:r>
        <w:rPr>
          <w:rFonts w:hint="eastAsia"/>
          <w:lang w:val="en-US" w:eastAsia="zh-CN"/>
        </w:rPr>
        <w:t>翼比特</w:t>
      </w:r>
      <w:r>
        <w:rPr>
          <w:rFonts w:hint="eastAsia"/>
        </w:rPr>
        <w:t>官方说明的方法去</w:t>
      </w:r>
      <w:r>
        <w:rPr>
          <w:rFonts w:hint="eastAsia"/>
          <w:lang w:val="en-US" w:eastAsia="zh-CN"/>
        </w:rPr>
        <w:t>修改、升级</w:t>
      </w:r>
      <w:r>
        <w:rPr>
          <w:rFonts w:hint="eastAsia"/>
        </w:rPr>
        <w:t>产品。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rPr>
        <w:t>本</w:t>
      </w:r>
      <w:r>
        <w:rPr>
          <w:rFonts w:hint="eastAsia"/>
          <w:lang w:val="en-US" w:eastAsia="zh-CN"/>
        </w:rPr>
        <w:t>用户指引</w:t>
      </w:r>
      <w:r>
        <w:rPr>
          <w:rFonts w:hint="eastAsia"/>
        </w:rPr>
        <w:t>手册中将不定期更新。为确保您获得最新版本，请访问官网：</w:t>
      </w:r>
      <w:r>
        <w:rPr>
          <w:rFonts w:hint="eastAsia" w:ascii="仿宋" w:hAnsi="仿宋" w:eastAsia="仿宋" w:cs="仿宋"/>
        </w:rPr>
        <w:fldChar w:fldCharType="begin"/>
      </w:r>
      <w:r>
        <w:rPr>
          <w:rFonts w:hint="eastAsia" w:ascii="仿宋" w:hAnsi="仿宋" w:eastAsia="仿宋" w:cs="仿宋"/>
        </w:rPr>
        <w:instrText xml:space="preserve"> HYPERLINK "http://www.uavebit.com/" </w:instrText>
      </w:r>
      <w:r>
        <w:rPr>
          <w:rFonts w:hint="eastAsia" w:ascii="仿宋" w:hAnsi="仿宋" w:eastAsia="仿宋" w:cs="仿宋"/>
        </w:rPr>
        <w:fldChar w:fldCharType="separate"/>
      </w:r>
      <w:r>
        <w:rPr>
          <w:rStyle w:val="7"/>
          <w:rFonts w:hint="eastAsia" w:ascii="仿宋" w:hAnsi="仿宋" w:eastAsia="仿宋" w:cs="仿宋"/>
        </w:rPr>
        <w:t>http://www.uavebit.com/</w:t>
      </w:r>
      <w:r>
        <w:rPr>
          <w:rFonts w:hint="eastAsia" w:ascii="仿宋" w:hAnsi="仿宋" w:eastAsia="仿宋" w:cs="仿宋"/>
        </w:rPr>
        <w:fldChar w:fldCharType="end"/>
      </w:r>
    </w:p>
    <w:p>
      <w:pPr>
        <w:pStyle w:val="2"/>
        <w:ind w:left="0" w:leftChars="0" w:firstLine="0" w:firstLineChars="0"/>
        <w:rPr>
          <w:rFonts w:hint="eastAsia"/>
        </w:rPr>
      </w:pPr>
    </w:p>
    <w:p>
      <w:pPr>
        <w:pStyle w:val="2"/>
        <w:ind w:left="0" w:leftChars="0" w:firstLine="0" w:firstLineChars="0"/>
        <w:rPr>
          <w:rFonts w:hint="default" w:eastAsia="宋体"/>
          <w:lang w:val="en-US" w:eastAsia="zh-CN"/>
        </w:rPr>
      </w:pPr>
      <w:r>
        <w:rPr>
          <w:rFonts w:hint="eastAsia" w:eastAsia="宋体"/>
          <w:lang w:val="en-US" w:eastAsia="zh-CN"/>
        </w:rPr>
        <w:t>温馨提示：此文件为“用户快速使用指南”，如需详细操作说明请查看对应产品操作手册。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32"/>
          <w:szCs w:val="32"/>
          <w:highlight w:val="none"/>
          <w:lang w:val="en-US" w:eastAsia="zh-CN"/>
        </w:rPr>
      </w:pPr>
    </w:p>
    <w:p>
      <w:pPr>
        <w:pageBreakBefore w:val="0"/>
        <w:widowControl w:val="0"/>
        <w:numPr>
          <w:ilvl w:val="0"/>
          <w:numId w:val="1"/>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产品概述</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26" w:rightChars="60"/>
        <w:textAlignment w:val="baseline"/>
        <w:rPr>
          <w:rFonts w:hint="eastAsia" w:ascii="宋体" w:hAnsi="宋体" w:eastAsia="宋体" w:cs="宋体"/>
        </w:rPr>
      </w:pPr>
      <w:r>
        <w:rPr>
          <w:rFonts w:hint="eastAsia" w:ascii="宋体" w:hAnsi="宋体" w:eastAsia="宋体" w:cs="宋体"/>
        </w:rPr>
        <w:t>“无人机智能机场一体化平台”是成都翼比特</w:t>
      </w:r>
      <w:r>
        <w:rPr>
          <w:rFonts w:hint="eastAsia" w:ascii="宋体" w:hAnsi="宋体" w:eastAsia="宋体" w:cs="宋体"/>
          <w:lang w:val="en-US" w:eastAsia="zh-CN"/>
        </w:rPr>
        <w:t>智能</w:t>
      </w:r>
      <w:r>
        <w:rPr>
          <w:rFonts w:hint="eastAsia" w:ascii="宋体" w:hAnsi="宋体" w:eastAsia="宋体" w:cs="宋体"/>
        </w:rPr>
        <w:t>设备有限公司基于无人机智能机场，精心打造的一款远程智能管控平台。一体化平台可对接不同厂商无人机机场（自研机场、大疆机场、第三方机场），也可直接对接无人机进行集群管控。为控制中心的调度和决策层的数据运用提供支持；提升多行业场景下无人机的巡检能力，降低人力成本增大产业效率。</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26" w:rightChars="60" w:firstLine="0" w:firstLineChars="0"/>
        <w:textAlignment w:val="baseline"/>
        <w:rPr>
          <w:rFonts w:hint="eastAsia"/>
        </w:rPr>
      </w:pPr>
      <w:r>
        <w:rPr>
          <w:rFonts w:hint="eastAsia" w:eastAsia="宋体"/>
          <w:lang w:val="en-US" w:eastAsia="zh-CN"/>
        </w:rPr>
        <w:t>平台</w:t>
      </w:r>
      <w:r>
        <w:rPr>
          <w:rFonts w:hint="eastAsia"/>
        </w:rPr>
        <w:t>核心功能包含行业资源管理、硬件设备管理、航线管理、任务管理、虚拟驾驶舱、数据回传分析等功能。适用于各种行业背景下的无人机巡检作业，如输电、配电、变电、光伏发电、风力发电、水务管理、城市管理等；平台实时反馈现场数据，并进行智能分析，数据运用，形成无人机自动机场全生命周期闭环。</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26" w:rightChars="60" w:firstLine="0" w:firstLineChars="0"/>
        <w:textAlignment w:val="baseline"/>
        <w:rPr>
          <w:rFonts w:hint="eastAsia"/>
          <w:lang w:val="en-US" w:eastAsia="zh-CN"/>
        </w:rPr>
      </w:pPr>
    </w:p>
    <w:p>
      <w:pPr>
        <w:pageBreakBefore w:val="0"/>
        <w:widowControl w:val="0"/>
        <w:numPr>
          <w:ilvl w:val="0"/>
          <w:numId w:val="1"/>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使用前须知</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firstLine="227" w:firstLineChars="0"/>
        <w:textAlignment w:val="baseline"/>
        <w:rPr>
          <w:rFonts w:hint="eastAsia" w:ascii="宋体" w:hAnsi="宋体" w:eastAsia="宋体" w:cs="宋体"/>
          <w:lang w:val="en-US" w:eastAsia="zh-CN"/>
        </w:rPr>
      </w:pPr>
      <w:r>
        <w:rPr>
          <w:rFonts w:hint="eastAsia" w:ascii="宋体" w:hAnsi="宋体" w:eastAsia="宋体" w:cs="宋体"/>
        </w:rPr>
        <w:t>“无人机智能机场一体化平台”</w:t>
      </w:r>
      <w:r>
        <w:rPr>
          <w:rFonts w:hint="eastAsia" w:ascii="宋体" w:hAnsi="宋体" w:eastAsia="宋体" w:cs="宋体"/>
          <w:lang w:val="en-US" w:eastAsia="zh-CN"/>
        </w:rPr>
        <w:t>为web端系统，通过专用账号登录对应地址进行操作使用；</w:t>
      </w:r>
    </w:p>
    <w:p>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firstLine="227" w:firstLineChars="0"/>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浏览器：</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840" w:firstLineChars="400"/>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Google Chrome 谷歌浏览器（推荐）；</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840" w:firstLineChars="400"/>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Apple Safari 苹果浏览器；</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840" w:firstLineChars="400"/>
        <w:textAlignment w:val="baseline"/>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Mozilla Firefox火狐浏览器.</w:t>
      </w:r>
    </w:p>
    <w:p>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firstLine="227" w:firstLineChars="0"/>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Adobe Flash 插件 9.0及以上;</w:t>
      </w:r>
    </w:p>
    <w:p>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firstLine="227" w:firstLineChars="0"/>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推荐显示器最佳分辨率：1920 * 1080，推荐最低使用分辨率为：1366 * 768;</w:t>
      </w:r>
    </w:p>
    <w:p>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firstLine="227" w:firstLineChars="0"/>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 xml:space="preserve">上下载文档推荐使用MicrosoftOffice2010，2013或2016 </w:t>
      </w:r>
    </w:p>
    <w:p>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firstLine="227" w:firstLineChars="0"/>
        <w:textAlignment w:val="baseline"/>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平台通过多种技术接口兼容不同厂商硬件（机场、微气象设备等），要获得流流畅的实时监控体验，您需要确保软硬设备相对较高的网络速度，并避免过多用户访问统一网络而引起延迟。</w:t>
      </w:r>
    </w:p>
    <w:p>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firstLine="227" w:firstLineChars="0"/>
        <w:textAlignment w:val="baseline"/>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此用户使用指南适用于“无人机自动机场一体化平台”S_V1.1.0至S_V1.1.1版本</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227" w:leftChars="0"/>
        <w:textAlignment w:val="baseline"/>
        <w:rPr>
          <w:rFonts w:hint="default" w:ascii="宋体" w:hAnsi="宋体" w:eastAsia="宋体" w:cs="宋体"/>
          <w:snapToGrid w:val="0"/>
          <w:color w:val="000000"/>
          <w:kern w:val="0"/>
          <w:sz w:val="21"/>
          <w:szCs w:val="21"/>
          <w:lang w:val="en-US" w:eastAsia="zh-CN"/>
        </w:rPr>
      </w:pPr>
    </w:p>
    <w:p>
      <w:pPr>
        <w:pageBreakBefore w:val="0"/>
        <w:widowControl w:val="0"/>
        <w:numPr>
          <w:ilvl w:val="0"/>
          <w:numId w:val="1"/>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使用产品</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17" w:leftChars="0" w:firstLine="227" w:firstLineChars="0"/>
        <w:textAlignment w:val="baseline"/>
        <w:rPr>
          <w:rFonts w:hint="eastAsia"/>
          <w:lang w:val="en-US" w:eastAsia="zh-CN"/>
        </w:rPr>
      </w:pPr>
      <w:r>
        <w:rPr>
          <w:rFonts w:hint="eastAsia" w:ascii="宋体" w:hAnsi="宋体" w:eastAsia="宋体" w:cs="宋体"/>
          <w:lang w:val="en-US" w:eastAsia="zh-CN"/>
        </w:rPr>
        <w:t>在您于各渠道购买了本产品后（如华为云市场）请联系成都翼比特自动设备有限公司，使用官方购买凭证获取账号密码，以及专用地址；</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napToGrid w:val="0"/>
          <w:color w:val="000000"/>
          <w:kern w:val="0"/>
          <w:sz w:val="21"/>
          <w:szCs w:val="21"/>
          <w:lang w:val="en-US" w:eastAsia="zh-CN"/>
        </w:rPr>
      </w:pP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17" w:leftChars="0" w:firstLine="227" w:firstLineChars="0"/>
        <w:textAlignment w:val="baseline"/>
        <w:rPr>
          <w:rFonts w:hint="default"/>
          <w:lang w:val="en-US" w:eastAsia="zh-CN"/>
        </w:rPr>
      </w:pPr>
      <w:r>
        <w:rPr>
          <w:rFonts w:hint="eastAsia" w:ascii="宋体" w:hAnsi="宋体" w:eastAsia="宋体" w:cs="宋体"/>
          <w:lang w:val="en-US" w:eastAsia="zh-CN"/>
        </w:rPr>
        <w:t>请联系成都翼比特自动设备有限公司获取对应版本地址，用浏览器打开后，输入密码账户登录；</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227" w:leftChars="0"/>
        <w:textAlignment w:val="baseline"/>
        <w:rPr>
          <w:rFonts w:hint="default" w:ascii="宋体" w:hAnsi="宋体" w:eastAsia="宋体" w:cs="宋体"/>
          <w:snapToGrid w:val="0"/>
          <w:color w:val="000000"/>
          <w:kern w:val="0"/>
          <w:sz w:val="21"/>
          <w:szCs w:val="21"/>
          <w:lang w:val="en-US" w:eastAsia="zh-CN"/>
        </w:rPr>
      </w:pPr>
      <w:r>
        <w:rPr>
          <w:rFonts w:hint="default" w:ascii="宋体" w:hAnsi="宋体" w:eastAsia="宋体" w:cs="宋体"/>
          <w:snapToGrid w:val="0"/>
          <w:color w:val="000000"/>
          <w:kern w:val="0"/>
          <w:sz w:val="21"/>
          <w:szCs w:val="21"/>
          <w:lang w:val="en-US" w:eastAsia="zh-CN"/>
        </w:rPr>
        <w:drawing>
          <wp:inline distT="0" distB="0" distL="114300" distR="114300">
            <wp:extent cx="3895090" cy="1901190"/>
            <wp:effectExtent l="0" t="0" r="10160" b="381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9"/>
                    <a:stretch>
                      <a:fillRect/>
                    </a:stretch>
                  </pic:blipFill>
                  <pic:spPr>
                    <a:xfrm>
                      <a:off x="0" y="0"/>
                      <a:ext cx="3895090" cy="1901190"/>
                    </a:xfrm>
                    <a:prstGeom prst="rect">
                      <a:avLst/>
                    </a:prstGeom>
                  </pic:spPr>
                </pic:pic>
              </a:graphicData>
            </a:graphic>
          </wp:inline>
        </w:drawing>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napToGrid w:val="0"/>
          <w:color w:val="000000"/>
          <w:kern w:val="0"/>
          <w:sz w:val="21"/>
          <w:szCs w:val="21"/>
          <w:lang w:val="en-US" w:eastAsia="zh-CN"/>
        </w:rPr>
      </w:pP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17" w:leftChars="0" w:firstLine="227" w:firstLineChars="0"/>
        <w:textAlignment w:val="baseline"/>
        <w:rPr>
          <w:rFonts w:hint="default"/>
          <w:lang w:val="en-US" w:eastAsia="zh-CN"/>
        </w:rPr>
      </w:pPr>
      <w:r>
        <w:rPr>
          <w:rFonts w:hint="eastAsia" w:ascii="宋体" w:hAnsi="宋体" w:eastAsia="宋体" w:cs="宋体"/>
          <w:lang w:val="en-US" w:eastAsia="zh-CN"/>
        </w:rPr>
        <w:t>具体业务操作和使用详细步骤，请参考《无人机智能机场一体化平台S_V1.1.0 操作手册》；</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227" w:leftChars="0"/>
        <w:textAlignment w:val="baseline"/>
        <w:rPr>
          <w:rFonts w:hint="default" w:ascii="宋体" w:hAnsi="宋体" w:eastAsia="宋体" w:cs="宋体"/>
          <w:snapToGrid w:val="0"/>
          <w:color w:val="000000"/>
          <w:kern w:val="0"/>
          <w:sz w:val="21"/>
          <w:szCs w:val="21"/>
          <w:lang w:val="en-US" w:eastAsia="zh-CN"/>
        </w:rPr>
      </w:pPr>
      <w:r>
        <w:rPr>
          <w:rFonts w:hint="default" w:ascii="宋体" w:hAnsi="宋体" w:eastAsia="宋体" w:cs="宋体"/>
          <w:snapToGrid w:val="0"/>
          <w:color w:val="000000"/>
          <w:kern w:val="0"/>
          <w:sz w:val="21"/>
          <w:szCs w:val="21"/>
          <w:lang w:val="en-US" w:eastAsia="zh-CN"/>
        </w:rPr>
        <w:drawing>
          <wp:inline distT="0" distB="0" distL="114300" distR="114300">
            <wp:extent cx="3877310" cy="2180590"/>
            <wp:effectExtent l="0" t="0" r="8890" b="10160"/>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10"/>
                    <a:stretch>
                      <a:fillRect/>
                    </a:stretch>
                  </pic:blipFill>
                  <pic:spPr>
                    <a:xfrm>
                      <a:off x="0" y="0"/>
                      <a:ext cx="3877310" cy="2180590"/>
                    </a:xfrm>
                    <a:prstGeom prst="rect">
                      <a:avLst/>
                    </a:prstGeom>
                  </pic:spPr>
                </pic:pic>
              </a:graphicData>
            </a:graphic>
          </wp:inline>
        </w:drawing>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227" w:leftChars="0"/>
        <w:textAlignment w:val="baseline"/>
        <w:rPr>
          <w:rFonts w:hint="default" w:ascii="宋体" w:hAnsi="宋体" w:eastAsia="宋体" w:cs="宋体"/>
          <w:snapToGrid w:val="0"/>
          <w:color w:val="000000"/>
          <w:kern w:val="0"/>
          <w:sz w:val="21"/>
          <w:szCs w:val="21"/>
          <w:lang w:val="en-US" w:eastAsia="zh-CN"/>
        </w:rPr>
      </w:pP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227" w:leftChars="0"/>
        <w:textAlignment w:val="baseline"/>
        <w:rPr>
          <w:rFonts w:hint="default" w:ascii="宋体" w:hAnsi="宋体" w:eastAsia="宋体" w:cs="宋体"/>
          <w:snapToGrid w:val="0"/>
          <w:color w:val="000000"/>
          <w:kern w:val="0"/>
          <w:sz w:val="21"/>
          <w:szCs w:val="21"/>
          <w:lang w:val="en-US" w:eastAsia="zh-CN"/>
        </w:rPr>
      </w:pPr>
    </w:p>
    <w:p>
      <w:pPr>
        <w:pageBreakBefore w:val="0"/>
        <w:widowControl w:val="0"/>
        <w:numPr>
          <w:ilvl w:val="0"/>
          <w:numId w:val="1"/>
        </w:numPr>
        <w:kinsoku/>
        <w:wordWrap/>
        <w:overflowPunct/>
        <w:topLinePunct w:val="0"/>
        <w:autoSpaceDE/>
        <w:autoSpaceDN/>
        <w:bidi w:val="0"/>
        <w:adjustRightInd/>
        <w:snapToGrid/>
        <w:spacing w:line="360" w:lineRule="auto"/>
        <w:jc w:val="left"/>
        <w:textAlignment w:val="auto"/>
        <w:outlineLvl w:val="0"/>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客户服务联系方式</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lang w:val="en-US" w:eastAsia="zh-CN"/>
        </w:rPr>
      </w:pPr>
      <w:r>
        <w:rPr>
          <w:rFonts w:hint="eastAsia" w:ascii="宋体" w:hAnsi="宋体" w:eastAsia="宋体" w:cs="宋体"/>
          <w:lang w:val="en-US" w:eastAsia="zh-CN"/>
        </w:rPr>
        <w:t>在您于各渠道购买了本产品后（如华为云市场）需要开通账号和获取系统地址与操作手册，或使用操作过程中遇到了问题寻求技术支持和解决办法时请通过以下方式与我们取得联系。</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lang w:val="en-US" w:eastAsia="zh-CN"/>
        </w:rPr>
      </w:pPr>
      <w:r>
        <w:rPr>
          <w:rFonts w:hint="eastAsia" w:ascii="宋体" w:hAnsi="宋体" w:eastAsia="宋体" w:cs="宋体"/>
          <w:lang w:val="en-US" w:eastAsia="zh-CN"/>
        </w:rPr>
        <w:t xml:space="preserve">      客服电话：028-81443051</w:t>
      </w:r>
      <w:bookmarkStart w:id="0" w:name="_GoBack"/>
      <w:bookmarkEnd w:id="0"/>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0" w:firstLineChars="300"/>
        <w:textAlignment w:val="baseline"/>
        <w:rPr>
          <w:rFonts w:hint="default" w:ascii="宋体" w:hAnsi="宋体" w:eastAsia="宋体" w:cs="宋体"/>
          <w:lang w:val="en-US" w:eastAsia="zh-CN"/>
        </w:rPr>
      </w:pPr>
      <w:r>
        <w:rPr>
          <w:rFonts w:hint="eastAsia" w:ascii="宋体" w:hAnsi="宋体" w:eastAsia="宋体" w:cs="宋体"/>
          <w:lang w:val="en-US" w:eastAsia="zh-CN"/>
        </w:rPr>
        <w:t>通讯地址：四川省成都市高新区益州大道复城国际T1-2204</w:t>
      </w:r>
    </w:p>
    <w:sectPr>
      <w:pgSz w:w="8411" w:h="11926"/>
      <w:pgMar w:top="1440" w:right="1134" w:bottom="1440" w:left="11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Yu Gothic UI Semibold">
    <w:panose1 w:val="020B07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8C297"/>
    <w:multiLevelType w:val="singleLevel"/>
    <w:tmpl w:val="FA08C297"/>
    <w:lvl w:ilvl="0" w:tentative="0">
      <w:start w:val="1"/>
      <w:numFmt w:val="decimal"/>
      <w:lvlText w:val="%1."/>
      <w:lvlJc w:val="left"/>
      <w:pPr>
        <w:tabs>
          <w:tab w:val="left" w:pos="312"/>
        </w:tabs>
      </w:pPr>
    </w:lvl>
  </w:abstractNum>
  <w:abstractNum w:abstractNumId="1">
    <w:nsid w:val="10A0FD45"/>
    <w:multiLevelType w:val="singleLevel"/>
    <w:tmpl w:val="10A0FD45"/>
    <w:lvl w:ilvl="0" w:tentative="0">
      <w:start w:val="1"/>
      <w:numFmt w:val="chineseCounting"/>
      <w:suff w:val="nothing"/>
      <w:lvlText w:val="（%1）"/>
      <w:lvlJc w:val="left"/>
      <w:pPr>
        <w:ind w:left="-17" w:firstLine="420"/>
      </w:pPr>
      <w:rPr>
        <w:rFonts w:hint="eastAsia"/>
      </w:rPr>
    </w:lvl>
  </w:abstractNum>
  <w:abstractNum w:abstractNumId="2">
    <w:nsid w:val="416C2BA4"/>
    <w:multiLevelType w:val="singleLevel"/>
    <w:tmpl w:val="416C2BA4"/>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ExpandShiftReturn/>
    <w:doNotWrapTextWithPunct/>
    <w:doNotUseEastAsianBreakRules/>
    <w:useFELayout/>
    <w:doNotUseIndentAsNumberingTabStop/>
    <w:compatSetting w:name="compatibilityMode" w:uri="http://schemas.microsoft.com/office/word" w:val="14"/>
  </w:compat>
  <w:docVars>
    <w:docVar w:name="commondata" w:val="eyJoZGlkIjoiNjU3YjA2YTk3Njg4NDI5YThiOGQ0ODc0ZDEzNmUxMGEifQ=="/>
  </w:docVars>
  <w:rsids>
    <w:rsidRoot w:val="00000000"/>
    <w:rsid w:val="08DC7FF5"/>
    <w:rsid w:val="19261E31"/>
    <w:rsid w:val="1C8B03ED"/>
    <w:rsid w:val="58C51600"/>
    <w:rsid w:val="734B5468"/>
    <w:rsid w:val="769A5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20" w:beforeLines="0" w:beforeAutospacing="0" w:after="20" w:afterLines="0" w:afterAutospacing="0" w:line="360" w:lineRule="auto"/>
      <w:outlineLvl w:val="0"/>
    </w:pPr>
    <w:rPr>
      <w:rFonts w:asciiTheme="minorAscii" w:hAnsiTheme="minorAscii"/>
      <w:kern w:val="44"/>
      <w:sz w:val="36"/>
      <w:szCs w:val="2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1126</Words>
  <Characters>1295</Characters>
  <TotalTime>167</TotalTime>
  <ScaleCrop>false</ScaleCrop>
  <LinksUpToDate>false</LinksUpToDate>
  <CharactersWithSpaces>1341</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2021-07-27T11:43:00Z</dcterms:created>
  <dc:creator>WTY</dc:creator>
  <cp:lastModifiedBy>Mabel</cp:lastModifiedBy>
  <dcterms:modified xsi:type="dcterms:W3CDTF">2022-07-27T02:51:22Z</dcterms:modified>
  <dc:title>EVO NEST_快速指引_中文_V1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2022-06-02T14:18:23Z</vt:filetime>
  </property>
  <property fmtid="{D5CDD505-2E9C-101B-9397-08002B2CF9AE}" pid="4" name="KSOProductBuildVer">
    <vt:lpwstr>2052-11.1.0.11875</vt:lpwstr>
  </property>
  <property fmtid="{D5CDD505-2E9C-101B-9397-08002B2CF9AE}" pid="5" name="ICV">
    <vt:lpwstr>AFFE8C1B24724B88975578DB3ABF58A2</vt:lpwstr>
  </property>
</Properties>
</file>