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page" w:tblpX="13" w:tblpY="1"/>
        <w:tblOverlap w:val="never"/>
        <w:tblW w:w="8393" w:type="dxa"/>
        <w:tblInd w:w="0" w:type="dxa"/>
        <w:tblBorders>
          <w:top w:val="single" w:color="231F20" w:sz="8" w:space="0"/>
          <w:left w:val="single" w:color="231F20" w:sz="8" w:space="0"/>
          <w:bottom w:val="single" w:color="231F20" w:sz="8" w:space="0"/>
          <w:right w:val="single" w:color="231F20" w:sz="6" w:space="0"/>
          <w:insideH w:val="none" w:color="auto" w:sz="0" w:space="0"/>
          <w:insideV w:val="none" w:color="auto" w:sz="0" w:space="0"/>
        </w:tblBorders>
        <w:tblLayout w:type="fixed"/>
        <w:tblCellMar>
          <w:top w:w="0" w:type="dxa"/>
          <w:left w:w="0" w:type="dxa"/>
          <w:bottom w:w="0" w:type="dxa"/>
          <w:right w:w="0" w:type="dxa"/>
        </w:tblCellMar>
      </w:tblPr>
      <w:tblGrid>
        <w:gridCol w:w="8393"/>
      </w:tblGrid>
      <w:tr>
        <w:tblPrEx>
          <w:tblBorders>
            <w:top w:val="single" w:color="231F20" w:sz="8" w:space="0"/>
            <w:left w:val="single" w:color="231F20" w:sz="8" w:space="0"/>
            <w:bottom w:val="single" w:color="231F20" w:sz="8" w:space="0"/>
            <w:right w:val="single" w:color="231F20" w:sz="6" w:space="0"/>
            <w:insideH w:val="none" w:color="auto" w:sz="0" w:space="0"/>
            <w:insideV w:val="none" w:color="auto" w:sz="0" w:space="0"/>
          </w:tblBorders>
        </w:tblPrEx>
        <w:trPr>
          <w:trHeight w:val="11881" w:hRule="atLeast"/>
        </w:trPr>
        <w:tc>
          <w:tcPr>
            <w:tcW w:w="8393" w:type="dxa"/>
            <w:vAlign w:val="top"/>
          </w:tcPr>
          <w:p>
            <w:pPr>
              <w:spacing w:line="249" w:lineRule="auto"/>
              <w:rPr>
                <w:rFonts w:ascii="Arial"/>
                <w:sz w:val="21"/>
              </w:rPr>
            </w:pPr>
          </w:p>
          <w:p>
            <w:pPr>
              <w:spacing w:line="249" w:lineRule="auto"/>
              <w:rPr>
                <w:rFonts w:ascii="Arial"/>
                <w:sz w:val="21"/>
              </w:rPr>
            </w:pPr>
          </w:p>
          <w:p>
            <w:pPr>
              <w:spacing w:line="249" w:lineRule="auto"/>
              <w:jc w:val="center"/>
              <w:rPr>
                <w:rFonts w:ascii="Arial"/>
                <w:sz w:val="21"/>
              </w:rPr>
            </w:pPr>
          </w:p>
          <w:p>
            <w:pPr>
              <w:spacing w:line="250" w:lineRule="auto"/>
              <w:jc w:val="center"/>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3"/>
              <w:bidi w:val="0"/>
              <w:jc w:val="center"/>
              <w:rPr>
                <w:rFonts w:hint="eastAsia" w:ascii="宋体" w:hAnsi="宋体" w:eastAsia="宋体" w:cs="宋体"/>
                <w:snapToGrid w:val="0"/>
                <w:color w:val="211814"/>
                <w:spacing w:val="6"/>
                <w:kern w:val="0"/>
                <w:sz w:val="30"/>
                <w:szCs w:val="30"/>
                <w:lang w:eastAsia="zh-CN"/>
              </w:rPr>
            </w:pPr>
            <w:bookmarkStart w:id="2" w:name="_GoBack"/>
            <w:bookmarkEnd w:id="2"/>
            <w:r>
              <w:rPr>
                <w:rFonts w:hint="default" w:ascii="宋体" w:hAnsi="宋体" w:eastAsia="宋体" w:cs="宋体"/>
                <w:snapToGrid w:val="0"/>
                <w:color w:val="211814"/>
                <w:spacing w:val="6"/>
                <w:kern w:val="0"/>
                <w:sz w:val="30"/>
                <w:szCs w:val="30"/>
                <w:lang w:eastAsia="zh-Hans"/>
              </w:rPr>
              <w:t>数字孪生智能电网运检管控平台</w:t>
            </w:r>
          </w:p>
          <w:p>
            <w:pPr>
              <w:spacing w:before="307" w:line="176" w:lineRule="auto"/>
              <w:jc w:val="center"/>
              <w:rPr>
                <w:rFonts w:hint="default" w:ascii="宋体" w:hAnsi="宋体" w:eastAsia="宋体" w:cs="宋体"/>
                <w:sz w:val="30"/>
                <w:szCs w:val="30"/>
                <w:lang w:val="en-US" w:eastAsia="zh-CN"/>
              </w:rPr>
            </w:pPr>
            <w:r>
              <w:rPr>
                <w:rFonts w:hint="eastAsia" w:ascii="宋体" w:hAnsi="宋体" w:eastAsia="宋体" w:cs="宋体"/>
                <w:color w:val="211814"/>
                <w:spacing w:val="6"/>
                <w:sz w:val="30"/>
                <w:szCs w:val="30"/>
                <w:lang w:val="en-US" w:eastAsia="zh-CN"/>
              </w:rPr>
              <w:t>用户快速</w:t>
            </w:r>
            <w:r>
              <w:rPr>
                <w:rFonts w:hint="eastAsia" w:ascii="宋体" w:hAnsi="宋体" w:eastAsia="宋体" w:cs="宋体"/>
                <w:color w:val="211814"/>
                <w:spacing w:val="3"/>
                <w:sz w:val="30"/>
                <w:szCs w:val="30"/>
                <w:lang w:val="en-US" w:eastAsia="zh-CN"/>
              </w:rPr>
              <w:t>使用指南1.0</w:t>
            </w:r>
          </w:p>
          <w:p>
            <w:pPr>
              <w:spacing w:line="242" w:lineRule="auto"/>
              <w:rPr>
                <w:rFonts w:ascii="Arial"/>
                <w:sz w:val="21"/>
              </w:rPr>
            </w:pPr>
          </w:p>
          <w:p>
            <w:pPr>
              <w:spacing w:line="242" w:lineRule="auto"/>
              <w:rPr>
                <w:rFonts w:ascii="Arial"/>
                <w:sz w:val="21"/>
              </w:rPr>
            </w:pPr>
          </w:p>
          <w:p>
            <w:pPr>
              <w:spacing w:line="242" w:lineRule="auto"/>
              <w:rPr>
                <w:rFonts w:hint="eastAsia" w:ascii="Arial" w:eastAsia="宋体"/>
                <w:sz w:val="21"/>
                <w:lang w:eastAsia="zh-CN"/>
              </w:rPr>
            </w:pPr>
            <w:r>
              <w:rPr>
                <w:rFonts w:hint="eastAsia" w:eastAsia="宋体"/>
                <w:sz w:val="21"/>
                <w:lang w:val="en-US" w:eastAsia="zh-CN"/>
              </w:rPr>
              <w:t xml:space="preserve">                </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hint="eastAsia" w:ascii="Arial" w:eastAsia="宋体"/>
                <w:sz w:val="21"/>
                <w:lang w:eastAsia="zh-CN"/>
              </w:rPr>
            </w:pPr>
          </w:p>
          <w:p>
            <w:pPr>
              <w:spacing w:line="291" w:lineRule="exact"/>
              <w:ind w:firstLine="3460"/>
              <w:textAlignment w:val="center"/>
            </w:pPr>
          </w:p>
          <w:p>
            <w:pPr>
              <w:spacing w:before="307" w:line="176" w:lineRule="auto"/>
              <w:jc w:val="both"/>
              <w:rPr>
                <w:rFonts w:hint="eastAsia" w:ascii="Yu Gothic UI Semibold" w:hAnsi="Yu Gothic UI Semibold" w:eastAsia="Yu Gothic UI Semibold" w:cs="Yu Gothic UI Semibold"/>
                <w:color w:val="211814"/>
                <w:spacing w:val="6"/>
                <w:sz w:val="30"/>
                <w:szCs w:val="30"/>
              </w:rPr>
            </w:pPr>
          </w:p>
          <w:p>
            <w:pPr>
              <w:pStyle w:val="2"/>
              <w:rPr>
                <w:rFonts w:hint="eastAsia" w:ascii="Yu Gothic UI Semibold" w:hAnsi="Yu Gothic UI Semibold" w:eastAsia="Yu Gothic UI Semibold" w:cs="Yu Gothic UI Semibold"/>
                <w:color w:val="211814"/>
                <w:spacing w:val="6"/>
                <w:sz w:val="30"/>
                <w:szCs w:val="30"/>
              </w:rPr>
            </w:pPr>
          </w:p>
          <w:p>
            <w:pPr>
              <w:pStyle w:val="2"/>
              <w:ind w:left="0" w:leftChars="0" w:firstLine="0" w:firstLineChars="0"/>
              <w:rPr>
                <w:rFonts w:hint="eastAsia" w:ascii="Yu Gothic UI Semibold" w:hAnsi="Yu Gothic UI Semibold" w:eastAsia="Yu Gothic UI Semibold" w:cs="Yu Gothic UI Semibold"/>
                <w:color w:val="211814"/>
                <w:spacing w:val="6"/>
                <w:sz w:val="30"/>
                <w:szCs w:val="30"/>
              </w:rPr>
            </w:pPr>
          </w:p>
          <w:p>
            <w:pPr>
              <w:pStyle w:val="2"/>
              <w:rPr>
                <w:rFonts w:hint="eastAsia" w:ascii="Yu Gothic UI Semibold" w:hAnsi="Yu Gothic UI Semibold" w:eastAsia="Yu Gothic UI Semibold" w:cs="Yu Gothic UI Semibold"/>
                <w:color w:val="211814"/>
                <w:spacing w:val="6"/>
                <w:sz w:val="30"/>
                <w:szCs w:val="30"/>
              </w:rPr>
            </w:pPr>
          </w:p>
          <w:p>
            <w:pPr>
              <w:pStyle w:val="2"/>
              <w:rPr>
                <w:rFonts w:hint="eastAsia" w:ascii="Yu Gothic UI Semibold" w:hAnsi="Yu Gothic UI Semibold" w:eastAsia="Yu Gothic UI Semibold" w:cs="Yu Gothic UI Semibold"/>
                <w:color w:val="211814"/>
                <w:spacing w:val="6"/>
                <w:sz w:val="30"/>
                <w:szCs w:val="30"/>
              </w:rPr>
            </w:pPr>
          </w:p>
          <w:p>
            <w:pPr>
              <w:pStyle w:val="2"/>
              <w:rPr>
                <w:rFonts w:hint="eastAsia"/>
              </w:rPr>
            </w:pPr>
          </w:p>
          <w:p>
            <w:pPr>
              <w:pStyle w:val="2"/>
              <w:ind w:left="0" w:leftChars="0" w:firstLine="0" w:firstLineChars="0"/>
              <w:rPr>
                <w:rFonts w:hint="eastAsia"/>
              </w:rPr>
            </w:pP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87985" cy="529590"/>
                  <wp:effectExtent l="0" t="0" r="12065" b="3810"/>
                  <wp:docPr id="2" name="图片 2" descr="微信图片_2022072209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722094644"/>
                          <pic:cNvPicPr>
                            <a:picLocks noChangeAspect="1"/>
                          </pic:cNvPicPr>
                        </pic:nvPicPr>
                        <pic:blipFill>
                          <a:blip r:embed="rId6"/>
                          <a:stretch>
                            <a:fillRect/>
                          </a:stretch>
                        </pic:blipFill>
                        <pic:spPr>
                          <a:xfrm>
                            <a:off x="0" y="0"/>
                            <a:ext cx="387985" cy="529590"/>
                          </a:xfrm>
                          <a:prstGeom prst="rect">
                            <a:avLst/>
                          </a:prstGeom>
                        </pic:spPr>
                      </pic:pic>
                    </a:graphicData>
                  </a:graphic>
                </wp:inline>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before="96" w:line="96" w:lineRule="exact"/>
              <w:jc w:val="both"/>
              <w:textAlignment w:val="center"/>
              <w:rPr>
                <w:rFonts w:hint="eastAsia" w:eastAsia="宋体"/>
                <w:lang w:eastAsia="zh-CN"/>
              </w:rPr>
            </w:pPr>
          </w:p>
        </w:tc>
      </w:tr>
    </w:tbl>
    <w:p>
      <w:pPr>
        <w:spacing w:line="14" w:lineRule="auto"/>
        <w:rPr>
          <w:rFonts w:ascii="Arial"/>
          <w:sz w:val="2"/>
        </w:rPr>
      </w:pPr>
    </w:p>
    <w:p>
      <w:pPr>
        <w:sectPr>
          <w:headerReference r:id="rId3" w:type="default"/>
          <w:footerReference r:id="rId4" w:type="default"/>
          <w:pgSz w:w="8411" w:h="11926"/>
          <w:pgMar w:top="1" w:right="0" w:bottom="1" w:left="0" w:header="0" w:footer="0" w:gutter="0"/>
          <w:cols w:space="720" w:num="1"/>
        </w:sect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免责声明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lang w:val="en-US" w:eastAsia="zh-CN"/>
        </w:rPr>
      </w:pPr>
      <w:r>
        <w:rPr>
          <w:rFonts w:hint="eastAsia"/>
          <w:lang w:val="en-US" w:eastAsia="zh-Hans"/>
        </w:rPr>
        <w:t>为确保</w:t>
      </w:r>
      <w:r>
        <w:rPr>
          <w:rFonts w:hint="eastAsia"/>
          <w:lang w:val="en-US" w:eastAsia="zh-CN"/>
        </w:rPr>
        <w:t>正确</w:t>
      </w:r>
      <w:r>
        <w:rPr>
          <w:rFonts w:hint="eastAsia"/>
          <w:lang w:val="en-US" w:eastAsia="zh-Hans"/>
        </w:rPr>
        <w:t>、成功地</w:t>
      </w:r>
      <w:r>
        <w:rPr>
          <w:rFonts w:hint="eastAsia"/>
          <w:lang w:val="en-US" w:eastAsia="zh-CN"/>
        </w:rPr>
        <w:t>使用EBIT</w:t>
      </w:r>
      <w:r>
        <w:rPr>
          <w:rFonts w:hint="default"/>
          <w:lang w:eastAsia="zh-Hans"/>
        </w:rPr>
        <w:t>数字孪生智能电网运检管控平台</w:t>
      </w:r>
      <w:r>
        <w:rPr>
          <w:rFonts w:hint="eastAsia"/>
          <w:lang w:val="en-US" w:eastAsia="zh-Hans"/>
        </w:rPr>
        <w:t>，</w:t>
      </w:r>
      <w:r>
        <w:rPr>
          <w:rFonts w:hint="eastAsia"/>
          <w:lang w:val="en-US" w:eastAsia="zh-CN"/>
        </w:rPr>
        <w:t>操作时</w:t>
      </w:r>
      <w:r>
        <w:rPr>
          <w:rFonts w:hint="eastAsia"/>
          <w:lang w:val="en-US" w:eastAsia="zh-Hans"/>
        </w:rPr>
        <w:t>请严格遵守本手册中的操作说明和步骤</w:t>
      </w:r>
      <w:r>
        <w:rPr>
          <w:rFonts w:hint="eastAsia"/>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lang w:val="en-US" w:eastAsia="zh-CN"/>
        </w:rPr>
      </w:pPr>
      <w:r>
        <w:rPr>
          <w:rFonts w:hint="eastAsia"/>
          <w:lang w:val="en-US" w:eastAsia="zh-CN"/>
        </w:rPr>
        <w:t>请在使用产品前认真阅读配套的快速使用指南，当您使用“</w:t>
      </w:r>
      <w:r>
        <w:rPr>
          <w:rFonts w:hint="default"/>
          <w:lang w:eastAsia="zh-Hans"/>
        </w:rPr>
        <w:t>数字孪生智能电网运检管控平台</w:t>
      </w:r>
      <w:r>
        <w:rPr>
          <w:rFonts w:hint="eastAsia"/>
          <w:lang w:val="en-US" w:eastAsia="zh-CN"/>
        </w:rPr>
        <w:t>”时，本公司认为您已经阅读了本快速指南。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lang w:val="en-US" w:eastAsia="zh-Hans"/>
        </w:rPr>
      </w:pPr>
      <w:r>
        <w:rPr>
          <w:rFonts w:hint="eastAsia"/>
          <w:lang w:val="en-US" w:eastAsia="zh-Hans"/>
        </w:rPr>
        <w:t>如用户不遵守操作说明，</w:t>
      </w:r>
      <w:r>
        <w:rPr>
          <w:rFonts w:hint="eastAsia"/>
          <w:lang w:val="en-US" w:eastAsia="zh-CN"/>
        </w:rPr>
        <w:t>成都翼比特</w:t>
      </w:r>
      <w:r>
        <w:rPr>
          <w:rFonts w:hint="eastAsia"/>
          <w:lang w:val="en-US" w:eastAsia="zh-Hans"/>
        </w:rPr>
        <w:t>对于使用中发生的任何损失无论直接还是间接、法律、特殊</w:t>
      </w:r>
      <w:r>
        <w:rPr>
          <w:rFonts w:hint="eastAsia"/>
          <w:lang w:val="en-US" w:eastAsia="zh-CN"/>
        </w:rPr>
        <w:t>、</w:t>
      </w:r>
      <w:r>
        <w:rPr>
          <w:rFonts w:hint="eastAsia"/>
          <w:lang w:val="en-US" w:eastAsia="zh-Hans"/>
        </w:rPr>
        <w:t>事故还是经济损失</w:t>
      </w:r>
      <w:r>
        <w:rPr>
          <w:rFonts w:hint="eastAsia"/>
          <w:lang w:val="en-US" w:eastAsia="zh-CN"/>
        </w:rPr>
        <w:t>（</w:t>
      </w:r>
      <w:r>
        <w:rPr>
          <w:rFonts w:hint="eastAsia"/>
          <w:lang w:val="en-US" w:eastAsia="zh-Hans"/>
        </w:rPr>
        <w:t>包括但不限于利润损失</w:t>
      </w:r>
      <w:r>
        <w:rPr>
          <w:rFonts w:hint="eastAsia"/>
          <w:lang w:val="en-US" w:eastAsia="zh-CN"/>
        </w:rPr>
        <w:t>）</w:t>
      </w:r>
      <w:r>
        <w:rPr>
          <w:rFonts w:hint="eastAsia"/>
          <w:lang w:val="en-US" w:eastAsia="zh-Hans"/>
        </w:rPr>
        <w:t>概不负责，并且不提供保修服务。请勿使用</w:t>
      </w:r>
      <w:r>
        <w:rPr>
          <w:rFonts w:hint="eastAsia"/>
          <w:lang w:val="en-US" w:eastAsia="zh-CN"/>
        </w:rPr>
        <w:t>非官方版本</w:t>
      </w:r>
      <w:r>
        <w:rPr>
          <w:rFonts w:hint="eastAsia"/>
          <w:lang w:val="en-US" w:eastAsia="zh-Hans"/>
        </w:rPr>
        <w:t>或以任何不符合</w:t>
      </w:r>
      <w:r>
        <w:rPr>
          <w:rFonts w:hint="eastAsia"/>
          <w:lang w:val="en-US" w:eastAsia="zh-CN"/>
        </w:rPr>
        <w:t>翼比特</w:t>
      </w:r>
      <w:r>
        <w:rPr>
          <w:rFonts w:hint="eastAsia"/>
          <w:lang w:val="en-US" w:eastAsia="zh-Hans"/>
        </w:rPr>
        <w:t>官方说明的方法去</w:t>
      </w:r>
      <w:r>
        <w:rPr>
          <w:rFonts w:hint="eastAsia"/>
          <w:lang w:val="en-US" w:eastAsia="zh-CN"/>
        </w:rPr>
        <w:t>修改、升级</w:t>
      </w:r>
      <w:r>
        <w:rPr>
          <w:rFonts w:hint="eastAsia"/>
          <w:lang w:val="en-US" w:eastAsia="zh-Hans"/>
        </w:rPr>
        <w:t>产品。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lang w:val="en-US" w:eastAsia="zh-Hans"/>
        </w:rPr>
      </w:pPr>
      <w:r>
        <w:rPr>
          <w:rFonts w:hint="eastAsia"/>
          <w:lang w:val="en-US" w:eastAsia="zh-Hans"/>
        </w:rPr>
        <w:t>本</w:t>
      </w:r>
      <w:r>
        <w:rPr>
          <w:rFonts w:hint="eastAsia"/>
          <w:lang w:val="en-US" w:eastAsia="zh-CN"/>
        </w:rPr>
        <w:t>用户指引</w:t>
      </w:r>
      <w:r>
        <w:rPr>
          <w:rFonts w:hint="eastAsia"/>
          <w:lang w:val="en-US" w:eastAsia="zh-Hans"/>
        </w:rPr>
        <w:t>手册中将不定期更新。为确保您获得最新版本，请访问官网：</w:t>
      </w:r>
      <w:r>
        <w:rPr>
          <w:rFonts w:hint="eastAsia"/>
          <w:lang w:val="en-US" w:eastAsia="zh-Hans"/>
        </w:rPr>
        <w:fldChar w:fldCharType="begin"/>
      </w:r>
      <w:r>
        <w:rPr>
          <w:rFonts w:hint="eastAsia"/>
          <w:lang w:val="en-US" w:eastAsia="zh-Hans"/>
        </w:rPr>
        <w:instrText xml:space="preserve"> HYPERLINK "http://www.uavebit.com/" </w:instrText>
      </w:r>
      <w:r>
        <w:rPr>
          <w:rFonts w:hint="eastAsia"/>
          <w:lang w:val="en-US" w:eastAsia="zh-Hans"/>
        </w:rPr>
        <w:fldChar w:fldCharType="separate"/>
      </w:r>
      <w:r>
        <w:rPr>
          <w:rFonts w:hint="eastAsia"/>
          <w:lang w:val="en-US" w:eastAsia="zh-Hans"/>
        </w:rPr>
        <w:t>http://www.uavebit.com/</w:t>
      </w:r>
      <w:r>
        <w:rPr>
          <w:rFonts w:hint="eastAsia"/>
          <w:lang w:val="en-US" w:eastAsia="zh-Hans"/>
        </w:rPr>
        <w:fldChar w:fldCharType="end"/>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lang w:val="en-US" w:eastAsia="zh-CN"/>
        </w:rPr>
      </w:pPr>
      <w:r>
        <w:rPr>
          <w:rFonts w:hint="eastAsia"/>
          <w:lang w:val="en-US" w:eastAsia="zh-CN"/>
        </w:rPr>
        <w:t>温馨提示：此文件为“用户快速使用指南”，如需详细操作说明请查看对应产品操作手册。</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bCs/>
          <w:sz w:val="32"/>
          <w:szCs w:val="32"/>
          <w:highlight w:val="none"/>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产品概述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lang w:val="en-US" w:eastAsia="zh-CN"/>
        </w:rPr>
      </w:pPr>
      <w:r>
        <w:rPr>
          <w:rFonts w:hint="eastAsia"/>
          <w:lang w:val="en-US" w:eastAsia="zh-CN"/>
        </w:rPr>
        <w:t>“</w:t>
      </w:r>
      <w:r>
        <w:rPr>
          <w:rFonts w:hint="default"/>
          <w:lang w:eastAsia="zh-Hans"/>
        </w:rPr>
        <w:t>数字孪生智能电网运检管控平台</w:t>
      </w:r>
      <w:r>
        <w:rPr>
          <w:rFonts w:hint="eastAsia"/>
          <w:lang w:val="en-US" w:eastAsia="zh-CN"/>
        </w:rPr>
        <w:t>”是利用对无人机的控制然后对电网杆塔、线路巡视的一个管理平台，提供了对无人机的管理，以及对线路巡检计划的管理，提供了人性化的操作，可以记录对线路巡视的情况，生成报表，提高电网巡检的效率。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lang w:val="en-US" w:eastAsia="zh-CN"/>
        </w:rPr>
      </w:pPr>
      <w:r>
        <w:rPr>
          <w:rFonts w:hint="eastAsia"/>
          <w:lang w:val="en-US" w:eastAsia="zh-CN"/>
        </w:rPr>
        <w:t>基于全域数据信息，通过对历史问题的分析和当前状态平台的评估，融合电网设备运行的关联关系、变化态势等本质规律，实现对未来趋势的预测。</w:t>
      </w: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126" w:rightChars="60" w:firstLine="0" w:firstLineChars="0"/>
        <w:textAlignment w:val="baseline"/>
        <w:rPr>
          <w:rFonts w:hint="eastAsia"/>
        </w:rPr>
      </w:pP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126" w:rightChars="60" w:firstLine="0" w:firstLineChars="0"/>
        <w:textAlignment w:val="baseline"/>
        <w:rPr>
          <w:rFonts w:hint="eastAsia"/>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使用前须知</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227" w:firstLineChars="0"/>
        <w:textAlignment w:val="baseline"/>
        <w:rPr>
          <w:rFonts w:hint="eastAsia" w:ascii="宋体" w:hAnsi="宋体" w:eastAsia="宋体" w:cs="宋体"/>
          <w:lang w:val="en-US" w:eastAsia="zh-CN"/>
        </w:rPr>
      </w:pPr>
      <w:r>
        <w:rPr>
          <w:rFonts w:hint="eastAsia" w:ascii="宋体" w:hAnsi="宋体" w:eastAsia="宋体" w:cs="宋体"/>
        </w:rPr>
        <w:t>“</w:t>
      </w:r>
      <w:r>
        <w:rPr>
          <w:rFonts w:hint="default" w:ascii="宋体"/>
          <w:lang w:eastAsia="zh-Hans"/>
        </w:rPr>
        <w:t>数字孪生智能电网运检管控平台</w:t>
      </w:r>
      <w:r>
        <w:rPr>
          <w:rFonts w:hint="eastAsia" w:ascii="宋体" w:hAnsi="宋体" w:eastAsia="宋体" w:cs="宋体"/>
        </w:rPr>
        <w:t>”</w:t>
      </w:r>
      <w:r>
        <w:rPr>
          <w:rFonts w:hint="eastAsia" w:ascii="宋体" w:hAnsi="宋体" w:eastAsia="宋体" w:cs="宋体"/>
          <w:lang w:val="en-US" w:eastAsia="zh-CN"/>
        </w:rPr>
        <w:t>为web端系统，通过专用账号登录对应地址进行操作使用；</w:t>
      </w:r>
    </w:p>
    <w:p>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227" w:firstLineChars="0"/>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浏览器：</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840" w:firstLineChars="400"/>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Google Chrome 谷歌浏览器（推荐）；</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840" w:firstLineChars="400"/>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Apple Safari 苹果浏览器；</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840" w:firstLineChars="400"/>
        <w:textAlignment w:val="baseline"/>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Mozilla Firefox火狐浏览器.</w:t>
      </w:r>
    </w:p>
    <w:p>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227" w:firstLineChars="0"/>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Adobe Flash 插件 9.0及以上;</w:t>
      </w:r>
    </w:p>
    <w:p>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227" w:firstLineChars="0"/>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推荐显示器最佳分辨率：1920 * 1080，推荐最低使用分辨率为：1366 * 768;</w:t>
      </w:r>
    </w:p>
    <w:p>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227" w:firstLineChars="0"/>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 xml:space="preserve">上下载文档推荐使用MicrosoftOffice2010，2013或2016 </w:t>
      </w:r>
    </w:p>
    <w:p>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227" w:firstLineChars="0"/>
        <w:textAlignment w:val="baseline"/>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平台通过多种技术接口兼容不同厂商硬件（机场、微气象设备等），要获得流流畅的实时监控体验，您需要确保软硬设备相对较高的网络速度，并避免过多用户访问统一网络而引起延迟。</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227" w:leftChars="0"/>
        <w:textAlignment w:val="baseline"/>
        <w:rPr>
          <w:rFonts w:hint="default" w:ascii="宋体" w:hAnsi="宋体" w:eastAsia="宋体" w:cs="宋体"/>
          <w:snapToGrid w:val="0"/>
          <w:color w:val="000000"/>
          <w:kern w:val="0"/>
          <w:sz w:val="21"/>
          <w:szCs w:val="21"/>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使用产品</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lang w:eastAsia="zh-Hans"/>
        </w:rPr>
      </w:pPr>
      <w:r>
        <w:rPr>
          <w:rFonts w:hint="eastAsia" w:ascii="宋体" w:hAnsi="宋体" w:eastAsia="宋体" w:cs="宋体"/>
          <w:lang w:val="en-US" w:eastAsia="zh-CN"/>
        </w:rPr>
        <w:t>在您于各渠道购买了本产品后（如华为云市场）请联系成都翼比特自动设备有限公司，使用官方购买凭证获取</w:t>
      </w:r>
      <w:r>
        <w:rPr>
          <w:rFonts w:hint="eastAsia" w:ascii="宋体" w:hAnsi="宋体" w:eastAsia="宋体" w:cs="宋体"/>
          <w:lang w:val="en-US" w:eastAsia="zh-Hans"/>
        </w:rPr>
        <w:t>系统授权</w:t>
      </w:r>
      <w:r>
        <w:rPr>
          <w:rFonts w:hint="default" w:ascii="宋体" w:hAnsi="宋体" w:eastAsia="宋体" w:cs="宋体"/>
          <w:lang w:eastAsia="zh-Hans"/>
        </w:rPr>
        <w:t>。</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val="en-US" w:eastAsia="zh-CN"/>
        </w:rPr>
      </w:pPr>
      <w:bookmarkStart w:id="0" w:name="_Toc24014"/>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1</w:t>
      </w:r>
      <w:r>
        <w:rPr>
          <w:rFonts w:hint="eastAsia" w:ascii="仿宋" w:hAnsi="仿宋" w:eastAsia="仿宋" w:cs="仿宋"/>
          <w:b/>
          <w:bCs/>
          <w:sz w:val="32"/>
          <w:szCs w:val="32"/>
          <w:highlight w:val="none"/>
          <w:lang w:val="en-US" w:eastAsia="zh-CN"/>
        </w:rPr>
        <w:t>账号登录</w:t>
      </w:r>
      <w:bookmarkEnd w:id="0"/>
    </w:p>
    <w:p>
      <w:pPr>
        <w:pageBreakBefore w:val="0"/>
        <w:kinsoku/>
        <w:wordWrap/>
        <w:overflowPunct/>
        <w:topLinePunct w:val="0"/>
        <w:bidi w:val="0"/>
        <w:snapToGrid/>
        <w:spacing w:line="360" w:lineRule="auto"/>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w:t>
      </w:r>
      <w:r>
        <w:rPr>
          <w:rFonts w:hint="eastAsia" w:ascii="仿宋" w:hAnsi="仿宋" w:eastAsia="仿宋" w:cs="仿宋"/>
          <w:color w:val="000000" w:themeColor="text1"/>
          <w:lang w:val="en-US" w:eastAsia="zh-Hans"/>
          <w14:textFill>
            <w14:solidFill>
              <w14:schemeClr w14:val="tx1"/>
            </w14:solidFill>
          </w14:textFill>
        </w:rPr>
        <w:t>通过授权部署系统后</w:t>
      </w:r>
      <w:r>
        <w:rPr>
          <w:rFonts w:hint="default" w:ascii="仿宋" w:hAnsi="仿宋" w:eastAsia="仿宋" w:cs="仿宋"/>
          <w:color w:val="000000" w:themeColor="text1"/>
          <w:lang w:eastAsia="zh-Hans"/>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通过</w:t>
      </w:r>
      <w:r>
        <w:rPr>
          <w:rFonts w:hint="eastAsia" w:ascii="仿宋" w:hAnsi="仿宋" w:eastAsia="仿宋" w:cs="仿宋"/>
          <w:color w:val="000000" w:themeColor="text1"/>
          <w:lang w:val="en-US" w:eastAsia="zh-Hans"/>
          <w14:textFill>
            <w14:solidFill>
              <w14:schemeClr w14:val="tx1"/>
            </w14:solidFill>
          </w14:textFill>
        </w:rPr>
        <w:t>系统</w:t>
      </w:r>
      <w:r>
        <w:rPr>
          <w:rFonts w:hint="eastAsia" w:ascii="仿宋" w:hAnsi="仿宋" w:eastAsia="仿宋" w:cs="仿宋"/>
          <w:color w:val="000000" w:themeColor="text1"/>
          <w14:textFill>
            <w14:solidFill>
              <w14:schemeClr w14:val="tx1"/>
            </w14:solidFill>
          </w14:textFill>
        </w:rPr>
        <w:t>分配账号进行登录，</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4270375" cy="1932305"/>
            <wp:effectExtent l="0" t="0" r="22225" b="234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270375" cy="193230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eastAsia="zh-CN"/>
        </w:rPr>
      </w:pPr>
      <w:bookmarkStart w:id="1" w:name="_Toc6202"/>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eastAsia="zh-CN"/>
        </w:rPr>
        <w:t>.2重置密码</w:t>
      </w:r>
      <w:bookmarkEnd w:id="1"/>
    </w:p>
    <w:p>
      <w:pPr>
        <w:pageBreakBefore w:val="0"/>
        <w:kinsoku/>
        <w:wordWrap/>
        <w:overflowPunct/>
        <w:topLinePunct w:val="0"/>
        <w:bidi w:val="0"/>
        <w:snapToGrid/>
        <w:spacing w:line="360" w:lineRule="auto"/>
        <w:ind w:left="0" w:leftChars="0" w:firstLine="321"/>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通过正常登录以后在主页面有修改密码选项。输入旧密码以后对用户登录密码进行修改</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lang w:eastAsia="zh-Hans"/>
        </w:rPr>
      </w:pPr>
      <w:r>
        <w:rPr>
          <w:rFonts w:hint="eastAsia" w:ascii="仿宋" w:hAnsi="仿宋" w:eastAsia="仿宋" w:cs="仿宋"/>
          <w:color w:val="000000" w:themeColor="text1"/>
          <w14:textFill>
            <w14:solidFill>
              <w14:schemeClr w14:val="tx1"/>
            </w14:solidFill>
          </w14:textFill>
        </w:rPr>
        <w:drawing>
          <wp:inline distT="0" distB="0" distL="0" distR="0">
            <wp:extent cx="4053205" cy="1823085"/>
            <wp:effectExtent l="0" t="0" r="1079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53205" cy="182308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Hans"/>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3</w:t>
      </w:r>
      <w:r>
        <w:rPr>
          <w:rFonts w:hint="eastAsia" w:ascii="仿宋" w:hAnsi="仿宋" w:eastAsia="仿宋" w:cs="仿宋"/>
          <w:b/>
          <w:bCs/>
          <w:sz w:val="32"/>
          <w:szCs w:val="32"/>
          <w:highlight w:val="none"/>
          <w:lang w:eastAsia="zh-CN"/>
        </w:rPr>
        <w:t>系统工作台</w:t>
      </w:r>
    </w:p>
    <w:p>
      <w:pPr>
        <w:pStyle w:val="2"/>
        <w:ind w:left="0" w:leftChars="0" w:firstLine="0" w:firstLineChars="0"/>
        <w:rPr>
          <w:rFonts w:hint="eastAsia"/>
          <w:lang w:eastAsia="zh-CN"/>
        </w:rPr>
      </w:pPr>
      <w:r>
        <w:rPr>
          <w:rFonts w:hint="eastAsia" w:ascii="仿宋" w:hAnsi="仿宋" w:eastAsia="仿宋" w:cs="仿宋"/>
          <w:color w:val="000000" w:themeColor="text1"/>
          <w14:textFill>
            <w14:solidFill>
              <w14:schemeClr w14:val="tx1"/>
            </w14:solidFill>
          </w14:textFill>
        </w:rPr>
        <w:drawing>
          <wp:inline distT="0" distB="0" distL="0" distR="0">
            <wp:extent cx="3918585" cy="1849755"/>
            <wp:effectExtent l="0" t="0" r="1841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3918585" cy="1849755"/>
                    </a:xfrm>
                    <a:prstGeom prst="rect">
                      <a:avLst/>
                    </a:prstGeom>
                  </pic:spPr>
                </pic:pic>
              </a:graphicData>
            </a:graphic>
          </wp:inline>
        </w:drawing>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区域一：</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设备信息，显示了当前作业的设备，可以直接点击观看直播</w:t>
      </w:r>
    </w:p>
    <w:p>
      <w:pPr>
        <w:pStyle w:val="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线路信息，根据筛选直接在地图中定位到该线路。</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区域二：</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卫星地图：可选择卫星地图或者标准地图</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限飞区：将图标点亮以后，将会在地图中显示该地区的限飞区</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电子围栏：可以设置围栏的半径，以杆塔为中心点，以一定的距离对区域进行划分，</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将所有的围栏区域连接起来，形成一个大的区域，无人机超出此大区域，将触发报警装置</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定位：输入经纬度直接定位到地方</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测距：对鼠标点击的两点之间进行测距</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面积：利用鼠标对区域划分，对此区域的面积进行计算且得出结果</w:t>
      </w:r>
    </w:p>
    <w:p>
      <w:pPr>
        <w:pageBreakBefore w:val="0"/>
        <w:kinsoku/>
        <w:wordWrap/>
        <w:overflowPunct/>
        <w:topLinePunct w:val="0"/>
        <w:bidi w:val="0"/>
        <w:snapToGrid/>
        <w:spacing w:line="360" w:lineRule="auto"/>
        <w:ind w:left="0" w:leftChars="0"/>
        <w:textAlignment w:val="auto"/>
        <w:rPr>
          <w:rFonts w:hint="eastAsia"/>
        </w:rPr>
      </w:pPr>
      <w:r>
        <w:rPr>
          <w:rFonts w:hint="eastAsia" w:ascii="仿宋" w:hAnsi="仿宋" w:eastAsia="仿宋" w:cs="仿宋"/>
          <w:color w:val="000000" w:themeColor="text1"/>
          <w14:textFill>
            <w14:solidFill>
              <w14:schemeClr w14:val="tx1"/>
            </w14:solidFill>
          </w14:textFill>
        </w:rPr>
        <w:t>预警：在一定区域内当缺陷超过一定的数量（阀值设置）触发预警装</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eastAsia="zh-Hans"/>
        </w:rPr>
      </w:pPr>
      <w:r>
        <w:rPr>
          <w:rFonts w:hint="default" w:ascii="仿宋" w:hAnsi="仿宋" w:eastAsia="仿宋" w:cs="仿宋"/>
          <w:b/>
          <w:bCs/>
          <w:sz w:val="32"/>
          <w:szCs w:val="32"/>
          <w:highlight w:val="none"/>
          <w:lang w:eastAsia="zh-CN"/>
        </w:rPr>
        <w:t>4.4</w:t>
      </w:r>
      <w:r>
        <w:rPr>
          <w:rFonts w:hint="eastAsia" w:ascii="仿宋" w:hAnsi="仿宋" w:eastAsia="仿宋" w:cs="仿宋"/>
          <w:b/>
          <w:bCs/>
          <w:sz w:val="32"/>
          <w:szCs w:val="32"/>
          <w:highlight w:val="none"/>
          <w:lang w:eastAsia="zh-Hans"/>
        </w:rPr>
        <w:t>设备管理</w:t>
      </w:r>
    </w:p>
    <w:p>
      <w:pPr>
        <w:pStyle w:val="2"/>
        <w:ind w:left="0" w:leftChars="0" w:firstLine="0" w:firstLineChars="0"/>
        <w:rPr>
          <w:rFonts w:hint="eastAsia"/>
          <w:lang w:eastAsia="zh-CN"/>
        </w:rPr>
      </w:pPr>
      <w:r>
        <w:rPr>
          <w:rFonts w:hint="eastAsia" w:ascii="仿宋" w:hAnsi="仿宋" w:eastAsia="仿宋" w:cs="仿宋"/>
          <w:color w:val="000000" w:themeColor="text1"/>
          <w14:textFill>
            <w14:solidFill>
              <w14:schemeClr w14:val="tx1"/>
            </w14:solidFill>
          </w14:textFill>
        </w:rPr>
        <w:drawing>
          <wp:inline distT="0" distB="0" distL="0" distR="0">
            <wp:extent cx="3866515" cy="1767840"/>
            <wp:effectExtent l="0" t="0" r="1968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866515" cy="1767840"/>
                    </a:xfrm>
                    <a:prstGeom prst="rect">
                      <a:avLst/>
                    </a:prstGeom>
                  </pic:spPr>
                </pic:pic>
              </a:graphicData>
            </a:graphic>
          </wp:inline>
        </w:drawing>
      </w:r>
    </w:p>
    <w:p>
      <w:pPr>
        <w:pageBreakBefore w:val="0"/>
        <w:kinsoku/>
        <w:wordWrap/>
        <w:overflowPunct/>
        <w:topLinePunct w:val="0"/>
        <w:bidi w:val="0"/>
        <w:snapToGrid/>
        <w:spacing w:line="360" w:lineRule="auto"/>
        <w:ind w:left="840" w:leftChars="0" w:hanging="840" w:hangingChars="40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区域一：可以对设备类型以及设备的状态进行筛选，对设备的名称，编号，序列号，以及生产厂家进行查询</w:t>
      </w:r>
    </w:p>
    <w:p>
      <w:pPr>
        <w:pageBreakBefore w:val="0"/>
        <w:kinsoku/>
        <w:wordWrap/>
        <w:overflowPunct/>
        <w:topLinePunct w:val="0"/>
        <w:bidi w:val="0"/>
        <w:snapToGrid/>
        <w:spacing w:line="360" w:lineRule="auto"/>
        <w:ind w:left="840" w:leftChars="0" w:hanging="840" w:hangingChars="40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区域二：可以新增设备，对设备的状态进行改变，可以将当前用户内的设备数量导出以及批量导入设备</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区域三：显示了当前设备的详细内容，可以查看某一款设备的出库入库的次数</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color w:val="000000" w:themeColor="text1"/>
          <w14:textFill>
            <w14:solidFill>
              <w14:schemeClr w14:val="tx1"/>
            </w14:solidFill>
          </w14:textFill>
        </w:rPr>
      </w:pPr>
      <w:r>
        <w:rPr>
          <w:rFonts w:hint="default" w:ascii="仿宋" w:hAnsi="仿宋" w:eastAsia="仿宋" w:cs="仿宋"/>
          <w:b/>
          <w:bCs/>
          <w:sz w:val="32"/>
          <w:szCs w:val="32"/>
          <w:highlight w:val="none"/>
          <w:lang w:eastAsia="zh-CN"/>
        </w:rPr>
        <w:t>4.4</w:t>
      </w:r>
      <w:r>
        <w:rPr>
          <w:rFonts w:hint="eastAsia" w:ascii="仿宋" w:hAnsi="仿宋" w:eastAsia="仿宋" w:cs="仿宋"/>
          <w:b/>
          <w:bCs/>
          <w:sz w:val="32"/>
          <w:szCs w:val="32"/>
          <w:highlight w:val="none"/>
          <w:lang w:val="en-US" w:eastAsia="zh-Hans"/>
        </w:rPr>
        <w:t>巡检</w:t>
      </w:r>
      <w:r>
        <w:rPr>
          <w:rFonts w:hint="eastAsia" w:ascii="仿宋" w:hAnsi="仿宋" w:eastAsia="仿宋" w:cs="仿宋"/>
          <w:b/>
          <w:bCs/>
          <w:sz w:val="32"/>
          <w:szCs w:val="32"/>
          <w:highlight w:val="none"/>
          <w:lang w:eastAsia="zh-Hans"/>
        </w:rPr>
        <w:t>管理</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3800475" cy="2120265"/>
            <wp:effectExtent l="0" t="0" r="952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800475" cy="2120265"/>
                    </a:xfrm>
                    <a:prstGeom prst="rect">
                      <a:avLst/>
                    </a:prstGeom>
                  </pic:spPr>
                </pic:pic>
              </a:graphicData>
            </a:graphic>
          </wp:inline>
        </w:drawing>
      </w:r>
      <w:r>
        <w:rPr>
          <w:rFonts w:hint="eastAsia" w:ascii="仿宋" w:hAnsi="仿宋" w:eastAsia="仿宋" w:cs="仿宋"/>
          <w:color w:val="000000" w:themeColor="text1"/>
          <w14:textFill>
            <w14:solidFill>
              <w14:schemeClr w14:val="tx1"/>
            </w14:solidFill>
          </w14:textFill>
        </w:rPr>
        <w:t xml:space="preserve">区域一：计划的时间类型 </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区域二：对计划的编辑，新增，以及导出计划</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区域三：计划的详细信息，有名称，巡检类型，以及巡检的长度等信息</w:t>
      </w:r>
    </w:p>
    <w:p>
      <w:pPr>
        <w:pageBreakBefore w:val="0"/>
        <w:kinsoku/>
        <w:wordWrap/>
        <w:overflowPunct/>
        <w:topLinePunct w:val="0"/>
        <w:bidi w:val="0"/>
        <w:snapToGrid/>
        <w:spacing w:line="360" w:lineRule="auto"/>
        <w:ind w:left="840" w:leftChars="0" w:hanging="840" w:hangingChars="40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区域四：对计划做一个查询，利用计划名称，巡检类型都可以作为查询的条件且可以模糊查询</w:t>
      </w:r>
    </w:p>
    <w:p>
      <w:pPr>
        <w:pageBreakBefore w:val="0"/>
        <w:kinsoku/>
        <w:wordWrap/>
        <w:overflowPunct/>
        <w:topLinePunct w:val="0"/>
        <w:bidi w:val="0"/>
        <w:snapToGrid/>
        <w:spacing w:line="360" w:lineRule="auto"/>
        <w:ind w:left="0" w:leftChars="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区域五：上传计划报表，和下载报表模板，只有上传完成计划报表才能完成该任务</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5</w:t>
      </w:r>
      <w:r>
        <w:rPr>
          <w:rFonts w:hint="eastAsia" w:ascii="仿宋" w:hAnsi="仿宋" w:eastAsia="仿宋" w:cs="仿宋"/>
          <w:b/>
          <w:bCs/>
          <w:sz w:val="32"/>
          <w:szCs w:val="32"/>
          <w:highlight w:val="none"/>
          <w:lang w:eastAsia="zh-CN"/>
        </w:rPr>
        <w:t>电网资源管理</w:t>
      </w:r>
    </w:p>
    <w:p>
      <w:pPr>
        <w:pageBreakBefore w:val="0"/>
        <w:kinsoku/>
        <w:wordWrap/>
        <w:overflowPunct/>
        <w:topLinePunct w:val="0"/>
        <w:bidi w:val="0"/>
        <w:snapToGrid/>
        <w:spacing w:line="360" w:lineRule="auto"/>
        <w:ind w:left="0" w:leftChars="0" w:firstLine="321"/>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对线路以及线路中杆塔的管理，更加便捷的查看不同线路的问题，对杆塔的管理更加便捷</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6</w:t>
      </w:r>
      <w:r>
        <w:rPr>
          <w:rFonts w:hint="eastAsia" w:ascii="仿宋" w:hAnsi="仿宋" w:eastAsia="仿宋" w:cs="仿宋"/>
          <w:b/>
          <w:bCs/>
          <w:sz w:val="32"/>
          <w:szCs w:val="32"/>
          <w:highlight w:val="none"/>
          <w:lang w:eastAsia="zh-CN"/>
        </w:rPr>
        <w:t>数据管理</w:t>
      </w:r>
    </w:p>
    <w:p>
      <w:pPr>
        <w:pageBreakBefore w:val="0"/>
        <w:kinsoku/>
        <w:wordWrap/>
        <w:overflowPunct/>
        <w:topLinePunct w:val="0"/>
        <w:bidi w:val="0"/>
        <w:snapToGrid/>
        <w:spacing w:line="360" w:lineRule="auto"/>
        <w:ind w:left="0" w:leftChars="0" w:firstLine="321"/>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将不同的缺陷图片按照巡检类型放入不同的文件夹，更方便快捷的查看</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7</w:t>
      </w:r>
      <w:r>
        <w:rPr>
          <w:rFonts w:hint="eastAsia" w:ascii="仿宋" w:hAnsi="仿宋" w:eastAsia="仿宋" w:cs="仿宋"/>
          <w:b/>
          <w:bCs/>
          <w:sz w:val="32"/>
          <w:szCs w:val="32"/>
          <w:highlight w:val="none"/>
          <w:lang w:eastAsia="zh-CN"/>
        </w:rPr>
        <w:t>航线管理</w:t>
      </w:r>
    </w:p>
    <w:p>
      <w:pPr>
        <w:pStyle w:val="2"/>
        <w:ind w:left="0" w:leftChars="0" w:firstLine="0" w:firstLineChars="0"/>
        <w:rPr>
          <w:rFonts w:hint="eastAsia"/>
          <w:lang w:eastAsia="zh-CN"/>
        </w:rPr>
      </w:pPr>
      <w:r>
        <w:rPr>
          <w:rFonts w:hint="eastAsia" w:ascii="仿宋" w:hAnsi="仿宋" w:eastAsia="仿宋" w:cs="仿宋"/>
        </w:rPr>
        <w:drawing>
          <wp:inline distT="0" distB="0" distL="0" distR="0">
            <wp:extent cx="3658870" cy="1668780"/>
            <wp:effectExtent l="0" t="0" r="2413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3658870" cy="1668780"/>
                    </a:xfrm>
                    <a:prstGeom prst="rect">
                      <a:avLst/>
                    </a:prstGeom>
                  </pic:spPr>
                </pic:pic>
              </a:graphicData>
            </a:graphic>
          </wp:inline>
        </w:drawing>
      </w:r>
    </w:p>
    <w:p>
      <w:pPr>
        <w:pageBreakBefore w:val="0"/>
        <w:kinsoku/>
        <w:wordWrap/>
        <w:overflowPunct/>
        <w:topLinePunct w:val="0"/>
        <w:bidi w:val="0"/>
        <w:snapToGrid/>
        <w:spacing w:line="360" w:lineRule="auto"/>
        <w:ind w:left="0" w:leftChars="0" w:firstLine="321"/>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对于无人机的巡视航线进行管理，可以查看无人机的飞行参数</w:t>
      </w:r>
    </w:p>
    <w:p>
      <w:pPr>
        <w:pageBreakBefore w:val="0"/>
        <w:kinsoku/>
        <w:wordWrap/>
        <w:overflowPunct/>
        <w:topLinePunct w:val="0"/>
        <w:bidi w:val="0"/>
        <w:snapToGrid/>
        <w:spacing w:line="360" w:lineRule="auto"/>
        <w:textAlignment w:val="auto"/>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8</w:t>
      </w:r>
      <w:r>
        <w:rPr>
          <w:rFonts w:hint="eastAsia" w:ascii="仿宋" w:hAnsi="仿宋" w:eastAsia="仿宋" w:cs="仿宋"/>
          <w:b/>
          <w:bCs/>
          <w:sz w:val="32"/>
          <w:szCs w:val="32"/>
          <w:highlight w:val="none"/>
          <w:lang w:eastAsia="zh-CN"/>
        </w:rPr>
        <w:t>飞行记录</w:t>
      </w:r>
    </w:p>
    <w:p>
      <w:pPr>
        <w:pageBreakBefore w:val="0"/>
        <w:kinsoku/>
        <w:wordWrap/>
        <w:overflowPunct/>
        <w:topLinePunct w:val="0"/>
        <w:bidi w:val="0"/>
        <w:snapToGrid/>
        <w:spacing w:line="360" w:lineRule="auto"/>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对无人机的飞行记录进行管理，对无人机轨迹进行回放</w:t>
      </w:r>
    </w:p>
    <w:p>
      <w:pPr>
        <w:pageBreakBefore w:val="0"/>
        <w:kinsoku/>
        <w:wordWrap/>
        <w:overflowPunct/>
        <w:topLinePunct w:val="0"/>
        <w:bidi w:val="0"/>
        <w:snapToGrid/>
        <w:spacing w:line="360" w:lineRule="auto"/>
        <w:textAlignment w:val="auto"/>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9</w:t>
      </w:r>
      <w:r>
        <w:rPr>
          <w:rFonts w:hint="eastAsia" w:ascii="仿宋" w:hAnsi="仿宋" w:eastAsia="仿宋" w:cs="仿宋"/>
          <w:b/>
          <w:bCs/>
          <w:sz w:val="32"/>
          <w:szCs w:val="32"/>
          <w:highlight w:val="none"/>
          <w:lang w:eastAsia="zh-CN"/>
        </w:rPr>
        <w:t>统计分析</w:t>
      </w:r>
    </w:p>
    <w:p>
      <w:pPr>
        <w:pageBreakBefore w:val="0"/>
        <w:kinsoku/>
        <w:wordWrap/>
        <w:overflowPunct/>
        <w:topLinePunct w:val="0"/>
        <w:bidi w:val="0"/>
        <w:snapToGrid/>
        <w:spacing w:line="360" w:lineRule="auto"/>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对所有设备的统计，以及对缺陷的统计</w:t>
      </w:r>
    </w:p>
    <w:p>
      <w:pPr>
        <w:pageBreakBefore w:val="0"/>
        <w:kinsoku/>
        <w:wordWrap/>
        <w:overflowPunct/>
        <w:topLinePunct w:val="0"/>
        <w:bidi w:val="0"/>
        <w:snapToGrid/>
        <w:spacing w:line="360" w:lineRule="auto"/>
        <w:textAlignment w:val="auto"/>
        <w:rPr>
          <w:rFonts w:hint="eastAsia" w:ascii="仿宋" w:hAnsi="仿宋" w:eastAsia="仿宋" w:cs="仿宋"/>
          <w:b/>
          <w:bCs/>
          <w:sz w:val="32"/>
          <w:szCs w:val="32"/>
          <w:highlight w:val="none"/>
          <w:lang w:eastAsia="zh-CN"/>
        </w:rPr>
      </w:pPr>
      <w:r>
        <w:rPr>
          <w:rFonts w:hint="default" w:ascii="仿宋" w:hAnsi="仿宋" w:eastAsia="仿宋" w:cs="仿宋"/>
          <w:b/>
          <w:bCs/>
          <w:sz w:val="32"/>
          <w:szCs w:val="32"/>
          <w:highlight w:val="none"/>
          <w:lang w:eastAsia="zh-CN"/>
        </w:rPr>
        <w:t>4</w:t>
      </w:r>
      <w:r>
        <w:rPr>
          <w:rFonts w:hint="eastAsia" w:ascii="仿宋" w:hAnsi="仿宋" w:eastAsia="仿宋" w:cs="仿宋"/>
          <w:b/>
          <w:bCs/>
          <w:sz w:val="32"/>
          <w:szCs w:val="32"/>
          <w:highlight w:val="none"/>
          <w:lang w:val="en-US" w:eastAsia="zh-Hans"/>
        </w:rPr>
        <w:t>.</w:t>
      </w:r>
      <w:r>
        <w:rPr>
          <w:rFonts w:hint="default" w:ascii="仿宋" w:hAnsi="仿宋" w:eastAsia="仿宋" w:cs="仿宋"/>
          <w:b/>
          <w:bCs/>
          <w:sz w:val="32"/>
          <w:szCs w:val="32"/>
          <w:highlight w:val="none"/>
          <w:lang w:eastAsia="zh-Hans"/>
        </w:rPr>
        <w:t>10</w:t>
      </w:r>
      <w:r>
        <w:rPr>
          <w:rFonts w:hint="eastAsia" w:ascii="仿宋" w:hAnsi="仿宋" w:eastAsia="仿宋" w:cs="仿宋"/>
          <w:b/>
          <w:bCs/>
          <w:sz w:val="32"/>
          <w:szCs w:val="32"/>
          <w:highlight w:val="none"/>
          <w:lang w:eastAsia="zh-CN"/>
        </w:rPr>
        <w:t>系统管理</w:t>
      </w:r>
    </w:p>
    <w:p>
      <w:pPr>
        <w:pageBreakBefore w:val="0"/>
        <w:kinsoku/>
        <w:wordWrap/>
        <w:overflowPunct/>
        <w:topLinePunct w:val="0"/>
        <w:bidi w:val="0"/>
        <w:snapToGrid/>
        <w:spacing w:line="360" w:lineRule="auto"/>
        <w:textAlignment w:val="auto"/>
        <w:rPr>
          <w:rFonts w:hint="default" w:ascii="仿宋" w:hAnsi="仿宋" w:eastAsia="仿宋" w:cs="仿宋"/>
          <w:color w:val="000000" w:themeColor="text1"/>
          <w:lang w:eastAsia="zh-Hans"/>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对机构，以及用户的权限的管理。</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客户服务联系方式</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在您于各渠道购买了本产品后（如华为云市场）需要开通账号和获取系统地址与操作手册，或使用操作过程中遇到了问题寻求技术支持和解决办法时请通过以下方式与我们取得联系。</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客服电话：028-81443051</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s="宋体"/>
          <w:lang w:val="en-US" w:eastAsia="zh-CN"/>
        </w:rPr>
      </w:pPr>
      <w:r>
        <w:rPr>
          <w:rFonts w:hint="eastAsia" w:ascii="宋体" w:hAnsi="宋体" w:eastAsia="宋体" w:cs="宋体"/>
          <w:lang w:val="en-US" w:eastAsia="zh-CN"/>
        </w:rPr>
        <w:t>通讯地址：四川省成都市高新区益州大道复城国际T1-2204</w:t>
      </w:r>
    </w:p>
    <w:sectPr>
      <w:pgSz w:w="8411" w:h="11926"/>
      <w:pgMar w:top="1440" w:right="1134" w:bottom="1440" w:left="1134"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Yu Gothic UI Semibold">
    <w:altName w:val="Hiragino Sans"/>
    <w:panose1 w:val="020B0700000000000000"/>
    <w:charset w:val="80"/>
    <w:family w:val="auto"/>
    <w:pitch w:val="default"/>
    <w:sig w:usb0="00000000" w:usb1="00000000" w:usb2="00000016" w:usb3="00000000" w:csb0="2002009F" w:csb1="00000000"/>
  </w:font>
  <w:font w:name="仿宋">
    <w:altName w:val="方正仿宋_GBK"/>
    <w:panose1 w:val="02010609060101010101"/>
    <w:charset w:val="86"/>
    <w:family w:val="auto"/>
    <w:pitch w:val="default"/>
    <w:sig w:usb0="00000000" w:usb1="00000000" w:usb2="00000016" w:usb3="00000000" w:csb0="00040001" w:csb1="00000000"/>
  </w:font>
  <w:font w:name="Tahoma">
    <w:panose1 w:val="020B0804030504040204"/>
    <w:charset w:val="00"/>
    <w:family w:val="auto"/>
    <w:pitch w:val="default"/>
    <w:sig w:usb0="E1002AFF" w:usb1="C000605B" w:usb2="00000029" w:usb3="00000000" w:csb0="200101FF" w:csb1="20280000"/>
  </w:font>
  <w:font w:name="Segoe UI">
    <w:altName w:val="苹方-简"/>
    <w:panose1 w:val="020B0502040204020203"/>
    <w:charset w:val="00"/>
    <w:family w:val="auto"/>
    <w:pitch w:val="default"/>
    <w:sig w:usb0="00000000" w:usb1="00000000" w:usb2="00000009" w:usb3="00000000" w:csb0="200001FF" w:csb1="00000000"/>
  </w:font>
  <w:font w:name="Hiragino Sans">
    <w:panose1 w:val="020B0300000000000000"/>
    <w:charset w:val="80"/>
    <w:family w:val="auto"/>
    <w:pitch w:val="default"/>
    <w:sig w:usb0="E00002FF" w:usb1="7AE7FFFF" w:usb2="00000012" w:usb3="00000000" w:csb0="0002000D"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仿宋_GB2312">
    <w:altName w:val="方正仿宋_GBK"/>
    <w:panose1 w:val="00000000000000000000"/>
    <w:charset w:val="00"/>
    <w:family w:val="auto"/>
    <w:pitch w:val="default"/>
    <w:sig w:usb0="00000000" w:usb1="00000000" w:usb2="00000000" w:usb3="00000000" w:csb0="00000000" w:csb1="00000000"/>
  </w:font>
  <w:font w:name="Avenir">
    <w:panose1 w:val="02000503020000020003"/>
    <w:charset w:val="00"/>
    <w:family w:val="auto"/>
    <w:pitch w:val="default"/>
    <w:sig w:usb0="800000AF" w:usb1="5000204A" w:usb2="00000000" w:usb3="00000000" w:csb0="0000009B"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Microsoft YaHei">
    <w:panose1 w:val="020B0503020204020204"/>
    <w:charset w:val="86"/>
    <w:family w:val="auto"/>
    <w:pitch w:val="default"/>
    <w:sig w:usb0="80000287" w:usb1="2A0F3C52" w:usb2="00000016" w:usb3="00000000" w:csb0="0004001F" w:csb1="00000000"/>
  </w:font>
  <w:font w:name="MicrosoftYaHei-Bold">
    <w:altName w:val="苹方-简"/>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仿宋">
    <w:altName w:val="方正仿宋_GBK"/>
    <w:panose1 w:val="00000000000000000000"/>
    <w:charset w:val="00"/>
    <w:family w:val="auto"/>
    <w:pitch w:val="default"/>
    <w:sig w:usb0="00000000" w:usb1="00000000" w:usb2="0000000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08C297"/>
    <w:multiLevelType w:val="singleLevel"/>
    <w:tmpl w:val="FA08C297"/>
    <w:lvl w:ilvl="0" w:tentative="0">
      <w:start w:val="1"/>
      <w:numFmt w:val="decimal"/>
      <w:lvlText w:val="%1."/>
      <w:lvlJc w:val="left"/>
      <w:pPr>
        <w:tabs>
          <w:tab w:val="left" w:pos="312"/>
        </w:tabs>
      </w:pPr>
    </w:lvl>
  </w:abstractNum>
  <w:abstractNum w:abstractNumId="1">
    <w:nsid w:val="416C2BA4"/>
    <w:multiLevelType w:val="singleLevel"/>
    <w:tmpl w:val="416C2BA4"/>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val="1"/>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doNotExpandShiftReturn/>
    <w:doNotWrapTextWithPunct/>
    <w:doNotUseEastAsianBreakRules/>
    <w:useFELayout/>
    <w:doNotUseIndentAsNumberingTabStop/>
    <w:compatSetting w:name="compatibilityMode" w:uri="http://schemas.microsoft.com/office/word" w:val="14"/>
  </w:compat>
  <w:docVars>
    <w:docVar w:name="commondata" w:val="eyJoZGlkIjoiNjU3YjA2YTk3Njg4NDI5YThiOGQ0ODc0ZDEzNmUxMGEifQ=="/>
  </w:docVars>
  <w:rsids>
    <w:rsidRoot w:val="00000000"/>
    <w:rsid w:val="08DC7FF5"/>
    <w:rsid w:val="19261E31"/>
    <w:rsid w:val="1C8B03ED"/>
    <w:rsid w:val="58C51600"/>
    <w:rsid w:val="5F4FF224"/>
    <w:rsid w:val="734B5468"/>
    <w:rsid w:val="769A578E"/>
    <w:rsid w:val="7CD7CBD2"/>
    <w:rsid w:val="7F7BA2CD"/>
    <w:rsid w:val="B77BC62D"/>
    <w:rsid w:val="BF6B2DB8"/>
    <w:rsid w:val="D75D8F3B"/>
    <w:rsid w:val="EDEE66FE"/>
    <w:rsid w:val="FF6F0E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spacing w:before="20" w:beforeLines="0" w:beforeAutospacing="0" w:after="20" w:afterLines="0" w:afterAutospacing="0" w:line="360" w:lineRule="auto"/>
      <w:outlineLvl w:val="0"/>
    </w:pPr>
    <w:rPr>
      <w:rFonts w:asciiTheme="minorAscii" w:hAnsiTheme="minorAscii"/>
      <w:kern w:val="44"/>
      <w:sz w:val="36"/>
      <w:szCs w:val="22"/>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Theme="minorEastAsia"/>
      <w:b/>
      <w:sz w:val="32"/>
    </w:rPr>
  </w:style>
  <w:style w:type="paragraph" w:styleId="5">
    <w:name w:val="heading 3"/>
    <w:basedOn w:val="1"/>
    <w:next w:val="1"/>
    <w:unhideWhenUsed/>
    <w:qFormat/>
    <w:uiPriority w:val="0"/>
    <w:pPr>
      <w:keepNext/>
      <w:keepLines/>
      <w:spacing w:before="260" w:after="260" w:line="416" w:lineRule="auto"/>
      <w:outlineLvl w:val="2"/>
    </w:pPr>
    <w:rPr>
      <w:rFonts w:asciiTheme="minorEastAsia" w:hAnsiTheme="minorEastAsia" w:eastAsiaTheme="minorEastAsia"/>
      <w:bCs/>
      <w:color w:val="000000" w:themeColor="text1"/>
      <w:sz w:val="28"/>
      <w:szCs w:val="21"/>
      <w:shd w:val="clear" w:color="auto" w:fill="FFFFFF"/>
      <w14:textFill>
        <w14:solidFill>
          <w14:schemeClr w14:val="tx1"/>
        </w14:solidFill>
      </w14:textFill>
    </w:rPr>
  </w:style>
  <w:style w:type="character" w:default="1" w:styleId="6">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1126</Words>
  <Characters>1295</Characters>
  <ScaleCrop>false</ScaleCrop>
  <LinksUpToDate>false</LinksUpToDate>
  <CharactersWithSpaces>1341</CharactersWithSpaces>
  <Application>WPS Office_3.9.6.6441_F1E327BC-269C-435d-A152-05C5408002CA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2021-07-28T11:43:00Z</dcterms:created>
  <dc:creator>WTY</dc:creator>
  <cp:lastModifiedBy>wangsong</cp:lastModifiedBy>
  <dcterms:modified xsi:type="dcterms:W3CDTF">2022-08-12T11:18:06Z</dcterms:modified>
  <dc:title>EVO NEST_快速指引_中文_V1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2022-06-02T14:18:23Z</vt:filetime>
  </property>
  <property fmtid="{D5CDD505-2E9C-101B-9397-08002B2CF9AE}" pid="4" name="KSOProductBuildVer">
    <vt:lpwstr>2052-3.9.6.6441</vt:lpwstr>
  </property>
  <property fmtid="{D5CDD505-2E9C-101B-9397-08002B2CF9AE}" pid="5" name="ICV">
    <vt:lpwstr>AFFE8C1B24724B88975578DB3ABF58A2</vt:lpwstr>
  </property>
</Properties>
</file>