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40" w:firstLineChars="100"/>
        <w:jc w:val="center"/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</w:p>
    <w:p>
      <w:pPr>
        <w:ind w:firstLine="440" w:firstLineChars="100"/>
        <w:jc w:val="center"/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  <w:t>神马云脑</w:t>
      </w:r>
    </w:p>
    <w:p>
      <w:pPr>
        <w:jc w:val="center"/>
        <w:rPr>
          <w:rFonts w:hint="default" w:ascii="微软雅黑" w:hAnsi="微软雅黑" w:eastAsia="微软雅黑"/>
          <w:b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  <w:t>银行数字化业务系统解决方案</w:t>
      </w:r>
    </w:p>
    <w:p>
      <w:pPr>
        <w:ind w:firstLine="440" w:firstLineChars="100"/>
        <w:jc w:val="center"/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  <w:t>使用指南</w:t>
      </w:r>
    </w:p>
    <w:p>
      <w:pPr>
        <w:ind w:firstLine="300" w:firstLineChars="100"/>
        <w:jc w:val="center"/>
        <w:rPr>
          <w:rFonts w:hint="eastAsia" w:ascii="微软雅黑" w:hAnsi="微软雅黑" w:eastAsia="微软雅黑"/>
          <w:b w:val="0"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30"/>
          <w:szCs w:val="30"/>
          <w:lang w:val="en-US" w:eastAsia="zh-CN"/>
        </w:rPr>
        <w:t>（V2.0）</w:t>
      </w:r>
    </w:p>
    <w:p>
      <w:pPr>
        <w:ind w:firstLine="440" w:firstLineChars="100"/>
        <w:jc w:val="center"/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</w:p>
    <w:p>
      <w:pPr>
        <w:ind w:firstLine="440" w:firstLineChars="100"/>
        <w:jc w:val="center"/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</w:p>
    <w:p>
      <w:pPr>
        <w:ind w:firstLine="440" w:firstLineChars="100"/>
        <w:jc w:val="center"/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</w:p>
    <w:p>
      <w:pPr>
        <w:ind w:firstLine="440" w:firstLineChars="100"/>
        <w:jc w:val="center"/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</w:p>
    <w:p>
      <w:pPr>
        <w:ind w:firstLine="440" w:firstLineChars="100"/>
        <w:jc w:val="center"/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  <w:drawing>
          <wp:inline distT="0" distB="0" distL="114300" distR="114300">
            <wp:extent cx="2107565" cy="637540"/>
            <wp:effectExtent l="0" t="0" r="635" b="10160"/>
            <wp:docPr id="11" name="图片 11" descr="微神马LOGO基础版-PNG格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神马LOGO基础版-PNG格式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jc w:val="center"/>
        <w:rPr>
          <w:rFonts w:hint="default" w:ascii="微软雅黑" w:hAnsi="微软雅黑" w:eastAsia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lang w:val="en-US" w:eastAsia="zh-CN"/>
        </w:rPr>
        <w:t>微神马科技（大连）有限公司</w:t>
      </w:r>
    </w:p>
    <w:p>
      <w:pPr>
        <w:ind w:firstLine="240" w:firstLineChars="100"/>
        <w:jc w:val="center"/>
        <w:rPr>
          <w:rFonts w:hint="default" w:ascii="微软雅黑" w:hAnsi="微软雅黑" w:eastAsia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/>
          <w:sz w:val="24"/>
          <w:szCs w:val="24"/>
          <w:lang w:val="en-US" w:eastAsia="zh-CN"/>
        </w:rPr>
        <w:t>2022年10月</w:t>
      </w:r>
    </w:p>
    <w:p>
      <w:pPr>
        <w:ind w:firstLine="440" w:firstLineChars="100"/>
        <w:jc w:val="center"/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  <w:bookmarkStart w:id="30" w:name="_GoBack"/>
      <w:bookmarkEnd w:id="30"/>
    </w:p>
    <w:p>
      <w:pPr>
        <w:ind w:firstLine="440" w:firstLineChars="100"/>
        <w:jc w:val="center"/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</w:p>
    <w:p>
      <w:pPr>
        <w:jc w:val="both"/>
        <w:rPr>
          <w:rFonts w:ascii="微软雅黑" w:hAnsi="微软雅黑" w:eastAsia="微软雅黑"/>
          <w:b/>
          <w:szCs w:val="21"/>
        </w:rPr>
      </w:pPr>
    </w:p>
    <w:sdt>
      <w:sdtPr>
        <w:rPr>
          <w:lang w:val="zh-CN"/>
        </w:rPr>
        <w:id w:val="58766080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18"/>
          <w:szCs w:val="18"/>
          <w:lang w:val="zh-CN"/>
        </w:rPr>
      </w:sdtEndPr>
      <w:sdtContent>
        <w:p>
          <w:pPr>
            <w:pStyle w:val="45"/>
            <w:rPr>
              <w:rFonts w:ascii="微软雅黑" w:hAnsi="微软雅黑" w:eastAsia="微软雅黑"/>
              <w:color w:val="auto"/>
            </w:rPr>
          </w:pPr>
          <w:r>
            <w:rPr>
              <w:rFonts w:ascii="微软雅黑" w:hAnsi="微软雅黑" w:eastAsia="微软雅黑"/>
              <w:color w:val="auto"/>
              <w:lang w:val="zh-CN"/>
            </w:rPr>
            <w:t>目录</w:t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b/>
              <w:bCs/>
              <w:sz w:val="18"/>
              <w:szCs w:val="18"/>
              <w:lang w:val="zh-CN"/>
            </w:rPr>
            <w:fldChar w:fldCharType="begin"/>
          </w:r>
          <w:r>
            <w:rPr>
              <w:b/>
              <w:bCs/>
              <w:sz w:val="18"/>
              <w:szCs w:val="18"/>
              <w:lang w:val="zh-CN"/>
            </w:rPr>
            <w:instrText xml:space="preserve"> TOC \o "1-3" \h \z \u </w:instrText>
          </w:r>
          <w:r>
            <w:rPr>
              <w:b/>
              <w:bCs/>
              <w:sz w:val="18"/>
              <w:szCs w:val="18"/>
              <w:lang w:val="zh-CN"/>
            </w:rPr>
            <w:fldChar w:fldCharType="separate"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"_Toc118147414"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一、解决方案说明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_Toc118147414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"_Toc118147415"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ascii="微软雅黑" w:hAnsi="微软雅黑" w:eastAsia="微软雅黑"/>
              <w:sz w:val="18"/>
              <w:szCs w:val="18"/>
            </w:rPr>
            <w:t>1</w:t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、业务模式多样性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_Toc118147415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"_Toc118147416"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ascii="微软雅黑" w:hAnsi="微软雅黑" w:eastAsia="微软雅黑"/>
              <w:sz w:val="18"/>
              <w:szCs w:val="18"/>
            </w:rPr>
            <w:t>2</w:t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、系统预警及权限控制体系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_Toc118147416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"_Toc118147417"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ascii="微软雅黑" w:hAnsi="微软雅黑" w:eastAsia="微软雅黑"/>
              <w:sz w:val="18"/>
              <w:szCs w:val="18"/>
            </w:rPr>
            <w:t>3</w:t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、标准化渠道接入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_Toc118147417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"_Toc118147418"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ascii="微软雅黑" w:hAnsi="微软雅黑" w:eastAsia="微软雅黑"/>
              <w:sz w:val="18"/>
              <w:szCs w:val="18"/>
            </w:rPr>
            <w:t>4</w:t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、系统技术能力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_Toc118147418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"_Toc118147419"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二、系统架构说明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_Toc118147419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2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"_Toc118147420"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三、系统功能说明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_Toc118147420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3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"_Toc118147421"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1、日常运营—设置资金投放计划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_Toc118147421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3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left" w:pos="620"/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"_Toc118147422"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2、日常运营—实时监测放款账户余额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_Toc118147422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3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"_Toc118147423"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ascii="微软雅黑" w:hAnsi="微软雅黑" w:eastAsia="微软雅黑"/>
              <w:sz w:val="18"/>
              <w:szCs w:val="18"/>
            </w:rPr>
            <w:t>3</w:t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、日常运营—设置</w:t>
          </w:r>
          <w:r>
            <w:rPr>
              <w:rStyle w:val="20"/>
              <w:rFonts w:ascii="微软雅黑" w:hAnsi="微软雅黑" w:eastAsia="微软雅黑"/>
              <w:sz w:val="18"/>
              <w:szCs w:val="18"/>
            </w:rPr>
            <w:t>LPR</w:t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基础利率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_Toc118147423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3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"_Toc118147424"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ascii="微软雅黑" w:hAnsi="微软雅黑" w:eastAsia="微软雅黑"/>
              <w:sz w:val="18"/>
              <w:szCs w:val="18"/>
            </w:rPr>
            <w:t>4</w:t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、借款管理—查询借款订单及订单明细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_Toc118147424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3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"_Toc118147425"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ascii="微软雅黑" w:hAnsi="微软雅黑" w:eastAsia="微软雅黑"/>
              <w:sz w:val="18"/>
              <w:szCs w:val="18"/>
            </w:rPr>
            <w:t>5</w:t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、还款管理—银行还款计划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_Toc118147425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4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"_Toc118147426"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6、还款管理—前端还款记录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_Toc118147426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4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"_Toc118147427"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7、机构管理—银行管理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_Toc118147427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4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"_Toc118147428"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8、机构管理—银行信贷产品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_Toc118147428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4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"_Toc118147429"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9、机构管理—助贷机构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_Toc118147429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4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"_Toc118147430"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10、机构管理—增信机构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_Toc118147430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5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"_Toc118147431"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11、机构管理—保证金管理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_Toc118147431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5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"_Toc118147432"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12、产品管理—产品管理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_Toc118147432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5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"_Toc118147433"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13、合同管理—合同管理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_Toc118147433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6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"_Toc118147434"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14、系统管理—字典管理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_Toc118147434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6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"_Toc118147435"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15、系统管理—定时任务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_Toc118147435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9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"_Toc118147436"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16、系统管理—系统参数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_Toc118147436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11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"_Toc118147437"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17、系统管理—控制台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_Toc118147437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13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"_Toc118147438"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18、系统管理—支付平台管理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_Toc118147438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14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"_Toc118147439"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19、系统管理—系统预警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_Toc118147439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15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"_Toc118147440"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20、创建系统使用者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_Toc118147440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15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rFonts w:cstheme="minorBidi"/>
              <w:kern w:val="2"/>
              <w:sz w:val="18"/>
              <w:szCs w:val="18"/>
            </w:rPr>
          </w:pP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HYPERLINK \l "_Toc118147441" </w:instrText>
          </w:r>
          <w:r>
            <w:rPr>
              <w:sz w:val="18"/>
              <w:szCs w:val="18"/>
            </w:rPr>
            <w:fldChar w:fldCharType="separate"/>
          </w:r>
          <w:r>
            <w:rPr>
              <w:rStyle w:val="20"/>
              <w:rFonts w:hint="eastAsia" w:ascii="微软雅黑" w:hAnsi="微软雅黑" w:eastAsia="微软雅黑"/>
              <w:sz w:val="18"/>
              <w:szCs w:val="18"/>
            </w:rPr>
            <w:t>21、为系统使用者绑定角色及分配权限</w:t>
          </w:r>
          <w:r>
            <w:rPr>
              <w:sz w:val="18"/>
              <w:szCs w:val="18"/>
            </w:rPr>
            <w:tab/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PAGEREF _Toc118147441 \h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18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fldChar w:fldCharType="end"/>
          </w:r>
        </w:p>
        <w:p>
          <w:pPr>
            <w:rPr>
              <w:sz w:val="18"/>
              <w:szCs w:val="18"/>
            </w:rPr>
          </w:pPr>
          <w:r>
            <w:rPr>
              <w:b/>
              <w:bCs/>
              <w:sz w:val="18"/>
              <w:szCs w:val="18"/>
              <w:lang w:val="zh-CN"/>
            </w:rPr>
            <w:fldChar w:fldCharType="end"/>
          </w:r>
        </w:p>
      </w:sdtContent>
    </w:sdt>
    <w:p>
      <w:pPr>
        <w:ind w:firstLine="180" w:firstLineChars="100"/>
        <w:jc w:val="center"/>
        <w:rPr>
          <w:rFonts w:ascii="微软雅黑" w:hAnsi="微软雅黑" w:eastAsia="微软雅黑"/>
          <w:b/>
          <w:sz w:val="18"/>
          <w:szCs w:val="18"/>
        </w:rPr>
      </w:pPr>
    </w:p>
    <w:p>
      <w:pPr>
        <w:ind w:firstLine="180" w:firstLineChars="100"/>
        <w:jc w:val="center"/>
        <w:rPr>
          <w:rFonts w:hint="eastAsia" w:ascii="微软雅黑" w:hAnsi="微软雅黑" w:eastAsia="微软雅黑"/>
          <w:b/>
          <w:sz w:val="18"/>
          <w:szCs w:val="18"/>
        </w:rPr>
      </w:pPr>
    </w:p>
    <w:p>
      <w:pPr>
        <w:pStyle w:val="2"/>
        <w:rPr>
          <w:rFonts w:ascii="微软雅黑" w:hAnsi="微软雅黑" w:eastAsia="微软雅黑"/>
          <w:szCs w:val="32"/>
        </w:rPr>
      </w:pPr>
      <w:bookmarkStart w:id="0" w:name="_Toc118147414"/>
      <w:r>
        <w:rPr>
          <w:rFonts w:ascii="微软雅黑" w:hAnsi="微软雅黑" w:eastAsia="微软雅黑"/>
          <w:szCs w:val="32"/>
        </w:rPr>
        <w:t>一、解决方案说明</w:t>
      </w:r>
      <w:bookmarkEnd w:id="0"/>
    </w:p>
    <w:p>
      <w:pPr>
        <w:pStyle w:val="3"/>
        <w:rPr>
          <w:rFonts w:ascii="微软雅黑" w:hAnsi="微软雅黑" w:eastAsia="微软雅黑"/>
          <w:sz w:val="28"/>
          <w:szCs w:val="28"/>
        </w:rPr>
      </w:pPr>
      <w:bookmarkStart w:id="1" w:name="_Toc118147415"/>
      <w:r>
        <w:rPr>
          <w:rFonts w:hint="eastAsia" w:ascii="微软雅黑" w:hAnsi="微软雅黑" w:eastAsia="微软雅黑"/>
          <w:sz w:val="28"/>
          <w:szCs w:val="28"/>
        </w:rPr>
        <w:t>1、业务模式多样性</w:t>
      </w:r>
      <w:bookmarkEnd w:id="1"/>
    </w:p>
    <w:p>
      <w:pPr>
        <w:pStyle w:val="7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结合</w:t>
      </w:r>
      <w:r>
        <w:rPr>
          <w:rFonts w:hint="eastAsia" w:ascii="微软雅黑" w:hAnsi="微软雅黑" w:eastAsia="微软雅黑"/>
          <w:szCs w:val="21"/>
          <w:lang w:eastAsia="zh-CN"/>
        </w:rPr>
        <w:t>小微信贷及互联网信贷业务</w:t>
      </w:r>
      <w:r>
        <w:rPr>
          <w:rFonts w:hint="eastAsia" w:ascii="微软雅黑" w:hAnsi="微软雅黑" w:eastAsia="微软雅黑"/>
          <w:szCs w:val="21"/>
        </w:rPr>
        <w:t>发展变迁和监管合规要求等因素，</w:t>
      </w:r>
      <w:r>
        <w:rPr>
          <w:rFonts w:hint="eastAsia" w:ascii="微软雅黑" w:hAnsi="微软雅黑" w:eastAsia="微软雅黑"/>
          <w:szCs w:val="21"/>
          <w:lang w:eastAsia="zh-CN"/>
        </w:rPr>
        <w:t>本</w:t>
      </w:r>
      <w:r>
        <w:rPr>
          <w:rFonts w:hint="eastAsia" w:ascii="微软雅黑" w:hAnsi="微软雅黑" w:eastAsia="微软雅黑"/>
          <w:szCs w:val="21"/>
        </w:rPr>
        <w:t>平台兼容助贷、自营、联贷三种业务模式。对于</w:t>
      </w:r>
      <w:r>
        <w:rPr>
          <w:rFonts w:hint="eastAsia" w:ascii="微软雅黑" w:hAnsi="微软雅黑" w:eastAsia="微软雅黑"/>
          <w:szCs w:val="21"/>
          <w:lang w:eastAsia="zh-CN"/>
        </w:rPr>
        <w:t>信贷</w:t>
      </w:r>
      <w:r>
        <w:rPr>
          <w:rFonts w:hint="eastAsia" w:ascii="微软雅黑" w:hAnsi="微软雅黑" w:eastAsia="微软雅黑"/>
          <w:szCs w:val="21"/>
        </w:rPr>
        <w:t>产品设置和</w:t>
      </w:r>
      <w:r>
        <w:rPr>
          <w:rFonts w:hint="eastAsia" w:ascii="微软雅黑" w:hAnsi="微软雅黑" w:eastAsia="微软雅黑"/>
          <w:szCs w:val="21"/>
          <w:lang w:eastAsia="zh-CN"/>
        </w:rPr>
        <w:t>业务流程</w:t>
      </w:r>
      <w:r>
        <w:rPr>
          <w:rFonts w:hint="eastAsia" w:ascii="微软雅黑" w:hAnsi="微软雅黑" w:eastAsia="微软雅黑"/>
          <w:szCs w:val="21"/>
        </w:rPr>
        <w:t>处理，具有灵活性、个性化的特点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</w:rPr>
        <w:t>为</w:t>
      </w:r>
      <w:r>
        <w:rPr>
          <w:rFonts w:hint="eastAsia" w:ascii="微软雅黑" w:hAnsi="微软雅黑" w:eastAsia="微软雅黑"/>
          <w:szCs w:val="21"/>
          <w:lang w:eastAsia="zh-CN"/>
        </w:rPr>
        <w:t>业务的</w:t>
      </w:r>
      <w:r>
        <w:rPr>
          <w:rFonts w:ascii="微软雅黑" w:hAnsi="微软雅黑" w:eastAsia="微软雅黑"/>
          <w:szCs w:val="21"/>
          <w:lang w:eastAsia="zh-CN"/>
        </w:rPr>
        <w:t>拓展</w:t>
      </w:r>
      <w:r>
        <w:rPr>
          <w:rFonts w:hint="eastAsia" w:ascii="微软雅黑" w:hAnsi="微软雅黑" w:eastAsia="微软雅黑"/>
          <w:szCs w:val="21"/>
          <w:lang w:eastAsia="zh-CN"/>
        </w:rPr>
        <w:t>提供了</w:t>
      </w:r>
      <w:r>
        <w:rPr>
          <w:rFonts w:ascii="微软雅黑" w:hAnsi="微软雅黑" w:eastAsia="微软雅黑"/>
          <w:szCs w:val="21"/>
          <w:lang w:eastAsia="zh-CN"/>
        </w:rPr>
        <w:t>坚实的基础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3"/>
        <w:rPr>
          <w:rFonts w:ascii="微软雅黑" w:hAnsi="微软雅黑" w:eastAsia="微软雅黑"/>
          <w:sz w:val="28"/>
          <w:szCs w:val="28"/>
        </w:rPr>
      </w:pPr>
      <w:bookmarkStart w:id="2" w:name="_Toc118147416"/>
      <w:bookmarkStart w:id="3" w:name="_Toc11938938"/>
      <w:r>
        <w:rPr>
          <w:rFonts w:hint="eastAsia" w:ascii="微软雅黑" w:hAnsi="微软雅黑" w:eastAsia="微软雅黑"/>
          <w:sz w:val="28"/>
          <w:szCs w:val="28"/>
        </w:rPr>
        <w:t>2、系统预警及权限控制体系</w:t>
      </w:r>
      <w:bookmarkEnd w:id="2"/>
      <w:bookmarkEnd w:id="3"/>
    </w:p>
    <w:p>
      <w:pPr>
        <w:pStyle w:val="7"/>
        <w:rPr>
          <w:rFonts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对业务链路的</w:t>
      </w:r>
      <w:r>
        <w:rPr>
          <w:rFonts w:hint="eastAsia" w:ascii="微软雅黑" w:hAnsi="微软雅黑" w:eastAsia="微软雅黑"/>
          <w:szCs w:val="21"/>
          <w:lang w:eastAsia="zh-CN"/>
        </w:rPr>
        <w:t>全过程进行</w:t>
      </w:r>
      <w:r>
        <w:rPr>
          <w:rFonts w:hint="eastAsia" w:ascii="微软雅黑" w:hAnsi="微软雅黑" w:eastAsia="微软雅黑"/>
          <w:szCs w:val="21"/>
        </w:rPr>
        <w:t>监测和</w:t>
      </w:r>
      <w:r>
        <w:rPr>
          <w:rFonts w:hint="eastAsia" w:ascii="微软雅黑" w:hAnsi="微软雅黑" w:eastAsia="微软雅黑"/>
          <w:szCs w:val="21"/>
          <w:lang w:eastAsia="zh-CN"/>
        </w:rPr>
        <w:t>预警，能够及时地发现、报告异常问题，方便对应人员快速定位和解决问题。</w:t>
      </w:r>
    </w:p>
    <w:p>
      <w:pPr>
        <w:pStyle w:val="7"/>
        <w:rPr>
          <w:rFonts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  <w:lang w:eastAsia="zh-CN"/>
        </w:rPr>
        <w:t>本平台有复杂的权限管理体系，可以对不同的用户角色按需分配系统权限和数据权限。既能合理化分工，又能保证数据信息安全。</w:t>
      </w:r>
    </w:p>
    <w:p>
      <w:pPr>
        <w:pStyle w:val="3"/>
        <w:rPr>
          <w:rFonts w:ascii="微软雅黑" w:hAnsi="微软雅黑" w:eastAsia="微软雅黑"/>
          <w:sz w:val="28"/>
          <w:szCs w:val="28"/>
        </w:rPr>
      </w:pPr>
      <w:bookmarkStart w:id="4" w:name="_Toc118147417"/>
      <w:bookmarkStart w:id="5" w:name="_Toc11938940"/>
      <w:r>
        <w:rPr>
          <w:rFonts w:hint="eastAsia" w:ascii="微软雅黑" w:hAnsi="微软雅黑" w:eastAsia="微软雅黑"/>
          <w:sz w:val="28"/>
          <w:szCs w:val="28"/>
        </w:rPr>
        <w:t>3、标准化</w:t>
      </w:r>
      <w:r>
        <w:rPr>
          <w:rFonts w:ascii="微软雅黑" w:hAnsi="微软雅黑" w:eastAsia="微软雅黑"/>
          <w:sz w:val="28"/>
          <w:szCs w:val="28"/>
        </w:rPr>
        <w:t>渠道接入</w:t>
      </w:r>
      <w:bookmarkEnd w:id="4"/>
      <w:bookmarkEnd w:id="5"/>
    </w:p>
    <w:p>
      <w:pPr>
        <w:pStyle w:val="7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szCs w:val="21"/>
        </w:rPr>
        <w:t>系统</w:t>
      </w:r>
      <w:r>
        <w:rPr>
          <w:rFonts w:ascii="微软雅黑" w:hAnsi="微软雅黑" w:eastAsia="微软雅黑"/>
          <w:szCs w:val="21"/>
        </w:rPr>
        <w:t>通过在关键业务环节提供标准化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ascii="微软雅黑" w:hAnsi="微软雅黑" w:eastAsia="微软雅黑"/>
          <w:szCs w:val="21"/>
        </w:rPr>
        <w:t>系统接口或是账务文件的形式，实现了业务处理上的一致性和稳定性。在业务合作过程中，可以根据业务需求灵活选择匹配的对接方式，不但扩展性好，而且降低后期维护成本。</w:t>
      </w:r>
    </w:p>
    <w:p>
      <w:pPr>
        <w:rPr>
          <w:rFonts w:ascii="微软雅黑" w:hAnsi="微软雅黑" w:eastAsia="微软雅黑"/>
          <w:b/>
          <w:szCs w:val="21"/>
        </w:rPr>
      </w:pPr>
    </w:p>
    <w:p>
      <w:pPr>
        <w:pStyle w:val="3"/>
        <w:rPr>
          <w:rFonts w:ascii="微软雅黑" w:hAnsi="微软雅黑" w:eastAsia="微软雅黑"/>
          <w:sz w:val="28"/>
          <w:szCs w:val="28"/>
        </w:rPr>
      </w:pPr>
      <w:bookmarkStart w:id="6" w:name="_Toc118147418"/>
      <w:r>
        <w:rPr>
          <w:rFonts w:hint="eastAsia" w:ascii="微软雅黑" w:hAnsi="微软雅黑" w:eastAsia="微软雅黑"/>
          <w:sz w:val="28"/>
          <w:szCs w:val="28"/>
        </w:rPr>
        <w:t>4、</w:t>
      </w:r>
      <w:r>
        <w:rPr>
          <w:rFonts w:ascii="微软雅黑" w:hAnsi="微软雅黑" w:eastAsia="微软雅黑"/>
          <w:sz w:val="28"/>
          <w:szCs w:val="28"/>
        </w:rPr>
        <w:t>系统技术能力</w:t>
      </w:r>
      <w:bookmarkEnd w:id="6"/>
    </w:p>
    <w:p>
      <w:pPr>
        <w:ind w:firstLine="420" w:firstLineChars="20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本平台采用了分布式服务器设计和微服务架构思想，可以充分保证子系统之间运行互不干扰，底层各个节点独立运行。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通过</w:t>
      </w:r>
      <w:r>
        <w:rPr>
          <w:rFonts w:hint="eastAsia" w:ascii="微软雅黑" w:hAnsi="微软雅黑" w:eastAsia="微软雅黑"/>
          <w:bCs/>
          <w:szCs w:val="21"/>
        </w:rPr>
        <w:t>MQ消息队列设计，</w:t>
      </w:r>
      <w:r>
        <w:rPr>
          <w:rFonts w:hint="eastAsia" w:ascii="微软雅黑" w:hAnsi="微软雅黑" w:eastAsia="微软雅黑"/>
          <w:szCs w:val="21"/>
        </w:rPr>
        <w:t>减震削峰性强，</w:t>
      </w:r>
      <w:r>
        <w:rPr>
          <w:rFonts w:hint="eastAsia" w:ascii="微软雅黑" w:hAnsi="微软雅黑" w:eastAsia="微软雅黑"/>
          <w:bCs/>
          <w:szCs w:val="21"/>
        </w:rPr>
        <w:t>保证了复杂业务逻辑处理的准确性和高效性。</w:t>
      </w:r>
      <w:r>
        <w:rPr>
          <w:rFonts w:hint="eastAsia" w:ascii="微软雅黑" w:hAnsi="微软雅黑" w:eastAsia="微软雅黑"/>
          <w:szCs w:val="21"/>
        </w:rPr>
        <w:t>RocketMq单机吞吐量十万级，还能做到消息0丢失。</w:t>
      </w:r>
    </w:p>
    <w:p>
      <w:pPr>
        <w:ind w:firstLine="420" w:firstLineChars="200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此外，本平台还使用了非对称加密通讯设计、乒乓心跳机制、主从双备设计等技术解决方案。</w:t>
      </w:r>
    </w:p>
    <w:p>
      <w:pPr>
        <w:pStyle w:val="2"/>
        <w:rPr>
          <w:rFonts w:ascii="微软雅黑" w:hAnsi="微软雅黑" w:eastAsia="微软雅黑"/>
          <w:szCs w:val="32"/>
        </w:rPr>
      </w:pPr>
      <w:bookmarkStart w:id="7" w:name="_Toc118147419"/>
      <w:r>
        <w:rPr>
          <w:rFonts w:ascii="微软雅黑" w:hAnsi="微软雅黑" w:eastAsia="微软雅黑"/>
          <w:szCs w:val="32"/>
        </w:rPr>
        <w:t>二、系统架构说明</w:t>
      </w:r>
      <w:bookmarkEnd w:id="7"/>
    </w:p>
    <w:p>
      <w:pPr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b/>
          <w:szCs w:val="21"/>
        </w:rPr>
        <w:drawing>
          <wp:inline distT="0" distB="0" distL="0" distR="0">
            <wp:extent cx="5274310" cy="2727960"/>
            <wp:effectExtent l="0" t="0" r="254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szCs w:val="32"/>
        </w:rPr>
      </w:pPr>
      <w:bookmarkStart w:id="8" w:name="_Toc118147420"/>
      <w:r>
        <w:rPr>
          <w:rFonts w:ascii="微软雅黑" w:hAnsi="微软雅黑" w:eastAsia="微软雅黑"/>
          <w:szCs w:val="32"/>
        </w:rPr>
        <w:t>三、系统功能说明</w:t>
      </w:r>
      <w:bookmarkEnd w:id="8"/>
    </w:p>
    <w:p>
      <w:pPr>
        <w:pStyle w:val="3"/>
        <w:numPr>
          <w:ilvl w:val="0"/>
          <w:numId w:val="2"/>
        </w:numPr>
        <w:rPr>
          <w:rFonts w:ascii="微软雅黑" w:hAnsi="微软雅黑" w:eastAsia="微软雅黑"/>
          <w:sz w:val="21"/>
          <w:szCs w:val="21"/>
        </w:rPr>
      </w:pPr>
      <w:bookmarkStart w:id="9" w:name="_Toc118147421"/>
      <w:r>
        <w:rPr>
          <w:rFonts w:hint="eastAsia" w:ascii="微软雅黑" w:hAnsi="微软雅黑" w:eastAsia="微软雅黑"/>
          <w:sz w:val="21"/>
          <w:szCs w:val="21"/>
        </w:rPr>
        <w:t>日常运营—设置</w:t>
      </w:r>
      <w:r>
        <w:rPr>
          <w:rFonts w:ascii="微软雅黑" w:hAnsi="微软雅黑" w:eastAsia="微软雅黑"/>
          <w:sz w:val="21"/>
          <w:szCs w:val="21"/>
        </w:rPr>
        <w:t>资金投放计划</w:t>
      </w:r>
      <w:bookmarkEnd w:id="9"/>
    </w:p>
    <w:p>
      <w:pPr>
        <w:spacing w:line="276" w:lineRule="auto"/>
        <w:ind w:firstLine="420" w:firstLineChars="20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页面主要设置信贷产品的资金投放计划。</w:t>
      </w:r>
      <w:r>
        <w:rPr>
          <w:rFonts w:ascii="微软雅黑" w:hAnsi="微软雅黑" w:eastAsia="微软雅黑" w:cs="宋体"/>
          <w:kern w:val="0"/>
          <w:szCs w:val="21"/>
        </w:rPr>
        <w:t xml:space="preserve"> 运营计划配置好之后</w:t>
      </w:r>
      <w:r>
        <w:rPr>
          <w:rFonts w:hint="eastAsia" w:ascii="微软雅黑" w:hAnsi="微软雅黑" w:eastAsia="微软雅黑" w:cs="宋体"/>
          <w:kern w:val="0"/>
          <w:szCs w:val="21"/>
        </w:rPr>
        <w:t>，默认地</w:t>
      </w:r>
      <w:r>
        <w:rPr>
          <w:rFonts w:ascii="微软雅黑" w:hAnsi="微软雅黑" w:eastAsia="微软雅黑" w:cs="宋体"/>
          <w:kern w:val="0"/>
          <w:szCs w:val="21"/>
        </w:rPr>
        <w:t>次日生效。</w:t>
      </w:r>
      <w:r>
        <w:rPr>
          <w:rFonts w:hint="eastAsia" w:ascii="微软雅黑" w:hAnsi="微软雅黑" w:eastAsia="微软雅黑"/>
          <w:iCs/>
          <w:szCs w:val="21"/>
        </w:rPr>
        <w:t>若当天需要调整投放计划，</w:t>
      </w:r>
      <w:r>
        <w:rPr>
          <w:rFonts w:hint="eastAsia" w:ascii="微软雅黑" w:hAnsi="微软雅黑" w:eastAsia="微软雅黑" w:cs="宋体"/>
          <w:kern w:val="0"/>
          <w:szCs w:val="21"/>
        </w:rPr>
        <w:t>系统</w:t>
      </w:r>
      <w:r>
        <w:rPr>
          <w:rFonts w:ascii="微软雅黑" w:hAnsi="微软雅黑" w:eastAsia="微软雅黑" w:cs="宋体"/>
          <w:kern w:val="0"/>
          <w:szCs w:val="21"/>
        </w:rPr>
        <w:t>也要能够支持</w:t>
      </w:r>
      <w:r>
        <w:rPr>
          <w:rFonts w:hint="eastAsia" w:ascii="微软雅黑" w:hAnsi="微软雅黑" w:eastAsia="微软雅黑" w:cs="宋体"/>
          <w:kern w:val="0"/>
          <w:szCs w:val="21"/>
        </w:rPr>
        <w:t>【</w:t>
      </w:r>
      <w:r>
        <w:rPr>
          <w:rFonts w:ascii="微软雅黑" w:hAnsi="微软雅黑" w:eastAsia="微软雅黑" w:cs="宋体"/>
          <w:kern w:val="0"/>
          <w:szCs w:val="21"/>
        </w:rPr>
        <w:t>立即生效</w:t>
      </w:r>
      <w:r>
        <w:rPr>
          <w:rFonts w:hint="eastAsia" w:ascii="微软雅黑" w:hAnsi="微软雅黑" w:eastAsia="微软雅黑" w:cs="宋体"/>
          <w:kern w:val="0"/>
          <w:szCs w:val="21"/>
        </w:rPr>
        <w:t>】。可以根据各家资金端的产品偏好，匹配流量平台。支持放款订单、放款总额、流量渠道来源等维度，进行精细化配置。</w:t>
      </w:r>
    </w:p>
    <w:p>
      <w:pPr>
        <w:pStyle w:val="3"/>
        <w:numPr>
          <w:ilvl w:val="0"/>
          <w:numId w:val="2"/>
        </w:numPr>
        <w:rPr>
          <w:rFonts w:ascii="微软雅黑" w:hAnsi="微软雅黑" w:eastAsia="微软雅黑"/>
          <w:sz w:val="21"/>
          <w:szCs w:val="21"/>
        </w:rPr>
      </w:pPr>
      <w:bookmarkStart w:id="10" w:name="_Toc118147422"/>
      <w:r>
        <w:rPr>
          <w:rFonts w:hint="eastAsia" w:ascii="微软雅黑" w:hAnsi="微软雅黑" w:eastAsia="微软雅黑"/>
          <w:sz w:val="21"/>
          <w:szCs w:val="21"/>
        </w:rPr>
        <w:t>日常运营—实时监测放款账户余额</w:t>
      </w:r>
      <w:bookmarkEnd w:id="10"/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支持</w:t>
      </w:r>
      <w:r>
        <w:rPr>
          <w:rFonts w:ascii="微软雅黑" w:hAnsi="微软雅黑" w:eastAsia="微软雅黑"/>
          <w:szCs w:val="21"/>
        </w:rPr>
        <w:t>银行实时查看和监测各个放款账户</w:t>
      </w:r>
      <w:r>
        <w:rPr>
          <w:rFonts w:hint="eastAsia" w:ascii="微软雅黑" w:hAnsi="微软雅黑" w:eastAsia="微软雅黑"/>
          <w:szCs w:val="21"/>
        </w:rPr>
        <w:t>（第三方支付平台）账户余额。</w:t>
      </w:r>
      <w:r>
        <w:rPr>
          <w:rFonts w:ascii="微软雅黑" w:hAnsi="微软雅黑" w:eastAsia="微软雅黑"/>
          <w:szCs w:val="21"/>
        </w:rPr>
        <w:t>通过调用</w:t>
      </w:r>
      <w:r>
        <w:rPr>
          <w:rFonts w:hint="eastAsia" w:ascii="微软雅黑" w:hAnsi="微软雅黑" w:eastAsia="微软雅黑" w:cs="宋体"/>
          <w:kern w:val="0"/>
          <w:szCs w:val="21"/>
        </w:rPr>
        <w:t>第三方支付平台的余额查询接口，来获取放款商户当前可用余额。</w:t>
      </w:r>
      <w:r>
        <w:rPr>
          <w:rFonts w:hint="eastAsia" w:ascii="微软雅黑" w:hAnsi="微软雅黑" w:eastAsia="微软雅黑"/>
          <w:szCs w:val="21"/>
        </w:rPr>
        <w:t>当</w:t>
      </w:r>
      <w:r>
        <w:rPr>
          <w:rFonts w:ascii="微软雅黑" w:hAnsi="微软雅黑" w:eastAsia="微软雅黑"/>
          <w:szCs w:val="21"/>
        </w:rPr>
        <w:t>账户余额低于警戒线时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系统会发送短信消息提醒</w:t>
      </w:r>
      <w:r>
        <w:rPr>
          <w:rFonts w:hint="eastAsia" w:ascii="微软雅黑" w:hAnsi="微软雅黑" w:eastAsia="微软雅黑"/>
          <w:szCs w:val="21"/>
        </w:rPr>
        <w:t>。（预警线默认是5</w:t>
      </w:r>
      <w:r>
        <w:rPr>
          <w:rFonts w:ascii="微软雅黑" w:hAnsi="微软雅黑" w:eastAsia="微软雅黑"/>
          <w:szCs w:val="21"/>
        </w:rPr>
        <w:t>0万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在系统参数页面里进行配置</w:t>
      </w:r>
      <w:r>
        <w:rPr>
          <w:rFonts w:hint="eastAsia" w:ascii="微软雅黑" w:hAnsi="微软雅黑" w:eastAsia="微软雅黑"/>
          <w:szCs w:val="21"/>
        </w:rPr>
        <w:t>每</w:t>
      </w:r>
      <w:r>
        <w:rPr>
          <w:rFonts w:ascii="微软雅黑" w:hAnsi="微软雅黑" w:eastAsia="微软雅黑"/>
          <w:szCs w:val="21"/>
        </w:rPr>
        <w:t>5</w:t>
      </w:r>
      <w:r>
        <w:rPr>
          <w:rFonts w:hint="eastAsia" w:ascii="微软雅黑" w:hAnsi="微软雅黑" w:eastAsia="微软雅黑"/>
          <w:szCs w:val="21"/>
        </w:rPr>
        <w:t>分钟</w:t>
      </w:r>
      <w:r>
        <w:rPr>
          <w:rFonts w:ascii="微软雅黑" w:hAnsi="微软雅黑" w:eastAsia="微软雅黑"/>
          <w:szCs w:val="21"/>
        </w:rPr>
        <w:t>查询一次。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pStyle w:val="3"/>
        <w:rPr>
          <w:rFonts w:ascii="微软雅黑" w:hAnsi="微软雅黑" w:eastAsia="微软雅黑"/>
          <w:sz w:val="21"/>
          <w:szCs w:val="21"/>
        </w:rPr>
      </w:pPr>
      <w:bookmarkStart w:id="11" w:name="_Toc118147423"/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、日常运营—设置LPR基础利率</w:t>
      </w:r>
      <w:bookmarkEnd w:id="11"/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根据央行规定，在贷款合同中展示的贷款利率（我们业务中的银行利率），应分别展示基础利率和浮动基点。所以</w:t>
      </w:r>
      <w:r>
        <w:rPr>
          <w:rFonts w:ascii="微软雅黑" w:hAnsi="微软雅黑" w:eastAsia="微软雅黑"/>
          <w:szCs w:val="21"/>
        </w:rPr>
        <w:t>贷款协议签署时，要按照基础利率</w:t>
      </w:r>
      <w:r>
        <w:rPr>
          <w:rFonts w:hint="eastAsia" w:ascii="微软雅黑" w:hAnsi="微软雅黑" w:eastAsia="微软雅黑"/>
          <w:szCs w:val="21"/>
        </w:rPr>
        <w:t>+</w:t>
      </w:r>
      <w:r>
        <w:rPr>
          <w:rFonts w:ascii="微软雅黑" w:hAnsi="微软雅黑" w:eastAsia="微软雅黑"/>
          <w:szCs w:val="21"/>
        </w:rPr>
        <w:t>浮动基点的形式进行填充</w:t>
      </w:r>
      <w:r>
        <w:rPr>
          <w:rFonts w:hint="eastAsia" w:ascii="微软雅黑" w:hAnsi="微软雅黑" w:eastAsia="微软雅黑"/>
          <w:szCs w:val="21"/>
        </w:rPr>
        <w:t>。</w:t>
      </w:r>
      <w:r>
        <w:rPr>
          <w:rFonts w:hint="eastAsia" w:ascii="微软雅黑" w:hAnsi="微软雅黑" w:eastAsia="微软雅黑" w:cs="宋体"/>
          <w:kern w:val="0"/>
          <w:szCs w:val="21"/>
        </w:rPr>
        <w:t>每月2</w:t>
      </w:r>
      <w:r>
        <w:rPr>
          <w:rFonts w:ascii="微软雅黑" w:hAnsi="微软雅黑" w:eastAsia="微软雅黑" w:cs="宋体"/>
          <w:kern w:val="0"/>
          <w:szCs w:val="21"/>
        </w:rPr>
        <w:t>0日</w:t>
      </w:r>
      <w:r>
        <w:rPr>
          <w:rFonts w:hint="eastAsia" w:ascii="微软雅黑" w:hAnsi="微软雅黑" w:eastAsia="微软雅黑" w:cs="宋体"/>
          <w:kern w:val="0"/>
          <w:szCs w:val="21"/>
        </w:rPr>
        <w:t>（若非工作日顺延到下一工作日），配置人员都需要调整LPR基础利率。</w:t>
      </w:r>
      <w:r>
        <w:rPr>
          <w:rFonts w:ascii="微软雅黑" w:hAnsi="微软雅黑" w:eastAsia="微软雅黑"/>
          <w:szCs w:val="21"/>
        </w:rPr>
        <w:t>配置</w:t>
      </w:r>
      <w:r>
        <w:rPr>
          <w:rFonts w:hint="eastAsia" w:ascii="微软雅黑" w:hAnsi="微软雅黑" w:eastAsia="微软雅黑" w:cs="宋体"/>
          <w:kern w:val="0"/>
          <w:szCs w:val="21"/>
        </w:rPr>
        <w:t>保存</w:t>
      </w:r>
      <w:r>
        <w:rPr>
          <w:rFonts w:ascii="微软雅黑" w:hAnsi="微软雅黑" w:eastAsia="微软雅黑" w:cs="宋体"/>
          <w:kern w:val="0"/>
          <w:szCs w:val="21"/>
        </w:rPr>
        <w:t>后</w:t>
      </w:r>
      <w:r>
        <w:rPr>
          <w:rFonts w:hint="eastAsia" w:ascii="微软雅黑" w:hAnsi="微软雅黑" w:eastAsia="微软雅黑" w:cs="宋体"/>
          <w:kern w:val="0"/>
          <w:szCs w:val="21"/>
        </w:rPr>
        <w:t>，</w:t>
      </w:r>
      <w:r>
        <w:rPr>
          <w:rFonts w:ascii="微软雅黑" w:hAnsi="微软雅黑" w:eastAsia="微软雅黑" w:cs="宋体"/>
          <w:kern w:val="0"/>
          <w:szCs w:val="21"/>
        </w:rPr>
        <w:t>次日生效</w:t>
      </w:r>
      <w:r>
        <w:rPr>
          <w:rFonts w:hint="eastAsia" w:ascii="微软雅黑" w:hAnsi="微软雅黑" w:eastAsia="微软雅黑" w:cs="宋体"/>
          <w:kern w:val="0"/>
          <w:szCs w:val="21"/>
        </w:rPr>
        <w:t>。</w:t>
      </w:r>
      <w:r>
        <w:rPr>
          <w:rFonts w:ascii="微软雅黑" w:hAnsi="微软雅黑" w:eastAsia="微软雅黑" w:cs="宋体"/>
          <w:kern w:val="0"/>
          <w:szCs w:val="21"/>
        </w:rPr>
        <w:t>生效当日的</w:t>
      </w:r>
      <w:r>
        <w:rPr>
          <w:rFonts w:hint="eastAsia" w:ascii="微软雅黑" w:hAnsi="微软雅黑" w:eastAsia="微软雅黑" w:cs="宋体"/>
          <w:kern w:val="0"/>
          <w:szCs w:val="21"/>
        </w:rPr>
        <w:t>放款</w:t>
      </w:r>
      <w:r>
        <w:rPr>
          <w:rFonts w:ascii="微软雅黑" w:hAnsi="微软雅黑" w:eastAsia="微软雅黑" w:cs="宋体"/>
          <w:kern w:val="0"/>
          <w:szCs w:val="21"/>
        </w:rPr>
        <w:t>订单</w:t>
      </w:r>
      <w:r>
        <w:rPr>
          <w:rFonts w:hint="eastAsia" w:ascii="微软雅黑" w:hAnsi="微软雅黑" w:eastAsia="微软雅黑" w:cs="宋体"/>
          <w:kern w:val="0"/>
          <w:szCs w:val="21"/>
        </w:rPr>
        <w:t>，</w:t>
      </w:r>
      <w:r>
        <w:rPr>
          <w:rFonts w:ascii="微软雅黑" w:hAnsi="微软雅黑" w:eastAsia="微软雅黑" w:cs="宋体"/>
          <w:kern w:val="0"/>
          <w:szCs w:val="21"/>
        </w:rPr>
        <w:t>按照新的基础利率显示在合同中。</w:t>
      </w:r>
    </w:p>
    <w:p>
      <w:pPr>
        <w:pStyle w:val="3"/>
        <w:rPr>
          <w:rFonts w:ascii="微软雅黑" w:hAnsi="微软雅黑" w:eastAsia="微软雅黑"/>
          <w:sz w:val="21"/>
          <w:szCs w:val="21"/>
        </w:rPr>
      </w:pPr>
      <w:bookmarkStart w:id="12" w:name="_Toc118147424"/>
      <w:r>
        <w:rPr>
          <w:rFonts w:ascii="微软雅黑" w:hAnsi="微软雅黑" w:eastAsia="微软雅黑"/>
          <w:sz w:val="21"/>
          <w:szCs w:val="21"/>
        </w:rPr>
        <w:t>4</w:t>
      </w:r>
      <w:r>
        <w:rPr>
          <w:rFonts w:hint="eastAsia" w:ascii="微软雅黑" w:hAnsi="微软雅黑" w:eastAsia="微软雅黑"/>
          <w:sz w:val="21"/>
          <w:szCs w:val="21"/>
        </w:rPr>
        <w:t>、 借款管理—查询借款订单及订单明细</w:t>
      </w:r>
      <w:bookmarkEnd w:id="12"/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流量平台推送过来的借款订单，经过准入校验后会流入到该页面显示。在本页面里，可以查看到每笔收单成功的订单全流程的中间态和终态数据表现。</w:t>
      </w:r>
      <w:r>
        <w:rPr>
          <w:rFonts w:hint="eastAsia" w:ascii="微软雅黑" w:hAnsi="微软雅黑" w:eastAsia="微软雅黑"/>
          <w:szCs w:val="21"/>
        </w:rPr>
        <w:t>本页面</w:t>
      </w:r>
      <w:r>
        <w:rPr>
          <w:rFonts w:ascii="微软雅黑" w:hAnsi="微软雅黑" w:eastAsia="微软雅黑"/>
          <w:szCs w:val="21"/>
        </w:rPr>
        <w:t>，可以支持多维度数据查询，例如按照流量平台、资金端、订单状态、放款日期、资产产品名称、客户个人生物信息等。还可以查看没有订单的各类协议（例如借款合同、授权协议、融担协议等）。</w:t>
      </w:r>
    </w:p>
    <w:p>
      <w:pPr>
        <w:pStyle w:val="3"/>
        <w:rPr>
          <w:rFonts w:ascii="微软雅黑" w:hAnsi="微软雅黑" w:eastAsia="微软雅黑"/>
          <w:sz w:val="21"/>
          <w:szCs w:val="21"/>
        </w:rPr>
      </w:pPr>
      <w:bookmarkStart w:id="13" w:name="_Toc118147425"/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、 还款管理—银行还款计划</w:t>
      </w:r>
      <w:bookmarkEnd w:id="13"/>
    </w:p>
    <w:p>
      <w:pPr>
        <w:pStyle w:val="30"/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显示每笔放款订单各期次还款计划和是否已结清。</w:t>
      </w:r>
      <w:r>
        <w:rPr>
          <w:rFonts w:hint="eastAsia" w:ascii="微软雅黑" w:hAnsi="微软雅黑" w:eastAsia="微软雅黑"/>
          <w:szCs w:val="21"/>
        </w:rPr>
        <w:t>可以根据项目、产品、直放日期、结束日期、商户订单号、订单号、当期还款状态进行查询。</w:t>
      </w:r>
      <w:r>
        <w:rPr>
          <w:rFonts w:ascii="微软雅黑" w:hAnsi="微软雅黑" w:eastAsia="微软雅黑"/>
          <w:szCs w:val="21"/>
        </w:rPr>
        <w:t>当客户提前结清，则结清所在期次以及后面期次，都将标记为已结清。</w:t>
      </w: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bookmarkStart w:id="14" w:name="_Toc118147426"/>
      <w:r>
        <w:rPr>
          <w:rFonts w:hint="eastAsia" w:ascii="微软雅黑" w:hAnsi="微软雅黑" w:eastAsia="微软雅黑"/>
          <w:sz w:val="21"/>
          <w:szCs w:val="21"/>
        </w:rPr>
        <w:t>还款管理—前端还款记录</w:t>
      </w:r>
      <w:bookmarkEnd w:id="14"/>
    </w:p>
    <w:p>
      <w:pPr>
        <w:pStyle w:val="3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iCs/>
          <w:szCs w:val="21"/>
        </w:rPr>
        <w:t>显示客户真实的还款行为数据。显示的信息项，包括客户还款时间、扣款渠道、流量平台及产品、还款本金和利息、支付流水号等。</w:t>
      </w: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bookmarkStart w:id="15" w:name="_Toc118147427"/>
      <w:r>
        <w:rPr>
          <w:rFonts w:hint="eastAsia" w:ascii="微软雅黑" w:hAnsi="微软雅黑" w:eastAsia="微软雅黑"/>
          <w:sz w:val="21"/>
          <w:szCs w:val="21"/>
        </w:rPr>
        <w:t>机构管理—银行管理</w:t>
      </w:r>
      <w:bookmarkEnd w:id="15"/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30"/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对放款资金端进行登记和编辑。包括银行编码、银行简称、全称、邮箱、客服电话、地址、操作入口等。其中，</w:t>
      </w:r>
      <w:r>
        <w:rPr>
          <w:rFonts w:ascii="微软雅黑" w:hAnsi="微软雅黑" w:eastAsia="微软雅黑" w:cs="Arial"/>
          <w:szCs w:val="21"/>
        </w:rPr>
        <w:t>客服电话</w:t>
      </w:r>
      <w:r>
        <w:rPr>
          <w:rFonts w:hint="eastAsia" w:ascii="微软雅黑" w:hAnsi="微软雅黑" w:eastAsia="微软雅黑" w:cs="Arial"/>
          <w:szCs w:val="21"/>
        </w:rPr>
        <w:t>和</w:t>
      </w:r>
      <w:r>
        <w:rPr>
          <w:rFonts w:ascii="微软雅黑" w:hAnsi="微软雅黑" w:eastAsia="微软雅黑" w:cs="Arial"/>
          <w:szCs w:val="21"/>
        </w:rPr>
        <w:t>邮箱这2个数据项</w:t>
      </w:r>
      <w:r>
        <w:rPr>
          <w:rFonts w:hint="eastAsia" w:ascii="微软雅黑" w:hAnsi="微软雅黑" w:eastAsia="微软雅黑" w:cs="Arial"/>
          <w:szCs w:val="21"/>
        </w:rPr>
        <w:t>，</w:t>
      </w:r>
      <w:r>
        <w:rPr>
          <w:rFonts w:ascii="微软雅黑" w:hAnsi="微软雅黑" w:eastAsia="微软雅黑" w:cs="Arial"/>
          <w:szCs w:val="21"/>
        </w:rPr>
        <w:t>在贷款合同中会使用到</w:t>
      </w:r>
      <w:r>
        <w:rPr>
          <w:rFonts w:hint="eastAsia" w:ascii="微软雅黑" w:hAnsi="微软雅黑" w:eastAsia="微软雅黑" w:cs="Arial"/>
          <w:szCs w:val="21"/>
        </w:rPr>
        <w:t>，</w:t>
      </w:r>
      <w:r>
        <w:rPr>
          <w:rFonts w:ascii="微软雅黑" w:hAnsi="微软雅黑" w:eastAsia="微软雅黑" w:cs="Arial"/>
          <w:szCs w:val="21"/>
        </w:rPr>
        <w:t>必须填写准确</w:t>
      </w:r>
      <w:r>
        <w:rPr>
          <w:rFonts w:hint="eastAsia" w:ascii="微软雅黑" w:hAnsi="微软雅黑" w:eastAsia="微软雅黑" w:cs="Arial"/>
          <w:szCs w:val="21"/>
        </w:rPr>
        <w:t>。</w:t>
      </w: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bookmarkStart w:id="16" w:name="_Toc118147428"/>
      <w:r>
        <w:rPr>
          <w:rFonts w:hint="eastAsia" w:ascii="微软雅黑" w:hAnsi="微软雅黑" w:eastAsia="微软雅黑"/>
          <w:sz w:val="21"/>
          <w:szCs w:val="21"/>
        </w:rPr>
        <w:t>机构管理—银行信贷产品</w:t>
      </w:r>
      <w:bookmarkEnd w:id="16"/>
    </w:p>
    <w:p>
      <w:pPr>
        <w:pStyle w:val="30"/>
        <w:spacing w:line="276" w:lineRule="auto"/>
        <w:ind w:left="42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对放款资金端的信贷产品进行管理。登记信息包括</w:t>
      </w:r>
      <w:r>
        <w:rPr>
          <w:rFonts w:hint="eastAsia" w:ascii="微软雅黑" w:hAnsi="微软雅黑" w:eastAsia="微软雅黑"/>
          <w:szCs w:val="21"/>
        </w:rPr>
        <w:t>产品名称、</w:t>
      </w:r>
      <w:r>
        <w:rPr>
          <w:rFonts w:hint="eastAsia" w:ascii="微软雅黑" w:hAnsi="微软雅黑" w:eastAsia="微软雅黑"/>
          <w:iCs/>
          <w:szCs w:val="21"/>
        </w:rPr>
        <w:t>产品类型、还款方式、</w:t>
      </w:r>
      <w:r>
        <w:rPr>
          <w:rFonts w:hint="eastAsia" w:ascii="微软雅黑" w:hAnsi="微软雅黑" w:eastAsia="微软雅黑"/>
          <w:szCs w:val="21"/>
        </w:rPr>
        <w:t>产品描述、</w:t>
      </w:r>
      <w:r>
        <w:rPr>
          <w:rFonts w:hint="eastAsia" w:ascii="微软雅黑" w:hAnsi="微软雅黑" w:eastAsia="微软雅黑"/>
          <w:iCs/>
          <w:szCs w:val="21"/>
        </w:rPr>
        <w:t>操作入口等。</w:t>
      </w: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bookmarkStart w:id="17" w:name="_Toc118147429"/>
      <w:r>
        <w:rPr>
          <w:rFonts w:hint="eastAsia" w:ascii="微软雅黑" w:hAnsi="微软雅黑" w:eastAsia="微软雅黑"/>
          <w:sz w:val="21"/>
          <w:szCs w:val="21"/>
        </w:rPr>
        <w:t>机构管理—助贷机构</w:t>
      </w:r>
      <w:bookmarkEnd w:id="17"/>
    </w:p>
    <w:p>
      <w:pPr>
        <w:pStyle w:val="30"/>
        <w:spacing w:line="276" w:lineRule="auto"/>
        <w:ind w:left="42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对流量平台进行管理。登记信息包括</w:t>
      </w:r>
      <w:r>
        <w:rPr>
          <w:rFonts w:hint="eastAsia" w:ascii="微软雅黑" w:hAnsi="微软雅黑" w:eastAsia="微软雅黑"/>
          <w:szCs w:val="21"/>
        </w:rPr>
        <w:t>机构名称、</w:t>
      </w:r>
      <w:r>
        <w:rPr>
          <w:rFonts w:hint="eastAsia" w:ascii="微软雅黑" w:hAnsi="微软雅黑" w:eastAsia="微软雅黑"/>
          <w:iCs/>
          <w:szCs w:val="21"/>
        </w:rPr>
        <w:t>机构编号、联系电话、</w:t>
      </w:r>
      <w:r>
        <w:rPr>
          <w:rFonts w:hint="eastAsia" w:ascii="微软雅黑" w:hAnsi="微软雅黑" w:eastAsia="微软雅黑"/>
          <w:szCs w:val="21"/>
        </w:rPr>
        <w:t>所在地址、</w:t>
      </w:r>
      <w:r>
        <w:rPr>
          <w:rFonts w:hint="eastAsia" w:ascii="微软雅黑" w:hAnsi="微软雅黑" w:eastAsia="微软雅黑"/>
          <w:iCs/>
          <w:szCs w:val="21"/>
        </w:rPr>
        <w:t>创建时间、操作入口等。页面每页显示1</w:t>
      </w:r>
      <w:r>
        <w:rPr>
          <w:rFonts w:ascii="微软雅黑" w:hAnsi="微软雅黑" w:eastAsia="微软雅黑"/>
          <w:iCs/>
          <w:szCs w:val="21"/>
        </w:rPr>
        <w:t>0</w:t>
      </w:r>
      <w:r>
        <w:rPr>
          <w:rFonts w:hint="eastAsia" w:ascii="微软雅黑" w:hAnsi="微软雅黑" w:eastAsia="微软雅黑"/>
          <w:iCs/>
          <w:szCs w:val="21"/>
        </w:rPr>
        <w:t>条数据。</w:t>
      </w: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bookmarkStart w:id="18" w:name="_Toc118147430"/>
      <w:r>
        <w:rPr>
          <w:rFonts w:hint="eastAsia" w:ascii="微软雅黑" w:hAnsi="微软雅黑" w:eastAsia="微软雅黑"/>
          <w:sz w:val="21"/>
          <w:szCs w:val="21"/>
        </w:rPr>
        <w:t>机构管理—增信机构</w:t>
      </w:r>
      <w:bookmarkEnd w:id="18"/>
    </w:p>
    <w:p>
      <w:pPr>
        <w:pStyle w:val="31"/>
        <w:ind w:left="42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iCs/>
          <w:szCs w:val="21"/>
        </w:rPr>
        <w:t>对</w:t>
      </w:r>
      <w:r>
        <w:rPr>
          <w:rFonts w:hint="eastAsia" w:ascii="微软雅黑" w:hAnsi="微软雅黑" w:eastAsia="微软雅黑"/>
          <w:szCs w:val="21"/>
        </w:rPr>
        <w:t>增信机构（融担公司/保险公司）进行管理。</w:t>
      </w:r>
      <w:r>
        <w:rPr>
          <w:rFonts w:ascii="微软雅黑" w:hAnsi="微软雅黑" w:eastAsia="微软雅黑"/>
          <w:szCs w:val="21"/>
        </w:rPr>
        <w:t>登记信息包括</w:t>
      </w:r>
      <w:r>
        <w:rPr>
          <w:rFonts w:hint="eastAsia" w:ascii="微软雅黑" w:hAnsi="微软雅黑" w:eastAsia="微软雅黑"/>
          <w:szCs w:val="21"/>
        </w:rPr>
        <w:t>机构名称、</w:t>
      </w:r>
      <w:r>
        <w:rPr>
          <w:rFonts w:hint="eastAsia" w:ascii="微软雅黑" w:hAnsi="微软雅黑" w:eastAsia="微软雅黑"/>
          <w:iCs/>
          <w:szCs w:val="21"/>
        </w:rPr>
        <w:t>机构类型、联系人、</w:t>
      </w:r>
      <w:r>
        <w:rPr>
          <w:rFonts w:hint="eastAsia" w:ascii="微软雅黑" w:hAnsi="微软雅黑" w:eastAsia="微软雅黑"/>
          <w:szCs w:val="21"/>
        </w:rPr>
        <w:t>联系电话、</w:t>
      </w:r>
      <w:r>
        <w:rPr>
          <w:rFonts w:hint="eastAsia" w:ascii="微软雅黑" w:hAnsi="微软雅黑" w:eastAsia="微软雅黑"/>
          <w:iCs/>
          <w:szCs w:val="21"/>
        </w:rPr>
        <w:t>属性、操作入口等。</w:t>
      </w:r>
    </w:p>
    <w:p>
      <w:pPr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bookmarkStart w:id="19" w:name="_Toc118147431"/>
      <w:r>
        <w:rPr>
          <w:rFonts w:hint="eastAsia" w:ascii="微软雅黑" w:hAnsi="微软雅黑" w:eastAsia="微软雅黑"/>
          <w:sz w:val="21"/>
          <w:szCs w:val="21"/>
        </w:rPr>
        <w:t>机构管理—保证金管理</w:t>
      </w:r>
      <w:bookmarkEnd w:id="19"/>
    </w:p>
    <w:p>
      <w:pPr>
        <w:pStyle w:val="3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iCs/>
          <w:szCs w:val="21"/>
        </w:rPr>
        <w:t>对各资产项目的保证金预存进行管理。在本页面里可以看到开户行及账户，账户余额、杠杆倍率、预警线、预警金额，以及查看追加履历和预缴凭证。在产品配置页面里有是否校验保证金的开关，打开配置后在放款时会冻结保证金，订单发生还款后，会释放保证金。</w:t>
      </w:r>
    </w:p>
    <w:p>
      <w:pPr>
        <w:pStyle w:val="3"/>
        <w:numPr>
          <w:ilvl w:val="0"/>
          <w:numId w:val="3"/>
        </w:numPr>
        <w:rPr>
          <w:rFonts w:hint="eastAsia" w:ascii="微软雅黑" w:hAnsi="微软雅黑" w:eastAsia="微软雅黑"/>
          <w:sz w:val="21"/>
          <w:szCs w:val="21"/>
        </w:rPr>
      </w:pPr>
      <w:bookmarkStart w:id="20" w:name="_Toc118147432"/>
      <w:r>
        <w:rPr>
          <w:rFonts w:hint="eastAsia" w:ascii="微软雅黑" w:hAnsi="微软雅黑" w:eastAsia="微软雅黑"/>
          <w:sz w:val="21"/>
          <w:szCs w:val="21"/>
        </w:rPr>
        <w:t>产品管理—产品管理</w:t>
      </w:r>
      <w:bookmarkEnd w:id="20"/>
    </w:p>
    <w:p>
      <w:pPr>
        <w:pStyle w:val="31"/>
        <w:numPr>
          <w:ilvl w:val="0"/>
          <w:numId w:val="4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【产品基本信息-金额范围】输入进件校验允许的金额范围，包含边界；</w:t>
      </w:r>
    </w:p>
    <w:p>
      <w:pPr>
        <w:pStyle w:val="30"/>
        <w:numPr>
          <w:ilvl w:val="0"/>
          <w:numId w:val="4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【产品基本信息-产品类型】单期、多期</w:t>
      </w:r>
    </w:p>
    <w:p>
      <w:pPr>
        <w:pStyle w:val="30"/>
        <w:numPr>
          <w:ilvl w:val="0"/>
          <w:numId w:val="4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【产品基本信息-期限范围】根据选择的按期多期来填写是天还是月，如果是月不许进件配置月份以外的订单，如果是天则不许填写超过这个天数的订单；</w:t>
      </w:r>
    </w:p>
    <w:p>
      <w:pPr>
        <w:pStyle w:val="30"/>
        <w:numPr>
          <w:ilvl w:val="0"/>
          <w:numId w:val="4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【产品基本信息-助贷机构】助贷类业务必须选择一个助贷机构</w:t>
      </w:r>
    </w:p>
    <w:p>
      <w:pPr>
        <w:pStyle w:val="30"/>
        <w:numPr>
          <w:ilvl w:val="0"/>
          <w:numId w:val="4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【产品基本信息-代偿时间点】可以选择是否刚兑，如果选择了刚兑则需要配置后面的刚兑时间点，需要选择前端还款日/银行还款日向后N天，N可以配置0，配置完天数可以配置具体的时分秒，可以配置0:0</w:t>
      </w:r>
      <w:r>
        <w:rPr>
          <w:rFonts w:ascii="微软雅黑" w:hAnsi="微软雅黑" w:eastAsia="微软雅黑"/>
          <w:szCs w:val="21"/>
        </w:rPr>
        <w:t>0</w:t>
      </w:r>
      <w:r>
        <w:rPr>
          <w:rFonts w:hint="eastAsia" w:ascii="微软雅黑" w:hAnsi="微软雅黑" w:eastAsia="微软雅黑"/>
          <w:szCs w:val="21"/>
        </w:rPr>
        <w:t>~</w:t>
      </w:r>
      <w:r>
        <w:rPr>
          <w:rFonts w:ascii="微软雅黑" w:hAnsi="微软雅黑" w:eastAsia="微软雅黑"/>
          <w:szCs w:val="21"/>
        </w:rPr>
        <w:t>23</w:t>
      </w:r>
      <w:r>
        <w:rPr>
          <w:rFonts w:hint="eastAsia" w:ascii="微软雅黑" w:hAnsi="微软雅黑" w:eastAsia="微软雅黑"/>
          <w:szCs w:val="21"/>
        </w:rPr>
        <w:t>:5</w:t>
      </w:r>
      <w:r>
        <w:rPr>
          <w:rFonts w:ascii="微软雅黑" w:hAnsi="微软雅黑" w:eastAsia="微软雅黑"/>
          <w:szCs w:val="21"/>
        </w:rPr>
        <w:t>9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30"/>
        <w:numPr>
          <w:ilvl w:val="0"/>
          <w:numId w:val="4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【产品基本信息-付款类型】可以选择对公/对私，用于决策该产品对支付平息的对公对私校验；</w:t>
      </w:r>
    </w:p>
    <w:p>
      <w:pPr>
        <w:pStyle w:val="30"/>
        <w:numPr>
          <w:ilvl w:val="0"/>
          <w:numId w:val="4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【产品基本信息-增信机构】可以不选，或者选择1个增信机构</w:t>
      </w:r>
    </w:p>
    <w:p>
      <w:pPr>
        <w:pStyle w:val="30"/>
        <w:numPr>
          <w:ilvl w:val="0"/>
          <w:numId w:val="4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【风控事件】配置了否则不走风控，配置了是则必填风控标识，根据风控标识调用风控；</w:t>
      </w:r>
    </w:p>
    <w:p>
      <w:pPr>
        <w:pStyle w:val="30"/>
        <w:numPr>
          <w:ilvl w:val="0"/>
          <w:numId w:val="4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【放款事件】可以根据原型对应配置调控是否要走对应流程，回调地址填写1代表不回调；</w:t>
      </w:r>
    </w:p>
    <w:p>
      <w:pPr>
        <w:pStyle w:val="30"/>
        <w:numPr>
          <w:ilvl w:val="0"/>
          <w:numId w:val="4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iCs/>
          <w:szCs w:val="21"/>
        </w:rPr>
        <w:t>【扣款事件】需要扣款，则，扣款事件标识、是否发送还款短信为必填。需要回调，则，回调地址为必填。如果配置了扣款事件则事件与订单耦合，这个订单自始至终都会走着扣款事件，除非修改了扣款事件；</w:t>
      </w:r>
    </w:p>
    <w:p>
      <w:pPr>
        <w:pStyle w:val="31"/>
        <w:numPr>
          <w:ilvl w:val="0"/>
          <w:numId w:val="4"/>
        </w:numPr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iCs/>
          <w:szCs w:val="21"/>
        </w:rPr>
        <w:t>【流量渠道】至少选择1项，选择出来后显示流量名称和流量编号。</w:t>
      </w: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bookmarkStart w:id="21" w:name="_Toc118147433"/>
      <w:r>
        <w:rPr>
          <w:rFonts w:hint="eastAsia" w:ascii="微软雅黑" w:hAnsi="微软雅黑" w:eastAsia="微软雅黑"/>
          <w:sz w:val="21"/>
          <w:szCs w:val="21"/>
        </w:rPr>
        <w:t>合同管理—合同管理</w:t>
      </w:r>
      <w:bookmarkEnd w:id="21"/>
    </w:p>
    <w:p>
      <w:pPr>
        <w:pStyle w:val="14"/>
        <w:shd w:val="clear" w:color="auto" w:fill="FFFFFF"/>
        <w:spacing w:before="0" w:beforeAutospacing="0" w:after="0" w:afterAutospacing="0"/>
        <w:ind w:firstLine="420" w:firstLineChars="200"/>
        <w:rPr>
          <w:rFonts w:hint="eastAsia"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创建业务流程中涉及到合同模板。大致分为三类：贷款合同类、展示签约类、展示类（不做签约）。通过该页面对各类协议做统一化管理。</w:t>
      </w:r>
    </w:p>
    <w:p>
      <w:pPr>
        <w:pStyle w:val="3"/>
        <w:numPr>
          <w:ilvl w:val="0"/>
          <w:numId w:val="3"/>
        </w:numPr>
        <w:rPr>
          <w:rFonts w:hint="eastAsia" w:ascii="微软雅黑" w:hAnsi="微软雅黑" w:eastAsia="微软雅黑"/>
          <w:sz w:val="21"/>
          <w:szCs w:val="21"/>
        </w:rPr>
      </w:pPr>
      <w:bookmarkStart w:id="22" w:name="_Toc118147434"/>
      <w:r>
        <w:rPr>
          <w:rFonts w:hint="eastAsia" w:ascii="微软雅黑" w:hAnsi="微软雅黑" w:eastAsia="微软雅黑"/>
          <w:sz w:val="21"/>
          <w:szCs w:val="21"/>
        </w:rPr>
        <w:t>系统管理—字典管理</w:t>
      </w:r>
      <w:bookmarkEnd w:id="22"/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b/>
          <w:color w:val="141414"/>
          <w:sz w:val="21"/>
          <w:szCs w:val="21"/>
        </w:rPr>
      </w:pPr>
      <w:r>
        <w:rPr>
          <w:rStyle w:val="18"/>
          <w:rFonts w:ascii="微软雅黑" w:hAnsi="微软雅黑" w:eastAsia="微软雅黑" w:cs="Helvetica"/>
          <w:b w:val="0"/>
          <w:color w:val="141414"/>
          <w:sz w:val="21"/>
          <w:szCs w:val="21"/>
        </w:rPr>
        <w:t>1、创建【系统管理-字典管理】页面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a.页面结构：上部分 -- 父级字典表名称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   下部分 --对应子级字典表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b.序号：数字格式，系统自动生成，不可重复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字典名称：不可重复  &amp;  格式不限制，上限50字符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字典标识：字典表被调用的唯一标识，可修改，不可重复 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备注：格式不限，上限50个字符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c.选择指定的父级字典表名称，下方展示对应子集字典数据项；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父级字典序号：来源于选择的父级字典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名称：格式不限，支持修改，上限50字符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字典码：同一个父级下不可重复，支持修改，数字格式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d.新创建的子级字典数据项，默认未开启状态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69865" cy="163703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1737995"/>
            <wp:effectExtent l="0" t="0" r="2540" b="0"/>
            <wp:docPr id="27" name="图片 27" descr="http://zentao.wsmfin.com/zentaopms/www/data/upload/1/202006/2116302408489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://zentao.wsmfin.com/zentaopms/www/data/upload/1/202006/2116302408489ld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b/>
          <w:color w:val="141414"/>
          <w:sz w:val="21"/>
          <w:szCs w:val="21"/>
        </w:rPr>
      </w:pPr>
      <w:r>
        <w:rPr>
          <w:rStyle w:val="18"/>
          <w:rFonts w:ascii="微软雅黑" w:hAnsi="微软雅黑" w:eastAsia="微软雅黑" w:cs="Helvetica"/>
          <w:b w:val="0"/>
          <w:color w:val="141414"/>
          <w:sz w:val="21"/>
          <w:szCs w:val="21"/>
        </w:rPr>
        <w:t>2、字典表库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a.费用类型：保险、仲裁、融担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b.增信机构类型：保险、仲裁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c.第三方支付：京东支付、连连支付、易宝支付、联通沃支付、宝付支付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d.XX支付银行代码：中国银行、中国工商银行、中国招商银行...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e.婚姻状况：已婚、未婚、离异、丧偶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d.联系人类型：直系亲属、朋友同事、配偶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e.职业：国家机关、党群组织、企业、事业单位负责人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 专业技术人员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办事人员和有关人员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商业、服务业人员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农、林、牧、渔、水利业生产人员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生产、运输设备操作人员及有关人员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军人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不便分类的其他从业人员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未知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f.直系亲属与本人关系：父亲、母亲、子女、配偶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g.教育程度：初中及小学以下、中专/职高/高中、高职/大专、本科、硕士、博士、博士后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h.工作时长：一年以下、一年至三年、三年至五年、五年以上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i.业务类型：自营、助贷、联合贷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j.合同类别：贷款合同类、展示签约类、展示类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k.短息类型：通知类、验证码类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l.商家类型：保险、仲裁、融担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m.银行产品类型：单期、多期</w:t>
      </w:r>
    </w:p>
    <w:p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ascii="微软雅黑" w:hAnsi="微软雅黑" w:eastAsia="微软雅黑"/>
          <w:szCs w:val="21"/>
        </w:rPr>
        <w:t xml:space="preserve">    n.银行编码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XX银行</w:t>
      </w:r>
      <w:r>
        <w:rPr>
          <w:rFonts w:hint="eastAsia" w:ascii="微软雅黑" w:hAnsi="微软雅黑" w:eastAsia="微软雅黑"/>
          <w:szCs w:val="21"/>
        </w:rPr>
        <w:t>（数据迁移）</w:t>
      </w:r>
    </w:p>
    <w:p>
      <w:pPr>
        <w:pStyle w:val="3"/>
        <w:numPr>
          <w:ilvl w:val="0"/>
          <w:numId w:val="3"/>
        </w:numPr>
        <w:rPr>
          <w:rFonts w:hint="eastAsia" w:ascii="微软雅黑" w:hAnsi="微软雅黑" w:eastAsia="微软雅黑"/>
          <w:sz w:val="21"/>
          <w:szCs w:val="21"/>
        </w:rPr>
      </w:pPr>
      <w:bookmarkStart w:id="23" w:name="_Toc118147435"/>
      <w:r>
        <w:rPr>
          <w:rFonts w:hint="eastAsia" w:ascii="微软雅黑" w:hAnsi="微软雅黑" w:eastAsia="微软雅黑"/>
          <w:sz w:val="21"/>
          <w:szCs w:val="21"/>
        </w:rPr>
        <w:t>系统管理—定时任务</w:t>
      </w:r>
      <w:bookmarkEnd w:id="23"/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b/>
          <w:color w:val="141414"/>
          <w:sz w:val="21"/>
          <w:szCs w:val="21"/>
        </w:rPr>
      </w:pPr>
      <w:r>
        <w:rPr>
          <w:rStyle w:val="18"/>
          <w:rFonts w:ascii="微软雅黑" w:hAnsi="微软雅黑" w:eastAsia="微软雅黑" w:cs="Helvetica"/>
          <w:b w:val="0"/>
          <w:color w:val="141414"/>
          <w:sz w:val="21"/>
          <w:szCs w:val="21"/>
        </w:rPr>
        <w:t>1、创建【系统管理-定时任务】页面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a.任务名称：不可重复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格式无限制，上限50个字符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b.任务标识：不可重复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创建后，不支持修改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  格式为字母、下划线，上限50个字符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  用途：调用定时任务的唯一标识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c.任务周期：定时任务执行的周期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d.任务方法名：底层方法的名称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   格式无限制，长度无限制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   支持修改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e.自定义执行参数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：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非必填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f.上次执行时间：包含失败的执行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g.成功次数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h.失败次数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i.成功率：成功次数/（成功次数+失败次数）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j.状态：首次创建为未开启状态；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k.开启的定时任务，可手动立即执行一次，并toast提示操作者执行的结果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67960" cy="2004060"/>
            <wp:effectExtent l="0" t="0" r="254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366141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b/>
          <w:color w:val="141414"/>
          <w:sz w:val="21"/>
          <w:szCs w:val="21"/>
        </w:rPr>
      </w:pPr>
      <w:r>
        <w:rPr>
          <w:rStyle w:val="18"/>
          <w:rFonts w:ascii="微软雅黑" w:hAnsi="微软雅黑" w:eastAsia="微软雅黑" w:cs="Helvetica"/>
          <w:b w:val="0"/>
          <w:color w:val="141414"/>
          <w:sz w:val="21"/>
          <w:szCs w:val="21"/>
        </w:rPr>
        <w:t>2、定时任务的列表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a.日结初始化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b.运营计划初始化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c.次年日历配置提醒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d.每月20日LPR利率配置提醒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e.账户余额预警的定时任务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f.放款第二天后，查询是否缺少资产的还款计划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g.异步拉去融担协议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h.重推放款数据给汉辰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i.重推还款数据给汉辰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j.定时至sftp等拉取账单</w:t>
      </w:r>
    </w:p>
    <w:p>
      <w:pPr>
        <w:pStyle w:val="14"/>
        <w:shd w:val="clear" w:color="auto" w:fill="FFFFFF"/>
        <w:spacing w:before="0" w:beforeAutospacing="0" w:after="0" w:afterAutospacing="0"/>
        <w:rPr>
          <w:rFonts w:hint="eastAsia"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k.根据sftp核验账单数据</w:t>
      </w:r>
    </w:p>
    <w:p>
      <w:pPr>
        <w:pStyle w:val="3"/>
        <w:numPr>
          <w:ilvl w:val="0"/>
          <w:numId w:val="3"/>
        </w:numPr>
        <w:rPr>
          <w:rFonts w:hint="eastAsia" w:ascii="微软雅黑" w:hAnsi="微软雅黑" w:eastAsia="微软雅黑"/>
          <w:sz w:val="21"/>
          <w:szCs w:val="21"/>
        </w:rPr>
      </w:pPr>
      <w:bookmarkStart w:id="24" w:name="_Toc118147436"/>
      <w:r>
        <w:rPr>
          <w:rFonts w:hint="eastAsia" w:ascii="微软雅黑" w:hAnsi="微软雅黑" w:eastAsia="微软雅黑"/>
          <w:sz w:val="21"/>
          <w:szCs w:val="21"/>
        </w:rPr>
        <w:t>系统管理—系统参数</w:t>
      </w:r>
      <w:bookmarkEnd w:id="24"/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b/>
          <w:color w:val="141414"/>
          <w:sz w:val="21"/>
          <w:szCs w:val="21"/>
        </w:rPr>
      </w:pPr>
      <w:r>
        <w:rPr>
          <w:rStyle w:val="18"/>
          <w:rFonts w:ascii="微软雅黑" w:hAnsi="微软雅黑" w:eastAsia="微软雅黑" w:cs="Helvetica"/>
          <w:b w:val="0"/>
          <w:color w:val="141414"/>
          <w:sz w:val="21"/>
          <w:szCs w:val="21"/>
        </w:rPr>
        <w:t>1、创建【系统管理-系统参数】页面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a.页面用途 ：非高频、影响逻辑、前端展示等参数放入系统参数页面中；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b.页面字段：参数编号 -- 系统参数的唯一标识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                                 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格式不限，上限50个字符，可更改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                  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参数名称：必填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             格式不限，上限50个字符，可更改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参数值：必填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          格式不限，长度不限，可更改</w:t>
      </w:r>
    </w:p>
    <w:p>
      <w:pPr>
        <w:pStyle w:val="14"/>
        <w:shd w:val="clear" w:color="auto" w:fill="FFFFFF"/>
        <w:spacing w:before="0" w:beforeAutospacing="0" w:after="0" w:afterAutospacing="0"/>
        <w:ind w:left="2730" w:hanging="2730" w:hangingChars="130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            参数类型：业务参数、协议参数、第三方参数、短信参数、文案参数、系统关键参数，类型随着优化升级叠加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c.各类型字段分tap页面展示，如下图所示；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d.参数跟新后，不会立即生效，需点击“刷新缓存”按钮；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e.新创建的系统参数，默认为通用状态，需手动打开后方可生效；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68595" cy="2487295"/>
            <wp:effectExtent l="0" t="0" r="190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2710815"/>
            <wp:effectExtent l="0" t="0" r="2540" b="0"/>
            <wp:docPr id="59" name="图片 59" descr="http://zentao.wsmfin.com/zentaopms/www/data/upload/1/202006/2221295801740b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http://zentao.wsmfin.com/zentaopms/www/data/upload/1/202006/2221295801740bm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2568575"/>
            <wp:effectExtent l="0" t="0" r="2540" b="3175"/>
            <wp:docPr id="60" name="图片 60" descr="http://zentao.wsmfin.com/zentaopms/www/data/upload/1/202006/2221312307886p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http://zentao.wsmfin.com/zentaopms/www/data/upload/1/202006/2221312307886p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b/>
          <w:color w:val="141414"/>
          <w:sz w:val="21"/>
          <w:szCs w:val="21"/>
        </w:rPr>
      </w:pPr>
      <w:r>
        <w:rPr>
          <w:rStyle w:val="18"/>
          <w:rFonts w:ascii="微软雅黑" w:hAnsi="微软雅黑" w:eastAsia="微软雅黑" w:cs="Helvetica"/>
          <w:b w:val="0"/>
          <w:color w:val="141414"/>
          <w:sz w:val="21"/>
          <w:szCs w:val="21"/>
        </w:rPr>
        <w:t>2、系统参数库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a.协议参数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 注册协议、隐私政策、自动还款协议、个人信息授权协议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b.业务参数</w:t>
      </w:r>
    </w:p>
    <w:p>
      <w:pPr>
        <w:pStyle w:val="14"/>
        <w:shd w:val="clear" w:color="auto" w:fill="FFFFFF"/>
        <w:spacing w:before="0" w:beforeAutospacing="0" w:after="0" w:afterAutospacing="0"/>
        <w:ind w:left="630" w:hanging="630" w:hangingChars="30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当日最大用户数、logo图片、手机号码号段、系统名称、线上产品借款失败后再次借款间隔（天）、系统最长待机时间等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c.第三方参数</w:t>
      </w:r>
    </w:p>
    <w:p>
      <w:pPr>
        <w:pStyle w:val="14"/>
        <w:shd w:val="clear" w:color="auto" w:fill="FFFFFF"/>
        <w:spacing w:before="0" w:beforeAutospacing="0" w:after="0" w:afterAutospacing="0"/>
        <w:ind w:left="840" w:hanging="840" w:hangingChars="40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XX银行连支付商户号、XX银行连连支付公钥、连连支付私钥、连连对账SFTP配置、人脸识别回调、创蓝短信接口url、创蓝短信接口账号等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d.短信参数</w:t>
      </w:r>
    </w:p>
    <w:p>
      <w:pPr>
        <w:pStyle w:val="14"/>
        <w:shd w:val="clear" w:color="auto" w:fill="FFFFFF"/>
        <w:spacing w:before="0" w:beforeAutospacing="0" w:after="0" w:afterAutospacing="0"/>
        <w:ind w:left="630" w:hanging="630" w:hangingChars="30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  XX银行短信通道路由、XX短信通道参数、发送短信APIHOST、发送短信渠道编号、发送短信接口名称、短信验证码过期时间、短信获取倒计时、单日每类短信验证码允许获取的最大次数、短信批量接口APIHOST、短信批量接口名称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e.文案参数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f.系统关键参数</w:t>
      </w:r>
    </w:p>
    <w:p>
      <w:pPr>
        <w:pStyle w:val="14"/>
        <w:shd w:val="clear" w:color="auto" w:fill="FFFFFF"/>
        <w:spacing w:before="0" w:beforeAutospacing="0" w:after="0" w:afterAutospacing="0"/>
        <w:ind w:left="630" w:hanging="630" w:hangingChars="30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 风控域名、风控回调地址、风控key、风控加密key、风控加密ivs、风控应用ID、风控商户ID、版本控制-Android、版本控制-ios等。</w:t>
      </w:r>
      <w:r>
        <w:rPr>
          <w:rFonts w:ascii="微软雅黑" w:hAnsi="微软雅黑" w:eastAsia="微软雅黑"/>
          <w:szCs w:val="21"/>
        </w:rPr>
        <w:tab/>
      </w:r>
    </w:p>
    <w:p>
      <w:pPr>
        <w:pStyle w:val="3"/>
        <w:numPr>
          <w:ilvl w:val="0"/>
          <w:numId w:val="3"/>
        </w:numPr>
        <w:rPr>
          <w:rFonts w:hint="eastAsia" w:ascii="微软雅黑" w:hAnsi="微软雅黑" w:eastAsia="微软雅黑"/>
          <w:sz w:val="21"/>
          <w:szCs w:val="21"/>
        </w:rPr>
      </w:pPr>
      <w:bookmarkStart w:id="25" w:name="_Toc118147437"/>
      <w:r>
        <w:rPr>
          <w:rFonts w:hint="eastAsia" w:ascii="微软雅黑" w:hAnsi="微软雅黑" w:eastAsia="微软雅黑"/>
          <w:sz w:val="21"/>
          <w:szCs w:val="21"/>
        </w:rPr>
        <w:t>系统管理—控制台</w:t>
      </w:r>
      <w:bookmarkEnd w:id="25"/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b/>
          <w:color w:val="141414"/>
          <w:sz w:val="21"/>
          <w:szCs w:val="21"/>
        </w:rPr>
      </w:pPr>
      <w:r>
        <w:rPr>
          <w:rStyle w:val="18"/>
          <w:rFonts w:ascii="微软雅黑" w:hAnsi="微软雅黑" w:eastAsia="微软雅黑" w:cs="Helvetica"/>
          <w:b w:val="0"/>
          <w:color w:val="141414"/>
          <w:sz w:val="21"/>
          <w:szCs w:val="21"/>
        </w:rPr>
        <w:t>1、创建【系统管理-控制台】页面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a.有关应用层控制系统底层逻辑的功能放置此页面中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，如“开启/暂停分发、开启/暂停生成资金还款计划、开启/暂停支付、开启/暂停签约”等；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b.目前确定按钮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如下：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  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①开启/暂停分发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  ②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开启/暂停生成资金还款计划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  ③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开启/暂停支付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  ④开启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/暂停签约</w:t>
      </w:r>
    </w:p>
    <w:p>
      <w:pPr>
        <w:pStyle w:val="14"/>
        <w:shd w:val="clear" w:color="auto" w:fill="FFFFFF"/>
        <w:spacing w:before="0" w:beforeAutospacing="0" w:after="0" w:afterAutospacing="0"/>
        <w:rPr>
          <w:rFonts w:hint="eastAsia" w:ascii="微软雅黑" w:hAnsi="微软雅黑" w:eastAsia="微软雅黑" w:cs="Helvetica"/>
          <w:color w:val="141414"/>
          <w:sz w:val="21"/>
          <w:szCs w:val="21"/>
        </w:rPr>
      </w:pPr>
      <w:r>
        <w:drawing>
          <wp:inline distT="0" distB="0" distL="114300" distR="114300">
            <wp:extent cx="5717540" cy="1409065"/>
            <wp:effectExtent l="0" t="0" r="10160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bookmarkStart w:id="26" w:name="_Toc118147438"/>
      <w:r>
        <w:rPr>
          <w:rFonts w:hint="eastAsia" w:ascii="微软雅黑" w:hAnsi="微软雅黑" w:eastAsia="微软雅黑"/>
          <w:sz w:val="21"/>
          <w:szCs w:val="21"/>
        </w:rPr>
        <w:t>系统管理—支付平台管理</w:t>
      </w:r>
      <w:bookmarkEnd w:id="26"/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b/>
          <w:color w:val="141414"/>
          <w:sz w:val="21"/>
          <w:szCs w:val="21"/>
        </w:rPr>
      </w:pPr>
      <w:r>
        <w:rPr>
          <w:rStyle w:val="18"/>
          <w:rFonts w:ascii="微软雅黑" w:hAnsi="微软雅黑" w:eastAsia="微软雅黑" w:cs="Helvetica"/>
          <w:b w:val="0"/>
          <w:color w:val="141414"/>
          <w:sz w:val="21"/>
          <w:szCs w:val="21"/>
        </w:rPr>
        <w:t>1、创建【系统管理-支付平台管理】页面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a.支付平台管理页面中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，用于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创建已合作的第三方支付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；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b.支付平台名称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：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不可重复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                格式不限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，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上限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5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0个字符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                创建后支持修改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c.标识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：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不可重复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        格式不限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，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上限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5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0个字符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        创建后支持修改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，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用于与支付平台交互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b.支持增加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/删除支付平台，操作无强制校验</w:t>
      </w:r>
    </w:p>
    <w:p>
      <w:pPr>
        <w:pStyle w:val="14"/>
        <w:shd w:val="clear" w:color="auto" w:fill="FFFFFF"/>
        <w:spacing w:before="0" w:beforeAutospacing="0" w:after="0" w:afterAutospacing="0"/>
        <w:rPr>
          <w:rFonts w:hint="eastAsia"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829935" cy="1664335"/>
            <wp:effectExtent l="0" t="0" r="12065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eastAsia" w:ascii="微软雅黑" w:hAnsi="微软雅黑" w:eastAsia="微软雅黑"/>
          <w:sz w:val="21"/>
          <w:szCs w:val="21"/>
        </w:rPr>
      </w:pPr>
      <w:bookmarkStart w:id="27" w:name="_Toc118147439"/>
      <w:r>
        <w:rPr>
          <w:rFonts w:hint="eastAsia" w:ascii="微软雅黑" w:hAnsi="微软雅黑" w:eastAsia="微软雅黑"/>
          <w:sz w:val="21"/>
          <w:szCs w:val="21"/>
        </w:rPr>
        <w:t>系统管理—系统预警</w:t>
      </w:r>
      <w:bookmarkEnd w:id="27"/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b/>
          <w:color w:val="141414"/>
          <w:sz w:val="21"/>
          <w:szCs w:val="21"/>
        </w:rPr>
      </w:pPr>
      <w:r>
        <w:rPr>
          <w:rStyle w:val="18"/>
          <w:rFonts w:ascii="微软雅黑" w:hAnsi="微软雅黑" w:eastAsia="微软雅黑" w:cs="Helvetica"/>
          <w:b w:val="0"/>
          <w:color w:val="141414"/>
          <w:sz w:val="21"/>
          <w:szCs w:val="21"/>
        </w:rPr>
        <w:t>1、创建【系统管理-系统预警】页面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>      a.编号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：创建时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自增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b.错误码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：开发定义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c.错误信息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：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开发定义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d.生成时间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：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yyyy-MM-dd HH:mm:ss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 e.状态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：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已读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、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未读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f.操作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-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确认已读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：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点击后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，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指定预警信息状态变更为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“已读”</w:t>
      </w:r>
    </w:p>
    <w:p>
      <w:pPr>
        <w:pStyle w:val="14"/>
        <w:shd w:val="clear" w:color="auto" w:fill="FFFFFF"/>
        <w:spacing w:before="0" w:beforeAutospacing="0" w:after="0" w:afterAutospacing="0"/>
        <w:rPr>
          <w:rFonts w:ascii="微软雅黑" w:hAnsi="微软雅黑" w:eastAsia="微软雅黑" w:cs="Helvetica"/>
          <w:color w:val="141414"/>
          <w:sz w:val="21"/>
          <w:szCs w:val="21"/>
        </w:rPr>
      </w:pP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 xml:space="preserve"> 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 xml:space="preserve">    g.筛选条件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：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按照生成时间段查询</w:t>
      </w:r>
      <w:r>
        <w:rPr>
          <w:rFonts w:hint="eastAsia" w:ascii="微软雅黑" w:hAnsi="微软雅黑" w:eastAsia="微软雅黑" w:cs="Helvetica"/>
          <w:color w:val="141414"/>
          <w:sz w:val="21"/>
          <w:szCs w:val="21"/>
        </w:rPr>
        <w:t>，查</w:t>
      </w:r>
      <w:r>
        <w:rPr>
          <w:rFonts w:ascii="微软雅黑" w:hAnsi="微软雅黑" w:eastAsia="微软雅黑" w:cs="Helvetica"/>
          <w:color w:val="141414"/>
          <w:sz w:val="21"/>
          <w:szCs w:val="21"/>
        </w:rPr>
        <w:t>询结果支持全量标记已读</w:t>
      </w:r>
    </w:p>
    <w:p>
      <w:pPr>
        <w:pStyle w:val="14"/>
        <w:shd w:val="clear" w:color="auto" w:fill="FFFFFF"/>
        <w:spacing w:before="0" w:beforeAutospacing="0" w:after="0" w:afterAutospacing="0"/>
        <w:rPr>
          <w:rFonts w:hint="eastAsia" w:ascii="微软雅黑" w:hAnsi="微软雅黑" w:eastAsia="微软雅黑" w:cs="Helvetica"/>
          <w:color w:val="141414"/>
          <w:sz w:val="21"/>
          <w:szCs w:val="21"/>
        </w:rPr>
      </w:pPr>
      <w:r>
        <w:drawing>
          <wp:inline distT="0" distB="0" distL="114300" distR="114300">
            <wp:extent cx="5736590" cy="1799590"/>
            <wp:effectExtent l="0" t="0" r="3810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eastAsia" w:ascii="微软雅黑" w:hAnsi="微软雅黑" w:eastAsia="微软雅黑"/>
          <w:sz w:val="21"/>
          <w:szCs w:val="21"/>
        </w:rPr>
      </w:pPr>
      <w:bookmarkStart w:id="28" w:name="_Toc118147440"/>
      <w:r>
        <w:rPr>
          <w:rFonts w:ascii="微软雅黑" w:hAnsi="微软雅黑" w:eastAsia="微软雅黑"/>
          <w:sz w:val="21"/>
          <w:szCs w:val="21"/>
        </w:rPr>
        <w:t>创建系统使用者</w:t>
      </w:r>
      <w:bookmarkEnd w:id="28"/>
    </w:p>
    <w:p>
      <w:pPr>
        <w:pStyle w:val="31"/>
        <w:numPr>
          <w:ilvl w:val="0"/>
          <w:numId w:val="5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页面元素，见下图：</w:t>
      </w:r>
    </w:p>
    <w:p>
      <w:pPr>
        <w:pStyle w:val="31"/>
        <w:numPr>
          <w:ilvl w:val="1"/>
          <w:numId w:val="6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用户创建成功并启用后，用户可以使用该账号登录系统；</w:t>
      </w:r>
    </w:p>
    <w:p>
      <w:pPr>
        <w:pStyle w:val="31"/>
        <w:numPr>
          <w:ilvl w:val="1"/>
          <w:numId w:val="6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该用户账号停用后</w:t>
      </w:r>
      <w:r>
        <w:rPr>
          <w:rFonts w:hint="eastAsia" w:ascii="微软雅黑" w:hAnsi="微软雅黑" w:eastAsia="微软雅黑"/>
          <w:szCs w:val="21"/>
        </w:rPr>
        <w:t>，用户登录</w:t>
      </w:r>
      <w:r>
        <w:rPr>
          <w:rFonts w:ascii="微软雅黑" w:hAnsi="微软雅黑" w:eastAsia="微软雅黑"/>
          <w:szCs w:val="21"/>
        </w:rPr>
        <w:t>系统时不成功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31"/>
        <w:numPr>
          <w:ilvl w:val="1"/>
          <w:numId w:val="6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筛选条件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按用户账号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用户姓名及工号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精确查询筛选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31"/>
        <w:spacing w:line="276" w:lineRule="auto"/>
        <w:ind w:left="3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69230" cy="1531620"/>
            <wp:effectExtent l="0" t="0" r="1270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5"/>
        </w:numPr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重置密码页面：</w:t>
      </w:r>
    </w:p>
    <w:p>
      <w:pPr>
        <w:pStyle w:val="31"/>
        <w:numPr>
          <w:ilvl w:val="0"/>
          <w:numId w:val="7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校验规则：6-</w:t>
      </w:r>
      <w:r>
        <w:rPr>
          <w:rFonts w:ascii="微软雅黑" w:hAnsi="微软雅黑" w:eastAsia="微软雅黑"/>
          <w:szCs w:val="21"/>
        </w:rPr>
        <w:t>16位数字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字母</w:t>
      </w:r>
      <w:r>
        <w:rPr>
          <w:rFonts w:hint="eastAsia" w:ascii="微软雅黑" w:hAnsi="微软雅黑" w:eastAsia="微软雅黑"/>
          <w:szCs w:val="21"/>
        </w:rPr>
        <w:t>、或组合，区分大小写</w:t>
      </w:r>
    </w:p>
    <w:p>
      <w:pPr>
        <w:spacing w:line="276" w:lineRule="auto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2342515"/>
            <wp:effectExtent l="0" t="0" r="254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1"/>
        <w:spacing w:line="276" w:lineRule="auto"/>
        <w:ind w:left="360" w:firstLine="0" w:firstLineChars="0"/>
        <w:rPr>
          <w:rFonts w:ascii="微软雅黑" w:hAnsi="微软雅黑" w:eastAsia="微软雅黑"/>
          <w:szCs w:val="21"/>
        </w:rPr>
      </w:pPr>
    </w:p>
    <w:p>
      <w:pPr>
        <w:pStyle w:val="31"/>
        <w:numPr>
          <w:ilvl w:val="0"/>
          <w:numId w:val="5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新增用户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pStyle w:val="31"/>
        <w:numPr>
          <w:ilvl w:val="0"/>
          <w:numId w:val="8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用户工号、用户账号都不可重复；</w:t>
      </w:r>
    </w:p>
    <w:p>
      <w:pPr>
        <w:pStyle w:val="31"/>
        <w:numPr>
          <w:ilvl w:val="0"/>
          <w:numId w:val="8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用户工号</w:t>
      </w:r>
      <w:r>
        <w:rPr>
          <w:rFonts w:hint="eastAsia" w:ascii="微软雅黑" w:hAnsi="微软雅黑" w:eastAsia="微软雅黑"/>
          <w:szCs w:val="21"/>
        </w:rPr>
        <w:t>：数字，不超过1</w:t>
      </w:r>
      <w:r>
        <w:rPr>
          <w:rFonts w:ascii="微软雅黑" w:hAnsi="微软雅黑" w:eastAsia="微软雅黑"/>
          <w:szCs w:val="21"/>
        </w:rPr>
        <w:t>5位</w:t>
      </w:r>
    </w:p>
    <w:p>
      <w:pPr>
        <w:pStyle w:val="31"/>
        <w:numPr>
          <w:ilvl w:val="0"/>
          <w:numId w:val="8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用户账号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字母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或与下划线组合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区分大小写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不超过</w:t>
      </w: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0字符</w:t>
      </w:r>
    </w:p>
    <w:p>
      <w:pPr>
        <w:pStyle w:val="31"/>
        <w:numPr>
          <w:ilvl w:val="0"/>
          <w:numId w:val="8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用户姓名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不超过10个汉字</w:t>
      </w:r>
    </w:p>
    <w:p>
      <w:pPr>
        <w:pStyle w:val="31"/>
        <w:numPr>
          <w:ilvl w:val="0"/>
          <w:numId w:val="8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用户角色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可以多选</w:t>
      </w:r>
      <w:r>
        <w:rPr>
          <w:rFonts w:hint="eastAsia" w:ascii="微软雅黑" w:hAnsi="微软雅黑" w:eastAsia="微软雅黑"/>
          <w:szCs w:val="21"/>
        </w:rPr>
        <w:t>（启用状态的角色才会显示在下拉集合里）</w:t>
      </w:r>
    </w:p>
    <w:p>
      <w:pPr>
        <w:pStyle w:val="31"/>
        <w:numPr>
          <w:ilvl w:val="0"/>
          <w:numId w:val="8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联系电话</w:t>
      </w:r>
      <w:r>
        <w:rPr>
          <w:rFonts w:hint="eastAsia" w:ascii="微软雅黑" w:hAnsi="微软雅黑" w:eastAsia="微软雅黑"/>
          <w:szCs w:val="21"/>
        </w:rPr>
        <w:t>：数字格式，</w:t>
      </w:r>
      <w:r>
        <w:rPr>
          <w:rFonts w:ascii="微软雅黑" w:hAnsi="微软雅黑" w:eastAsia="微软雅黑"/>
          <w:szCs w:val="21"/>
        </w:rPr>
        <w:t>长度限制</w:t>
      </w: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0个字符</w:t>
      </w:r>
    </w:p>
    <w:p>
      <w:pPr>
        <w:pStyle w:val="31"/>
        <w:numPr>
          <w:ilvl w:val="0"/>
          <w:numId w:val="8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固定电话</w:t>
      </w:r>
      <w:r>
        <w:rPr>
          <w:rFonts w:hint="eastAsia" w:ascii="微软雅黑" w:hAnsi="微软雅黑" w:eastAsia="微软雅黑"/>
          <w:szCs w:val="21"/>
        </w:rPr>
        <w:t>：无格式限制，</w:t>
      </w:r>
      <w:r>
        <w:rPr>
          <w:rFonts w:ascii="微软雅黑" w:hAnsi="微软雅黑" w:eastAsia="微软雅黑"/>
          <w:szCs w:val="21"/>
        </w:rPr>
        <w:t>长度限制</w:t>
      </w: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0个字符</w:t>
      </w:r>
    </w:p>
    <w:p>
      <w:pPr>
        <w:pStyle w:val="31"/>
        <w:numPr>
          <w:ilvl w:val="0"/>
          <w:numId w:val="8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联系邮箱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格式校验</w:t>
      </w:r>
      <w:r>
        <w:rPr>
          <w:rFonts w:hint="eastAsia" w:ascii="微软雅黑" w:hAnsi="微软雅黑" w:eastAsia="微软雅黑"/>
          <w:szCs w:val="21"/>
        </w:rPr>
        <w:t>必须带@字符；</w:t>
      </w:r>
      <w:r>
        <w:rPr>
          <w:rFonts w:ascii="微软雅黑" w:hAnsi="微软雅黑" w:eastAsia="微软雅黑"/>
          <w:szCs w:val="21"/>
        </w:rPr>
        <w:t>长度限制50个字符</w:t>
      </w:r>
    </w:p>
    <w:p>
      <w:pPr>
        <w:pStyle w:val="31"/>
        <w:numPr>
          <w:ilvl w:val="0"/>
          <w:numId w:val="8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用户新建后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默认停用状态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需要在列表中启用</w:t>
      </w:r>
    </w:p>
    <w:p>
      <w:pPr>
        <w:pStyle w:val="31"/>
        <w:numPr>
          <w:ilvl w:val="0"/>
          <w:numId w:val="8"/>
        </w:numPr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登录密码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必填项</w:t>
      </w:r>
      <w:r>
        <w:rPr>
          <w:rFonts w:hint="eastAsia" w:ascii="微软雅黑" w:hAnsi="微软雅黑" w:eastAsia="微软雅黑"/>
          <w:szCs w:val="21"/>
        </w:rPr>
        <w:t>，6-16位数字、字母、或组合，区分大小写</w:t>
      </w:r>
    </w:p>
    <w:p>
      <w:pPr>
        <w:spacing w:line="276" w:lineRule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512889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/>
          <w:szCs w:val="21"/>
        </w:rPr>
      </w:pPr>
    </w:p>
    <w:p>
      <w:pPr>
        <w:pStyle w:val="31"/>
        <w:numPr>
          <w:ilvl w:val="0"/>
          <w:numId w:val="5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编辑用户：</w:t>
      </w:r>
    </w:p>
    <w:p>
      <w:pPr>
        <w:pStyle w:val="31"/>
        <w:numPr>
          <w:ilvl w:val="0"/>
          <w:numId w:val="9"/>
        </w:numPr>
        <w:spacing w:line="276" w:lineRule="auto"/>
        <w:ind w:firstLineChars="0"/>
        <w:rPr>
          <w:rFonts w:ascii="微软雅黑" w:hAnsi="微软雅黑" w:eastAsia="微软雅黑" w:cs="Arial"/>
          <w:color w:val="1E1E1E"/>
          <w:szCs w:val="21"/>
        </w:rPr>
      </w:pPr>
      <w:r>
        <w:rPr>
          <w:rFonts w:hint="eastAsia" w:ascii="微软雅黑" w:hAnsi="微软雅黑" w:eastAsia="微软雅黑"/>
          <w:szCs w:val="21"/>
        </w:rPr>
        <w:t>用户工号、</w:t>
      </w:r>
      <w:r>
        <w:rPr>
          <w:rFonts w:ascii="微软雅黑" w:hAnsi="微软雅黑" w:eastAsia="微软雅黑"/>
          <w:szCs w:val="21"/>
        </w:rPr>
        <w:t>用户账号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用户姓名</w:t>
      </w:r>
      <w:r>
        <w:rPr>
          <w:rFonts w:hint="eastAsia" w:ascii="微软雅黑" w:hAnsi="微软雅黑" w:eastAsia="微软雅黑"/>
          <w:szCs w:val="21"/>
        </w:rPr>
        <w:t>，这三项不可更改</w:t>
      </w:r>
      <w:r>
        <w:rPr>
          <w:rFonts w:hint="eastAsia" w:ascii="微软雅黑" w:hAnsi="微软雅黑" w:eastAsia="微软雅黑" w:cs="Arial"/>
          <w:color w:val="1E1E1E"/>
          <w:szCs w:val="21"/>
        </w:rPr>
        <w:t>；</w:t>
      </w:r>
    </w:p>
    <w:p>
      <w:pPr>
        <w:pStyle w:val="31"/>
        <w:numPr>
          <w:ilvl w:val="0"/>
          <w:numId w:val="9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启用状态的账号修改后保存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开关状态与修改前的状态保持不变</w:t>
      </w:r>
    </w:p>
    <w:p>
      <w:pPr>
        <w:spacing w:line="276" w:lineRule="auto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446024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hint="eastAsia" w:ascii="微软雅黑" w:hAnsi="微软雅黑" w:eastAsia="微软雅黑"/>
          <w:sz w:val="21"/>
          <w:szCs w:val="21"/>
        </w:rPr>
      </w:pPr>
      <w:bookmarkStart w:id="29" w:name="_Toc118147441"/>
      <w:r>
        <w:rPr>
          <w:rFonts w:hint="eastAsia" w:ascii="微软雅黑" w:hAnsi="微软雅黑" w:eastAsia="微软雅黑"/>
          <w:sz w:val="21"/>
          <w:szCs w:val="21"/>
        </w:rPr>
        <w:t>为系统使用者绑定角色及分配权限</w:t>
      </w:r>
      <w:bookmarkEnd w:id="29"/>
    </w:p>
    <w:p>
      <w:pPr>
        <w:pStyle w:val="31"/>
        <w:numPr>
          <w:ilvl w:val="0"/>
          <w:numId w:val="10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列表页的页面元素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如下图所示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pStyle w:val="31"/>
        <w:numPr>
          <w:ilvl w:val="1"/>
          <w:numId w:val="11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角色创建成功并</w:t>
      </w:r>
      <w:r>
        <w:rPr>
          <w:rFonts w:hint="eastAsia" w:ascii="微软雅黑" w:hAnsi="微软雅黑" w:eastAsia="微软雅黑"/>
          <w:b/>
          <w:szCs w:val="21"/>
        </w:rPr>
        <w:t>启用</w:t>
      </w:r>
      <w:r>
        <w:rPr>
          <w:rFonts w:hint="eastAsia" w:ascii="微软雅黑" w:hAnsi="微软雅黑" w:eastAsia="微软雅黑"/>
          <w:szCs w:val="21"/>
        </w:rPr>
        <w:t>后，创建和编辑用户时在角色下拉列表中可以看到；</w:t>
      </w:r>
    </w:p>
    <w:p>
      <w:pPr>
        <w:pStyle w:val="31"/>
        <w:numPr>
          <w:ilvl w:val="1"/>
          <w:numId w:val="11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启用状态的用户绑定的角色停用后</w:t>
      </w:r>
      <w:r>
        <w:rPr>
          <w:rFonts w:hint="eastAsia" w:ascii="微软雅黑" w:hAnsi="微软雅黑" w:eastAsia="微软雅黑"/>
          <w:szCs w:val="21"/>
        </w:rPr>
        <w:t>，该用户登录</w:t>
      </w:r>
      <w:r>
        <w:rPr>
          <w:rFonts w:ascii="微软雅黑" w:hAnsi="微软雅黑" w:eastAsia="微软雅黑"/>
          <w:szCs w:val="21"/>
        </w:rPr>
        <w:t>系统时</w:t>
      </w:r>
      <w:r>
        <w:rPr>
          <w:rFonts w:hint="eastAsia" w:ascii="微软雅黑" w:hAnsi="微软雅黑" w:eastAsia="微软雅黑"/>
          <w:szCs w:val="21"/>
        </w:rPr>
        <w:t>提示</w:t>
      </w:r>
      <w:r>
        <w:rPr>
          <w:rFonts w:ascii="微软雅黑" w:hAnsi="微软雅黑" w:eastAsia="微软雅黑"/>
          <w:szCs w:val="21"/>
        </w:rPr>
        <w:t>不可登录；</w:t>
      </w:r>
    </w:p>
    <w:p>
      <w:pPr>
        <w:pStyle w:val="31"/>
        <w:numPr>
          <w:ilvl w:val="1"/>
          <w:numId w:val="11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角色状态由停用恢复启用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对应拥有该角色的用户</w:t>
      </w:r>
      <w:r>
        <w:rPr>
          <w:rFonts w:hint="eastAsia" w:ascii="微软雅黑" w:hAnsi="微软雅黑" w:eastAsia="微软雅黑"/>
          <w:szCs w:val="21"/>
        </w:rPr>
        <w:t>，该</w:t>
      </w:r>
      <w:r>
        <w:rPr>
          <w:rFonts w:ascii="微软雅黑" w:hAnsi="微软雅黑" w:eastAsia="微软雅黑"/>
          <w:szCs w:val="21"/>
        </w:rPr>
        <w:t>角色权限自动恢复</w:t>
      </w:r>
      <w:r>
        <w:rPr>
          <w:rFonts w:hint="eastAsia" w:ascii="微软雅黑" w:hAnsi="微软雅黑" w:eastAsia="微软雅黑"/>
          <w:szCs w:val="21"/>
        </w:rPr>
        <w:t xml:space="preserve">； </w:t>
      </w:r>
    </w:p>
    <w:p>
      <w:pPr>
        <w:pStyle w:val="31"/>
        <w:spacing w:line="276" w:lineRule="auto"/>
        <w:ind w:left="360" w:firstLine="0" w:firstLineChars="0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273040" cy="1364615"/>
            <wp:effectExtent l="0" t="0" r="10160" b="698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/>
          <w:szCs w:val="21"/>
        </w:rPr>
      </w:pPr>
    </w:p>
    <w:p>
      <w:pPr>
        <w:pStyle w:val="31"/>
        <w:numPr>
          <w:ilvl w:val="0"/>
          <w:numId w:val="10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新建角色：</w:t>
      </w:r>
    </w:p>
    <w:p>
      <w:pPr>
        <w:pStyle w:val="31"/>
        <w:numPr>
          <w:ilvl w:val="1"/>
          <w:numId w:val="12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校验：角色名称——2</w:t>
      </w:r>
      <w:r>
        <w:rPr>
          <w:rFonts w:ascii="微软雅黑" w:hAnsi="微软雅黑" w:eastAsia="微软雅黑"/>
          <w:szCs w:val="21"/>
        </w:rPr>
        <w:t>0字以内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不可重复</w:t>
      </w:r>
    </w:p>
    <w:p>
      <w:pPr>
        <w:spacing w:line="276" w:lineRule="auto"/>
        <w:ind w:firstLine="1470" w:firstLineChars="7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角色标识</w:t>
      </w:r>
      <w:r>
        <w:rPr>
          <w:rFonts w:hint="eastAsia" w:ascii="微软雅黑" w:hAnsi="微软雅黑" w:eastAsia="微软雅黑"/>
          <w:szCs w:val="21"/>
        </w:rPr>
        <w:t>——</w:t>
      </w:r>
      <w:r>
        <w:rPr>
          <w:rFonts w:ascii="微软雅黑" w:hAnsi="微软雅黑" w:eastAsia="微软雅黑"/>
          <w:szCs w:val="21"/>
        </w:rPr>
        <w:t>英文字母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下划线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ascii="微软雅黑" w:hAnsi="微软雅黑" w:eastAsia="微软雅黑"/>
          <w:szCs w:val="21"/>
        </w:rPr>
        <w:t>或其组合</w:t>
      </w:r>
      <w:r>
        <w:rPr>
          <w:rFonts w:hint="eastAsia" w:ascii="微软雅黑" w:hAnsi="微软雅黑" w:eastAsia="微软雅黑"/>
          <w:szCs w:val="21"/>
        </w:rPr>
        <w:t>，5</w:t>
      </w:r>
      <w:r>
        <w:rPr>
          <w:rFonts w:ascii="微软雅黑" w:hAnsi="微软雅黑" w:eastAsia="微软雅黑"/>
          <w:szCs w:val="21"/>
        </w:rPr>
        <w:t>0字符以内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不可重复</w:t>
      </w:r>
    </w:p>
    <w:p>
      <w:pPr>
        <w:spacing w:line="276" w:lineRule="auto"/>
        <w:ind w:firstLine="1470" w:firstLineChars="7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备注</w:t>
      </w:r>
      <w:r>
        <w:rPr>
          <w:rFonts w:hint="eastAsia" w:ascii="微软雅黑" w:hAnsi="微软雅黑" w:eastAsia="微软雅黑"/>
          <w:szCs w:val="21"/>
        </w:rPr>
        <w:t>——</w:t>
      </w:r>
      <w:r>
        <w:rPr>
          <w:rFonts w:ascii="微软雅黑" w:hAnsi="微软雅黑" w:eastAsia="微软雅黑"/>
          <w:szCs w:val="21"/>
        </w:rPr>
        <w:t>200字符以内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非必填项</w:t>
      </w:r>
    </w:p>
    <w:p>
      <w:pPr>
        <w:pStyle w:val="31"/>
        <w:numPr>
          <w:ilvl w:val="1"/>
          <w:numId w:val="12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新建角色保存后，</w:t>
      </w:r>
      <w:r>
        <w:rPr>
          <w:rFonts w:hint="eastAsia" w:ascii="微软雅黑" w:hAnsi="微软雅黑" w:eastAsia="微软雅黑"/>
          <w:b/>
          <w:szCs w:val="21"/>
        </w:rPr>
        <w:t>默认是停用状态</w:t>
      </w:r>
      <w:r>
        <w:rPr>
          <w:rFonts w:hint="eastAsia" w:ascii="微软雅黑" w:hAnsi="微软雅黑" w:eastAsia="微软雅黑"/>
          <w:szCs w:val="21"/>
        </w:rPr>
        <w:t>，需要在列表中启用。</w:t>
      </w:r>
    </w:p>
    <w:p>
      <w:pPr>
        <w:pStyle w:val="31"/>
        <w:spacing w:line="276" w:lineRule="auto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3078480"/>
            <wp:effectExtent l="0" t="0" r="2540" b="7620"/>
            <wp:docPr id="33" name="图片 33" descr="C:\Users\SUNTIN~1\AppData\Local\Temp\WeChat Files\371773380e932345e79c4b3a7cd4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SUNTIN~1\AppData\Local\Temp\WeChat Files\371773380e932345e79c4b3a7cd4e6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10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编辑：</w:t>
      </w:r>
    </w:p>
    <w:p>
      <w:pPr>
        <w:pStyle w:val="31"/>
        <w:numPr>
          <w:ilvl w:val="0"/>
          <w:numId w:val="13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角色名称、备注都可修改</w:t>
      </w:r>
    </w:p>
    <w:p>
      <w:pPr>
        <w:pStyle w:val="31"/>
        <w:numPr>
          <w:ilvl w:val="0"/>
          <w:numId w:val="13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角色名称不可重复</w:t>
      </w:r>
    </w:p>
    <w:p>
      <w:pPr>
        <w:pStyle w:val="31"/>
        <w:numPr>
          <w:ilvl w:val="0"/>
          <w:numId w:val="13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角色</w:t>
      </w:r>
      <w:r>
        <w:rPr>
          <w:rFonts w:hint="eastAsia" w:ascii="微软雅黑" w:hAnsi="微软雅黑" w:eastAsia="微软雅黑"/>
          <w:szCs w:val="21"/>
        </w:rPr>
        <w:t>标识不可修改</w:t>
      </w:r>
    </w:p>
    <w:p>
      <w:pPr>
        <w:pStyle w:val="31"/>
        <w:numPr>
          <w:ilvl w:val="0"/>
          <w:numId w:val="13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保存后，该角色的开关状态与修改前保存一致</w:t>
      </w:r>
    </w:p>
    <w:p>
      <w:pPr>
        <w:pStyle w:val="31"/>
        <w:spacing w:line="276" w:lineRule="auto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2713990"/>
            <wp:effectExtent l="0" t="0" r="2540" b="0"/>
            <wp:docPr id="25" name="图片 25" descr="C:\Users\SUNTIN~1\AppData\Local\Temp\WeChat Files\43be1c256be1d429f8a13d16d879b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SUNTIN~1\AppData\Local\Temp\WeChat Files\43be1c256be1d429f8a13d16d879b4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/>
          <w:szCs w:val="21"/>
        </w:rPr>
      </w:pPr>
    </w:p>
    <w:p>
      <w:pPr>
        <w:pStyle w:val="31"/>
        <w:numPr>
          <w:ilvl w:val="0"/>
          <w:numId w:val="10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角色权限分为两类</w:t>
      </w:r>
      <w:r>
        <w:rPr>
          <w:rFonts w:hint="eastAsia" w:ascii="微软雅黑" w:hAnsi="微软雅黑" w:eastAsia="微软雅黑"/>
          <w:szCs w:val="21"/>
        </w:rPr>
        <w:t>：</w:t>
      </w:r>
      <w:r>
        <w:rPr>
          <w:rFonts w:ascii="微软雅黑" w:hAnsi="微软雅黑" w:eastAsia="微软雅黑"/>
          <w:szCs w:val="21"/>
        </w:rPr>
        <w:t>页面访问权限</w:t>
      </w:r>
      <w:r>
        <w:rPr>
          <w:rFonts w:hint="eastAsia" w:ascii="微软雅黑" w:hAnsi="微软雅黑" w:eastAsia="微软雅黑"/>
          <w:szCs w:val="21"/>
        </w:rPr>
        <w:t xml:space="preserve"> 和 数据访问权限。</w:t>
      </w:r>
    </w:p>
    <w:p>
      <w:pPr>
        <w:pStyle w:val="31"/>
        <w:spacing w:line="276" w:lineRule="auto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页面访问权限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pStyle w:val="31"/>
        <w:numPr>
          <w:ilvl w:val="0"/>
          <w:numId w:val="14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将本期所有页面及页面上功能按钮</w:t>
      </w:r>
      <w:r>
        <w:rPr>
          <w:rFonts w:hint="eastAsia" w:ascii="微软雅黑" w:hAnsi="微软雅黑" w:eastAsia="微软雅黑"/>
          <w:szCs w:val="21"/>
        </w:rPr>
        <w:t>（除查询、重置）</w:t>
      </w:r>
      <w:r>
        <w:rPr>
          <w:rFonts w:ascii="微软雅黑" w:hAnsi="微软雅黑" w:eastAsia="微软雅黑"/>
          <w:szCs w:val="21"/>
        </w:rPr>
        <w:t>都置为勾选项</w:t>
      </w:r>
    </w:p>
    <w:p>
      <w:pPr>
        <w:pStyle w:val="31"/>
        <w:numPr>
          <w:ilvl w:val="0"/>
          <w:numId w:val="14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为方便使用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页面中提供快捷按钮</w:t>
      </w:r>
      <w:r>
        <w:rPr>
          <w:rFonts w:hint="eastAsia" w:ascii="微软雅黑" w:hAnsi="微软雅黑" w:eastAsia="微软雅黑"/>
          <w:szCs w:val="21"/>
        </w:rPr>
        <w:t>（全选、全不选、展开所有、收起）</w:t>
      </w:r>
      <w:r>
        <w:rPr>
          <w:rFonts w:ascii="微软雅黑" w:hAnsi="微软雅黑" w:eastAsia="微软雅黑"/>
          <w:szCs w:val="21"/>
        </w:rPr>
        <w:t>和搜索关键字快速定位功能</w:t>
      </w:r>
    </w:p>
    <w:p>
      <w:pPr>
        <w:pStyle w:val="31"/>
        <w:spacing w:line="276" w:lineRule="auto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2265680"/>
            <wp:effectExtent l="0" t="0" r="2540" b="1270"/>
            <wp:docPr id="62" name="图片 62" descr="C:\Users\SUNTIN~1\AppData\Local\Temp\WeChat Files\94ba340c760f8ff50817dc7fe2c6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SUNTIN~1\AppData\Local\Temp\WeChat Files\94ba340c760f8ff50817dc7fe2c600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Cs w:val="21"/>
        </w:rPr>
        <w:tab/>
      </w:r>
    </w:p>
    <w:p>
      <w:pPr>
        <w:pStyle w:val="31"/>
        <w:spacing w:line="276" w:lineRule="auto"/>
        <w:ind w:left="3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数据访问权限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pStyle w:val="31"/>
        <w:numPr>
          <w:ilvl w:val="2"/>
          <w:numId w:val="15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第一步需要先指定银行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即该角色可查看哪些银行的数据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31"/>
        <w:numPr>
          <w:ilvl w:val="2"/>
          <w:numId w:val="15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银行支持多选；</w:t>
      </w:r>
    </w:p>
    <w:p>
      <w:pPr>
        <w:pStyle w:val="31"/>
        <w:numPr>
          <w:ilvl w:val="2"/>
          <w:numId w:val="15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银行指定后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列举出这些</w:t>
      </w:r>
      <w:r>
        <w:rPr>
          <w:rFonts w:hint="eastAsia" w:ascii="微软雅黑" w:hAnsi="微软雅黑" w:eastAsia="微软雅黑"/>
          <w:szCs w:val="21"/>
        </w:rPr>
        <w:t>（个）银行关联的所有产品；</w:t>
      </w:r>
    </w:p>
    <w:p>
      <w:pPr>
        <w:pStyle w:val="31"/>
        <w:numPr>
          <w:ilvl w:val="2"/>
          <w:numId w:val="15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若取消选定的银行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那么该银行关联的</w:t>
      </w:r>
      <w:r>
        <w:rPr>
          <w:rFonts w:hint="eastAsia" w:ascii="微软雅黑" w:hAnsi="微软雅黑" w:eastAsia="微软雅黑"/>
          <w:szCs w:val="21"/>
        </w:rPr>
        <w:t>产品在列表中隐藏不显示；</w:t>
      </w:r>
    </w:p>
    <w:p>
      <w:pPr>
        <w:pStyle w:val="31"/>
        <w:numPr>
          <w:ilvl w:val="2"/>
          <w:numId w:val="15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【增量业务免配置】，是指银行增量业务</w:t>
      </w:r>
      <w:r>
        <w:rPr>
          <w:rFonts w:ascii="微软雅黑" w:hAnsi="微软雅黑" w:eastAsia="微软雅黑"/>
          <w:szCs w:val="21"/>
        </w:rPr>
        <w:t>不需要再回到本页面配置了</w:t>
      </w:r>
      <w:r>
        <w:rPr>
          <w:rFonts w:hint="eastAsia" w:ascii="微软雅黑" w:hAnsi="微软雅黑" w:eastAsia="微软雅黑"/>
          <w:szCs w:val="21"/>
        </w:rPr>
        <w:t>。当该银行关联新的产品后再进入本页面时，此产品是选中状态；</w:t>
      </w:r>
    </w:p>
    <w:p>
      <w:pPr>
        <w:pStyle w:val="31"/>
        <w:numPr>
          <w:ilvl w:val="2"/>
          <w:numId w:val="15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没有选中银行</w:t>
      </w:r>
      <w:r>
        <w:rPr>
          <w:rFonts w:hint="eastAsia" w:ascii="微软雅黑" w:hAnsi="微软雅黑" w:eastAsia="微软雅黑"/>
          <w:szCs w:val="21"/>
        </w:rPr>
        <w:t>却直接勾选了【增量业务免配置】，保存时提示【需要先指定银行】；</w:t>
      </w:r>
    </w:p>
    <w:p>
      <w:pPr>
        <w:pStyle w:val="31"/>
        <w:numPr>
          <w:ilvl w:val="2"/>
          <w:numId w:val="15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若选中的多家银行都开展了A产品业务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当选中产品A后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那么有该角色权限的用户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就能同时看到这些家银行的产品A的数据</w:t>
      </w:r>
      <w:r>
        <w:rPr>
          <w:rFonts w:hint="eastAsia" w:ascii="微软雅黑" w:hAnsi="微软雅黑" w:eastAsia="微软雅黑"/>
          <w:szCs w:val="21"/>
        </w:rPr>
        <w:t>。</w:t>
      </w:r>
      <w:r>
        <w:rPr>
          <w:rFonts w:ascii="微软雅黑" w:hAnsi="微软雅黑" w:eastAsia="微软雅黑"/>
          <w:szCs w:val="21"/>
        </w:rPr>
        <w:t>本期不支持这些家银行</w:t>
      </w:r>
      <w:r>
        <w:rPr>
          <w:rFonts w:hint="eastAsia" w:ascii="微软雅黑" w:hAnsi="微软雅黑" w:eastAsia="微软雅黑"/>
          <w:szCs w:val="21"/>
        </w:rPr>
        <w:t>查看</w:t>
      </w:r>
      <w:r>
        <w:rPr>
          <w:rFonts w:ascii="微软雅黑" w:hAnsi="微软雅黑" w:eastAsia="微软雅黑"/>
          <w:szCs w:val="21"/>
        </w:rPr>
        <w:t>A产品</w:t>
      </w:r>
      <w:r>
        <w:rPr>
          <w:rFonts w:hint="eastAsia" w:ascii="微软雅黑" w:hAnsi="微软雅黑" w:eastAsia="微软雅黑"/>
          <w:szCs w:val="21"/>
        </w:rPr>
        <w:t>的权限差异化配置。</w:t>
      </w:r>
    </w:p>
    <w:p>
      <w:pPr>
        <w:pStyle w:val="31"/>
        <w:numPr>
          <w:ilvl w:val="2"/>
          <w:numId w:val="15"/>
        </w:numPr>
        <w:spacing w:line="276" w:lineRule="auto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为方便使用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页面中提供快捷按钮</w:t>
      </w:r>
      <w:r>
        <w:rPr>
          <w:rFonts w:hint="eastAsia" w:ascii="微软雅黑" w:hAnsi="微软雅黑" w:eastAsia="微软雅黑"/>
          <w:szCs w:val="21"/>
        </w:rPr>
        <w:t>（全选、全不选）</w:t>
      </w:r>
      <w:r>
        <w:rPr>
          <w:rFonts w:ascii="微软雅黑" w:hAnsi="微软雅黑" w:eastAsia="微软雅黑"/>
          <w:szCs w:val="21"/>
        </w:rPr>
        <w:t>和搜索关键字快速定位功能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spacing w:line="276" w:lineRule="auto"/>
        <w:ind w:left="425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2288540"/>
            <wp:effectExtent l="0" t="0" r="2540" b="0"/>
            <wp:docPr id="63" name="图片 63" descr="C:\Users\SUNTIN~1\AppData\Local\Temp\WeChat Files\b398cffb4bb9f1f9a77ef3b906938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SUNTIN~1\AppData\Local\Temp\WeChat Files\b398cffb4bb9f1f9a77ef3b906938e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425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2312035"/>
            <wp:effectExtent l="0" t="0" r="2540" b="0"/>
            <wp:docPr id="64" name="图片 64" descr="C:\Users\SUNTIN~1\AppData\Local\Temp\WeChat Files\5fcb6a7fcb4542742c352b478330f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SUNTIN~1\AppData\Local\Temp\WeChat Files\5fcb6a7fcb4542742c352b478330f3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hint="default" w:eastAsia="宋体"/>
        <w:i/>
        <w:iCs/>
        <w:lang w:val="en-US" w:eastAsia="zh-CN"/>
      </w:rPr>
    </w:pPr>
    <w:r>
      <w:rPr>
        <w:rFonts w:hint="eastAsia"/>
        <w:i/>
        <w:iCs/>
        <w:lang w:val="en-US" w:eastAsia="zh-CN"/>
      </w:rPr>
      <w:t>微神马科技（大连）有限公司 产品文档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left"/>
      <w:rPr>
        <w:rFonts w:hint="default" w:eastAsia="宋体"/>
        <w:color w:val="7F7F7F" w:themeColor="background1" w:themeShade="80"/>
        <w:lang w:val="en-US"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203325" cy="363855"/>
          <wp:effectExtent l="0" t="0" r="3175" b="4445"/>
          <wp:docPr id="1" name="图片 1" descr="微神马LOGO基础版-PNG格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神马LOGO基础版-PNG格式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3325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</w:t>
    </w:r>
    <w:r>
      <w:rPr>
        <w:rFonts w:hint="eastAsia"/>
        <w:i/>
        <w:iCs/>
        <w:color w:val="7F7F7F" w:themeColor="background1" w:themeShade="80"/>
        <w:lang w:val="en-US" w:eastAsia="zh-CN"/>
      </w:rPr>
      <w:t>神马云脑银行数字化业务系统解决方案使用说明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D56E8A"/>
    <w:multiLevelType w:val="multilevel"/>
    <w:tmpl w:val="10D56E8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ascii="微软雅黑" w:hAnsi="微软雅黑" w:eastAsia="微软雅黑"/>
      </w:r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ED2224"/>
    <w:multiLevelType w:val="multilevel"/>
    <w:tmpl w:val="17ED2224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 w:cstheme="minorBidi"/>
        <w:color w:val="auto"/>
        <w:sz w:val="21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1CC449CB"/>
    <w:multiLevelType w:val="multilevel"/>
    <w:tmpl w:val="1CC449CB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1200" w:hanging="4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22967A3A"/>
    <w:multiLevelType w:val="multilevel"/>
    <w:tmpl w:val="22967A3A"/>
    <w:lvl w:ilvl="0" w:tentative="0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F1273F9"/>
    <w:multiLevelType w:val="multilevel"/>
    <w:tmpl w:val="2F1273F9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 w:ascii="微软雅黑" w:hAnsi="微软雅黑" w:eastAsia="微软雅黑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48E6EC7"/>
    <w:multiLevelType w:val="multilevel"/>
    <w:tmpl w:val="348E6EC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4F006B6"/>
    <w:multiLevelType w:val="multilevel"/>
    <w:tmpl w:val="34F006B6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497A08FC"/>
    <w:multiLevelType w:val="multilevel"/>
    <w:tmpl w:val="497A08F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6F5353B"/>
    <w:multiLevelType w:val="multilevel"/>
    <w:tmpl w:val="56F5353B"/>
    <w:lvl w:ilvl="0" w:tentative="0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B675A9E"/>
    <w:multiLevelType w:val="multilevel"/>
    <w:tmpl w:val="5B675A9E"/>
    <w:lvl w:ilvl="0" w:tentative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1205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10">
    <w:nsid w:val="605C7222"/>
    <w:multiLevelType w:val="multilevel"/>
    <w:tmpl w:val="605C7222"/>
    <w:lvl w:ilvl="0" w:tentative="0">
      <w:start w:val="2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EnclosedCircle"/>
      <w:lvlText w:val="%3"/>
      <w:lvlJc w:val="left"/>
      <w:pPr>
        <w:ind w:left="845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DCF5D8B"/>
    <w:multiLevelType w:val="multilevel"/>
    <w:tmpl w:val="6DCF5D8B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78220BB8"/>
    <w:multiLevelType w:val="multilevel"/>
    <w:tmpl w:val="78220BB8"/>
    <w:lvl w:ilvl="0" w:tentative="0">
      <w:start w:val="1"/>
      <w:numFmt w:val="decimal"/>
      <w:pStyle w:val="37"/>
      <w:suff w:val="space"/>
      <w:lvlText w:val="%1"/>
      <w:lvlJc w:val="left"/>
      <w:pPr>
        <w:tabs>
          <w:tab w:val="left" w:pos="425"/>
        </w:tabs>
        <w:ind w:left="0" w:firstLine="0"/>
      </w:pPr>
    </w:lvl>
    <w:lvl w:ilvl="1" w:tentative="0">
      <w:start w:val="1"/>
      <w:numFmt w:val="decimal"/>
      <w:pStyle w:val="38"/>
      <w:suff w:val="space"/>
      <w:lvlText w:val="%1.%2"/>
      <w:lvlJc w:val="left"/>
      <w:pPr>
        <w:tabs>
          <w:tab w:val="left" w:pos="992"/>
        </w:tabs>
        <w:ind w:left="0" w:firstLine="0"/>
      </w:pPr>
    </w:lvl>
    <w:lvl w:ilvl="2" w:tentative="0">
      <w:start w:val="1"/>
      <w:numFmt w:val="decimal"/>
      <w:pStyle w:val="39"/>
      <w:suff w:val="space"/>
      <w:lvlText w:val="%1.%2.%3"/>
      <w:lvlJc w:val="left"/>
      <w:pPr>
        <w:tabs>
          <w:tab w:val="left" w:pos="1418"/>
        </w:tabs>
        <w:ind w:left="0" w:firstLine="0"/>
      </w:pPr>
    </w:lvl>
    <w:lvl w:ilvl="3" w:tentative="0">
      <w:start w:val="1"/>
      <w:numFmt w:val="decimal"/>
      <w:pStyle w:val="40"/>
      <w:suff w:val="space"/>
      <w:lvlText w:val="%1.%2.%3.%4"/>
      <w:lvlJc w:val="left"/>
      <w:pPr>
        <w:tabs>
          <w:tab w:val="left" w:pos="1984"/>
        </w:tabs>
        <w:ind w:left="0" w:firstLine="0"/>
      </w:pPr>
    </w:lvl>
    <w:lvl w:ilvl="4" w:tentative="0">
      <w:start w:val="1"/>
      <w:numFmt w:val="decimal"/>
      <w:pStyle w:val="41"/>
      <w:suff w:val="space"/>
      <w:lvlText w:val="%1.%2.%3.%4.%5"/>
      <w:lvlJc w:val="left"/>
      <w:pPr>
        <w:tabs>
          <w:tab w:val="left" w:pos="2551"/>
        </w:tabs>
        <w:ind w:left="0" w:firstLine="0"/>
      </w:p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13">
    <w:nsid w:val="78AA7024"/>
    <w:multiLevelType w:val="multilevel"/>
    <w:tmpl w:val="78AA7024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79644B16"/>
    <w:multiLevelType w:val="multilevel"/>
    <w:tmpl w:val="79644B16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3"/>
  </w:num>
  <w:num w:numId="8">
    <w:abstractNumId w:val="14"/>
  </w:num>
  <w:num w:numId="9">
    <w:abstractNumId w:val="1"/>
  </w:num>
  <w:num w:numId="10">
    <w:abstractNumId w:val="7"/>
  </w:num>
  <w:num w:numId="11">
    <w:abstractNumId w:val="2"/>
  </w:num>
  <w:num w:numId="12">
    <w:abstractNumId w:val="3"/>
  </w:num>
  <w:num w:numId="13">
    <w:abstractNumId w:val="11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3YWZlODU0MmQzMjRmNTYyNThlYjVmMTkxMWM3ODQifQ=="/>
  </w:docVars>
  <w:rsids>
    <w:rsidRoot w:val="00F97DFC"/>
    <w:rsid w:val="000004A5"/>
    <w:rsid w:val="00002781"/>
    <w:rsid w:val="00055CAF"/>
    <w:rsid w:val="000604D2"/>
    <w:rsid w:val="000642B7"/>
    <w:rsid w:val="000756D1"/>
    <w:rsid w:val="000812E7"/>
    <w:rsid w:val="00093A72"/>
    <w:rsid w:val="000A6989"/>
    <w:rsid w:val="000B0056"/>
    <w:rsid w:val="000B6507"/>
    <w:rsid w:val="000E59F3"/>
    <w:rsid w:val="000F0228"/>
    <w:rsid w:val="0010221A"/>
    <w:rsid w:val="001102BE"/>
    <w:rsid w:val="0014221A"/>
    <w:rsid w:val="00186709"/>
    <w:rsid w:val="001A2433"/>
    <w:rsid w:val="001A5631"/>
    <w:rsid w:val="001C4977"/>
    <w:rsid w:val="001D5D82"/>
    <w:rsid w:val="002330B7"/>
    <w:rsid w:val="00236646"/>
    <w:rsid w:val="00243757"/>
    <w:rsid w:val="00255F22"/>
    <w:rsid w:val="002843C1"/>
    <w:rsid w:val="002A31D4"/>
    <w:rsid w:val="002B01F6"/>
    <w:rsid w:val="002C4917"/>
    <w:rsid w:val="002D6982"/>
    <w:rsid w:val="002E1D70"/>
    <w:rsid w:val="002E427E"/>
    <w:rsid w:val="002F2CCF"/>
    <w:rsid w:val="003166ED"/>
    <w:rsid w:val="00336C42"/>
    <w:rsid w:val="00337043"/>
    <w:rsid w:val="003954B4"/>
    <w:rsid w:val="003D226B"/>
    <w:rsid w:val="003F4E7B"/>
    <w:rsid w:val="004210E3"/>
    <w:rsid w:val="00421768"/>
    <w:rsid w:val="00433DB0"/>
    <w:rsid w:val="00465346"/>
    <w:rsid w:val="00466130"/>
    <w:rsid w:val="00483665"/>
    <w:rsid w:val="00496CB4"/>
    <w:rsid w:val="004A020E"/>
    <w:rsid w:val="004A5115"/>
    <w:rsid w:val="004B32AF"/>
    <w:rsid w:val="004D4BBF"/>
    <w:rsid w:val="004E4B81"/>
    <w:rsid w:val="00505737"/>
    <w:rsid w:val="00513F34"/>
    <w:rsid w:val="00532828"/>
    <w:rsid w:val="0054331B"/>
    <w:rsid w:val="00543645"/>
    <w:rsid w:val="005616CA"/>
    <w:rsid w:val="00581A58"/>
    <w:rsid w:val="00586C9A"/>
    <w:rsid w:val="005940A3"/>
    <w:rsid w:val="005B3BDA"/>
    <w:rsid w:val="005B6998"/>
    <w:rsid w:val="005C0E41"/>
    <w:rsid w:val="005C2FC7"/>
    <w:rsid w:val="005C541C"/>
    <w:rsid w:val="005C5981"/>
    <w:rsid w:val="005C701F"/>
    <w:rsid w:val="005E26E0"/>
    <w:rsid w:val="005E3BA2"/>
    <w:rsid w:val="005E4969"/>
    <w:rsid w:val="0063588A"/>
    <w:rsid w:val="00636653"/>
    <w:rsid w:val="00673B32"/>
    <w:rsid w:val="0068246D"/>
    <w:rsid w:val="006C1E37"/>
    <w:rsid w:val="006E7AB6"/>
    <w:rsid w:val="006F1C48"/>
    <w:rsid w:val="006F4BC9"/>
    <w:rsid w:val="007179C4"/>
    <w:rsid w:val="00724F7F"/>
    <w:rsid w:val="0073422A"/>
    <w:rsid w:val="0076444B"/>
    <w:rsid w:val="00787C91"/>
    <w:rsid w:val="00792CB7"/>
    <w:rsid w:val="007A36C1"/>
    <w:rsid w:val="007D3754"/>
    <w:rsid w:val="007F1E0C"/>
    <w:rsid w:val="00801E03"/>
    <w:rsid w:val="008038FC"/>
    <w:rsid w:val="00823C36"/>
    <w:rsid w:val="00827CF1"/>
    <w:rsid w:val="00832D08"/>
    <w:rsid w:val="00884802"/>
    <w:rsid w:val="008A5798"/>
    <w:rsid w:val="008A5A4A"/>
    <w:rsid w:val="008E06F8"/>
    <w:rsid w:val="008E4800"/>
    <w:rsid w:val="008F3888"/>
    <w:rsid w:val="008F74F6"/>
    <w:rsid w:val="00923E22"/>
    <w:rsid w:val="00934634"/>
    <w:rsid w:val="00960E88"/>
    <w:rsid w:val="00965552"/>
    <w:rsid w:val="0096705C"/>
    <w:rsid w:val="00984816"/>
    <w:rsid w:val="009C13B0"/>
    <w:rsid w:val="009C5F63"/>
    <w:rsid w:val="009D67F3"/>
    <w:rsid w:val="009E5B8D"/>
    <w:rsid w:val="00A25941"/>
    <w:rsid w:val="00A40008"/>
    <w:rsid w:val="00A74782"/>
    <w:rsid w:val="00A753B6"/>
    <w:rsid w:val="00A84657"/>
    <w:rsid w:val="00A851D4"/>
    <w:rsid w:val="00AA0176"/>
    <w:rsid w:val="00AB0EA3"/>
    <w:rsid w:val="00AB13DF"/>
    <w:rsid w:val="00AB7648"/>
    <w:rsid w:val="00AC3C3A"/>
    <w:rsid w:val="00AD17C6"/>
    <w:rsid w:val="00AD56CE"/>
    <w:rsid w:val="00AE2594"/>
    <w:rsid w:val="00AE25C4"/>
    <w:rsid w:val="00AF1EAA"/>
    <w:rsid w:val="00B21BEF"/>
    <w:rsid w:val="00B512AA"/>
    <w:rsid w:val="00B6270A"/>
    <w:rsid w:val="00B84288"/>
    <w:rsid w:val="00B867CB"/>
    <w:rsid w:val="00B93507"/>
    <w:rsid w:val="00B97806"/>
    <w:rsid w:val="00BC7C58"/>
    <w:rsid w:val="00BF337C"/>
    <w:rsid w:val="00C0363A"/>
    <w:rsid w:val="00C322E8"/>
    <w:rsid w:val="00C53D8E"/>
    <w:rsid w:val="00C63227"/>
    <w:rsid w:val="00C85A7A"/>
    <w:rsid w:val="00CA6530"/>
    <w:rsid w:val="00D01A9C"/>
    <w:rsid w:val="00D14D42"/>
    <w:rsid w:val="00D23B24"/>
    <w:rsid w:val="00D24751"/>
    <w:rsid w:val="00D34348"/>
    <w:rsid w:val="00D4073F"/>
    <w:rsid w:val="00D47E52"/>
    <w:rsid w:val="00D71802"/>
    <w:rsid w:val="00D71A05"/>
    <w:rsid w:val="00D73A9B"/>
    <w:rsid w:val="00D900FF"/>
    <w:rsid w:val="00DA386F"/>
    <w:rsid w:val="00DB009B"/>
    <w:rsid w:val="00DC4333"/>
    <w:rsid w:val="00DF66CA"/>
    <w:rsid w:val="00DF7CC7"/>
    <w:rsid w:val="00E106C5"/>
    <w:rsid w:val="00E15B8F"/>
    <w:rsid w:val="00E3204B"/>
    <w:rsid w:val="00E345F4"/>
    <w:rsid w:val="00E77876"/>
    <w:rsid w:val="00E809B0"/>
    <w:rsid w:val="00E904FB"/>
    <w:rsid w:val="00EB376B"/>
    <w:rsid w:val="00EC55FD"/>
    <w:rsid w:val="00ED347E"/>
    <w:rsid w:val="00EE04C6"/>
    <w:rsid w:val="00EE4765"/>
    <w:rsid w:val="00F05AC5"/>
    <w:rsid w:val="00F84CA2"/>
    <w:rsid w:val="00F86281"/>
    <w:rsid w:val="00F867FA"/>
    <w:rsid w:val="00F97DFC"/>
    <w:rsid w:val="00FD77FE"/>
    <w:rsid w:val="00FD7E9E"/>
    <w:rsid w:val="00FE0D63"/>
    <w:rsid w:val="00FE1D4C"/>
    <w:rsid w:val="00FF16D8"/>
    <w:rsid w:val="00FF2CFD"/>
    <w:rsid w:val="273F48DE"/>
    <w:rsid w:val="2E6B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tabs>
        <w:tab w:val="left" w:pos="432"/>
      </w:tabs>
      <w:spacing w:before="340" w:after="330" w:line="578" w:lineRule="auto"/>
      <w:outlineLvl w:val="0"/>
    </w:pPr>
    <w:rPr>
      <w:rFonts w:ascii="Calibri" w:hAnsi="Calibri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4"/>
    <w:qFormat/>
    <w:uiPriority w:val="0"/>
    <w:pPr>
      <w:keepNext/>
      <w:keepLines/>
      <w:tabs>
        <w:tab w:val="left" w:pos="432"/>
        <w:tab w:val="left" w:pos="786"/>
      </w:tabs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Theme="minorHAnsi" w:hAnsiTheme="minorHAnsi" w:eastAsiaTheme="minorEastAsia" w:cstheme="minorBidi"/>
      <w:b/>
      <w:bCs/>
      <w:sz w:val="30"/>
      <w:szCs w:val="32"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7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asciiTheme="minorHAnsi" w:hAnsiTheme="minorHAnsi" w:eastAsiaTheme="minorEastAsia" w:cstheme="minorBidi"/>
      <w:b/>
      <w:bCs/>
      <w:sz w:val="28"/>
      <w:szCs w:val="28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link w:val="44"/>
    <w:qFormat/>
    <w:uiPriority w:val="0"/>
    <w:pPr>
      <w:spacing w:line="360" w:lineRule="auto"/>
      <w:ind w:firstLine="420" w:firstLineChars="200"/>
    </w:pPr>
    <w:rPr>
      <w:rFonts w:ascii="宋体" w:hAnsi="宋体"/>
      <w:lang w:val="zh-CN" w:eastAsia="zh-CN"/>
    </w:rPr>
  </w:style>
  <w:style w:type="paragraph" w:styleId="8">
    <w:name w:val="toc 3"/>
    <w:basedOn w:val="1"/>
    <w:next w:val="1"/>
    <w:unhideWhenUsed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9">
    <w:name w:val="Date"/>
    <w:basedOn w:val="1"/>
    <w:next w:val="1"/>
    <w:link w:val="28"/>
    <w:semiHidden/>
    <w:unhideWhenUsed/>
    <w:qFormat/>
    <w:uiPriority w:val="99"/>
    <w:pPr>
      <w:ind w:left="100" w:leftChars="2500"/>
    </w:pPr>
    <w:rPr>
      <w:rFonts w:asciiTheme="minorHAnsi" w:hAnsiTheme="minorHAnsi" w:eastAsiaTheme="minorEastAsia" w:cstheme="minorBidi"/>
      <w:szCs w:val="22"/>
    </w:r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3">
    <w:name w:val="toc 2"/>
    <w:basedOn w:val="1"/>
    <w:next w:val="1"/>
    <w:unhideWhenUsed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6">
    <w:name w:val="Table Grid"/>
    <w:basedOn w:val="15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Emphasis"/>
    <w:basedOn w:val="17"/>
    <w:qFormat/>
    <w:uiPriority w:val="20"/>
    <w:rPr>
      <w:i/>
      <w:iCs/>
    </w:rPr>
  </w:style>
  <w:style w:type="character" w:styleId="20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Char"/>
    <w:basedOn w:val="17"/>
    <w:link w:val="11"/>
    <w:qFormat/>
    <w:uiPriority w:val="99"/>
    <w:rPr>
      <w:sz w:val="18"/>
      <w:szCs w:val="18"/>
    </w:rPr>
  </w:style>
  <w:style w:type="character" w:customStyle="1" w:styleId="22">
    <w:name w:val="页脚 Char"/>
    <w:basedOn w:val="17"/>
    <w:link w:val="10"/>
    <w:qFormat/>
    <w:uiPriority w:val="99"/>
    <w:rPr>
      <w:sz w:val="18"/>
      <w:szCs w:val="18"/>
    </w:rPr>
  </w:style>
  <w:style w:type="character" w:customStyle="1" w:styleId="23">
    <w:name w:val="标题 1 Char"/>
    <w:basedOn w:val="17"/>
    <w:link w:val="2"/>
    <w:qFormat/>
    <w:uiPriority w:val="0"/>
    <w:rPr>
      <w:rFonts w:ascii="Calibri" w:hAnsi="Calibri" w:eastAsia="宋体" w:cs="Times New Roman"/>
      <w:b/>
      <w:bCs/>
      <w:kern w:val="44"/>
      <w:sz w:val="32"/>
      <w:szCs w:val="44"/>
    </w:rPr>
  </w:style>
  <w:style w:type="character" w:customStyle="1" w:styleId="24">
    <w:name w:val="标题 2 Char"/>
    <w:basedOn w:val="17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25">
    <w:name w:val="标题 3 Char"/>
    <w:basedOn w:val="17"/>
    <w:link w:val="4"/>
    <w:qFormat/>
    <w:uiPriority w:val="9"/>
    <w:rPr>
      <w:b/>
      <w:bCs/>
      <w:sz w:val="30"/>
      <w:szCs w:val="32"/>
    </w:rPr>
  </w:style>
  <w:style w:type="character" w:customStyle="1" w:styleId="26">
    <w:name w:val="标题 4 Char"/>
    <w:basedOn w:val="17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7">
    <w:name w:val="标题 5 Char"/>
    <w:basedOn w:val="17"/>
    <w:link w:val="6"/>
    <w:semiHidden/>
    <w:qFormat/>
    <w:uiPriority w:val="9"/>
    <w:rPr>
      <w:b/>
      <w:bCs/>
      <w:sz w:val="28"/>
      <w:szCs w:val="28"/>
    </w:rPr>
  </w:style>
  <w:style w:type="character" w:customStyle="1" w:styleId="28">
    <w:name w:val="日期 Char"/>
    <w:basedOn w:val="17"/>
    <w:link w:val="9"/>
    <w:semiHidden/>
    <w:qFormat/>
    <w:uiPriority w:val="99"/>
  </w:style>
  <w:style w:type="paragraph" w:customStyle="1" w:styleId="29">
    <w:name w:val="IBM 正文"/>
    <w:basedOn w:val="1"/>
    <w:qFormat/>
    <w:uiPriority w:val="0"/>
    <w:pPr>
      <w:spacing w:line="360" w:lineRule="exact"/>
    </w:pPr>
    <w:rPr>
      <w:sz w:val="24"/>
      <w:szCs w:val="20"/>
    </w:rPr>
  </w:style>
  <w:style w:type="paragraph" w:customStyle="1" w:styleId="30">
    <w:name w:val="列出段落2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styleId="31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32">
    <w:name w:val="apple-converted-space"/>
    <w:basedOn w:val="17"/>
    <w:qFormat/>
    <w:uiPriority w:val="0"/>
  </w:style>
  <w:style w:type="character" w:customStyle="1" w:styleId="33">
    <w:name w:val="sitemappagename"/>
    <w:basedOn w:val="17"/>
    <w:qFormat/>
    <w:uiPriority w:val="0"/>
  </w:style>
  <w:style w:type="paragraph" w:customStyle="1" w:styleId="34">
    <w:name w:val="正文 A"/>
    <w:qFormat/>
    <w:uiPriority w:val="0"/>
    <w:pPr>
      <w:widowControl w:val="0"/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35">
    <w:name w:val="表内容 Char"/>
    <w:link w:val="36"/>
    <w:qFormat/>
    <w:uiPriority w:val="0"/>
  </w:style>
  <w:style w:type="paragraph" w:customStyle="1" w:styleId="36">
    <w:name w:val="表内容"/>
    <w:basedOn w:val="1"/>
    <w:link w:val="35"/>
    <w:qFormat/>
    <w:uiPriority w:val="0"/>
    <w:pPr>
      <w:spacing w:line="360" w:lineRule="auto"/>
    </w:pPr>
    <w:rPr>
      <w:rFonts w:asciiTheme="minorHAnsi" w:hAnsiTheme="minorHAnsi" w:eastAsiaTheme="minorEastAsia" w:cstheme="minorBidi"/>
      <w:szCs w:val="22"/>
    </w:rPr>
  </w:style>
  <w:style w:type="paragraph" w:customStyle="1" w:styleId="37">
    <w:name w:val="MM Topic 1"/>
    <w:basedOn w:val="2"/>
    <w:qFormat/>
    <w:uiPriority w:val="0"/>
    <w:pPr>
      <w:numPr>
        <w:ilvl w:val="0"/>
        <w:numId w:val="1"/>
      </w:numPr>
      <w:tabs>
        <w:tab w:val="clear" w:pos="425"/>
      </w:tabs>
      <w:ind w:left="360" w:hanging="360"/>
    </w:pPr>
    <w:rPr>
      <w:rFonts w:ascii="Times New Roman" w:hAnsi="Times New Roman"/>
      <w:sz w:val="44"/>
    </w:rPr>
  </w:style>
  <w:style w:type="paragraph" w:customStyle="1" w:styleId="38">
    <w:name w:val="MM Topic 2"/>
    <w:basedOn w:val="3"/>
    <w:qFormat/>
    <w:uiPriority w:val="0"/>
    <w:pPr>
      <w:numPr>
        <w:ilvl w:val="1"/>
        <w:numId w:val="1"/>
      </w:numPr>
      <w:tabs>
        <w:tab w:val="left" w:pos="425"/>
        <w:tab w:val="clear" w:pos="992"/>
        <w:tab w:val="clear" w:pos="432"/>
      </w:tabs>
      <w:ind w:left="840" w:hanging="420"/>
    </w:pPr>
    <w:rPr>
      <w:rFonts w:ascii="Arial" w:hAnsi="Arial" w:eastAsia="黑体"/>
    </w:rPr>
  </w:style>
  <w:style w:type="paragraph" w:customStyle="1" w:styleId="39">
    <w:name w:val="MM Topic 3"/>
    <w:basedOn w:val="4"/>
    <w:qFormat/>
    <w:uiPriority w:val="0"/>
    <w:pPr>
      <w:numPr>
        <w:ilvl w:val="2"/>
        <w:numId w:val="1"/>
      </w:numPr>
      <w:tabs>
        <w:tab w:val="left" w:pos="425"/>
        <w:tab w:val="left" w:pos="578"/>
        <w:tab w:val="clear" w:pos="1418"/>
      </w:tabs>
      <w:ind w:left="1260" w:hanging="420"/>
    </w:pPr>
    <w:rPr>
      <w:rFonts w:ascii="Times New Roman" w:hAnsi="Times New Roman" w:eastAsia="宋体" w:cs="Times New Roman"/>
      <w:sz w:val="32"/>
    </w:rPr>
  </w:style>
  <w:style w:type="paragraph" w:customStyle="1" w:styleId="40">
    <w:name w:val="MM Topic 4"/>
    <w:basedOn w:val="5"/>
    <w:qFormat/>
    <w:uiPriority w:val="0"/>
    <w:pPr>
      <w:numPr>
        <w:ilvl w:val="3"/>
        <w:numId w:val="1"/>
      </w:numPr>
      <w:tabs>
        <w:tab w:val="left" w:pos="425"/>
        <w:tab w:val="left" w:pos="864"/>
        <w:tab w:val="clear" w:pos="1984"/>
      </w:tabs>
      <w:ind w:left="1680" w:hanging="420"/>
    </w:pPr>
    <w:rPr>
      <w:rFonts w:ascii="Arial" w:hAnsi="Arial" w:eastAsia="黑体" w:cs="Times New Roman"/>
    </w:rPr>
  </w:style>
  <w:style w:type="paragraph" w:customStyle="1" w:styleId="41">
    <w:name w:val="MM Topic 5"/>
    <w:basedOn w:val="6"/>
    <w:qFormat/>
    <w:uiPriority w:val="0"/>
    <w:pPr>
      <w:numPr>
        <w:ilvl w:val="4"/>
        <w:numId w:val="1"/>
      </w:numPr>
      <w:tabs>
        <w:tab w:val="left" w:pos="1008"/>
        <w:tab w:val="clear" w:pos="2551"/>
      </w:tabs>
      <w:ind w:left="2100" w:hanging="420"/>
    </w:pPr>
    <w:rPr>
      <w:rFonts w:ascii="Times New Roman" w:hAnsi="Times New Roman" w:eastAsia="宋体" w:cs="Times New Roman"/>
    </w:rPr>
  </w:style>
  <w:style w:type="paragraph" w:customStyle="1" w:styleId="42">
    <w:name w:val="列出段落1"/>
    <w:basedOn w:val="1"/>
    <w:link w:val="43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43">
    <w:name w:val="列出段落 Char"/>
    <w:link w:val="42"/>
    <w:qFormat/>
    <w:uiPriority w:val="34"/>
    <w:rPr>
      <w:rFonts w:ascii="Calibri" w:hAnsi="Calibri" w:eastAsia="宋体" w:cs="Times New Roman"/>
    </w:rPr>
  </w:style>
  <w:style w:type="character" w:customStyle="1" w:styleId="44">
    <w:name w:val="正文缩进 Char"/>
    <w:link w:val="7"/>
    <w:qFormat/>
    <w:uiPriority w:val="0"/>
    <w:rPr>
      <w:rFonts w:ascii="宋体" w:hAnsi="宋体" w:eastAsia="宋体" w:cs="Times New Roman"/>
      <w:szCs w:val="24"/>
      <w:lang w:val="zh-CN" w:eastAsia="zh-CN"/>
    </w:rPr>
  </w:style>
  <w:style w:type="paragraph" w:customStyle="1" w:styleId="45">
    <w:name w:val="TOC Heading"/>
    <w:basedOn w:val="2"/>
    <w:next w:val="1"/>
    <w:unhideWhenUsed/>
    <w:qFormat/>
    <w:uiPriority w:val="39"/>
    <w:pPr>
      <w:widowControl/>
      <w:tabs>
        <w:tab w:val="clear" w:pos="432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597F7-76DB-471F-A55A-15C28BB05F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5731</Words>
  <Characters>5951</Characters>
  <Lines>65</Lines>
  <Paragraphs>18</Paragraphs>
  <TotalTime>3</TotalTime>
  <ScaleCrop>false</ScaleCrop>
  <LinksUpToDate>false</LinksUpToDate>
  <CharactersWithSpaces>7470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2022-10-31T05:30:00Z</dcterms:created>
  <dc:creator>wsmtec</dc:creator>
  <cp:lastModifiedBy>王冬</cp:lastModifiedBy>
  <dcterms:modified xsi:type="dcterms:W3CDTF">2022-11-01T01:50:48Z</dcterms:modified>
  <cp:revision>398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4E236824E2AB497CBA1883AF30C05117</vt:lpwstr>
  </property>
</Properties>
</file>