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ascii="微软雅黑" w:hAnsi="微软雅黑" w:eastAsia="微软雅黑"/>
          <w:sz w:val="44"/>
        </w:rPr>
      </w:pPr>
      <w:r>
        <w:rPr>
          <w:rFonts w:hint="eastAsia" w:ascii="微软雅黑" w:hAnsi="微软雅黑" w:eastAsia="微软雅黑"/>
          <w:sz w:val="44"/>
        </w:rPr>
        <w:t>产品白皮书</w:t>
      </w:r>
    </w:p>
    <w:p>
      <w:pPr>
        <w:pStyle w:val="9"/>
        <w:numPr>
          <w:ilvl w:val="0"/>
          <w:numId w:val="1"/>
        </w:numPr>
      </w:pPr>
      <w:r>
        <w:t>行业概况</w:t>
      </w:r>
    </w:p>
    <w:p>
      <w:pPr>
        <w:pStyle w:val="10"/>
      </w:pPr>
      <w:r>
        <w:t>1.1 行业背景</w:t>
      </w:r>
    </w:p>
    <w:p>
      <w:pPr>
        <w:ind w:firstLine="420"/>
        <w:jc w:val="left"/>
      </w:pPr>
      <w:r>
        <w:t>目前，新一轮科技革命和产业变革深入发展，全球科技创新进入高度活跃期，人工智能作为推动科技跨越发展、产业优化升级、生产力整体跃升的重要驱动力量，将持续以蓬勃的态势带来更多新的产品与体验。AI技术不仅影响了软件和互联网行业，还影响了诸如政务、金融、公安、法律、医疗等各行各业，人工智能核心产业规模急剧增长。引起了全球经济结构、社会生活和工作方式的深刻变革，我国已将人工智能提升为国家战略，出台了诸多的相关政策和规划，力争抢占科技的制高点。</w:t>
      </w:r>
    </w:p>
    <w:p>
      <w:pPr>
        <w:ind w:firstLine="420"/>
        <w:jc w:val="left"/>
      </w:pPr>
      <w:r>
        <w:t>随着人工智能的快速发展和机器学习、自然语言处理等技术的突破，越来越多的政府网站开通了智能问答机器人，为用户提供实时、自动、便捷的在线问答服务，以缓解人力压力、改善公共服务、提高服务效率、促进公民参与、预防城市风险。</w:t>
      </w:r>
    </w:p>
    <w:p>
      <w:pPr>
        <w:pStyle w:val="10"/>
        <w:rPr>
          <w:rFonts w:hint="eastAsia" w:eastAsia="微软雅黑"/>
          <w:highlight w:val="none"/>
          <w:lang w:val="en-US" w:eastAsia="zh-CN"/>
        </w:rPr>
      </w:pPr>
      <w:r>
        <w:rPr>
          <w:highlight w:val="none"/>
        </w:rPr>
        <w:t>1.</w:t>
      </w:r>
      <w:r>
        <w:rPr>
          <w:rFonts w:hint="eastAsia"/>
          <w:highlight w:val="none"/>
          <w:lang w:val="en-US" w:eastAsia="zh-CN"/>
        </w:rPr>
        <w:t>2</w:t>
      </w:r>
      <w:r>
        <w:rPr>
          <w:highlight w:val="none"/>
        </w:rPr>
        <w:t xml:space="preserve"> 应用</w:t>
      </w:r>
      <w:r>
        <w:rPr>
          <w:rFonts w:hint="eastAsia"/>
          <w:highlight w:val="none"/>
          <w:lang w:val="en-US" w:eastAsia="zh-CN"/>
        </w:rPr>
        <w:t>背景</w:t>
      </w:r>
    </w:p>
    <w:p>
      <w:pPr>
        <w:ind w:firstLine="420"/>
        <w:jc w:val="left"/>
        <w:rPr>
          <w:highlight w:val="none"/>
        </w:rPr>
      </w:pPr>
      <w:r>
        <w:rPr>
          <w:rFonts w:hint="eastAsia"/>
          <w:highlight w:val="none"/>
        </w:rPr>
        <w:t>企业用人成本攀升，对降本增效的产品需求日益强烈。对话机器人可精准解决人工服务现存痛点①人力工作时长有限，对话机器人可设置24小时在线</w:t>
      </w:r>
      <w:r>
        <w:rPr>
          <w:rFonts w:hint="eastAsia"/>
          <w:highlight w:val="none"/>
          <w:lang w:eastAsia="zh-CN"/>
        </w:rPr>
        <w:t>；</w:t>
      </w:r>
      <w:r>
        <w:rPr>
          <w:rFonts w:hint="eastAsia"/>
          <w:highlight w:val="none"/>
        </w:rPr>
        <w:t>②用户咨询量波动在高峰时期人力不足会导致服务体验波动，对话机器人可快速解决重复性问题，并根据业务流程，引导用户理清复杂、模糊问题，给予用户直接清晰的问题回复</w:t>
      </w:r>
      <w:r>
        <w:rPr>
          <w:rFonts w:hint="eastAsia"/>
          <w:highlight w:val="none"/>
          <w:lang w:eastAsia="zh-CN"/>
        </w:rPr>
        <w:t>；</w:t>
      </w:r>
      <w:r>
        <w:rPr>
          <w:rFonts w:hint="eastAsia"/>
          <w:highlight w:val="none"/>
        </w:rPr>
        <w:t>③数据留存量低且价值难以被有效利用，对话机器人可对语音文本对话数据进行智能分析与质检，帮助企业深度挖掘数据价值。</w:t>
      </w:r>
    </w:p>
    <w:p>
      <w:pPr>
        <w:pStyle w:val="10"/>
      </w:pPr>
      <w:r>
        <w:t>2.1 产品简介</w:t>
      </w:r>
    </w:p>
    <w:p>
      <w:pPr>
        <w:ind w:firstLine="420"/>
        <w:jc w:val="left"/>
      </w:pPr>
      <w:r>
        <w:rPr>
          <w:rFonts w:hint="eastAsia"/>
          <w:lang w:val="en-US" w:eastAsia="zh-CN"/>
        </w:rPr>
        <w:t>泰凡科技朱能助手系统</w:t>
      </w:r>
      <w:r>
        <w:t>以“自然语言”的方式进行交互，通过智能对话、引导，以良好的体验方式帮助用户快速获取精准信息，支持政策文件、办理流程、常见问题等多场景的精细化查询，极大提升信息查询的效率。</w:t>
      </w:r>
    </w:p>
    <w:p>
      <w:pPr>
        <w:jc w:val="left"/>
      </w:pPr>
      <w:r>
        <w:drawing>
          <wp:inline distT="0" distB="0" distL="114300" distR="114300">
            <wp:extent cx="4800600" cy="2964180"/>
            <wp:effectExtent l="0" t="0" r="0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</w:pPr>
      <w:r>
        <w:t>2.2 核心优势</w:t>
      </w:r>
    </w:p>
    <w:p>
      <w:pPr>
        <w:numPr>
          <w:ilvl w:val="0"/>
          <w:numId w:val="2"/>
        </w:numPr>
      </w:pPr>
      <w:r>
        <w:rPr>
          <w:b/>
        </w:rPr>
        <w:t>领域全覆盖</w:t>
      </w:r>
    </w:p>
    <w:p>
      <w:pPr>
        <w:jc w:val="left"/>
      </w:pPr>
      <w:r>
        <w:rPr>
          <w:rFonts w:hint="eastAsia"/>
          <w:color w:val="494949"/>
          <w:lang w:val="en-US" w:eastAsia="zh-CN"/>
        </w:rPr>
        <w:t>以政务领域为例，</w:t>
      </w:r>
      <w:r>
        <w:rPr>
          <w:color w:val="494949"/>
        </w:rPr>
        <w:t>基于办事指南、政策法规等海量的政务公开数据，通过多种技术手段，实现了诸如民政、卫生、教育等50个领域的全覆盖</w:t>
      </w:r>
      <w:r>
        <w:t>。</w:t>
      </w:r>
    </w:p>
    <w:p>
      <w:pPr>
        <w:numPr>
          <w:ilvl w:val="0"/>
          <w:numId w:val="3"/>
        </w:numPr>
      </w:pPr>
      <w:r>
        <w:rPr>
          <w:b/>
        </w:rPr>
        <w:t>精准意图识别</w:t>
      </w:r>
    </w:p>
    <w:p>
      <w:r>
        <w:rPr>
          <w:color w:val="494949"/>
        </w:rPr>
        <w:t>精准识别领域及意图，通用模型即可覆盖政务领域内75%的常见咨询，准确率超出市场平均水平20%</w:t>
      </w:r>
      <w:r>
        <w:t>。</w:t>
      </w:r>
    </w:p>
    <w:p>
      <w:pPr>
        <w:numPr>
          <w:ilvl w:val="0"/>
          <w:numId w:val="4"/>
        </w:numPr>
      </w:pPr>
      <w:r>
        <w:rPr>
          <w:b/>
        </w:rPr>
        <w:t>灵活选择部署模式</w:t>
      </w:r>
    </w:p>
    <w:p>
      <w:pPr>
        <w:jc w:val="left"/>
      </w:pPr>
      <w:r>
        <w:rPr>
          <w:color w:val="494949"/>
        </w:rPr>
        <w:t>针对政务领域安全性要求高的特点，支持私有化部署/saas部署，支持模型本地运行，数据本地存储和处理。</w:t>
      </w:r>
    </w:p>
    <w:p>
      <w:pPr>
        <w:numPr>
          <w:ilvl w:val="0"/>
          <w:numId w:val="5"/>
        </w:numPr>
        <w:rPr>
          <w:color w:val="494949"/>
        </w:rPr>
      </w:pPr>
      <w:r>
        <w:rPr>
          <w:b/>
          <w:color w:val="494949"/>
        </w:rPr>
        <w:t>非侵入式接入</w:t>
      </w:r>
    </w:p>
    <w:p>
      <w:pPr>
        <w:jc w:val="left"/>
      </w:pPr>
      <w:r>
        <w:rPr>
          <w:color w:val="494949"/>
        </w:rPr>
        <w:t>不依赖于内部数据的接入，或系统的支撑，对接时，无需改变任何原有系统的架构和配置。</w:t>
      </w:r>
    </w:p>
    <w:p>
      <w:pPr>
        <w:numPr>
          <w:ilvl w:val="0"/>
          <w:numId w:val="6"/>
        </w:numPr>
        <w:jc w:val="left"/>
        <w:rPr>
          <w:color w:val="494949"/>
        </w:rPr>
      </w:pPr>
      <w:r>
        <w:rPr>
          <w:b/>
          <w:color w:val="494949"/>
        </w:rPr>
        <w:t>持续运营优化效果</w:t>
      </w:r>
    </w:p>
    <w:p>
      <w:pPr>
        <w:jc w:val="left"/>
      </w:pPr>
      <w:r>
        <w:rPr>
          <w:color w:val="494949"/>
        </w:rPr>
        <w:t>针</w:t>
      </w:r>
      <w:r>
        <w:rPr>
          <w:rFonts w:hint="eastAsia"/>
          <w:szCs w:val="22"/>
          <w:lang w:eastAsia="zh-Hans"/>
        </w:rPr>
        <w:t>对模型进行持续迭代，针对政务数据进行不断积累、沉淀，以保证使用效果不断优化。</w:t>
      </w:r>
    </w:p>
    <w:p>
      <w:pPr>
        <w:pStyle w:val="9"/>
        <w:numPr>
          <w:ilvl w:val="0"/>
          <w:numId w:val="7"/>
        </w:numPr>
      </w:pPr>
      <w:r>
        <w:t>系统架构</w:t>
      </w:r>
    </w:p>
    <w:p>
      <w:pPr>
        <w:pStyle w:val="5"/>
        <w:ind w:firstLine="440" w:firstLineChars="200"/>
        <w:rPr>
          <w:rFonts w:hint="eastAsia"/>
          <w:lang w:eastAsia="zh-Hans"/>
        </w:rPr>
      </w:pPr>
      <w:r>
        <w:rPr>
          <w:rFonts w:hint="eastAsia"/>
          <w:lang w:eastAsia="zh-Hans"/>
        </w:rPr>
        <w:t>本架构分为两部分</w:t>
      </w:r>
      <w:r>
        <w:rPr>
          <w:lang w:eastAsia="zh-Hans"/>
        </w:rPr>
        <w:t>,</w:t>
      </w:r>
      <w:r>
        <w:rPr>
          <w:rFonts w:hint="eastAsia"/>
          <w:lang w:eastAsia="zh-Hans"/>
        </w:rPr>
        <w:t>分为离线和在线。离线部分由业务数据构建、预训练模型和业务模型构成，业务模型训练模型支撑NLU</w:t>
      </w:r>
      <w:r>
        <w:rPr>
          <w:lang w:eastAsia="zh-Hans"/>
        </w:rPr>
        <w:t>,</w:t>
      </w:r>
      <w:r>
        <w:rPr>
          <w:rFonts w:hint="eastAsia"/>
          <w:lang w:eastAsia="zh-Hans"/>
        </w:rPr>
        <w:t>预训练模型支撑业务模块（</w:t>
      </w:r>
      <w:r>
        <w:rPr>
          <w:lang w:eastAsia="zh-Hans"/>
        </w:rPr>
        <w:t>FAQ</w:t>
      </w:r>
      <w:r>
        <w:rPr>
          <w:rFonts w:hint="eastAsia"/>
          <w:lang w:eastAsia="zh-Hans"/>
        </w:rPr>
        <w:t>、DOC、KBQA、办事指南导航、任务型多轮和闲聊几个模块），索引用来支撑召回模块（文本检索、向量检索两个模块）；在线模块由NLU、业务模块和融合排序等三块组成</w:t>
      </w:r>
    </w:p>
    <w:p>
      <w:pPr>
        <w:pStyle w:val="5"/>
        <w:ind w:firstLine="440" w:firstLineChars="200"/>
      </w:pPr>
      <w:r>
        <w:rPr>
          <w:rFonts w:hint="eastAsia"/>
          <w:lang w:eastAsia="zh-Hans"/>
        </w:rPr>
        <w:t>架构图如下：</w:t>
      </w:r>
      <w:r>
        <w:drawing>
          <wp:inline distT="0" distB="0" distL="114300" distR="114300">
            <wp:extent cx="5260975" cy="2590800"/>
            <wp:effectExtent l="0" t="0" r="22225" b="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8"/>
        </w:numPr>
      </w:pPr>
      <w:r>
        <w:t>快速上手</w:t>
      </w:r>
    </w:p>
    <w:p>
      <w:pPr>
        <w:pStyle w:val="10"/>
      </w:pPr>
      <w:r>
        <w:t>4.1 用户登录</w:t>
      </w:r>
    </w:p>
    <w:p>
      <w:pPr>
        <w:jc w:val="left"/>
      </w:pPr>
      <w:r>
        <w:t>进入登录页面，输入用户名、密码登录</w:t>
      </w:r>
      <w:r>
        <w:rPr>
          <w:rFonts w:hint="eastAsia"/>
          <w:lang w:val="en-US" w:eastAsia="zh-CN"/>
        </w:rPr>
        <w:t>泰凡科技智能助手系统</w:t>
      </w:r>
      <w:r>
        <w:t>管理平台</w:t>
      </w:r>
      <w:r>
        <w:drawing>
          <wp:inline distT="0" distB="0" distL="0" distR="0">
            <wp:extent cx="5215890" cy="2422525"/>
            <wp:effectExtent l="0" t="0" r="11430" b="635"/>
            <wp:docPr id="4" name="Drawing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3" descr="图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drawing>
          <wp:inline distT="0" distB="0" distL="0" distR="0">
            <wp:extent cx="5215890" cy="2422525"/>
            <wp:effectExtent l="0" t="0" r="11430" b="635"/>
            <wp:docPr id="5" name="Drawing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4" descr="图片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</w:pPr>
      <w:r>
        <w:t>4.2 查看机器人详情</w:t>
      </w:r>
    </w:p>
    <w:p>
      <w:pPr>
        <w:jc w:val="left"/>
      </w:pPr>
      <w:r>
        <w:t>点击现有机器人名称查看机器人的版本信息、描述、技能及示例对话。</w:t>
      </w:r>
    </w:p>
    <w:p>
      <w:pPr>
        <w:pStyle w:val="10"/>
      </w:pPr>
      <w:r>
        <w:t>4.3 对话界面</w:t>
      </w:r>
    </w:p>
    <w:p>
      <w:pPr>
        <w:jc w:val="left"/>
      </w:pPr>
      <w:r>
        <w:t>点击机器人卡片右上角的对话按钮进入对话界面。</w:t>
      </w:r>
    </w:p>
    <w:p>
      <w:pPr>
        <w:jc w:val="left"/>
      </w:pPr>
      <w:r>
        <w:drawing>
          <wp:inline distT="0" distB="0" distL="114300" distR="114300">
            <wp:extent cx="5266055" cy="2857500"/>
            <wp:effectExtent l="0" t="0" r="698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</w:pPr>
      <w:r>
        <w:t>4.3.1 常见问题</w:t>
      </w:r>
    </w:p>
    <w:p>
      <w:pPr>
        <w:jc w:val="left"/>
      </w:pPr>
      <w:r>
        <w:t>位于对话界面右侧的常见问题栏，汇总了提问频率最高、最常见的8个用户提问，可以通过点击问题快速获得对应答案。</w:t>
      </w:r>
    </w:p>
    <w:p>
      <w:pPr>
        <w:jc w:val="left"/>
      </w:pPr>
      <w:r>
        <w:drawing>
          <wp:inline distT="0" distB="0" distL="114300" distR="114300">
            <wp:extent cx="5267325" cy="2907030"/>
            <wp:effectExtent l="0" t="0" r="5715" b="381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</w:pPr>
      <w:r>
        <w:t>4.3.2 输入框</w:t>
      </w:r>
    </w:p>
    <w:p>
      <w:pPr>
        <w:jc w:val="left"/>
      </w:pPr>
      <w:r>
        <w:t>在输入框内输入想要提问的内容，点击“发送消息”或使用键盘“Enter键”发送内容，进行对话。</w:t>
      </w:r>
    </w:p>
    <w:p>
      <w:pPr>
        <w:jc w:val="left"/>
      </w:pPr>
      <w:r>
        <w:drawing>
          <wp:inline distT="0" distB="0" distL="114300" distR="114300">
            <wp:extent cx="5267960" cy="2787650"/>
            <wp:effectExtent l="0" t="0" r="5080" b="127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</w:pPr>
      <w:r>
        <w:t>4.3.3 语音输入</w:t>
      </w:r>
    </w:p>
    <w:p>
      <w:pPr>
        <w:jc w:val="left"/>
      </w:pPr>
      <w:r>
        <w:t>点击输入框左下方的话筒状按钮可以进行语音输入，您说出的问题将转换成文字显示在输入框中，确认无误后点击“发送消息”或使用键盘“Enter键”发送内容。</w:t>
      </w:r>
    </w:p>
    <w:p>
      <w:pPr>
        <w:jc w:val="left"/>
      </w:pPr>
      <w:r>
        <w:drawing>
          <wp:inline distT="0" distB="0" distL="114300" distR="114300">
            <wp:extent cx="5267960" cy="2909570"/>
            <wp:effectExtent l="0" t="0" r="5080" b="127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微软雅黑"/>
          <w:lang w:eastAsia="zh-CN"/>
        </w:rPr>
      </w:pPr>
      <w:r>
        <w:drawing>
          <wp:inline distT="0" distB="0" distL="0" distR="0">
            <wp:extent cx="4765040" cy="1395730"/>
            <wp:effectExtent l="0" t="0" r="10160" b="1270"/>
            <wp:docPr id="12" name="Drawing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 11" descr="图片"/>
                    <pic:cNvPicPr>
                      <a:picLocks noChangeAspect="1"/>
                    </pic:cNvPicPr>
                  </pic:nvPicPr>
                  <pic:blipFill>
                    <a:blip r:embed="rId12"/>
                    <a:srcRect t="38576" r="8496"/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139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</w:pPr>
      <w:r>
        <w:t>4.3.4 问答记录</w:t>
      </w:r>
    </w:p>
    <w:p>
      <w:pPr>
        <w:jc w:val="left"/>
      </w:pPr>
      <w:r>
        <w:t>页面中央显示您与机器人的对话内容，向上滑动可以查看之前的问答记录。</w:t>
      </w:r>
    </w:p>
    <w:p>
      <w:pPr>
        <w:jc w:val="left"/>
      </w:pPr>
      <w:r>
        <w:drawing>
          <wp:inline distT="0" distB="0" distL="114300" distR="114300">
            <wp:extent cx="5268595" cy="2880995"/>
            <wp:effectExtent l="0" t="0" r="4445" b="1460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</w:pPr>
      <w:r>
        <w:t>4.3.5 调试窗口</w:t>
      </w:r>
    </w:p>
    <w:p>
      <w:pPr>
        <w:jc w:val="left"/>
      </w:pPr>
      <w:r>
        <w:t>在页面右上角开启调试模式，在调试窗口中可以查看本轮问答的相关信息。</w:t>
      </w:r>
    </w:p>
    <w:p>
      <w:pPr>
        <w:jc w:val="left"/>
      </w:pPr>
      <w:r>
        <w:drawing>
          <wp:inline distT="0" distB="0" distL="114300" distR="114300">
            <wp:extent cx="5267960" cy="1473200"/>
            <wp:effectExtent l="0" t="0" r="5080" b="508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</w:pPr>
      <w:r>
        <w:t>4.4 开始聊天</w:t>
      </w:r>
    </w:p>
    <w:p>
      <w:pPr>
        <w:pStyle w:val="11"/>
      </w:pPr>
      <w:r>
        <w:t>4.4.1 使用规范</w:t>
      </w:r>
    </w:p>
    <w:p>
      <w:pPr>
        <w:jc w:val="left"/>
      </w:pPr>
      <w:r>
        <w:t>开始提问前，可以先点击名字后的问号图标，查看问答使用规范。</w:t>
      </w:r>
    </w:p>
    <w:p>
      <w:pPr>
        <w:jc w:val="left"/>
      </w:pPr>
      <w:r>
        <w:drawing>
          <wp:inline distT="0" distB="0" distL="114300" distR="114300">
            <wp:extent cx="4411980" cy="2933700"/>
            <wp:effectExtent l="0" t="0" r="7620" b="762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</w:pPr>
      <w:r>
        <w:t>4.4.2 相关问题推荐</w:t>
      </w:r>
    </w:p>
    <w:p>
      <w:pPr>
        <w:jc w:val="left"/>
      </w:pPr>
      <w:r>
        <w:t>当您提问时，</w:t>
      </w:r>
      <w:r>
        <w:rPr>
          <w:rFonts w:hint="eastAsia"/>
          <w:lang w:val="en-US" w:eastAsia="zh-CN"/>
        </w:rPr>
        <w:t>智能助手</w:t>
      </w:r>
      <w:r>
        <w:t>会在输入框上方推荐与您的问题相关的其它问题，如果您也想了解相关信息，可以点击直接获得答案。</w:t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69865" cy="2668270"/>
            <wp:effectExtent l="0" t="0" r="3175" b="1397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</w:pPr>
      <w:r>
        <w:t>4.4.3 猜你想问</w:t>
      </w:r>
    </w:p>
    <w:p>
      <w:pPr>
        <w:jc w:val="left"/>
      </w:pPr>
      <w:r>
        <w:t>当提问信息不明确时，</w:t>
      </w:r>
      <w:r>
        <w:rPr>
          <w:rFonts w:hint="eastAsia"/>
          <w:lang w:val="en-US" w:eastAsia="zh-CN"/>
        </w:rPr>
        <w:t>智能助手</w:t>
      </w:r>
      <w:r>
        <w:t>会推荐细化的问题，引导您更准确地得到问题的答案。</w:t>
      </w:r>
    </w:p>
    <w:p>
      <w:pPr>
        <w:jc w:val="left"/>
      </w:pPr>
      <w:r>
        <w:drawing>
          <wp:inline distT="0" distB="0" distL="114300" distR="114300">
            <wp:extent cx="5267960" cy="2131695"/>
            <wp:effectExtent l="0" t="0" r="5080" b="190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</w:pPr>
      <w:r>
        <w:t>4.4.4 便民地图</w:t>
      </w:r>
    </w:p>
    <w:p>
      <w:pPr>
        <w:jc w:val="left"/>
      </w:pPr>
      <w:r>
        <w:t>当您想了解某项政务服务的具体办理地点时，可以通过询问“****的办理地点”查看政务办事便民地图。</w:t>
      </w:r>
    </w:p>
    <w:p>
      <w:pPr>
        <w:jc w:val="left"/>
      </w:pPr>
      <w:r>
        <w:drawing>
          <wp:inline distT="0" distB="0" distL="114300" distR="114300">
            <wp:extent cx="5269230" cy="2760345"/>
            <wp:effectExtent l="0" t="0" r="3810" b="1333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</w:pPr>
      <w:r>
        <w:t>4.4.5 办事指南</w:t>
      </w:r>
    </w:p>
    <w:p>
      <w:pPr>
        <w:jc w:val="left"/>
      </w:pPr>
      <w:r>
        <w:t>当您需要办理政务时，可以向</w:t>
      </w:r>
      <w:r>
        <w:rPr>
          <w:rFonts w:hint="eastAsia"/>
          <w:lang w:val="en-US" w:eastAsia="zh-CN"/>
        </w:rPr>
        <w:t>智能助手</w:t>
      </w:r>
      <w:r>
        <w:t>咨询办事流程、申请材料、收费标准、受理条件以及办事窗口及服务时间等办理详情，</w:t>
      </w:r>
      <w:r>
        <w:rPr>
          <w:rFonts w:hint="eastAsia"/>
          <w:lang w:val="en-US" w:eastAsia="zh-CN"/>
        </w:rPr>
        <w:t>智能助手</w:t>
      </w:r>
      <w:r>
        <w:t>会根据官方办事指南为您提供解答。您也可以点击下方链接，浏览官方办事指南全文。</w:t>
      </w:r>
    </w:p>
    <w:p>
      <w:pPr>
        <w:jc w:val="left"/>
      </w:pPr>
      <w:r>
        <w:drawing>
          <wp:inline distT="0" distB="0" distL="0" distR="0">
            <wp:extent cx="5215890" cy="1936115"/>
            <wp:effectExtent l="0" t="0" r="16510" b="19685"/>
            <wp:docPr id="19" name="Drawing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awing 18" descr="图片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6017" cy="193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</w:pPr>
      <w:r>
        <w:t>4.4.6 知识图谱</w:t>
      </w:r>
    </w:p>
    <w:p>
      <w:pPr>
        <w:jc w:val="left"/>
      </w:pPr>
      <w:r>
        <w:t>当您想了解一些百科小知识，</w:t>
      </w:r>
      <w:r>
        <w:rPr>
          <w:rFonts w:hint="eastAsia"/>
          <w:lang w:val="en-US" w:eastAsia="zh-CN"/>
        </w:rPr>
        <w:t>智能助手</w:t>
      </w:r>
      <w:r>
        <w:t>可以通过知识图谱进行推理解答。</w:t>
      </w:r>
    </w:p>
    <w:p>
      <w:pPr>
        <w:jc w:val="left"/>
      </w:pPr>
      <w:r>
        <w:drawing>
          <wp:inline distT="0" distB="0" distL="114300" distR="114300">
            <wp:extent cx="5266690" cy="2170430"/>
            <wp:effectExtent l="0" t="0" r="6350" b="889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11"/>
      </w:pPr>
      <w:r>
        <w:t>4.4.7 闲聊</w:t>
      </w:r>
    </w:p>
    <w:p>
      <w:pPr>
        <w:jc w:val="left"/>
      </w:pPr>
      <w:r>
        <w:t>如果您在提问之余还愿意与</w:t>
      </w:r>
      <w:r>
        <w:rPr>
          <w:rFonts w:hint="eastAsia"/>
          <w:lang w:val="en-US" w:eastAsia="zh-CN"/>
        </w:rPr>
        <w:t>智能助手</w:t>
      </w:r>
      <w:r>
        <w:t>闲聊两句，她也会很开心的。</w:t>
      </w:r>
      <w:r>
        <w:drawing>
          <wp:inline distT="0" distB="0" distL="0" distR="0">
            <wp:extent cx="5215890" cy="1475740"/>
            <wp:effectExtent l="0" t="0" r="16510" b="22860"/>
            <wp:docPr id="21" name="Drawing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rawing 20" descr="图片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16017" cy="147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tab/>
      </w:r>
      <w:r>
        <w:rPr>
          <w:sz w:val="36"/>
          <w:szCs w:val="36"/>
        </w:rPr>
        <w:t>主要客户和合作伙伴</w:t>
      </w:r>
    </w:p>
    <w:p>
      <w:pPr>
        <w:spacing w:line="360" w:lineRule="auto"/>
      </w:pPr>
      <w:r>
        <w:drawing>
          <wp:inline distT="0" distB="0" distL="0" distR="0">
            <wp:extent cx="5215890" cy="1668780"/>
            <wp:effectExtent l="0" t="0" r="16510" b="7620"/>
            <wp:docPr id="22" name="Drawing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rawing 21" descr="图片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16017" cy="166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tab/>
      </w:r>
      <w:r>
        <w:t>非经本公司书面许可，任何单位和个人不得擅自摘抄、复制本文档内容的部分或全部，并不得以任何形式传播。</w:t>
      </w:r>
    </w:p>
    <w:p>
      <w:pPr>
        <w:spacing w:line="360" w:lineRule="auto"/>
        <w:rPr>
          <w:sz w:val="36"/>
          <w:szCs w:val="36"/>
          <w:highlight w:val="none"/>
        </w:rPr>
      </w:pPr>
      <w:r>
        <w:rPr>
          <w:highlight w:val="none"/>
        </w:rPr>
        <w:tab/>
      </w:r>
      <w:r>
        <w:rPr>
          <w:sz w:val="36"/>
          <w:szCs w:val="36"/>
          <w:highlight w:val="none"/>
        </w:rPr>
        <w:t>联系我们</w:t>
      </w:r>
    </w:p>
    <w:p>
      <w:pPr>
        <w:spacing w:line="360" w:lineRule="auto"/>
      </w:pPr>
      <w:r>
        <w:rPr>
          <w:highlight w:val="none"/>
        </w:rPr>
        <w:tab/>
      </w:r>
      <w:r>
        <w:rPr>
          <w:rFonts w:hint="eastAsia"/>
          <w:highlight w:val="none"/>
          <w:lang w:val="en-US" w:eastAsia="zh-CN"/>
        </w:rPr>
        <w:t>电话：13821945028</w:t>
      </w:r>
      <w:r>
        <w:rPr>
          <w:rFonts w:hint="eastAsia"/>
          <w:highlight w:val="none"/>
          <w:lang w:eastAsia="zh-CN"/>
        </w:rPr>
        <w:t>；</w:t>
      </w:r>
      <w:r>
        <w:rPr>
          <w:rFonts w:hint="eastAsia"/>
          <w:highlight w:val="none"/>
          <w:lang w:val="en-US" w:eastAsia="zh-CN"/>
        </w:rPr>
        <w:t>邮箱：lixiaojing</w:t>
      </w:r>
      <w:r>
        <w:rPr>
          <w:rFonts w:hint="eastAsia"/>
          <w:highlight w:val="none"/>
          <w:lang w:eastAsia="zh-CN"/>
        </w:rPr>
        <w:t>@techfantasy.cn；</w:t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1A42F46"/>
    <w:multiLevelType w:val="multilevel"/>
    <w:tmpl w:val="61A42F46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."/>
      <w:lvlJc w:val="left"/>
      <w:pPr>
        <w:ind w:left="840" w:hanging="420"/>
      </w:pPr>
    </w:lvl>
    <w:lvl w:ilvl="2" w:tentative="0">
      <w:start w:val="1"/>
      <w:numFmt w:val="lowerRoman"/>
      <w:lvlText w:val="%3."/>
      <w:lvlJc w:val="lef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."/>
      <w:lvlJc w:val="left"/>
      <w:pPr>
        <w:ind w:left="2100" w:hanging="420"/>
      </w:pPr>
    </w:lvl>
    <w:lvl w:ilvl="5" w:tentative="0">
      <w:start w:val="1"/>
      <w:numFmt w:val="lowerRoman"/>
      <w:lvlText w:val="%6."/>
      <w:lvlJc w:val="lef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."/>
      <w:lvlJc w:val="left"/>
      <w:pPr>
        <w:ind w:left="3360" w:hanging="420"/>
      </w:pPr>
    </w:lvl>
    <w:lvl w:ilvl="8" w:tentative="0">
      <w:start w:val="1"/>
      <w:numFmt w:val="lowerRoman"/>
      <w:lvlText w:val="%9."/>
      <w:lvlJc w:val="left"/>
      <w:pPr>
        <w:ind w:left="3780" w:hanging="420"/>
      </w:pPr>
    </w:lvl>
  </w:abstractNum>
  <w:abstractNum w:abstractNumId="1">
    <w:nsid w:val="61A42F7D"/>
    <w:multiLevelType w:val="multilevel"/>
    <w:tmpl w:val="61A42F7D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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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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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"/>
      <w:lvlJc w:val="left"/>
      <w:pPr>
        <w:ind w:left="3780" w:hanging="420"/>
      </w:pPr>
      <w:rPr>
        <w:rFonts w:ascii="Wingdings" w:hAnsi="Wingdings"/>
      </w:rPr>
    </w:lvl>
  </w:abstractNum>
  <w:abstractNum w:abstractNumId="2">
    <w:nsid w:val="61A42F88"/>
    <w:multiLevelType w:val="multilevel"/>
    <w:tmpl w:val="61A42F88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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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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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"/>
      <w:lvlJc w:val="left"/>
      <w:pPr>
        <w:ind w:left="3780" w:hanging="420"/>
      </w:pPr>
      <w:rPr>
        <w:rFonts w:ascii="Wingdings" w:hAnsi="Wingdings"/>
      </w:rPr>
    </w:lvl>
  </w:abstractNum>
  <w:abstractNum w:abstractNumId="3">
    <w:nsid w:val="61A42F93"/>
    <w:multiLevelType w:val="multilevel"/>
    <w:tmpl w:val="61A42F93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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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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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"/>
      <w:lvlJc w:val="left"/>
      <w:pPr>
        <w:ind w:left="3780" w:hanging="420"/>
      </w:pPr>
      <w:rPr>
        <w:rFonts w:ascii="Wingdings" w:hAnsi="Wingdings"/>
      </w:rPr>
    </w:lvl>
  </w:abstractNum>
  <w:abstractNum w:abstractNumId="4">
    <w:nsid w:val="61A42F9E"/>
    <w:multiLevelType w:val="multilevel"/>
    <w:tmpl w:val="61A42F9E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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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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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"/>
      <w:lvlJc w:val="left"/>
      <w:pPr>
        <w:ind w:left="3780" w:hanging="420"/>
      </w:pPr>
      <w:rPr>
        <w:rFonts w:ascii="Wingdings" w:hAnsi="Wingdings"/>
      </w:rPr>
    </w:lvl>
  </w:abstractNum>
  <w:abstractNum w:abstractNumId="5">
    <w:nsid w:val="61A42FA9"/>
    <w:multiLevelType w:val="multilevel"/>
    <w:tmpl w:val="61A42FA9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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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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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"/>
      <w:lvlJc w:val="left"/>
      <w:pPr>
        <w:ind w:left="3780" w:hanging="420"/>
      </w:pPr>
      <w:rPr>
        <w:rFonts w:ascii="Wingdings" w:hAnsi="Wingdings"/>
      </w:rPr>
    </w:lvl>
  </w:abstractNum>
  <w:abstractNum w:abstractNumId="6">
    <w:nsid w:val="61A42FB4"/>
    <w:multiLevelType w:val="multilevel"/>
    <w:tmpl w:val="61A42FB4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."/>
      <w:lvlJc w:val="left"/>
      <w:pPr>
        <w:ind w:left="840" w:hanging="420"/>
      </w:pPr>
    </w:lvl>
    <w:lvl w:ilvl="2" w:tentative="0">
      <w:start w:val="1"/>
      <w:numFmt w:val="lowerRoman"/>
      <w:lvlText w:val="%3."/>
      <w:lvlJc w:val="lef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."/>
      <w:lvlJc w:val="left"/>
      <w:pPr>
        <w:ind w:left="2100" w:hanging="420"/>
      </w:pPr>
    </w:lvl>
    <w:lvl w:ilvl="5" w:tentative="0">
      <w:start w:val="1"/>
      <w:numFmt w:val="lowerRoman"/>
      <w:lvlText w:val="%6."/>
      <w:lvlJc w:val="lef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."/>
      <w:lvlJc w:val="left"/>
      <w:pPr>
        <w:ind w:left="3360" w:hanging="420"/>
      </w:pPr>
    </w:lvl>
    <w:lvl w:ilvl="8" w:tentative="0">
      <w:start w:val="1"/>
      <w:numFmt w:val="lowerRoman"/>
      <w:lvlText w:val="%9."/>
      <w:lvlJc w:val="left"/>
      <w:pPr>
        <w:ind w:left="3780" w:hanging="420"/>
      </w:pPr>
    </w:lvl>
  </w:abstractNum>
  <w:abstractNum w:abstractNumId="7">
    <w:nsid w:val="61A43005"/>
    <w:multiLevelType w:val="singleLevel"/>
    <w:tmpl w:val="61A43005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7"/>
  </w:num>
  <w:num w:numId="8">
    <w:abstractNumId w:val="6"/>
    <w:lvlOverride w:ilvl="0">
      <w:startOverride w:val="4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FmNDEzMDA5OWNlMGJmNzIxNTQ0Mjk0ZmExYmI4MjEifQ=="/>
  </w:docVars>
  <w:rsids>
    <w:rsidRoot w:val="00527F74"/>
    <w:rsid w:val="00527F74"/>
    <w:rsid w:val="00610E6C"/>
    <w:rsid w:val="06DF0467"/>
    <w:rsid w:val="35A5275C"/>
    <w:rsid w:val="3AF9516A"/>
    <w:rsid w:val="3E8A1187"/>
    <w:rsid w:val="40644F5E"/>
    <w:rsid w:val="416C231C"/>
    <w:rsid w:val="43F2CC7D"/>
    <w:rsid w:val="4B054C48"/>
    <w:rsid w:val="5CE86699"/>
    <w:rsid w:val="5F9AFFA6"/>
    <w:rsid w:val="64A01811"/>
    <w:rsid w:val="676BEE10"/>
    <w:rsid w:val="70F766EA"/>
    <w:rsid w:val="7DF6DD3E"/>
    <w:rsid w:val="7ED60035"/>
    <w:rsid w:val="7FE7AAFA"/>
    <w:rsid w:val="7FEBDC2D"/>
    <w:rsid w:val="9BFB55FE"/>
    <w:rsid w:val="BBD3307E"/>
    <w:rsid w:val="BFFDD870"/>
    <w:rsid w:val="DADFDF4B"/>
    <w:rsid w:val="FB8780E0"/>
    <w:rsid w:val="FF3F63BC"/>
    <w:rsid w:val="FFBD121B"/>
    <w:rsid w:val="FFC767EB"/>
    <w:rsid w:val="FFFFF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微软雅黑" w:hAnsi="微软雅黑" w:eastAsiaTheme="minorEastAsia" w:cs="微软雅黑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微软雅黑" w:hAnsi="微软雅黑" w:eastAsia="微软雅黑" w:cs="微软雅黑"/>
      <w:sz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link w:val="13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5">
    <w:name w:val="石墨文档正文"/>
    <w:qFormat/>
    <w:uiPriority w:val="0"/>
    <w:rPr>
      <w:rFonts w:ascii="微软雅黑" w:hAnsi="微软雅黑" w:eastAsia="微软雅黑" w:cs="微软雅黑"/>
      <w:sz w:val="22"/>
      <w:szCs w:val="22"/>
      <w:lang w:val="en-US" w:eastAsia="zh-CN" w:bidi="ar-SA"/>
    </w:rPr>
  </w:style>
  <w:style w:type="paragraph" w:customStyle="1" w:styleId="6">
    <w:name w:val="石墨文档标题"/>
    <w:next w:val="5"/>
    <w:unhideWhenUsed/>
    <w:qFormat/>
    <w:uiPriority w:val="9"/>
    <w:pPr>
      <w:spacing w:before="260" w:after="260"/>
      <w:outlineLvl w:val="0"/>
    </w:pPr>
    <w:rPr>
      <w:rFonts w:ascii="微软雅黑" w:hAnsi="微软雅黑" w:eastAsia="微软雅黑" w:cs="微软雅黑"/>
      <w:b/>
      <w:bCs/>
      <w:sz w:val="40"/>
      <w:szCs w:val="40"/>
      <w:lang w:val="en-US" w:eastAsia="zh-CN" w:bidi="ar-SA"/>
    </w:rPr>
  </w:style>
  <w:style w:type="paragraph" w:customStyle="1" w:styleId="7">
    <w:name w:val="石墨文档副标题"/>
    <w:qFormat/>
    <w:uiPriority w:val="0"/>
    <w:pPr>
      <w:spacing w:before="260" w:after="260"/>
    </w:pPr>
    <w:rPr>
      <w:rFonts w:ascii="微软雅黑" w:hAnsi="微软雅黑" w:eastAsia="微软雅黑" w:cs="微软雅黑"/>
      <w:color w:val="888888"/>
      <w:sz w:val="36"/>
      <w:szCs w:val="36"/>
      <w:lang w:val="en-US" w:eastAsia="zh-CN" w:bidi="ar-SA"/>
    </w:rPr>
  </w:style>
  <w:style w:type="paragraph" w:customStyle="1" w:styleId="8">
    <w:name w:val="石墨文档标题 1"/>
    <w:next w:val="5"/>
    <w:unhideWhenUsed/>
    <w:qFormat/>
    <w:uiPriority w:val="9"/>
    <w:pPr>
      <w:spacing w:before="260" w:after="260"/>
      <w:outlineLvl w:val="0"/>
    </w:pPr>
    <w:rPr>
      <w:rFonts w:ascii="微软雅黑" w:hAnsi="微软雅黑" w:eastAsia="微软雅黑" w:cs="微软雅黑"/>
      <w:b/>
      <w:bCs/>
      <w:sz w:val="32"/>
      <w:szCs w:val="32"/>
      <w:lang w:val="en-US" w:eastAsia="zh-CN" w:bidi="ar-SA"/>
    </w:rPr>
  </w:style>
  <w:style w:type="paragraph" w:customStyle="1" w:styleId="9">
    <w:name w:val="石墨文档标题 2"/>
    <w:next w:val="5"/>
    <w:unhideWhenUsed/>
    <w:qFormat/>
    <w:uiPriority w:val="9"/>
    <w:pPr>
      <w:spacing w:before="260" w:after="260"/>
      <w:outlineLvl w:val="1"/>
    </w:pPr>
    <w:rPr>
      <w:rFonts w:ascii="微软雅黑" w:hAnsi="微软雅黑" w:eastAsia="微软雅黑" w:cs="微软雅黑"/>
      <w:b/>
      <w:bCs/>
      <w:sz w:val="28"/>
      <w:szCs w:val="28"/>
      <w:lang w:val="en-US" w:eastAsia="zh-CN" w:bidi="ar-SA"/>
    </w:rPr>
  </w:style>
  <w:style w:type="paragraph" w:customStyle="1" w:styleId="10">
    <w:name w:val="石墨文档标题 3"/>
    <w:next w:val="5"/>
    <w:unhideWhenUsed/>
    <w:qFormat/>
    <w:uiPriority w:val="9"/>
    <w:pPr>
      <w:spacing w:before="260" w:after="260"/>
      <w:outlineLvl w:val="2"/>
    </w:pPr>
    <w:rPr>
      <w:rFonts w:ascii="微软雅黑" w:hAnsi="微软雅黑" w:eastAsia="微软雅黑" w:cs="微软雅黑"/>
      <w:b/>
      <w:bCs/>
      <w:sz w:val="26"/>
      <w:szCs w:val="26"/>
      <w:lang w:val="en-US" w:eastAsia="zh-CN" w:bidi="ar-SA"/>
    </w:rPr>
  </w:style>
  <w:style w:type="paragraph" w:customStyle="1" w:styleId="11">
    <w:name w:val="石墨文档标题 4"/>
    <w:next w:val="5"/>
    <w:unhideWhenUsed/>
    <w:qFormat/>
    <w:uiPriority w:val="9"/>
    <w:pPr>
      <w:spacing w:before="260" w:after="260"/>
      <w:outlineLvl w:val="3"/>
    </w:pPr>
    <w:rPr>
      <w:rFonts w:ascii="微软雅黑" w:hAnsi="微软雅黑" w:eastAsia="微软雅黑" w:cs="微软雅黑"/>
      <w:b/>
      <w:bCs/>
      <w:sz w:val="24"/>
      <w:szCs w:val="24"/>
      <w:lang w:val="en-US" w:eastAsia="zh-CN" w:bidi="ar-SA"/>
    </w:rPr>
  </w:style>
  <w:style w:type="paragraph" w:customStyle="1" w:styleId="12">
    <w:name w:val="石墨文档引用"/>
    <w:qFormat/>
    <w:uiPriority w:val="0"/>
    <w:pPr>
      <w:pBdr>
        <w:left w:val="single" w:color="F0F0F0" w:sz="30" w:space="10"/>
      </w:pBdr>
    </w:pPr>
    <w:rPr>
      <w:rFonts w:ascii="微软雅黑" w:hAnsi="微软雅黑" w:eastAsia="微软雅黑" w:cs="微软雅黑"/>
      <w:color w:val="ADADAD"/>
      <w:sz w:val="22"/>
      <w:lang w:val="en-US" w:eastAsia="zh-CN" w:bidi="ar-SA"/>
    </w:rPr>
  </w:style>
  <w:style w:type="character" w:customStyle="1" w:styleId="13">
    <w:name w:val="标题 字符"/>
    <w:basedOn w:val="4"/>
    <w:link w:val="2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421</Words>
  <Characters>2401</Characters>
  <Lines>20</Lines>
  <Paragraphs>5</Paragraphs>
  <TotalTime>0</TotalTime>
  <ScaleCrop>false</ScaleCrop>
  <LinksUpToDate>false</LinksUpToDate>
  <CharactersWithSpaces>2817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2021-11-30T01:33:00Z</dcterms:created>
  <dc:creator> </dc:creator>
  <cp:lastModifiedBy>邹小润</cp:lastModifiedBy>
  <dcterms:modified xsi:type="dcterms:W3CDTF">2022-11-30T07:20:34Z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D3E7E17863B7498E96FA9B1C275FCB4F</vt:lpwstr>
  </property>
</Properties>
</file>