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黑体" w:hAnsi="黑体" w:eastAsia="黑体" w:cs="Times New Roman"/>
          <w:bCs/>
          <w:sz w:val="52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25815"/>
    </w:p>
    <w:p>
      <w:pPr>
        <w:pStyle w:val="2"/>
        <w:keepLines/>
        <w:tabs>
          <w:tab w:val="left" w:pos="432"/>
        </w:tabs>
        <w:spacing w:line="360" w:lineRule="auto"/>
        <w:rPr>
          <w:rFonts w:ascii="仿宋_GB2312" w:hAnsi="仿宋"/>
          <w:b/>
          <w:bCs/>
          <w:kern w:val="44"/>
          <w:szCs w:val="28"/>
        </w:rPr>
      </w:pPr>
      <w:bookmarkStart w:id="1" w:name="_Toc44352903"/>
      <w:r>
        <w:rPr>
          <w:rFonts w:hint="eastAsia" w:ascii="仿宋_GB2312"/>
          <w:b/>
          <w:bCs/>
          <w:kern w:val="44"/>
          <w:szCs w:val="28"/>
        </w:rPr>
        <w:t>1. 引言</w:t>
      </w:r>
      <w:bookmarkEnd w:id="0"/>
      <w:bookmarkEnd w:id="1"/>
    </w:p>
    <w:p>
      <w:pPr>
        <w:pStyle w:val="3"/>
        <w:keepLines/>
        <w:spacing w:line="360" w:lineRule="auto"/>
        <w:jc w:val="both"/>
      </w:pPr>
      <w:bookmarkStart w:id="2" w:name="_Toc16622"/>
      <w:bookmarkStart w:id="3" w:name="_Toc521465557"/>
      <w:bookmarkStart w:id="4" w:name="_Toc44352904"/>
      <w:r>
        <w:rPr>
          <w:rFonts w:hint="eastAsia"/>
        </w:rPr>
        <w:t>1.1编写目的</w:t>
      </w:r>
      <w:bookmarkEnd w:id="2"/>
      <w:bookmarkEnd w:id="3"/>
      <w:bookmarkEnd w:id="4"/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本</w:t>
      </w:r>
      <w:bookmarkStart w:id="37" w:name="_GoBack"/>
      <w:bookmarkEnd w:id="37"/>
      <w:r>
        <w:rPr>
          <w:rFonts w:ascii="仿宋_GB2312" w:hAnsi="仿宋" w:eastAsiaTheme="minorEastAsia"/>
          <w:szCs w:val="24"/>
          <w:lang w:eastAsia="zh-CN"/>
        </w:rPr>
        <w:t>操作</w:t>
      </w:r>
      <w:r>
        <w:rPr>
          <w:rFonts w:hint="default" w:ascii="仿宋_GB2312" w:hAnsi="仿宋" w:eastAsiaTheme="minorEastAsia"/>
          <w:szCs w:val="24"/>
          <w:lang w:eastAsia="zh-CN"/>
        </w:rPr>
        <w:t>手册供本系统操作人员参考之用，</w:t>
      </w:r>
      <w:r>
        <w:rPr>
          <w:rFonts w:ascii="仿宋_GB2312" w:hAnsi="仿宋" w:eastAsiaTheme="minorEastAsia"/>
          <w:szCs w:val="24"/>
          <w:lang w:eastAsia="zh-CN"/>
        </w:rPr>
        <w:t>为</w:t>
      </w:r>
      <w:r>
        <w:rPr>
          <w:rFonts w:hint="default" w:ascii="仿宋_GB2312" w:hAnsi="仿宋" w:eastAsiaTheme="minorEastAsia"/>
          <w:szCs w:val="24"/>
          <w:lang w:eastAsia="zh-CN"/>
        </w:rPr>
        <w:t>浏览器端和手机端使用人员说明本系统操作方法。</w:t>
      </w:r>
      <w:r>
        <w:rPr>
          <w:rFonts w:ascii="仿宋_GB2312" w:hAnsi="仿宋" w:eastAsiaTheme="minorEastAsia"/>
          <w:szCs w:val="24"/>
          <w:lang w:eastAsia="zh-CN"/>
        </w:rPr>
        <w:t>通过</w:t>
      </w:r>
      <w:r>
        <w:rPr>
          <w:rFonts w:hint="default" w:ascii="仿宋_GB2312" w:hAnsi="仿宋" w:eastAsiaTheme="minorEastAsia"/>
          <w:szCs w:val="24"/>
          <w:lang w:eastAsia="zh-CN"/>
        </w:rPr>
        <w:t>阅读该文档可以清楚的了解</w:t>
      </w:r>
      <w:r>
        <w:rPr>
          <w:rFonts w:ascii="仿宋_GB2312" w:hAnsi="仿宋" w:eastAsiaTheme="minorEastAsia"/>
          <w:szCs w:val="24"/>
          <w:lang w:eastAsia="zh-CN"/>
        </w:rPr>
        <w:t>热力缴费管理系统中</w:t>
      </w:r>
      <w:r>
        <w:rPr>
          <w:rFonts w:hint="default" w:ascii="仿宋_GB2312" w:hAnsi="仿宋" w:eastAsiaTheme="minorEastAsia"/>
          <w:szCs w:val="24"/>
          <w:lang w:eastAsia="zh-CN"/>
        </w:rPr>
        <w:t>不同角色</w:t>
      </w:r>
      <w:r>
        <w:rPr>
          <w:rFonts w:ascii="仿宋_GB2312" w:hAnsi="仿宋" w:eastAsiaTheme="minorEastAsia"/>
          <w:szCs w:val="24"/>
          <w:lang w:eastAsia="zh-CN"/>
        </w:rPr>
        <w:t>用户拥有</w:t>
      </w:r>
      <w:r>
        <w:rPr>
          <w:rFonts w:hint="default" w:ascii="仿宋_GB2312" w:hAnsi="仿宋" w:eastAsiaTheme="minorEastAsia"/>
          <w:szCs w:val="24"/>
          <w:lang w:eastAsia="zh-CN"/>
        </w:rPr>
        <w:t>不</w:t>
      </w:r>
      <w:r>
        <w:rPr>
          <w:rFonts w:ascii="仿宋_GB2312" w:hAnsi="仿宋" w:eastAsiaTheme="minorEastAsia"/>
          <w:szCs w:val="24"/>
          <w:lang w:eastAsia="zh-CN"/>
        </w:rPr>
        <w:t>同</w:t>
      </w:r>
      <w:r>
        <w:rPr>
          <w:rFonts w:hint="default" w:ascii="仿宋_GB2312" w:hAnsi="仿宋" w:eastAsiaTheme="minorEastAsia"/>
          <w:szCs w:val="24"/>
          <w:lang w:eastAsia="zh-CN"/>
        </w:rPr>
        <w:t>的功能</w:t>
      </w:r>
      <w:r>
        <w:rPr>
          <w:rFonts w:ascii="仿宋_GB2312" w:hAnsi="仿宋" w:eastAsiaTheme="minorEastAsia"/>
          <w:szCs w:val="24"/>
          <w:lang w:eastAsia="zh-CN"/>
        </w:rPr>
        <w:t>。</w:t>
      </w:r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本文档预期读者：</w:t>
      </w:r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1、系统</w:t>
      </w:r>
      <w:r>
        <w:rPr>
          <w:rFonts w:hint="default" w:ascii="仿宋_GB2312" w:hAnsi="仿宋" w:eastAsiaTheme="minorEastAsia"/>
          <w:szCs w:val="24"/>
          <w:lang w:eastAsia="zh-CN"/>
        </w:rPr>
        <w:t>管理员</w:t>
      </w:r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hint="default" w:ascii="仿宋_GB2312" w:hAnsi="仿宋" w:eastAsiaTheme="minorEastAsia"/>
          <w:szCs w:val="24"/>
          <w:lang w:eastAsia="zh-CN"/>
        </w:rPr>
        <w:t>2</w:t>
      </w:r>
      <w:r>
        <w:rPr>
          <w:rFonts w:ascii="仿宋_GB2312" w:hAnsi="仿宋" w:eastAsiaTheme="minorEastAsia"/>
          <w:szCs w:val="24"/>
          <w:lang w:eastAsia="zh-CN"/>
        </w:rPr>
        <w:t>、热力企业</w:t>
      </w:r>
      <w:r>
        <w:rPr>
          <w:rFonts w:hint="default" w:ascii="仿宋_GB2312" w:hAnsi="仿宋" w:eastAsiaTheme="minorEastAsia"/>
          <w:szCs w:val="24"/>
          <w:lang w:eastAsia="zh-CN"/>
        </w:rPr>
        <w:t>管理员</w:t>
      </w:r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3、收费员</w:t>
      </w:r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hint="default" w:ascii="仿宋_GB2312" w:hAnsi="仿宋" w:eastAsiaTheme="minorEastAsia"/>
          <w:szCs w:val="24"/>
          <w:lang w:eastAsia="zh-CN"/>
        </w:rPr>
        <w:t>4</w:t>
      </w:r>
      <w:r>
        <w:rPr>
          <w:rFonts w:ascii="仿宋_GB2312" w:hAnsi="仿宋" w:eastAsiaTheme="minorEastAsia"/>
          <w:szCs w:val="24"/>
          <w:lang w:eastAsia="zh-CN"/>
        </w:rPr>
        <w:t>、抄表员</w:t>
      </w:r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hint="default" w:ascii="仿宋_GB2312" w:hAnsi="仿宋" w:eastAsiaTheme="minorEastAsia"/>
          <w:szCs w:val="24"/>
          <w:lang w:eastAsia="zh-CN"/>
        </w:rPr>
        <w:t>5</w:t>
      </w:r>
      <w:r>
        <w:rPr>
          <w:rFonts w:ascii="仿宋_GB2312" w:hAnsi="仿宋" w:eastAsiaTheme="minorEastAsia"/>
          <w:szCs w:val="24"/>
          <w:lang w:eastAsia="zh-CN"/>
        </w:rPr>
        <w:t>、业主用户</w:t>
      </w:r>
    </w:p>
    <w:p>
      <w:pPr>
        <w:pStyle w:val="3"/>
        <w:keepLines/>
        <w:spacing w:line="360" w:lineRule="auto"/>
        <w:jc w:val="both"/>
      </w:pPr>
      <w:bookmarkStart w:id="5" w:name="_Toc4545"/>
      <w:bookmarkStart w:id="6" w:name="_Toc521465558"/>
      <w:bookmarkStart w:id="7" w:name="_Toc44352905"/>
      <w:r>
        <w:rPr>
          <w:rFonts w:hint="eastAsia"/>
        </w:rPr>
        <w:t>1.2</w:t>
      </w:r>
      <w:bookmarkEnd w:id="5"/>
      <w:bookmarkEnd w:id="6"/>
      <w:r>
        <w:rPr>
          <w:rFonts w:hint="eastAsia"/>
        </w:rPr>
        <w:t>系统名称</w:t>
      </w:r>
      <w:bookmarkEnd w:id="7"/>
    </w:p>
    <w:p>
      <w:pPr>
        <w:pStyle w:val="7"/>
        <w:spacing w:line="360" w:lineRule="auto"/>
        <w:ind w:firstLine="480" w:firstLineChars="200"/>
        <w:rPr>
          <w:rFonts w:hint="default" w:ascii="仿宋_GB2312" w:hAnsi="仿宋" w:eastAsiaTheme="minorEastAsia"/>
          <w:szCs w:val="24"/>
          <w:lang w:eastAsia="zh-CN"/>
        </w:rPr>
      </w:pPr>
      <w:r>
        <w:rPr>
          <w:rFonts w:hint="default" w:ascii="仿宋_GB2312" w:hAnsi="仿宋" w:eastAsiaTheme="minorEastAsia"/>
          <w:szCs w:val="24"/>
          <w:lang w:eastAsia="zh-CN"/>
        </w:rPr>
        <w:t>热力缴费管理系统</w:t>
      </w:r>
    </w:p>
    <w:p>
      <w:pPr>
        <w:pStyle w:val="3"/>
        <w:keepLines/>
        <w:spacing w:line="360" w:lineRule="auto"/>
        <w:jc w:val="both"/>
      </w:pPr>
      <w:bookmarkStart w:id="8" w:name="_Toc44352906"/>
      <w:r>
        <w:rPr>
          <w:rFonts w:hint="eastAsia"/>
        </w:rPr>
        <w:t>1.3系统简介</w:t>
      </w:r>
      <w:bookmarkEnd w:id="8"/>
    </w:p>
    <w:p>
      <w:pPr>
        <w:pStyle w:val="7"/>
        <w:spacing w:line="360" w:lineRule="auto"/>
        <w:ind w:firstLine="480" w:firstLineChars="200"/>
        <w:rPr>
          <w:rFonts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热力缴费管理系统聚焦“服务便民”，立足解决居民日常生活中用暖缴费难问题，通过信息化系统建设来改善传统缴费管理模式，以便利、高效为准则，结合居民热力缴费管理现状特点，建设PC管理系统。实现管理工作人员对各下属单位、供热全用户的缴费、退费、统计、对账、审批等的统一管理。提升整体居民供热精细化管理，最大程度的提高人员工作效率、用户便利体验。</w:t>
      </w:r>
    </w:p>
    <w:p>
      <w:pPr>
        <w:pStyle w:val="2"/>
        <w:keepLines/>
        <w:tabs>
          <w:tab w:val="left" w:pos="432"/>
        </w:tabs>
        <w:spacing w:line="360" w:lineRule="auto"/>
        <w:rPr>
          <w:rFonts w:ascii="仿宋_GB2312"/>
          <w:b/>
          <w:bCs/>
          <w:kern w:val="44"/>
          <w:szCs w:val="28"/>
        </w:rPr>
      </w:pPr>
      <w:bookmarkStart w:id="9" w:name="_Toc44352907"/>
      <w:r>
        <w:rPr>
          <w:rFonts w:hint="eastAsia" w:ascii="仿宋_GB2312"/>
          <w:b/>
          <w:bCs/>
          <w:kern w:val="44"/>
          <w:szCs w:val="28"/>
        </w:rPr>
        <w:t>2.详细操作</w:t>
      </w:r>
      <w:bookmarkEnd w:id="9"/>
    </w:p>
    <w:p>
      <w:pPr>
        <w:pStyle w:val="3"/>
        <w:keepLines/>
        <w:spacing w:line="360" w:lineRule="auto"/>
        <w:jc w:val="both"/>
      </w:pPr>
      <w:bookmarkStart w:id="10" w:name="_Toc44352908"/>
      <w:r>
        <w:t>2.1</w:t>
      </w:r>
      <w:r>
        <w:rPr>
          <w:rFonts w:hint="eastAsia"/>
        </w:rPr>
        <w:t>系统登录</w:t>
      </w:r>
      <w:bookmarkEnd w:id="10"/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在浏览器中输入系统登录地址，登录地址为（http://127.0.0.1:8001/a/login）；进入热力缴费管理系统登录页面，输入登录名、密码和验证码，点击登录进入系统主页。登录步骤如下：</w:t>
      </w:r>
    </w:p>
    <w:p>
      <w:pPr>
        <w:pStyle w:val="7"/>
        <w:spacing w:line="360" w:lineRule="auto"/>
        <w:rPr>
          <w:rFonts w:hint="default" w:ascii="仿宋_GB2312" w:hAnsi="仿宋" w:eastAsiaTheme="minorEastAsia"/>
          <w:b/>
          <w:bCs/>
          <w:color w:val="auto"/>
          <w:sz w:val="24"/>
          <w:szCs w:val="24"/>
          <w:lang w:eastAsia="zh-CN"/>
        </w:rPr>
      </w:pPr>
      <w:r>
        <w:rPr>
          <w:rFonts w:ascii="仿宋_GB2312" w:hAnsi="仿宋" w:eastAsiaTheme="minorEastAsia"/>
          <w:b/>
          <w:bCs/>
          <w:color w:val="auto"/>
          <w:sz w:val="24"/>
          <w:szCs w:val="24"/>
          <w:lang w:eastAsia="zh-CN"/>
        </w:rPr>
        <w:t>注：密码超过5次后系统锁定该用户，第二天自动解锁，如忘记密码请联系统管理员。因不同的浏览器存在兼容性问题，建议您使用IE、火狐、谷歌浏览器。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第一步：打开浏览器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第二步：地址栏输入登录地址“http://127.0.0.1:8001/a/login”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第三步：输入用户名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第四步：输入密码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第五步：输入系统验证码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第六步：点击“重置”，清空账号密码，重新输入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第七步：点击“登录”完成系统登录，进入系统首页</w:t>
      </w:r>
    </w:p>
    <w:p>
      <w:pPr>
        <w:pStyle w:val="7"/>
        <w:rPr>
          <w:rFonts w:hint="default" w:ascii="仿宋_GB2312" w:hAnsi="仿宋" w:eastAsiaTheme="minorEastAsia"/>
          <w:color w:val="FF0000"/>
          <w:sz w:val="21"/>
          <w:szCs w:val="21"/>
          <w:lang w:eastAsia="zh-CN"/>
        </w:rPr>
      </w:pPr>
      <w:r>
        <w:drawing>
          <wp:inline distT="0" distB="0" distL="0" distR="0">
            <wp:extent cx="5274310" cy="30645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68" cy="30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spacing w:line="360" w:lineRule="auto"/>
        <w:jc w:val="both"/>
        <w:rPr>
          <w:rFonts w:hAnsi="仿宋" w:eastAsia="仿宋_GB2312"/>
          <w:szCs w:val="28"/>
        </w:rPr>
      </w:pPr>
      <w:bookmarkStart w:id="11" w:name="_Toc44352909"/>
      <w:r>
        <w:t>2.2</w:t>
      </w:r>
      <w:r>
        <w:rPr>
          <w:rFonts w:hint="eastAsia"/>
        </w:rPr>
        <w:t>系统管理</w:t>
      </w:r>
      <w:bookmarkEnd w:id="11"/>
    </w:p>
    <w:p>
      <w:pPr>
        <w:pStyle w:val="26"/>
        <w:keepNext/>
        <w:numPr>
          <w:ilvl w:val="0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12" w:name="_Toc44352910"/>
      <w:bookmarkEnd w:id="12"/>
    </w:p>
    <w:p>
      <w:pPr>
        <w:pStyle w:val="26"/>
        <w:keepNext/>
        <w:numPr>
          <w:ilvl w:val="0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13" w:name="_Toc44352911"/>
      <w:bookmarkEnd w:id="13"/>
    </w:p>
    <w:p>
      <w:pPr>
        <w:pStyle w:val="26"/>
        <w:keepNext/>
        <w:numPr>
          <w:ilvl w:val="1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14" w:name="_Toc44352912"/>
      <w:bookmarkEnd w:id="14"/>
    </w:p>
    <w:p>
      <w:pPr>
        <w:pStyle w:val="26"/>
        <w:keepNext/>
        <w:numPr>
          <w:ilvl w:val="1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15" w:name="_Toc44352913"/>
      <w:bookmarkEnd w:id="15"/>
    </w:p>
    <w:p>
      <w:pPr>
        <w:pStyle w:val="5"/>
        <w:ind w:hanging="2139"/>
        <w:rPr>
          <w:rFonts w:hint="default"/>
        </w:rPr>
      </w:pPr>
      <w:bookmarkStart w:id="16" w:name="_Toc44352914"/>
      <w:r>
        <w:t>机构管理</w:t>
      </w:r>
      <w:bookmarkEnd w:id="16"/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热力单位系统管理员创建公司组织机构操作如下：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第一步：点击系统设置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第二步：点击机构管理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第三步：点击“新增”按钮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第四步：选择上级机构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第五步：输入机构名称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第六步：选择机构类型（部门、站点）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第七步：选择机构级别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第八步：点击保存</w:t>
      </w:r>
      <w:r>
        <w:rPr>
          <w:rFonts w:hint="default" w:asciiTheme="minorEastAsia" w:hAnsiTheme="minorEastAsia" w:eastAsiaTheme="minorEastAsia"/>
          <w:szCs w:val="24"/>
          <w:lang w:eastAsia="zh-CN"/>
        </w:rPr>
        <w:t xml:space="preserve"> 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第九步：刷新组织机构，展示添加的机构</w:t>
      </w:r>
      <w:r>
        <w:rPr>
          <w:rFonts w:hint="default" w:asciiTheme="minorEastAsia" w:hAnsiTheme="minorEastAsia" w:eastAsiaTheme="minorEastAsia"/>
          <w:szCs w:val="24"/>
          <w:lang w:eastAsia="zh-CN"/>
        </w:rPr>
        <w:t xml:space="preserve"> 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第十步：点击“添加下级机构”可现下级机构设置</w:t>
      </w:r>
    </w:p>
    <w:p>
      <w:pPr>
        <w:pStyle w:val="7"/>
        <w:spacing w:line="360" w:lineRule="auto"/>
        <w:ind w:firstLine="480" w:firstLineChars="200"/>
        <w:rPr>
          <w:rFonts w:hint="default" w:asciiTheme="minorEastAsia" w:hAnsiTheme="minorEastAsia" w:eastAsiaTheme="minorEastAsia"/>
          <w:szCs w:val="24"/>
          <w:lang w:eastAsia="zh-CN"/>
        </w:rPr>
      </w:pPr>
      <w:r>
        <w:rPr>
          <w:rFonts w:asciiTheme="minorEastAsia" w:hAnsiTheme="minorEastAsia" w:eastAsiaTheme="minorEastAsia"/>
          <w:szCs w:val="24"/>
          <w:lang w:eastAsia="zh-CN"/>
        </w:rPr>
        <w:t>第十一步:支持“编辑”与“删除”</w:t>
      </w:r>
    </w:p>
    <w:p>
      <w:pPr>
        <w:pStyle w:val="4"/>
        <w:ind w:firstLine="0" w:firstLineChars="0"/>
      </w:pPr>
      <w:r>
        <w:drawing>
          <wp:inline distT="0" distB="0" distL="0" distR="0">
            <wp:extent cx="5029200" cy="282956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7351" cy="28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hanging="2139"/>
        <w:rPr>
          <w:rFonts w:hint="default"/>
        </w:rPr>
      </w:pPr>
      <w:bookmarkStart w:id="17" w:name="_Toc44352915"/>
      <w:r>
        <w:t>角色管理</w:t>
      </w:r>
      <w:bookmarkEnd w:id="17"/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系统管理员为部门用户、工作员工、业主用户进行创建角色是为了区分不同的角色对应相应的菜单展示，同时还要对界面的数据权限进行授权（全部数据、本部门及以下数据、辖区数据等）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操作如下：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第一步：选择归属机构（热力公司管理部门）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第二步：输入角色名称（可以部门或岗位命名）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第三步：选择角色类型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第四步：选择数据范围（所在部门及以下数据）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第五步： 点击“分配”进行角色菜单的分配</w:t>
      </w:r>
    </w:p>
    <w:p>
      <w:pPr>
        <w:pStyle w:val="7"/>
        <w:spacing w:line="360" w:lineRule="auto"/>
        <w:ind w:firstLine="480" w:firstLineChars="200"/>
        <w:rPr>
          <w:rFonts w:ascii="仿宋_GB2312" w:hAnsi="仿宋" w:eastAsiaTheme="minorEastAsia"/>
          <w:szCs w:val="24"/>
          <w:lang w:eastAsia="zh-CN"/>
        </w:rPr>
      </w:pPr>
      <w:r>
        <w:rPr>
          <w:rFonts w:ascii="仿宋_GB2312" w:hAnsi="仿宋" w:eastAsiaTheme="minorEastAsia"/>
          <w:szCs w:val="24"/>
          <w:lang w:eastAsia="zh-CN"/>
        </w:rPr>
        <w:t>第六步：点击“编辑”、“删除”可以实现对角色基本信息的更新</w:t>
      </w:r>
    </w:p>
    <w:p>
      <w:pPr>
        <w:pStyle w:val="4"/>
        <w:jc w:val="left"/>
      </w:pPr>
      <w:r>
        <w:drawing>
          <wp:inline distT="0" distB="0" distL="0" distR="0">
            <wp:extent cx="4454525" cy="250634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26" cy="25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spacing w:line="360" w:lineRule="auto"/>
        <w:jc w:val="both"/>
      </w:pPr>
      <w:bookmarkStart w:id="18" w:name="_Toc44352916"/>
      <w:r>
        <w:rPr>
          <w:rFonts w:hint="eastAsia"/>
        </w:rPr>
        <w:t>2.3基础信息管理</w:t>
      </w:r>
      <w:bookmarkEnd w:id="18"/>
    </w:p>
    <w:p>
      <w:pPr>
        <w:pStyle w:val="26"/>
        <w:keepNext/>
        <w:numPr>
          <w:ilvl w:val="1"/>
          <w:numId w:val="2"/>
        </w:numPr>
        <w:tabs>
          <w:tab w:val="left" w:pos="576"/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19" w:name="_Toc44352917"/>
      <w:bookmarkEnd w:id="19"/>
    </w:p>
    <w:p>
      <w:pPr>
        <w:pStyle w:val="26"/>
        <w:keepNext/>
        <w:numPr>
          <w:ilvl w:val="1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20" w:name="_Toc44352918"/>
      <w:bookmarkEnd w:id="20"/>
    </w:p>
    <w:p>
      <w:pPr>
        <w:pStyle w:val="26"/>
        <w:keepNext/>
        <w:numPr>
          <w:ilvl w:val="1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21" w:name="_Toc44352919"/>
      <w:bookmarkEnd w:id="21"/>
    </w:p>
    <w:p>
      <w:pPr>
        <w:pStyle w:val="5"/>
        <w:tabs>
          <w:tab w:val="clear" w:pos="1997"/>
        </w:tabs>
        <w:ind w:hanging="1997"/>
        <w:rPr>
          <w:rFonts w:hint="default"/>
        </w:rPr>
      </w:pPr>
      <w:bookmarkStart w:id="22" w:name="_Toc44352920"/>
      <w:r>
        <w:t>业主管理</w:t>
      </w:r>
      <w:bookmarkEnd w:id="22"/>
    </w:p>
    <w:p>
      <w:pPr>
        <w:pStyle w:val="4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热力厂收费人员、站点管理员或是物业管理员都可以进行业主信息添加，但是业主信息的更新修改需审批管控，系统支持业主信息批量导入。</w:t>
      </w:r>
    </w:p>
    <w:p>
      <w:pPr>
        <w:spacing w:line="360" w:lineRule="auto"/>
        <w:ind w:firstLine="480" w:firstLineChars="200"/>
        <w:rPr>
          <w:rFonts w:cs="Times New Roman" w:asciiTheme="minorEastAsia" w:hAnsiTheme="minorEastAsia"/>
          <w:color w:val="000000"/>
          <w:kern w:val="0"/>
          <w:sz w:val="24"/>
          <w:szCs w:val="24"/>
        </w:rPr>
      </w:pP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第一步</w:t>
      </w:r>
      <w:r>
        <w:rPr>
          <w:rFonts w:hint="eastAsia" w:cs="Times New Roman" w:asciiTheme="minorEastAsia" w:hAnsiTheme="minorEastAsia"/>
          <w:color w:val="000000"/>
          <w:kern w:val="0"/>
          <w:sz w:val="24"/>
          <w:szCs w:val="24"/>
        </w:rPr>
        <w:t>：点击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“基础信息管理”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cs="Times New Roman" w:asciiTheme="minorEastAsia" w:hAnsiTheme="minorEastAsia"/>
          <w:color w:val="000000"/>
          <w:kern w:val="0"/>
          <w:sz w:val="24"/>
          <w:szCs w:val="24"/>
        </w:rPr>
        <w:t>第二步：</w:t>
      </w:r>
      <w:r>
        <w:rPr>
          <w:rFonts w:cs="Times New Roman" w:asciiTheme="minorEastAsia" w:hAnsiTheme="minorEastAsia"/>
          <w:color w:val="000000"/>
          <w:kern w:val="0"/>
          <w:sz w:val="24"/>
          <w:szCs w:val="24"/>
        </w:rPr>
        <w:t>点击“业主信息”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</w:t>
      </w:r>
      <w:r>
        <w:rPr>
          <w:rFonts w:hint="eastAsia" w:cs="仿宋" w:asciiTheme="minorEastAsia" w:hAnsiTheme="minorEastAsia"/>
          <w:sz w:val="24"/>
          <w:szCs w:val="24"/>
        </w:rPr>
        <w:t>三</w:t>
      </w:r>
      <w:r>
        <w:rPr>
          <w:rFonts w:cs="仿宋" w:asciiTheme="minorEastAsia" w:hAnsiTheme="minorEastAsia"/>
          <w:sz w:val="24"/>
          <w:szCs w:val="24"/>
        </w:rPr>
        <w:t>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点击“</w:t>
      </w:r>
      <w:r>
        <w:rPr>
          <w:rFonts w:hint="eastAsia" w:cs="仿宋" w:asciiTheme="minorEastAsia" w:hAnsiTheme="minorEastAsia"/>
          <w:sz w:val="24"/>
          <w:szCs w:val="24"/>
        </w:rPr>
        <w:t>新增</w:t>
      </w:r>
      <w:r>
        <w:rPr>
          <w:rFonts w:cs="仿宋" w:asciiTheme="minorEastAsia" w:hAnsiTheme="minorEastAsia"/>
          <w:sz w:val="24"/>
          <w:szCs w:val="24"/>
        </w:rPr>
        <w:t>”</w:t>
      </w:r>
      <w:r>
        <w:rPr>
          <w:rFonts w:hint="eastAsia" w:cs="仿宋" w:asciiTheme="minorEastAsia" w:hAnsiTheme="minorEastAsia"/>
          <w:sz w:val="24"/>
          <w:szCs w:val="24"/>
        </w:rPr>
        <w:t>，进行</w:t>
      </w:r>
      <w:r>
        <w:rPr>
          <w:rFonts w:cs="仿宋" w:asciiTheme="minorEastAsia" w:hAnsiTheme="minorEastAsia"/>
          <w:sz w:val="24"/>
          <w:szCs w:val="24"/>
        </w:rPr>
        <w:t>业主信息添加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</w:t>
      </w:r>
      <w:r>
        <w:rPr>
          <w:rFonts w:hint="eastAsia" w:cs="仿宋" w:asciiTheme="minorEastAsia" w:hAnsiTheme="minorEastAsia"/>
          <w:sz w:val="24"/>
          <w:szCs w:val="24"/>
        </w:rPr>
        <w:t>四</w:t>
      </w:r>
      <w:r>
        <w:rPr>
          <w:rFonts w:cs="仿宋" w:asciiTheme="minorEastAsia" w:hAnsiTheme="minorEastAsia"/>
          <w:sz w:val="24"/>
          <w:szCs w:val="24"/>
        </w:rPr>
        <w:t>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输入用户姓名和联系电话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</w:t>
      </w:r>
      <w:r>
        <w:rPr>
          <w:rFonts w:hint="eastAsia" w:cs="仿宋" w:asciiTheme="minorEastAsia" w:hAnsiTheme="minorEastAsia"/>
          <w:sz w:val="24"/>
          <w:szCs w:val="24"/>
        </w:rPr>
        <w:t>五</w:t>
      </w:r>
      <w:r>
        <w:rPr>
          <w:rFonts w:cs="仿宋" w:asciiTheme="minorEastAsia" w:hAnsiTheme="minorEastAsia"/>
          <w:sz w:val="24"/>
          <w:szCs w:val="24"/>
        </w:rPr>
        <w:t>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选择用户类型。点击用户类型右侧下拉列表图标，选择用户对应的类型“私户”或“公户”。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第五步，选择优抚类型。点击优抚类型右侧下拉列表图标，选择优抚对应的类型“普通”、“低保户”或“特审户”。</w:t>
      </w:r>
    </w:p>
    <w:p>
      <w:pPr>
        <w:spacing w:line="360" w:lineRule="auto"/>
        <w:ind w:firstLine="482" w:firstLineChars="200"/>
        <w:rPr>
          <w:rFonts w:cs="仿宋" w:asciiTheme="minorEastAsia" w:hAnsiTheme="minorEastAsia"/>
          <w:b/>
          <w:bCs/>
          <w:color w:val="auto"/>
          <w:sz w:val="24"/>
          <w:szCs w:val="24"/>
        </w:rPr>
      </w:pPr>
      <w:r>
        <w:rPr>
          <w:rFonts w:cs="仿宋" w:asciiTheme="minorEastAsia" w:hAnsiTheme="minorEastAsia"/>
          <w:b/>
          <w:bCs/>
          <w:color w:val="auto"/>
          <w:sz w:val="24"/>
          <w:szCs w:val="24"/>
        </w:rPr>
        <w:t>注：“低保户”或“特审户”是针对产品中优抚类设置。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第六步，点击保存按钮，完成业主信息添加。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hanging="2139"/>
        <w:rPr>
          <w:rFonts w:hint="default"/>
        </w:rPr>
      </w:pPr>
      <w:bookmarkStart w:id="23" w:name="_Toc44352921"/>
      <w:r>
        <w:t>小区基础信息</w:t>
      </w:r>
      <w:bookmarkEnd w:id="23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热力公司管理员、物业管理员有权限进行小区信息的添加，小区基础信息管理包括：小区、楼幢、单位、户室多层级管理，户室与业务进行一对一绑定，详细步骤如下：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1</w:t>
      </w:r>
      <w:r>
        <w:rPr>
          <w:rFonts w:hint="eastAsia" w:cs="仿宋" w:asciiTheme="minorEastAsia" w:hAnsiTheme="minorEastAsia"/>
          <w:sz w:val="24"/>
          <w:szCs w:val="24"/>
        </w:rPr>
        <w:t>．</w:t>
      </w:r>
      <w:r>
        <w:rPr>
          <w:rFonts w:cs="仿宋" w:asciiTheme="minorEastAsia" w:hAnsiTheme="minorEastAsia"/>
          <w:sz w:val="24"/>
          <w:szCs w:val="24"/>
        </w:rPr>
        <w:t>小区添加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在基础信息管理中依次点击“小区基础信息”、“小区列表”。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点击添加按钮，弹出小区信息添加页面。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输入小区信息,点击确定按钮，完成小区信息添加。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2.楼幢添加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在“小区基础信息”中点击“楼幢列表”，进入楼幢信息添加页面。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点击添加按钮，进行楼幢信息添加。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输入楼幢名称，点击小区右侧下拉列表图标,选择对应小区。点击确定按钮，完成楼幢信息添加。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3.单元添加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在“小区基础信息”中点击“单元列表”，进入单元信息输入页面。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点击添加按钮，弹出单元信息添加页面。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输入单元名称，分别点击小区、楼幢右侧下拉列表图标,选择对应小区、楼幢。点击确定按钮，完成单元信息添加。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4.户室添加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在“小区基础信息”中点击“户室列表”。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点击添加按钮，弹出户室信息添加页面。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分别输入户室号或门牌号、户室面积、建筑面积、缴费账号，选择小区、选择楼幢、选择单元、业主姓名、业主电话,点击确定按钮，完成户室信息添加。</w:t>
      </w:r>
    </w:p>
    <w:p>
      <w:pPr>
        <w:pStyle w:val="4"/>
        <w:ind w:firstLine="0" w:firstLineChars="0"/>
      </w:pPr>
      <w:r>
        <w:drawing>
          <wp:inline distT="0" distB="0" distL="0" distR="0">
            <wp:extent cx="5168900" cy="29070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320" cy="29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spacing w:line="360" w:lineRule="auto"/>
        <w:jc w:val="both"/>
      </w:pPr>
      <w:bookmarkStart w:id="24" w:name="_Toc44352922"/>
      <w:r>
        <w:rPr>
          <w:rFonts w:hint="eastAsia"/>
        </w:rPr>
        <w:t>2.4业务管理</w:t>
      </w:r>
      <w:bookmarkEnd w:id="24"/>
    </w:p>
    <w:p>
      <w:pPr>
        <w:pStyle w:val="26"/>
        <w:keepNext/>
        <w:numPr>
          <w:ilvl w:val="1"/>
          <w:numId w:val="1"/>
        </w:numPr>
        <w:tabs>
          <w:tab w:val="left" w:pos="720"/>
        </w:tabs>
        <w:spacing w:line="360" w:lineRule="auto"/>
        <w:ind w:firstLineChars="0"/>
        <w:outlineLvl w:val="2"/>
        <w:rPr>
          <w:rFonts w:ascii="宋体" w:hAnsi="Times New Roman" w:eastAsia="宋体" w:cs="Times New Roman"/>
          <w:vanish/>
          <w:sz w:val="28"/>
          <w:szCs w:val="20"/>
        </w:rPr>
      </w:pPr>
      <w:bookmarkStart w:id="25" w:name="_Toc44352923"/>
      <w:bookmarkEnd w:id="25"/>
    </w:p>
    <w:p>
      <w:pPr>
        <w:pStyle w:val="5"/>
        <w:ind w:hanging="2139"/>
        <w:rPr>
          <w:rFonts w:hint="default"/>
        </w:rPr>
      </w:pPr>
      <w:bookmarkStart w:id="26" w:name="_Toc44352924"/>
      <w:r>
        <w:t>产品管理</w:t>
      </w:r>
      <w:bookmarkEnd w:id="26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系统中</w:t>
      </w:r>
      <w:r>
        <w:rPr>
          <w:rFonts w:cs="仿宋" w:asciiTheme="minorEastAsia" w:hAnsiTheme="minorEastAsia"/>
          <w:sz w:val="24"/>
          <w:szCs w:val="24"/>
        </w:rPr>
        <w:t>的“</w:t>
      </w:r>
      <w:r>
        <w:rPr>
          <w:rFonts w:hint="eastAsia" w:cs="仿宋" w:asciiTheme="minorEastAsia" w:hAnsiTheme="minorEastAsia"/>
          <w:sz w:val="24"/>
          <w:szCs w:val="24"/>
        </w:rPr>
        <w:t>产品</w:t>
      </w:r>
      <w:r>
        <w:rPr>
          <w:rFonts w:cs="仿宋" w:asciiTheme="minorEastAsia" w:hAnsiTheme="minorEastAsia"/>
          <w:sz w:val="24"/>
          <w:szCs w:val="24"/>
        </w:rPr>
        <w:t>”</w:t>
      </w:r>
      <w:r>
        <w:rPr>
          <w:rFonts w:hint="eastAsia" w:cs="仿宋" w:asciiTheme="minorEastAsia" w:hAnsiTheme="minorEastAsia"/>
          <w:sz w:val="24"/>
          <w:szCs w:val="24"/>
        </w:rPr>
        <w:t>即为</w:t>
      </w:r>
      <w:r>
        <w:rPr>
          <w:rFonts w:cs="仿宋" w:asciiTheme="minorEastAsia" w:hAnsiTheme="minorEastAsia"/>
          <w:sz w:val="24"/>
          <w:szCs w:val="24"/>
        </w:rPr>
        <w:t>热力</w:t>
      </w:r>
      <w:r>
        <w:rPr>
          <w:rFonts w:hint="eastAsia" w:cs="仿宋" w:asciiTheme="minorEastAsia" w:hAnsiTheme="minorEastAsia"/>
          <w:sz w:val="24"/>
          <w:szCs w:val="24"/>
        </w:rPr>
        <w:t>厂要设定的</w:t>
      </w:r>
      <w:r>
        <w:rPr>
          <w:rFonts w:cs="仿宋" w:asciiTheme="minorEastAsia" w:hAnsiTheme="minorEastAsia"/>
          <w:sz w:val="24"/>
          <w:szCs w:val="24"/>
        </w:rPr>
        <w:t>热力费</w:t>
      </w:r>
      <w:r>
        <w:rPr>
          <w:rFonts w:hint="eastAsia" w:cs="仿宋" w:asciiTheme="minorEastAsia" w:hAnsiTheme="minorEastAsia"/>
          <w:sz w:val="24"/>
          <w:szCs w:val="24"/>
        </w:rPr>
        <w:t>缴纳标准，其中包括</w:t>
      </w:r>
      <w:r>
        <w:rPr>
          <w:rFonts w:cs="仿宋" w:asciiTheme="minorEastAsia" w:hAnsiTheme="minorEastAsia"/>
          <w:sz w:val="24"/>
          <w:szCs w:val="24"/>
        </w:rPr>
        <w:t>热力</w:t>
      </w:r>
      <w:r>
        <w:rPr>
          <w:rFonts w:hint="eastAsia" w:cs="仿宋" w:asciiTheme="minorEastAsia" w:hAnsiTheme="minorEastAsia"/>
          <w:sz w:val="24"/>
          <w:szCs w:val="24"/>
        </w:rPr>
        <w:t>费、滞纳金及其他</w:t>
      </w:r>
      <w:r>
        <w:rPr>
          <w:rFonts w:cs="仿宋" w:asciiTheme="minorEastAsia" w:hAnsiTheme="minorEastAsia"/>
          <w:sz w:val="24"/>
          <w:szCs w:val="24"/>
        </w:rPr>
        <w:t>特殊情况（如空房、优抚）</w:t>
      </w:r>
      <w:r>
        <w:rPr>
          <w:rFonts w:hint="eastAsia" w:cs="仿宋" w:asciiTheme="minorEastAsia" w:hAnsiTheme="minorEastAsia"/>
          <w:sz w:val="24"/>
          <w:szCs w:val="24"/>
        </w:rPr>
        <w:t>费用等。</w:t>
      </w:r>
    </w:p>
    <w:p>
      <w:pPr>
        <w:pStyle w:val="29"/>
        <w:spacing w:line="360" w:lineRule="auto"/>
        <w:ind w:firstLine="480" w:firstLineChars="200"/>
        <w:outlineLvl w:val="3"/>
        <w:rPr>
          <w:rFonts w:ascii="仿宋_GB2312" w:hAnsi="仿宋" w:eastAsia="仿宋_GB2312" w:cs="Times New Roman"/>
          <w:color w:val="000000"/>
          <w:kern w:val="0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2.4.1.1</w:t>
      </w:r>
      <w:r>
        <w:rPr>
          <w:rFonts w:hint="eastAsia" w:ascii="仿宋" w:hAnsi="仿宋" w:eastAsia="仿宋" w:cs="仿宋"/>
          <w:sz w:val="24"/>
          <w:szCs w:val="24"/>
        </w:rPr>
        <w:t>标准产品设置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产品</w:t>
      </w:r>
      <w:r>
        <w:rPr>
          <w:rFonts w:hint="eastAsia" w:cs="仿宋" w:asciiTheme="minorEastAsia" w:hAnsiTheme="minorEastAsia"/>
          <w:sz w:val="24"/>
          <w:szCs w:val="24"/>
        </w:rPr>
        <w:t>管理属于</w:t>
      </w:r>
      <w:r>
        <w:rPr>
          <w:rFonts w:cs="仿宋" w:asciiTheme="minorEastAsia" w:hAnsiTheme="minorEastAsia"/>
          <w:sz w:val="24"/>
          <w:szCs w:val="24"/>
        </w:rPr>
        <w:t>“业务管理”</w:t>
      </w:r>
      <w:r>
        <w:rPr>
          <w:rFonts w:hint="eastAsia" w:cs="仿宋" w:asciiTheme="minorEastAsia" w:hAnsiTheme="minorEastAsia"/>
          <w:sz w:val="24"/>
          <w:szCs w:val="24"/>
        </w:rPr>
        <w:t>模块中</w:t>
      </w:r>
      <w:r>
        <w:rPr>
          <w:rFonts w:cs="仿宋" w:asciiTheme="minorEastAsia" w:hAnsiTheme="minorEastAsia"/>
          <w:sz w:val="24"/>
          <w:szCs w:val="24"/>
        </w:rPr>
        <w:t>功能</w:t>
      </w:r>
      <w:r>
        <w:rPr>
          <w:rFonts w:hint="eastAsia" w:cs="仿宋" w:asciiTheme="minorEastAsia" w:hAnsiTheme="minorEastAsia"/>
          <w:sz w:val="24"/>
          <w:szCs w:val="24"/>
        </w:rPr>
        <w:t>菜单，具体操作如下：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点击“产品管理”。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点击“产品添加”</w:t>
      </w:r>
      <w:r>
        <w:rPr>
          <w:rFonts w:hint="eastAsia" w:cs="仿宋" w:asciiTheme="minorEastAsia" w:hAnsiTheme="minorEastAsia"/>
          <w:sz w:val="24"/>
          <w:szCs w:val="24"/>
        </w:rPr>
        <w:t>页</w:t>
      </w:r>
      <w:r>
        <w:rPr>
          <w:rFonts w:cs="仿宋" w:asciiTheme="minorEastAsia" w:hAnsiTheme="minorEastAsia"/>
          <w:sz w:val="24"/>
          <w:szCs w:val="24"/>
        </w:rPr>
        <w:t>，进入热力费收费标准设置页面。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填写产品名称和产品编号。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第四步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设置产品缴费时间范围。点击时间选择图标，依次选择热力费缴费起始时间和终止时间。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第五步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设置产品计费方式。目前热力费收费标准以面积计算为标准，填写热力费单价。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第六步，设置滞纳金收费标准。点击“滞纳金”，滞纳金有定额、百分比两种设置方式，选择相应的收费标准。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若计算方式选择定额，则按每月每平米房屋面积所产生的滞纳单价设置；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若计算方式选择百分比，则按热力费总额的百分比设置。</w:t>
      </w:r>
    </w:p>
    <w:p>
      <w:pPr>
        <w:spacing w:line="360" w:lineRule="auto"/>
        <w:ind w:firstLine="482" w:firstLineChars="200"/>
        <w:rPr>
          <w:rFonts w:cs="仿宋" w:asciiTheme="minorEastAsia" w:hAnsiTheme="minorEastAsia"/>
          <w:b/>
          <w:bCs/>
          <w:sz w:val="24"/>
          <w:szCs w:val="24"/>
        </w:rPr>
      </w:pPr>
      <w:r>
        <w:rPr>
          <w:rFonts w:cs="仿宋" w:asciiTheme="minorEastAsia" w:hAnsiTheme="minorEastAsia"/>
          <w:b/>
          <w:bCs/>
          <w:sz w:val="24"/>
          <w:szCs w:val="24"/>
        </w:rPr>
        <w:t>注：若不需要设置滞纳金，则直接进入下一步设置。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填写滞纳金生效日期。滞纳金生效日期必须在热力费缴费终止日期后N天。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第七步，若业主房屋空置，则需要按空房热力费收费标准设置。点击“空房”，选择空房计算方式（定额或百分比），并填写相应计算值（收费标准）和缴费时间。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若计算方式选择定额，则按每月每平米房屋面积所产生的空置单价设置；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若计算方式选择百分比，则按热力费总额的百分比设置。</w:t>
      </w:r>
    </w:p>
    <w:p>
      <w:pPr>
        <w:spacing w:line="360" w:lineRule="auto"/>
        <w:ind w:firstLine="482" w:firstLineChars="200"/>
        <w:rPr>
          <w:rFonts w:cs="仿宋" w:asciiTheme="minorEastAsia" w:hAnsiTheme="minorEastAsia"/>
          <w:b/>
          <w:bCs/>
          <w:sz w:val="24"/>
          <w:szCs w:val="24"/>
        </w:rPr>
      </w:pPr>
      <w:r>
        <w:rPr>
          <w:rFonts w:cs="仿宋" w:asciiTheme="minorEastAsia" w:hAnsiTheme="minorEastAsia"/>
          <w:b/>
          <w:bCs/>
          <w:sz w:val="24"/>
          <w:szCs w:val="24"/>
        </w:rPr>
        <w:t>注：若不需要设置空房收费标准，则直接进入下一步设置。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八步，若业主属于低保户或特审户，则需要按优抚热力费收费标准设置。点击“优抚”，选择优抚类型（低保户或特审户），并选择相应计算方式（定额或百分比），填写相应的计算值（收费标准）和缴费时间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若计算方式选择定额，则按每月每平米房屋面积所产生的低保户或特审户单价设置；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若计算方式选择百分比，则按热力费总额的百分比设置。</w:t>
      </w:r>
    </w:p>
    <w:p>
      <w:pPr>
        <w:spacing w:line="360" w:lineRule="auto"/>
        <w:ind w:firstLine="482" w:firstLineChars="200"/>
        <w:rPr>
          <w:rFonts w:cs="仿宋" w:asciiTheme="minorEastAsia" w:hAnsiTheme="minorEastAsia"/>
          <w:b/>
          <w:bCs/>
          <w:sz w:val="24"/>
          <w:szCs w:val="24"/>
        </w:rPr>
      </w:pPr>
      <w:r>
        <w:rPr>
          <w:rFonts w:cs="仿宋" w:asciiTheme="minorEastAsia" w:hAnsiTheme="minorEastAsia"/>
          <w:b/>
          <w:bCs/>
          <w:sz w:val="24"/>
          <w:szCs w:val="24"/>
        </w:rPr>
        <w:t>注：若不需要设置优抚收费标准，则直接进入下一步设置。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第九步，优惠费用设置。点击“其他”，选择“优惠”按钮，选择“优惠”收费标准“定额”或“百分比”，并填写“定额”或“百分比”对应收费标准。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若计算方式选择定额，则按每月每平米房屋面积所产生的优惠单价设置；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若计算方式选择百分比，则按热力费总额的百分比设置。</w:t>
      </w:r>
    </w:p>
    <w:p>
      <w:pPr>
        <w:spacing w:line="360" w:lineRule="auto"/>
        <w:ind w:firstLine="482" w:firstLineChars="200"/>
        <w:rPr>
          <w:rFonts w:cs="仿宋" w:asciiTheme="minorEastAsia" w:hAnsiTheme="minorEastAsia"/>
          <w:b/>
          <w:bCs/>
          <w:sz w:val="24"/>
          <w:szCs w:val="24"/>
        </w:rPr>
      </w:pPr>
      <w:r>
        <w:rPr>
          <w:rFonts w:cs="仿宋" w:asciiTheme="minorEastAsia" w:hAnsiTheme="minorEastAsia"/>
          <w:b/>
          <w:bCs/>
          <w:sz w:val="24"/>
          <w:szCs w:val="24"/>
        </w:rPr>
        <w:t>注：若不需要设置优惠时收费标准，则直接进入下一步设置。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第十步，点击保存按钮，完成产品添加（收费标准设置）。</w:t>
      </w:r>
    </w:p>
    <w:p>
      <w:pPr>
        <w:spacing w:line="360" w:lineRule="auto"/>
        <w:rPr>
          <w:rFonts w:hint="eastAsia" w:ascii="仿宋_GB2312" w:hAnsi="仿宋" w:eastAsia="仿宋_GB2312" w:cs="Times New Roman"/>
          <w:color w:val="000000"/>
          <w:kern w:val="0"/>
          <w:sz w:val="24"/>
          <w:szCs w:val="24"/>
        </w:rPr>
      </w:pPr>
      <w:r>
        <w:drawing>
          <wp:inline distT="0" distB="0" distL="0" distR="0">
            <wp:extent cx="4965700" cy="2966720"/>
            <wp:effectExtent l="0" t="0" r="635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360" w:lineRule="auto"/>
        <w:ind w:firstLine="480" w:firstLineChars="200"/>
        <w:outlineLvl w:val="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2.4.1.2</w:t>
      </w:r>
      <w:r>
        <w:rPr>
          <w:rFonts w:hint="eastAsia" w:ascii="仿宋" w:hAnsi="仿宋" w:eastAsia="仿宋" w:cs="仿宋"/>
          <w:sz w:val="24"/>
          <w:szCs w:val="24"/>
        </w:rPr>
        <w:t>产品查询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产品列表展示全部收费标准（产品），支持多条件查询，及收费标准的编辑，编辑功能只有热力公司管理员拥有此项权限。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第一步：点击“产品列表”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第二步：输入归属机构或产品类型或产品名称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第三步：点击“查询”，获取查询结果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第四步：点击“编辑”按钮，重新设置产品计费标准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第五步：点击“删除”按钮，可对该产品进行删除（删除的条件是没有任何用户应用次标准，即无签约绑定户室才可删除）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346065" cy="308229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0137" cy="309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hanging="2139"/>
        <w:rPr>
          <w:rFonts w:hint="default"/>
        </w:rPr>
      </w:pPr>
      <w:bookmarkStart w:id="27" w:name="_Toc44352925"/>
      <w:r>
        <w:t>户室签约</w:t>
      </w:r>
      <w:bookmarkEnd w:id="27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信息批量导入时，产品与户室不需签约。信息单批次添加时，需要产品与对应户室签约，即户室关联对应的热力费收费标准。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在“业务管理”功能模块中点击“户室与产品签约”，进入户室与产品关联页面。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选择要关联的户室，点击“关联产品”按钮。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；</w:t>
      </w:r>
      <w:r>
        <w:rPr>
          <w:rFonts w:cs="仿宋" w:asciiTheme="minorEastAsia" w:hAnsiTheme="minorEastAsia"/>
          <w:sz w:val="24"/>
          <w:szCs w:val="24"/>
        </w:rPr>
        <w:t>选择弹出的户室关联产品，点击“确定”按钮，产品与户室签约成功。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在产品与户室签约后，需要对签约订单审批。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</w:t>
      </w:r>
      <w:r>
        <w:rPr>
          <w:rFonts w:hint="eastAsia" w:cs="仿宋" w:asciiTheme="minorEastAsia" w:hAnsiTheme="minorEastAsia"/>
          <w:sz w:val="24"/>
          <w:szCs w:val="24"/>
        </w:rPr>
        <w:t>四</w:t>
      </w:r>
      <w:r>
        <w:rPr>
          <w:rFonts w:cs="仿宋" w:asciiTheme="minorEastAsia" w:hAnsiTheme="minorEastAsia"/>
          <w:sz w:val="24"/>
          <w:szCs w:val="24"/>
        </w:rPr>
        <w:t>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在“业务管理”中点击“户室签约审批”，出现产品关联审批页面。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</w:t>
      </w:r>
      <w:r>
        <w:rPr>
          <w:rFonts w:hint="eastAsia" w:cs="仿宋" w:asciiTheme="minorEastAsia" w:hAnsiTheme="minorEastAsia"/>
          <w:sz w:val="24"/>
          <w:szCs w:val="24"/>
        </w:rPr>
        <w:t>五</w:t>
      </w:r>
      <w:r>
        <w:rPr>
          <w:rFonts w:cs="仿宋" w:asciiTheme="minorEastAsia" w:hAnsiTheme="minorEastAsia"/>
          <w:sz w:val="24"/>
          <w:szCs w:val="24"/>
        </w:rPr>
        <w:t>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选择已完成产品与户室签约的订单，点击“审批”按钮。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</w:t>
      </w:r>
      <w:r>
        <w:rPr>
          <w:rFonts w:hint="eastAsia" w:cs="仿宋" w:asciiTheme="minorEastAsia" w:hAnsiTheme="minorEastAsia"/>
          <w:sz w:val="24"/>
          <w:szCs w:val="24"/>
        </w:rPr>
        <w:t>六</w:t>
      </w:r>
      <w:r>
        <w:rPr>
          <w:rFonts w:cs="仿宋" w:asciiTheme="minorEastAsia" w:hAnsiTheme="minorEastAsia"/>
          <w:sz w:val="24"/>
          <w:szCs w:val="24"/>
        </w:rPr>
        <w:t>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户室签约审批通过。</w:t>
      </w:r>
    </w:p>
    <w:p>
      <w:r>
        <w:drawing>
          <wp:inline distT="0" distB="0" distL="0" distR="0">
            <wp:extent cx="5274310" cy="29673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hanging="2139"/>
        <w:rPr>
          <w:rFonts w:hint="default"/>
        </w:rPr>
      </w:pPr>
      <w:bookmarkStart w:id="28" w:name="_Toc44352926"/>
      <w:r>
        <w:t>抄表记录管理</w:t>
      </w:r>
      <w:bookmarkEnd w:id="28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考虑到后续应用及扩展需要预留抄表功能，可实现抄表员划</w:t>
      </w:r>
      <w:r>
        <w:rPr>
          <w:rFonts w:cs="仿宋" w:asciiTheme="minorEastAsia" w:hAnsiTheme="minorEastAsia"/>
          <w:sz w:val="24"/>
          <w:szCs w:val="24"/>
        </w:rPr>
        <w:t>区域</w:t>
      </w:r>
      <w:r>
        <w:rPr>
          <w:rFonts w:hint="eastAsia" w:cs="仿宋" w:asciiTheme="minorEastAsia" w:hAnsiTheme="minorEastAsia"/>
          <w:sz w:val="24"/>
          <w:szCs w:val="24"/>
        </w:rPr>
        <w:t>进行抄表，故需将各抄表员抄表范围进行指定，完成抄表记录，支持数据导入。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第一步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在“业务管理”功能模块中依次点击“抄表</w:t>
      </w:r>
      <w:r>
        <w:rPr>
          <w:rFonts w:hint="eastAsia" w:cs="仿宋" w:asciiTheme="minorEastAsia" w:hAnsiTheme="minorEastAsia"/>
          <w:sz w:val="24"/>
          <w:szCs w:val="24"/>
        </w:rPr>
        <w:t>记录</w:t>
      </w:r>
      <w:r>
        <w:rPr>
          <w:rFonts w:cs="仿宋" w:asciiTheme="minorEastAsia" w:hAnsiTheme="minorEastAsia"/>
          <w:sz w:val="24"/>
          <w:szCs w:val="24"/>
        </w:rPr>
        <w:t>管理”</w:t>
      </w:r>
      <w:r>
        <w:rPr>
          <w:rFonts w:hint="eastAsia" w:cs="仿宋" w:asciiTheme="minorEastAsia" w:hAnsiTheme="minorEastAsia"/>
          <w:sz w:val="24"/>
          <w:szCs w:val="24"/>
        </w:rPr>
        <w:t>查看表记录；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第二步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点击“</w:t>
      </w:r>
      <w:r>
        <w:rPr>
          <w:rFonts w:hint="eastAsia" w:cs="仿宋" w:asciiTheme="minorEastAsia" w:hAnsiTheme="minorEastAsia"/>
          <w:sz w:val="24"/>
          <w:szCs w:val="24"/>
        </w:rPr>
        <w:t>抄表数据导入</w:t>
      </w:r>
      <w:r>
        <w:rPr>
          <w:rFonts w:cs="仿宋" w:asciiTheme="minorEastAsia" w:hAnsiTheme="minorEastAsia"/>
          <w:sz w:val="24"/>
          <w:szCs w:val="24"/>
        </w:rPr>
        <w:t>”，</w:t>
      </w:r>
      <w:r>
        <w:rPr>
          <w:rFonts w:hint="eastAsia" w:cs="仿宋" w:asciiTheme="minorEastAsia" w:hAnsiTheme="minorEastAsia"/>
          <w:sz w:val="24"/>
          <w:szCs w:val="24"/>
        </w:rPr>
        <w:t>即可导入抄表模板数据</w:t>
      </w:r>
      <w:r>
        <w:rPr>
          <w:rFonts w:cs="仿宋" w:asciiTheme="minorEastAsia" w:hAnsi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t>第三步</w:t>
      </w:r>
      <w:r>
        <w:rPr>
          <w:rFonts w:hint="eastAsia" w:cs="仿宋" w:asciiTheme="minorEastAsia" w:hAnsiTheme="minorEastAsia"/>
          <w:sz w:val="24"/>
          <w:szCs w:val="24"/>
        </w:rPr>
        <w:t>：</w:t>
      </w:r>
      <w:r>
        <w:rPr>
          <w:rFonts w:cs="仿宋" w:asciiTheme="minorEastAsia" w:hAnsiTheme="minorEastAsia"/>
          <w:sz w:val="24"/>
          <w:szCs w:val="24"/>
        </w:rPr>
        <w:t>点击保存按钮，完成</w:t>
      </w:r>
      <w:r>
        <w:rPr>
          <w:rFonts w:hint="eastAsia" w:cs="仿宋" w:asciiTheme="minorEastAsia" w:hAnsiTheme="minorEastAsia"/>
          <w:sz w:val="24"/>
          <w:szCs w:val="24"/>
        </w:rPr>
        <w:t>上传</w:t>
      </w:r>
      <w:r>
        <w:rPr>
          <w:rFonts w:cs="仿宋" w:asciiTheme="minorEastAsia" w:hAnsi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第四步：输入查询条件，进行查询</w:t>
      </w:r>
    </w:p>
    <w:p>
      <w:r>
        <w:drawing>
          <wp:inline distT="0" distB="0" distL="0" distR="0">
            <wp:extent cx="5162550" cy="29038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267" cy="290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Lines/>
        <w:spacing w:line="360" w:lineRule="auto"/>
        <w:jc w:val="both"/>
      </w:pPr>
      <w:bookmarkStart w:id="29" w:name="_Toc44352927"/>
      <w:r>
        <w:rPr>
          <w:rFonts w:hint="eastAsia"/>
        </w:rPr>
        <w:t>2</w:t>
      </w:r>
      <w:r>
        <w:t>.5缴费管理</w:t>
      </w:r>
      <w:bookmarkEnd w:id="29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缴费管理包括：缴费订单管理和</w:t>
      </w:r>
      <w:bookmarkStart w:id="30" w:name="_Hlk44350800"/>
      <w:r>
        <w:rPr>
          <w:rFonts w:hint="eastAsia" w:cs="仿宋" w:asciiTheme="minorEastAsia" w:hAnsiTheme="minorEastAsia"/>
          <w:sz w:val="24"/>
          <w:szCs w:val="24"/>
        </w:rPr>
        <w:t>缴费记录查询</w:t>
      </w:r>
      <w:bookmarkEnd w:id="30"/>
      <w:r>
        <w:rPr>
          <w:rFonts w:hint="eastAsia" w:cs="仿宋" w:asciiTheme="minorEastAsia" w:hAnsiTheme="minorEastAsia"/>
          <w:sz w:val="24"/>
          <w:szCs w:val="24"/>
        </w:rPr>
        <w:t>，缴费订单管理实现</w:t>
      </w:r>
      <w:r>
        <w:rPr>
          <w:rFonts w:cs="仿宋" w:asciiTheme="minorEastAsia" w:hAnsiTheme="minorEastAsia"/>
          <w:sz w:val="24"/>
          <w:szCs w:val="24"/>
        </w:rPr>
        <w:t>信息批量导入后系统自动</w:t>
      </w:r>
      <w:r>
        <w:rPr>
          <w:rFonts w:hint="eastAsia" w:cs="仿宋" w:asciiTheme="minorEastAsia" w:hAnsiTheme="minorEastAsia"/>
          <w:sz w:val="24"/>
          <w:szCs w:val="24"/>
        </w:rPr>
        <w:t>生成</w:t>
      </w:r>
      <w:r>
        <w:rPr>
          <w:rFonts w:cs="仿宋" w:asciiTheme="minorEastAsia" w:hAnsiTheme="minorEastAsia"/>
          <w:sz w:val="24"/>
          <w:szCs w:val="24"/>
        </w:rPr>
        <w:t>缴费</w:t>
      </w:r>
      <w:r>
        <w:rPr>
          <w:rFonts w:hint="eastAsia" w:cs="仿宋" w:asciiTheme="minorEastAsia" w:hAnsiTheme="minorEastAsia"/>
          <w:sz w:val="24"/>
          <w:szCs w:val="24"/>
        </w:rPr>
        <w:t>订单，</w:t>
      </w:r>
      <w:r>
        <w:rPr>
          <w:rFonts w:cs="仿宋" w:asciiTheme="minorEastAsia" w:hAnsiTheme="minorEastAsia"/>
          <w:sz w:val="24"/>
          <w:szCs w:val="24"/>
        </w:rPr>
        <w:t>具体缴费订单可以在“缴费订单管理”中</w:t>
      </w:r>
      <w:r>
        <w:rPr>
          <w:rFonts w:hint="eastAsia" w:cs="仿宋" w:asciiTheme="minorEastAsia" w:hAnsiTheme="minorEastAsia"/>
          <w:sz w:val="24"/>
          <w:szCs w:val="24"/>
        </w:rPr>
        <w:t>通过订单号、业主姓名、缴费账号、</w:t>
      </w:r>
      <w:r>
        <w:rPr>
          <w:rFonts w:cs="仿宋" w:asciiTheme="minorEastAsia" w:hAnsiTheme="minorEastAsia"/>
          <w:sz w:val="24"/>
          <w:szCs w:val="24"/>
        </w:rPr>
        <w:t>缴费日期</w:t>
      </w:r>
      <w:r>
        <w:rPr>
          <w:rFonts w:hint="eastAsia" w:cs="仿宋" w:asciiTheme="minorEastAsia" w:hAnsiTheme="minorEastAsia"/>
          <w:sz w:val="24"/>
          <w:szCs w:val="24"/>
        </w:rPr>
        <w:t>、缴费状态、缴费方式</w:t>
      </w:r>
      <w:r>
        <w:rPr>
          <w:rFonts w:cs="仿宋" w:asciiTheme="minorEastAsia" w:hAnsiTheme="minorEastAsia"/>
          <w:sz w:val="24"/>
          <w:szCs w:val="24"/>
        </w:rPr>
        <w:t>多维度</w:t>
      </w:r>
      <w:r>
        <w:rPr>
          <w:rFonts w:hint="eastAsia" w:cs="仿宋" w:asciiTheme="minorEastAsia" w:hAnsiTheme="minorEastAsia"/>
          <w:sz w:val="24"/>
          <w:szCs w:val="24"/>
        </w:rPr>
        <w:t>查询。</w:t>
      </w:r>
    </w:p>
    <w:p>
      <w:pPr>
        <w:pStyle w:val="5"/>
        <w:numPr>
          <w:ilvl w:val="0"/>
          <w:numId w:val="0"/>
        </w:numPr>
        <w:spacing w:line="360" w:lineRule="auto"/>
      </w:pPr>
      <w:bookmarkStart w:id="31" w:name="_Toc44352928"/>
      <w:r>
        <w:t>2.5.1缴费订单管理</w:t>
      </w:r>
      <w:bookmarkEnd w:id="31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收费员在缴费大厅，依据系统生成的缴费订单为业主办理缴费，缴费支持微信、支付宝扫码支付，支持智能pos支付，极大的方便用户的缴费，具体操作步骤如下：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第一步：点击“缴费管理”，进行缴费模块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第二步：点击缴费订单管理功能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第三步：界面输入业主可提供的关键字：“机构、业主姓名、账号、类型、缴费年度”等进行数据搜索查询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第四步：定位用户订单，点击“编辑”中的“缴费”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第五步：选择支付方式，联通相应的支付渠道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第六步：完成支付，系统状态更新，订单已完成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第七步：打印缴费回单</w:t>
      </w:r>
    </w:p>
    <w:p>
      <w:pPr>
        <w:pStyle w:val="4"/>
      </w:pPr>
      <w:r>
        <w:drawing>
          <wp:inline distT="0" distB="0" distL="0" distR="0">
            <wp:extent cx="5274310" cy="29679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hint="default"/>
        </w:rPr>
      </w:pPr>
      <w:bookmarkStart w:id="32" w:name="_Toc44352929"/>
      <w:r>
        <w:t>2.5.2缴费记录查询</w:t>
      </w:r>
      <w:bookmarkEnd w:id="32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缴费记录查询是缴费统计界面，无编辑操作权限，可依据各查询条件进行多维度查询，支持带条件导出功能。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第一步：点击“缴费管理”，进行缴费模块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第二步：点击缴费查询管理功能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第三步：界面输入业主可提供的关键字：“机构、业主姓名、账号、类型、缴费年度”等进行数据搜索查询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第四步：定位所查询订单，点击“导出”，进行报表导出</w:t>
      </w:r>
    </w:p>
    <w:p>
      <w:pPr>
        <w:pStyle w:val="4"/>
        <w:spacing w:line="360" w:lineRule="auto"/>
        <w:ind w:firstLine="0" w:firstLineChars="0"/>
        <w:jc w:val="left"/>
      </w:pPr>
      <w:r>
        <w:drawing>
          <wp:inline distT="0" distB="0" distL="0" distR="0">
            <wp:extent cx="5274310" cy="29679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3"/>
        <w:keepLines/>
        <w:spacing w:line="360" w:lineRule="auto"/>
        <w:jc w:val="both"/>
      </w:pPr>
      <w:bookmarkStart w:id="33" w:name="_Toc44352930"/>
      <w:r>
        <w:rPr>
          <w:rFonts w:hint="eastAsia"/>
        </w:rPr>
        <w:t>2</w:t>
      </w:r>
      <w:r>
        <w:t>.6</w:t>
      </w:r>
      <w:r>
        <w:rPr>
          <w:rFonts w:hint="eastAsia"/>
        </w:rPr>
        <w:t>报表统计</w:t>
      </w:r>
      <w:bookmarkEnd w:id="33"/>
    </w:p>
    <w:p>
      <w:pPr>
        <w:spacing w:line="360" w:lineRule="auto"/>
        <w:ind w:firstLine="480" w:firstLineChars="200"/>
        <w:rPr>
          <w:rFonts w:hint="eastAsia"/>
        </w:rPr>
      </w:pPr>
      <w:r>
        <w:rPr>
          <w:rFonts w:hint="eastAsia" w:cs="仿宋" w:asciiTheme="minorEastAsia" w:hAnsiTheme="minorEastAsia"/>
          <w:sz w:val="24"/>
          <w:szCs w:val="24"/>
        </w:rPr>
        <w:t xml:space="preserve">报表统计包括缴费渠道统计、小区明细统计，可支持多维度查询 </w:t>
      </w:r>
      <w:r>
        <w:rPr>
          <w:rFonts w:cs="仿宋" w:asciiTheme="minorEastAsia" w:hAnsiTheme="minorEastAsia"/>
          <w:sz w:val="24"/>
          <w:szCs w:val="24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5"/>
        <w:numPr>
          <w:ilvl w:val="0"/>
          <w:numId w:val="0"/>
        </w:numPr>
        <w:rPr>
          <w:rFonts w:hint="default"/>
        </w:rPr>
      </w:pPr>
      <w:bookmarkStart w:id="34" w:name="_Toc44352931"/>
      <w:r>
        <w:t>2.6.1缴费渠道统计</w:t>
      </w:r>
      <w:bookmarkEnd w:id="34"/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系统分缴费渠道进行分类统一查询，支持报表导出，具体操作如下：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第一步：点击“报表统计”，进行报表统计模块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第二步：点击</w:t>
      </w:r>
      <w:r>
        <w:rPr>
          <w:rFonts w:cs="仿宋" w:asciiTheme="minorEastAsia" w:hAnsiTheme="minorEastAsia"/>
          <w:sz w:val="24"/>
          <w:szCs w:val="24"/>
        </w:rPr>
        <w:t>缴费渠道统计</w:t>
      </w:r>
      <w:r>
        <w:rPr>
          <w:rFonts w:hint="eastAsia" w:cs="仿宋" w:asciiTheme="minorEastAsia" w:hAnsiTheme="minorEastAsia"/>
          <w:sz w:val="24"/>
          <w:szCs w:val="24"/>
        </w:rPr>
        <w:t>，进入查询界面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第三步：界面输入业主可提供的关键字：“名称、计费方式、时间阶段”等进行数据搜索查询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第四步：定位所查询结果，点击“导出”，进行报表导出</w:t>
      </w:r>
    </w:p>
    <w:p>
      <w:pPr>
        <w:pStyle w:val="4"/>
        <w:ind w:firstLine="0" w:firstLineChars="0"/>
      </w:pPr>
      <w:r>
        <w:drawing>
          <wp:inline distT="0" distB="0" distL="0" distR="0">
            <wp:extent cx="5274310" cy="29660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</w:pPr>
      <w:bookmarkStart w:id="35" w:name="_Toc44352932"/>
      <w:r>
        <w:t>2.6.</w:t>
      </w:r>
      <w:r>
        <w:rPr>
          <w:rFonts w:hint="default"/>
        </w:rPr>
        <w:t>2</w:t>
      </w:r>
      <w:bookmarkStart w:id="36" w:name="_Hlk44352349"/>
      <w:r>
        <w:t>小区明细统计</w:t>
      </w:r>
      <w:bookmarkEnd w:id="35"/>
    </w:p>
    <w:bookmarkEnd w:id="36"/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系统支持小区、楼幢、单位、户室多层级多维度缴费情况的，对应缴金额、已缴金额、欠费金额进行统计，支持穿透查询，支持报表导出，具体操作如下：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第一步：点击“报表统计”，进行报表统计模块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第二步：点击小区明细统计，进入查询界面</w:t>
      </w:r>
    </w:p>
    <w:p>
      <w:pPr>
        <w:spacing w:line="360" w:lineRule="auto"/>
        <w:ind w:firstLine="480" w:firstLineChars="200"/>
        <w:rPr>
          <w:rFonts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第三步：界面输入业主可提供的关键字：“小区名称、楼幢、单元”等进行数据搜索查询</w:t>
      </w:r>
    </w:p>
    <w:p>
      <w:pPr>
        <w:spacing w:line="360" w:lineRule="auto"/>
        <w:ind w:firstLine="480" w:firstLineChars="200"/>
        <w:rPr>
          <w:rFonts w:hint="eastAsia" w:cs="仿宋" w:asciiTheme="minorEastAsia" w:hAnsiTheme="minorEastAsia"/>
          <w:sz w:val="24"/>
          <w:szCs w:val="24"/>
        </w:rPr>
      </w:pPr>
      <w:r>
        <w:rPr>
          <w:rFonts w:hint="eastAsia" w:cs="仿宋" w:asciiTheme="minorEastAsia" w:hAnsiTheme="minorEastAsia"/>
          <w:sz w:val="24"/>
          <w:szCs w:val="24"/>
        </w:rPr>
        <w:t>第四步：定位所查询结果，点击“导出”，进行报表导出</w:t>
      </w:r>
    </w:p>
    <w:p>
      <w:pPr>
        <w:spacing w:line="360" w:lineRule="auto"/>
        <w:ind w:firstLine="141" w:firstLineChars="59"/>
        <w:rPr>
          <w:rFonts w:hint="eastAsia" w:cs="仿宋" w:asciiTheme="minorEastAsia" w:hAnsiTheme="minorEastAsia"/>
          <w:sz w:val="24"/>
          <w:szCs w:val="24"/>
        </w:rPr>
      </w:pPr>
      <w:r>
        <w:rPr>
          <w:rFonts w:cs="仿宋" w:asciiTheme="minorEastAsia" w:hAnsiTheme="minorEastAsia"/>
          <w:sz w:val="24"/>
          <w:szCs w:val="24"/>
        </w:rPr>
        <w:drawing>
          <wp:inline distT="0" distB="0" distL="0" distR="0">
            <wp:extent cx="5274310" cy="29660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020" w:right="1417" w:bottom="102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  <w:jc w:val="both"/>
    </w:pP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5576570</wp:posOffset>
              </wp:positionH>
              <wp:positionV relativeFrom="paragraph">
                <wp:posOffset>0</wp:posOffset>
              </wp:positionV>
              <wp:extent cx="184150" cy="19304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15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39.1pt;margin-top:0pt;height:15.2pt;width:14.5pt;mso-position-horizontal-relative:margin;z-index:251658240;mso-width-relative:page;mso-height-relative:page;" filled="f" stroked="f" coordsize="21600,21600" o:gfxdata="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W4fZz1gAAAAcBAAAPAAAAAAAAAAEA&#10;IAAAACIAAABkcnMvZG93bnJldi54bWxQSwECFAAUAAAACACHTuJAujbzYp8BAAAjAwAADgAAAAAA&#10;AAABACAAAAAlAQAAZHJzL2Uyb0RvYy54bWxQSwUGAAAAAAYABgBZAQAANgU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1"/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color w:val="000000"/>
        <w:kern w:val="0"/>
        <w:sz w:val="20"/>
        <w:szCs w:val="20"/>
        <w:lang w:val="en-US" w:eastAsia="zh-CN"/>
      </w:rPr>
      <w:t>热力缴费管理系统</w:t>
    </w:r>
    <w:r>
      <w:rPr>
        <w:rFonts w:hint="eastAsia" w:ascii="宋体" w:hAnsi="宋体" w:eastAsia="宋体" w:cs="宋体"/>
        <w:color w:val="000000"/>
        <w:kern w:val="0"/>
        <w:sz w:val="21"/>
        <w:szCs w:val="21"/>
        <w:lang w:val="en-US" w:eastAsia="zh-CN"/>
      </w:rPr>
      <w:t>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4B6F"/>
    <w:multiLevelType w:val="multilevel"/>
    <w:tmpl w:val="03E64B6F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tabs>
          <w:tab w:val="left" w:pos="1997"/>
        </w:tabs>
        <w:ind w:left="1997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E6B"/>
    <w:rsid w:val="00000D35"/>
    <w:rsid w:val="00005D80"/>
    <w:rsid w:val="0000743A"/>
    <w:rsid w:val="00015924"/>
    <w:rsid w:val="00041896"/>
    <w:rsid w:val="00081226"/>
    <w:rsid w:val="00086596"/>
    <w:rsid w:val="000976BA"/>
    <w:rsid w:val="000A59B2"/>
    <w:rsid w:val="000B6E84"/>
    <w:rsid w:val="000B75D2"/>
    <w:rsid w:val="000C65CA"/>
    <w:rsid w:val="000D1795"/>
    <w:rsid w:val="000E508C"/>
    <w:rsid w:val="000F214F"/>
    <w:rsid w:val="001121DE"/>
    <w:rsid w:val="00112F2F"/>
    <w:rsid w:val="0011479D"/>
    <w:rsid w:val="001317BA"/>
    <w:rsid w:val="00134020"/>
    <w:rsid w:val="00147838"/>
    <w:rsid w:val="0017426F"/>
    <w:rsid w:val="00175CBA"/>
    <w:rsid w:val="00180459"/>
    <w:rsid w:val="001914FF"/>
    <w:rsid w:val="001B41BF"/>
    <w:rsid w:val="001F705F"/>
    <w:rsid w:val="0021545B"/>
    <w:rsid w:val="002441D7"/>
    <w:rsid w:val="00247FE7"/>
    <w:rsid w:val="00264B2E"/>
    <w:rsid w:val="002755BA"/>
    <w:rsid w:val="00291B81"/>
    <w:rsid w:val="002956B6"/>
    <w:rsid w:val="002A6F83"/>
    <w:rsid w:val="002C2B3C"/>
    <w:rsid w:val="002C2F96"/>
    <w:rsid w:val="002E1F79"/>
    <w:rsid w:val="002F288C"/>
    <w:rsid w:val="00306933"/>
    <w:rsid w:val="003238BF"/>
    <w:rsid w:val="003A5533"/>
    <w:rsid w:val="003B4671"/>
    <w:rsid w:val="003C3F71"/>
    <w:rsid w:val="003C6B5D"/>
    <w:rsid w:val="003D1329"/>
    <w:rsid w:val="003F06B3"/>
    <w:rsid w:val="003F2B36"/>
    <w:rsid w:val="00402FD5"/>
    <w:rsid w:val="0040425F"/>
    <w:rsid w:val="0040742D"/>
    <w:rsid w:val="004276A0"/>
    <w:rsid w:val="004547EA"/>
    <w:rsid w:val="00476D43"/>
    <w:rsid w:val="004B5490"/>
    <w:rsid w:val="004B5D27"/>
    <w:rsid w:val="004C1BE1"/>
    <w:rsid w:val="004D0CBC"/>
    <w:rsid w:val="00516AF7"/>
    <w:rsid w:val="0053130D"/>
    <w:rsid w:val="00542131"/>
    <w:rsid w:val="00555CE7"/>
    <w:rsid w:val="0055676F"/>
    <w:rsid w:val="00572E22"/>
    <w:rsid w:val="00574BBF"/>
    <w:rsid w:val="005842C1"/>
    <w:rsid w:val="00585FDB"/>
    <w:rsid w:val="005F3524"/>
    <w:rsid w:val="006074B1"/>
    <w:rsid w:val="00624E41"/>
    <w:rsid w:val="0065484A"/>
    <w:rsid w:val="00677A61"/>
    <w:rsid w:val="00681520"/>
    <w:rsid w:val="00686AF9"/>
    <w:rsid w:val="00686D95"/>
    <w:rsid w:val="00691F5D"/>
    <w:rsid w:val="006A608C"/>
    <w:rsid w:val="006C213A"/>
    <w:rsid w:val="006D47FB"/>
    <w:rsid w:val="006E528C"/>
    <w:rsid w:val="00717140"/>
    <w:rsid w:val="007213C8"/>
    <w:rsid w:val="00724C9B"/>
    <w:rsid w:val="007363AD"/>
    <w:rsid w:val="00763ADA"/>
    <w:rsid w:val="007669E7"/>
    <w:rsid w:val="00772225"/>
    <w:rsid w:val="00792D97"/>
    <w:rsid w:val="007C700A"/>
    <w:rsid w:val="007D5866"/>
    <w:rsid w:val="007E5347"/>
    <w:rsid w:val="00800911"/>
    <w:rsid w:val="00823CB2"/>
    <w:rsid w:val="00842136"/>
    <w:rsid w:val="00861166"/>
    <w:rsid w:val="00873CAC"/>
    <w:rsid w:val="00877251"/>
    <w:rsid w:val="00880DD9"/>
    <w:rsid w:val="008C7BF5"/>
    <w:rsid w:val="008F7BCF"/>
    <w:rsid w:val="0091298D"/>
    <w:rsid w:val="00927012"/>
    <w:rsid w:val="00941F0C"/>
    <w:rsid w:val="00952209"/>
    <w:rsid w:val="00956E37"/>
    <w:rsid w:val="0096726A"/>
    <w:rsid w:val="0097038B"/>
    <w:rsid w:val="009869DA"/>
    <w:rsid w:val="009A1C0A"/>
    <w:rsid w:val="009A7CB6"/>
    <w:rsid w:val="009C2D0C"/>
    <w:rsid w:val="009D267C"/>
    <w:rsid w:val="009E4232"/>
    <w:rsid w:val="00A125F4"/>
    <w:rsid w:val="00A217B5"/>
    <w:rsid w:val="00A57B08"/>
    <w:rsid w:val="00A65C2B"/>
    <w:rsid w:val="00A76319"/>
    <w:rsid w:val="00A903EE"/>
    <w:rsid w:val="00AA767A"/>
    <w:rsid w:val="00AC5736"/>
    <w:rsid w:val="00AD43B2"/>
    <w:rsid w:val="00AE05EC"/>
    <w:rsid w:val="00AE4D43"/>
    <w:rsid w:val="00B24EF1"/>
    <w:rsid w:val="00B32A3A"/>
    <w:rsid w:val="00B4195F"/>
    <w:rsid w:val="00B53070"/>
    <w:rsid w:val="00B53258"/>
    <w:rsid w:val="00B60160"/>
    <w:rsid w:val="00B601CE"/>
    <w:rsid w:val="00B63037"/>
    <w:rsid w:val="00B76CC8"/>
    <w:rsid w:val="00BA5AC8"/>
    <w:rsid w:val="00BF4113"/>
    <w:rsid w:val="00C36ADC"/>
    <w:rsid w:val="00C52E16"/>
    <w:rsid w:val="00C623BC"/>
    <w:rsid w:val="00C66862"/>
    <w:rsid w:val="00C80389"/>
    <w:rsid w:val="00C82837"/>
    <w:rsid w:val="00C90739"/>
    <w:rsid w:val="00C962C9"/>
    <w:rsid w:val="00CA5E02"/>
    <w:rsid w:val="00CC4A79"/>
    <w:rsid w:val="00CD1881"/>
    <w:rsid w:val="00CE29B9"/>
    <w:rsid w:val="00CE398A"/>
    <w:rsid w:val="00D31712"/>
    <w:rsid w:val="00D32508"/>
    <w:rsid w:val="00D4209F"/>
    <w:rsid w:val="00D77166"/>
    <w:rsid w:val="00D851CB"/>
    <w:rsid w:val="00DA5A63"/>
    <w:rsid w:val="00DD62AF"/>
    <w:rsid w:val="00DE5586"/>
    <w:rsid w:val="00E02E6B"/>
    <w:rsid w:val="00E11651"/>
    <w:rsid w:val="00E51B4D"/>
    <w:rsid w:val="00E62C0A"/>
    <w:rsid w:val="00E922E6"/>
    <w:rsid w:val="00EA6932"/>
    <w:rsid w:val="00EC65BC"/>
    <w:rsid w:val="00ED6151"/>
    <w:rsid w:val="00ED6154"/>
    <w:rsid w:val="00EF73C1"/>
    <w:rsid w:val="00F26850"/>
    <w:rsid w:val="00F42DC0"/>
    <w:rsid w:val="00F446DA"/>
    <w:rsid w:val="00F44E93"/>
    <w:rsid w:val="00F53DA1"/>
    <w:rsid w:val="00F70B91"/>
    <w:rsid w:val="00FA0F68"/>
    <w:rsid w:val="00FA6665"/>
    <w:rsid w:val="00FB3570"/>
    <w:rsid w:val="00FF3110"/>
    <w:rsid w:val="00FF6984"/>
    <w:rsid w:val="00FF78B7"/>
    <w:rsid w:val="01463192"/>
    <w:rsid w:val="03214CD0"/>
    <w:rsid w:val="09384EA7"/>
    <w:rsid w:val="096E26FE"/>
    <w:rsid w:val="10F212E4"/>
    <w:rsid w:val="138A500F"/>
    <w:rsid w:val="14171095"/>
    <w:rsid w:val="14FE7D43"/>
    <w:rsid w:val="172A1E57"/>
    <w:rsid w:val="1A010F39"/>
    <w:rsid w:val="1B5824EA"/>
    <w:rsid w:val="1C0B0B54"/>
    <w:rsid w:val="1C844C2D"/>
    <w:rsid w:val="1DB543D7"/>
    <w:rsid w:val="1E8077DC"/>
    <w:rsid w:val="1FFB6975"/>
    <w:rsid w:val="227036FA"/>
    <w:rsid w:val="23742DBD"/>
    <w:rsid w:val="29501C8D"/>
    <w:rsid w:val="2ACF03E2"/>
    <w:rsid w:val="2B1B0CCE"/>
    <w:rsid w:val="2C0E1410"/>
    <w:rsid w:val="2D350126"/>
    <w:rsid w:val="31EE340C"/>
    <w:rsid w:val="34583393"/>
    <w:rsid w:val="348A5A7C"/>
    <w:rsid w:val="34F34BE9"/>
    <w:rsid w:val="35305D1A"/>
    <w:rsid w:val="36C86A04"/>
    <w:rsid w:val="36D549A7"/>
    <w:rsid w:val="36FC21C5"/>
    <w:rsid w:val="38DF4FA1"/>
    <w:rsid w:val="3C8B6949"/>
    <w:rsid w:val="40311CA5"/>
    <w:rsid w:val="406C2B6F"/>
    <w:rsid w:val="43DE5B3A"/>
    <w:rsid w:val="44FB3CCC"/>
    <w:rsid w:val="45013C8A"/>
    <w:rsid w:val="45E23CE1"/>
    <w:rsid w:val="48923F80"/>
    <w:rsid w:val="49B67868"/>
    <w:rsid w:val="4C6B5752"/>
    <w:rsid w:val="4E6B6FC9"/>
    <w:rsid w:val="4FCD0FA5"/>
    <w:rsid w:val="515E6FBF"/>
    <w:rsid w:val="526A5E71"/>
    <w:rsid w:val="54C64594"/>
    <w:rsid w:val="55E131FC"/>
    <w:rsid w:val="5A9016A6"/>
    <w:rsid w:val="5B6D622F"/>
    <w:rsid w:val="5CF61B33"/>
    <w:rsid w:val="5F95383D"/>
    <w:rsid w:val="60066F3E"/>
    <w:rsid w:val="61900002"/>
    <w:rsid w:val="64BE798B"/>
    <w:rsid w:val="67BE7FA9"/>
    <w:rsid w:val="6A680151"/>
    <w:rsid w:val="6DB75CE2"/>
    <w:rsid w:val="6DE71076"/>
    <w:rsid w:val="6FD62C0C"/>
    <w:rsid w:val="6FE15D96"/>
    <w:rsid w:val="6FF40244"/>
    <w:rsid w:val="71364E88"/>
    <w:rsid w:val="726E1A79"/>
    <w:rsid w:val="762022DD"/>
    <w:rsid w:val="76F92CE9"/>
    <w:rsid w:val="772B2433"/>
    <w:rsid w:val="785B0A17"/>
    <w:rsid w:val="7C732E3B"/>
    <w:rsid w:val="7CF97533"/>
    <w:rsid w:val="7DFD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outlineLvl w:val="0"/>
    </w:pPr>
    <w:rPr>
      <w:rFonts w:ascii="Times New Roman" w:hAnsi="Times New Roman" w:eastAsia="仿宋_GB2312" w:cs="Times New Roman"/>
      <w:sz w:val="28"/>
      <w:szCs w:val="20"/>
    </w:rPr>
  </w:style>
  <w:style w:type="paragraph" w:styleId="3">
    <w:name w:val="heading 2"/>
    <w:basedOn w:val="1"/>
    <w:next w:val="4"/>
    <w:link w:val="20"/>
    <w:qFormat/>
    <w:uiPriority w:val="0"/>
    <w:pPr>
      <w:keepNext/>
      <w:tabs>
        <w:tab w:val="left" w:pos="576"/>
      </w:tabs>
      <w:spacing w:line="240" w:lineRule="atLeast"/>
      <w:jc w:val="right"/>
      <w:outlineLvl w:val="1"/>
    </w:pPr>
    <w:rPr>
      <w:rFonts w:ascii="仿宋_GB2312" w:hAnsi="Times New Roman" w:eastAsia="黑体" w:cs="Times New Roman"/>
      <w:sz w:val="28"/>
      <w:szCs w:val="20"/>
    </w:rPr>
  </w:style>
  <w:style w:type="paragraph" w:styleId="5">
    <w:name w:val="heading 3"/>
    <w:basedOn w:val="1"/>
    <w:next w:val="4"/>
    <w:link w:val="25"/>
    <w:qFormat/>
    <w:uiPriority w:val="0"/>
    <w:pPr>
      <w:keepNext/>
      <w:numPr>
        <w:ilvl w:val="2"/>
        <w:numId w:val="1"/>
      </w:numPr>
      <w:tabs>
        <w:tab w:val="left" w:pos="432"/>
        <w:tab w:val="left" w:pos="720"/>
        <w:tab w:val="left" w:pos="1430"/>
      </w:tabs>
      <w:spacing w:line="360" w:lineRule="auto"/>
      <w:outlineLvl w:val="2"/>
    </w:pPr>
    <w:rPr>
      <w:rFonts w:hint="eastAsia" w:ascii="宋体" w:hAnsi="Times New Roman" w:eastAsia="宋体" w:cs="Times New Roman"/>
      <w:sz w:val="28"/>
      <w:szCs w:val="20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0"/>
    <w:pPr>
      <w:ind w:firstLine="420" w:firstLineChars="200"/>
    </w:pPr>
  </w:style>
  <w:style w:type="paragraph" w:styleId="6">
    <w:name w:val="Document Map"/>
    <w:basedOn w:val="1"/>
    <w:link w:val="2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21"/>
    <w:uiPriority w:val="0"/>
    <w:pPr>
      <w:autoSpaceDE w:val="0"/>
      <w:autoSpaceDN w:val="0"/>
      <w:adjustRightInd w:val="0"/>
      <w:jc w:val="left"/>
    </w:pPr>
    <w:rPr>
      <w:rFonts w:hint="eastAsia" w:ascii="MingLiU" w:hAnsi="Times New Roman" w:eastAsia="MingLiU" w:cs="Times New Roman"/>
      <w:color w:val="000000"/>
      <w:kern w:val="0"/>
      <w:sz w:val="24"/>
      <w:szCs w:val="20"/>
      <w:lang w:eastAsia="zh-TW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000FF"/>
      <w:u w:val="single"/>
    </w:rPr>
  </w:style>
  <w:style w:type="character" w:styleId="18">
    <w:name w:val="annotation reference"/>
    <w:basedOn w:val="16"/>
    <w:qFormat/>
    <w:uiPriority w:val="0"/>
    <w:rPr>
      <w:sz w:val="21"/>
      <w:szCs w:val="21"/>
    </w:rPr>
  </w:style>
  <w:style w:type="character" w:customStyle="1" w:styleId="19">
    <w:name w:val="标题 1 字符"/>
    <w:basedOn w:val="16"/>
    <w:link w:val="2"/>
    <w:qFormat/>
    <w:uiPriority w:val="0"/>
    <w:rPr>
      <w:rFonts w:ascii="Times New Roman" w:hAnsi="Times New Roman" w:eastAsia="仿宋_GB2312" w:cs="Times New Roman"/>
      <w:sz w:val="28"/>
      <w:szCs w:val="20"/>
    </w:rPr>
  </w:style>
  <w:style w:type="character" w:customStyle="1" w:styleId="20">
    <w:name w:val="标题 2 字符"/>
    <w:basedOn w:val="16"/>
    <w:link w:val="3"/>
    <w:qFormat/>
    <w:uiPriority w:val="0"/>
    <w:rPr>
      <w:rFonts w:ascii="仿宋_GB2312" w:hAnsi="Times New Roman" w:eastAsia="黑体" w:cs="Times New Roman"/>
      <w:sz w:val="28"/>
      <w:szCs w:val="20"/>
    </w:rPr>
  </w:style>
  <w:style w:type="character" w:customStyle="1" w:styleId="21">
    <w:name w:val="正文文本 字符"/>
    <w:basedOn w:val="16"/>
    <w:link w:val="7"/>
    <w:qFormat/>
    <w:uiPriority w:val="0"/>
    <w:rPr>
      <w:rFonts w:ascii="MingLiU" w:hAnsi="Times New Roman" w:eastAsia="MingLiU" w:cs="Times New Roman"/>
      <w:color w:val="000000"/>
      <w:kern w:val="0"/>
      <w:sz w:val="24"/>
      <w:szCs w:val="20"/>
      <w:lang w:eastAsia="zh-TW"/>
    </w:rPr>
  </w:style>
  <w:style w:type="table" w:customStyle="1" w:styleId="22">
    <w:name w:val="网格表 4 - 着色 31"/>
    <w:basedOn w:val="14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23">
    <w:name w:val="网格表 4 - 着色 1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4">
    <w:name w:val="网格表 5 深色 - 着色 21"/>
    <w:basedOn w:val="14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25">
    <w:name w:val="标题 3 字符"/>
    <w:basedOn w:val="16"/>
    <w:link w:val="5"/>
    <w:qFormat/>
    <w:uiPriority w:val="0"/>
    <w:rPr>
      <w:rFonts w:ascii="宋体" w:hAnsi="Times New Roman" w:eastAsia="宋体" w:cs="Times New Roman"/>
      <w:sz w:val="28"/>
      <w:szCs w:val="20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批注框文本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8">
    <w:name w:val="文档结构图 字符"/>
    <w:basedOn w:val="16"/>
    <w:link w:val="6"/>
    <w:semiHidden/>
    <w:qFormat/>
    <w:uiPriority w:val="99"/>
    <w:rPr>
      <w:rFonts w:ascii="宋体" w:eastAsia="宋体"/>
      <w:sz w:val="18"/>
      <w:szCs w:val="18"/>
    </w:rPr>
  </w:style>
  <w:style w:type="paragraph" w:customStyle="1" w:styleId="29">
    <w:name w:val="列出段落1"/>
    <w:basedOn w:val="1"/>
    <w:qFormat/>
    <w:uiPriority w:val="99"/>
    <w:pPr>
      <w:ind w:firstLine="420"/>
    </w:pPr>
  </w:style>
  <w:style w:type="paragraph" w:customStyle="1" w:styleId="30">
    <w:name w:val="TOC Heading"/>
    <w:basedOn w:val="2"/>
    <w:next w:val="1"/>
    <w:unhideWhenUsed/>
    <w:qFormat/>
    <w:uiPriority w:val="39"/>
    <w:pPr>
      <w:keepLines/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522770-4886-4AB3-8E43-7598A05729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15</Pages>
  <Words>1123</Words>
  <Characters>6405</Characters>
  <Lines>53</Lines>
  <Paragraphs>15</Paragraphs>
  <TotalTime>0</TotalTime>
  <ScaleCrop>false</ScaleCrop>
  <LinksUpToDate>false</LinksUpToDate>
  <CharactersWithSpaces>7513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2019-07-01T07:20:00Z</dcterms:created>
  <dc:creator>Administrator</dc:creator>
  <cp:lastModifiedBy>Administrator</cp:lastModifiedBy>
  <dcterms:modified xsi:type="dcterms:W3CDTF">2020-06-30T03:33:45Z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