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33404" w14:textId="77777777" w:rsidR="008E6A47" w:rsidRDefault="00FA511E">
      <w:pPr>
        <w:spacing w:afterLines="100" w:after="312"/>
      </w:pPr>
      <w:r>
        <w:pict w14:anchorId="1135A36E">
          <v:shapetype id="_x0000_t202" coordsize="21600,21600" o:spt="202" path="m,l,21600r21600,l21600,xe">
            <v:stroke joinstyle="miter"/>
            <v:path gradientshapeok="t" o:connecttype="rect"/>
          </v:shapetype>
          <v:shape id="_x0000_s1026" type="#_x0000_t202" alt="" style="position:absolute;left:0;text-align:left;margin-left:0;margin-top:119.3pt;width:486.2pt;height:194.95pt;z-index:251659264;mso-wrap-style:square;mso-wrap-edited:f;mso-width-percent:0;mso-height-percent:0;mso-width-percent:0;mso-height-percent:0;mso-width-relative:page;mso-height-relative:page;v-text-anchor:top" filled="f" stroked="f">
            <v:textbox>
              <w:txbxContent>
                <w:p w14:paraId="2CEAEB64" w14:textId="77777777" w:rsidR="008E6A47" w:rsidRDefault="00000000">
                  <w:pPr>
                    <w:jc w:val="center"/>
                    <w:rPr>
                      <w:rFonts w:ascii="微软雅黑" w:eastAsia="微软雅黑" w:hAnsi="微软雅黑" w:cs="微软雅黑"/>
                      <w:sz w:val="80"/>
                      <w:lang w:eastAsia="zh-Hans"/>
                    </w:rPr>
                  </w:pPr>
                  <w:r>
                    <w:rPr>
                      <w:rFonts w:ascii="微软雅黑" w:eastAsia="微软雅黑" w:hAnsi="微软雅黑" w:cs="微软雅黑" w:hint="eastAsia"/>
                      <w:sz w:val="80"/>
                      <w:lang w:eastAsia="zh-Hans"/>
                    </w:rPr>
                    <w:t>明源云天际·数据分析平台</w:t>
                  </w:r>
                </w:p>
                <w:p w14:paraId="4B551DDD" w14:textId="3B7C7B20" w:rsidR="008E6A47" w:rsidRDefault="00000000">
                  <w:pPr>
                    <w:jc w:val="center"/>
                    <w:rPr>
                      <w:rFonts w:ascii="微软雅黑" w:eastAsia="微软雅黑" w:hAnsi="微软雅黑" w:cs="微软雅黑"/>
                      <w:sz w:val="80"/>
                      <w:lang w:val="zh-CN"/>
                    </w:rPr>
                  </w:pPr>
                  <w:r>
                    <w:rPr>
                      <w:rFonts w:ascii="微软雅黑" w:eastAsia="微软雅黑" w:hAnsi="微软雅黑" w:cs="微软雅黑" w:hint="eastAsia"/>
                      <w:sz w:val="80"/>
                      <w:lang w:eastAsia="zh-Hans"/>
                    </w:rPr>
                    <w:t>产品</w:t>
                  </w:r>
                  <w:r w:rsidR="00722823">
                    <w:rPr>
                      <w:rFonts w:ascii="微软雅黑" w:eastAsia="微软雅黑" w:hAnsi="微软雅黑" w:cs="微软雅黑" w:hint="eastAsia"/>
                      <w:sz w:val="80"/>
                    </w:rPr>
                    <w:t>使用</w:t>
                  </w:r>
                  <w:r>
                    <w:rPr>
                      <w:rFonts w:ascii="微软雅黑" w:eastAsia="微软雅黑" w:hAnsi="微软雅黑" w:cs="微软雅黑" w:hint="eastAsia"/>
                      <w:sz w:val="80"/>
                      <w:lang w:eastAsia="zh-Hans"/>
                    </w:rPr>
                    <w:t>说明</w:t>
                  </w:r>
                </w:p>
              </w:txbxContent>
            </v:textbox>
          </v:shape>
        </w:pict>
      </w:r>
    </w:p>
    <w:p w14:paraId="461F477B" w14:textId="77777777" w:rsidR="008E6A47" w:rsidRDefault="008E6A47">
      <w:pPr>
        <w:pStyle w:val="a7"/>
        <w:snapToGrid w:val="0"/>
        <w:jc w:val="both"/>
        <w:rPr>
          <w:rFonts w:ascii="微软雅黑" w:eastAsia="微软雅黑" w:hAnsi="微软雅黑"/>
        </w:rPr>
        <w:sectPr w:rsidR="008E6A47">
          <w:headerReference w:type="default" r:id="rId8"/>
          <w:pgSz w:w="11906" w:h="16838"/>
          <w:pgMar w:top="1361" w:right="1417" w:bottom="1361" w:left="1417" w:header="851" w:footer="992" w:gutter="0"/>
          <w:cols w:space="425"/>
          <w:docGrid w:type="lines" w:linePitch="312"/>
        </w:sectPr>
      </w:pPr>
    </w:p>
    <w:p w14:paraId="39062535" w14:textId="77777777" w:rsidR="008E6A47" w:rsidRDefault="00000000">
      <w:pPr>
        <w:pStyle w:val="2"/>
        <w:snapToGrid w:val="0"/>
        <w:ind w:leftChars="-220" w:left="-462"/>
        <w:rPr>
          <w:rFonts w:ascii="微软雅黑" w:eastAsia="微软雅黑" w:hAnsi="微软雅黑"/>
        </w:rPr>
      </w:pPr>
      <w:r>
        <w:rPr>
          <w:rFonts w:ascii="微软雅黑" w:eastAsia="微软雅黑" w:hAnsi="微软雅黑"/>
        </w:rPr>
        <w:lastRenderedPageBreak/>
        <w:t xml:space="preserve">  </w:t>
      </w:r>
    </w:p>
    <w:sdt>
      <w:sdtPr>
        <w:rPr>
          <w:rFonts w:ascii="宋体" w:eastAsia="宋体" w:hAnsi="宋体"/>
        </w:rPr>
        <w:id w:val="761063987"/>
        <w15:color w:val="DBDBDB"/>
      </w:sdtPr>
      <w:sdtEndPr>
        <w:rPr>
          <w:rFonts w:asciiTheme="minorHAnsi" w:eastAsiaTheme="minorEastAsia" w:hAnsiTheme="minorHAnsi"/>
        </w:rPr>
      </w:sdtEndPr>
      <w:sdtContent>
        <w:p w14:paraId="3BCE2ED5" w14:textId="77777777" w:rsidR="008E6A47" w:rsidRDefault="00000000">
          <w:pPr>
            <w:jc w:val="center"/>
          </w:pPr>
          <w:r>
            <w:rPr>
              <w:rFonts w:ascii="宋体" w:eastAsia="宋体" w:hAnsi="宋体"/>
            </w:rPr>
            <w:t>目录</w:t>
          </w:r>
        </w:p>
        <w:p w14:paraId="6FE76D47" w14:textId="77777777" w:rsidR="008E6A47" w:rsidRDefault="00000000">
          <w:pPr>
            <w:pStyle w:val="TOC2"/>
            <w:tabs>
              <w:tab w:val="right" w:leader="dot" w:pos="9072"/>
            </w:tabs>
          </w:pPr>
          <w:r>
            <w:fldChar w:fldCharType="begin"/>
          </w:r>
          <w:r>
            <w:instrText xml:space="preserve">TOC \o "1-3" \h \u </w:instrText>
          </w:r>
          <w:r>
            <w:fldChar w:fldCharType="separate"/>
          </w:r>
          <w:hyperlink w:anchor="_Toc461295701" w:history="1">
            <w:r>
              <w:rPr>
                <w:rFonts w:ascii="微软雅黑" w:eastAsia="微软雅黑" w:hAnsi="微软雅黑"/>
                <w:bCs/>
              </w:rPr>
              <w:t xml:space="preserve">一、 </w:t>
            </w:r>
            <w:r>
              <w:rPr>
                <w:rFonts w:ascii="微软雅黑" w:eastAsia="微软雅黑" w:hAnsi="微软雅黑"/>
              </w:rPr>
              <w:t>概述</w:t>
            </w:r>
            <w:r>
              <w:tab/>
            </w:r>
            <w:fldSimple w:instr=" PAGEREF _Toc461295701 ">
              <w:r>
                <w:t>3</w:t>
              </w:r>
            </w:fldSimple>
          </w:hyperlink>
        </w:p>
        <w:p w14:paraId="1C583D13" w14:textId="77777777" w:rsidR="008E6A47" w:rsidRDefault="00000000">
          <w:pPr>
            <w:pStyle w:val="TOC2"/>
            <w:tabs>
              <w:tab w:val="right" w:leader="dot" w:pos="9072"/>
            </w:tabs>
          </w:pPr>
          <w:hyperlink w:anchor="_Toc580881037" w:history="1">
            <w:r>
              <w:rPr>
                <w:rFonts w:ascii="微软雅黑" w:eastAsia="微软雅黑" w:hAnsi="微软雅黑"/>
                <w:bCs/>
              </w:rPr>
              <w:t xml:space="preserve">二、 </w:t>
            </w:r>
            <w:r>
              <w:rPr>
                <w:rFonts w:ascii="微软雅黑" w:eastAsia="微软雅黑" w:hAnsi="微软雅黑"/>
              </w:rPr>
              <w:t>产品定位</w:t>
            </w:r>
            <w:r>
              <w:tab/>
            </w:r>
            <w:fldSimple w:instr=" PAGEREF _Toc580881037 ">
              <w:r>
                <w:t>3</w:t>
              </w:r>
            </w:fldSimple>
          </w:hyperlink>
        </w:p>
        <w:p w14:paraId="002BB42F" w14:textId="77777777" w:rsidR="008E6A47" w:rsidRDefault="00000000">
          <w:pPr>
            <w:pStyle w:val="TOC2"/>
            <w:tabs>
              <w:tab w:val="right" w:leader="dot" w:pos="9072"/>
            </w:tabs>
          </w:pPr>
          <w:hyperlink w:anchor="_Toc406929597" w:history="1">
            <w:r>
              <w:rPr>
                <w:rFonts w:ascii="微软雅黑" w:eastAsia="微软雅黑" w:hAnsi="微软雅黑"/>
                <w:bCs/>
              </w:rPr>
              <w:t xml:space="preserve">三、 </w:t>
            </w:r>
            <w:r>
              <w:rPr>
                <w:rFonts w:ascii="微软雅黑" w:eastAsia="微软雅黑" w:hAnsi="微软雅黑"/>
              </w:rPr>
              <w:t>技术架构</w:t>
            </w:r>
            <w:r>
              <w:tab/>
            </w:r>
            <w:fldSimple w:instr=" PAGEREF _Toc406929597 ">
              <w:r>
                <w:t>4</w:t>
              </w:r>
            </w:fldSimple>
          </w:hyperlink>
        </w:p>
        <w:p w14:paraId="27AC1DFB" w14:textId="77777777" w:rsidR="008E6A47" w:rsidRDefault="00000000">
          <w:pPr>
            <w:pStyle w:val="TOC3"/>
            <w:tabs>
              <w:tab w:val="right" w:leader="dot" w:pos="9072"/>
            </w:tabs>
          </w:pPr>
          <w:hyperlink w:anchor="_Toc1677804731" w:history="1">
            <w:r>
              <w:rPr>
                <w:rFonts w:ascii="微软雅黑" w:eastAsia="微软雅黑" w:hAnsi="微软雅黑"/>
              </w:rPr>
              <w:t>3.1、产品逻辑架构</w:t>
            </w:r>
            <w:r>
              <w:tab/>
            </w:r>
            <w:fldSimple w:instr=" PAGEREF _Toc1677804731 ">
              <w:r>
                <w:t>4</w:t>
              </w:r>
            </w:fldSimple>
          </w:hyperlink>
        </w:p>
        <w:p w14:paraId="1106F4CA" w14:textId="77777777" w:rsidR="008E6A47" w:rsidRDefault="00000000">
          <w:pPr>
            <w:pStyle w:val="TOC3"/>
            <w:tabs>
              <w:tab w:val="right" w:leader="dot" w:pos="9072"/>
            </w:tabs>
          </w:pPr>
          <w:hyperlink w:anchor="_Toc256345160" w:history="1">
            <w:r>
              <w:rPr>
                <w:rFonts w:ascii="Helvetica Neue" w:eastAsia="Helvetica Neue" w:hAnsi="Helvetica Neue"/>
              </w:rPr>
              <w:t>3.2、数据采集运行架构</w:t>
            </w:r>
            <w:r>
              <w:tab/>
            </w:r>
            <w:fldSimple w:instr=" PAGEREF _Toc256345160 ">
              <w:r>
                <w:t>4</w:t>
              </w:r>
            </w:fldSimple>
          </w:hyperlink>
        </w:p>
        <w:p w14:paraId="52E999A3" w14:textId="77777777" w:rsidR="008E6A47" w:rsidRDefault="00000000">
          <w:pPr>
            <w:pStyle w:val="TOC2"/>
            <w:tabs>
              <w:tab w:val="right" w:leader="dot" w:pos="9072"/>
            </w:tabs>
          </w:pPr>
          <w:hyperlink w:anchor="_Toc540908238" w:history="1">
            <w:r>
              <w:rPr>
                <w:rFonts w:ascii="微软雅黑" w:eastAsia="微软雅黑" w:hAnsi="微软雅黑"/>
                <w:bCs/>
              </w:rPr>
              <w:t xml:space="preserve">四、 </w:t>
            </w:r>
            <w:r>
              <w:rPr>
                <w:rFonts w:ascii="微软雅黑" w:eastAsia="微软雅黑" w:hAnsi="微软雅黑"/>
              </w:rPr>
              <w:t>产品核心能力</w:t>
            </w:r>
            <w:r>
              <w:tab/>
            </w:r>
            <w:fldSimple w:instr=" PAGEREF _Toc540908238 ">
              <w:r>
                <w:t>4</w:t>
              </w:r>
            </w:fldSimple>
          </w:hyperlink>
        </w:p>
        <w:p w14:paraId="66B7DB27" w14:textId="77777777" w:rsidR="008E6A47" w:rsidRDefault="00000000">
          <w:pPr>
            <w:pStyle w:val="TOC3"/>
            <w:tabs>
              <w:tab w:val="right" w:leader="dot" w:pos="9072"/>
            </w:tabs>
          </w:pPr>
          <w:hyperlink w:anchor="_Toc746478315" w:history="1">
            <w:r>
              <w:rPr>
                <w:rFonts w:ascii="微软雅黑" w:eastAsia="微软雅黑" w:hAnsi="微软雅黑"/>
              </w:rPr>
              <w:t>4.1、数据接入</w:t>
            </w:r>
            <w:r>
              <w:tab/>
            </w:r>
            <w:fldSimple w:instr=" PAGEREF _Toc746478315 ">
              <w:r>
                <w:t>4</w:t>
              </w:r>
            </w:fldSimple>
          </w:hyperlink>
        </w:p>
        <w:p w14:paraId="365F5850" w14:textId="77777777" w:rsidR="008E6A47" w:rsidRDefault="00000000">
          <w:pPr>
            <w:pStyle w:val="TOC3"/>
            <w:tabs>
              <w:tab w:val="right" w:leader="dot" w:pos="9072"/>
            </w:tabs>
          </w:pPr>
          <w:hyperlink w:anchor="_Toc461574431" w:history="1">
            <w:r>
              <w:rPr>
                <w:rFonts w:ascii="微软雅黑" w:eastAsia="微软雅黑" w:hAnsi="微软雅黑"/>
              </w:rPr>
              <w:t>4.2、数据准备</w:t>
            </w:r>
            <w:r>
              <w:tab/>
            </w:r>
            <w:fldSimple w:instr=" PAGEREF _Toc461574431 ">
              <w:r>
                <w:t>6</w:t>
              </w:r>
            </w:fldSimple>
          </w:hyperlink>
        </w:p>
        <w:p w14:paraId="02CBB32F" w14:textId="77777777" w:rsidR="008E6A47" w:rsidRDefault="00000000">
          <w:pPr>
            <w:pStyle w:val="TOC3"/>
            <w:tabs>
              <w:tab w:val="right" w:leader="dot" w:pos="9072"/>
            </w:tabs>
          </w:pPr>
          <w:hyperlink w:anchor="_Toc970528853" w:history="1">
            <w:r>
              <w:rPr>
                <w:rFonts w:ascii="微软雅黑" w:eastAsia="微软雅黑" w:hAnsi="微软雅黑"/>
              </w:rPr>
              <w:t>4.3、数据应用</w:t>
            </w:r>
            <w:r>
              <w:tab/>
            </w:r>
            <w:fldSimple w:instr=" PAGEREF _Toc970528853 ">
              <w:r>
                <w:t>7</w:t>
              </w:r>
            </w:fldSimple>
          </w:hyperlink>
        </w:p>
        <w:p w14:paraId="5BA5B570" w14:textId="77777777" w:rsidR="008E6A47" w:rsidRDefault="00000000">
          <w:pPr>
            <w:pStyle w:val="TOC3"/>
            <w:tabs>
              <w:tab w:val="right" w:leader="dot" w:pos="9072"/>
            </w:tabs>
          </w:pPr>
          <w:hyperlink w:anchor="_Toc1540133406" w:history="1">
            <w:r>
              <w:rPr>
                <w:rFonts w:ascii="微软雅黑" w:eastAsia="微软雅黑" w:hAnsi="微软雅黑"/>
              </w:rPr>
              <w:t>4.4、数据门户</w:t>
            </w:r>
            <w:r>
              <w:tab/>
            </w:r>
            <w:fldSimple w:instr=" PAGEREF _Toc1540133406 ">
              <w:r>
                <w:t>16</w:t>
              </w:r>
            </w:fldSimple>
          </w:hyperlink>
        </w:p>
        <w:p w14:paraId="7F2E7FB3" w14:textId="77777777" w:rsidR="008E6A47" w:rsidRDefault="00000000">
          <w:pPr>
            <w:pStyle w:val="TOC3"/>
            <w:tabs>
              <w:tab w:val="right" w:leader="dot" w:pos="9072"/>
            </w:tabs>
          </w:pPr>
          <w:hyperlink w:anchor="_Toc1401757351" w:history="1">
            <w:r>
              <w:rPr>
                <w:rFonts w:ascii="微软雅黑" w:eastAsia="微软雅黑" w:hAnsi="微软雅黑"/>
              </w:rPr>
              <w:t>4.5、系统管理</w:t>
            </w:r>
            <w:r>
              <w:tab/>
            </w:r>
            <w:fldSimple w:instr=" PAGEREF _Toc1401757351 ">
              <w:r>
                <w:t>17</w:t>
              </w:r>
            </w:fldSimple>
          </w:hyperlink>
        </w:p>
        <w:p w14:paraId="35E5EA18" w14:textId="77777777" w:rsidR="008E6A47" w:rsidRDefault="00000000">
          <w:pPr>
            <w:pStyle w:val="TOC2"/>
            <w:tabs>
              <w:tab w:val="right" w:leader="dot" w:pos="9072"/>
            </w:tabs>
          </w:pPr>
          <w:hyperlink w:anchor="_Toc1440190667" w:history="1">
            <w:r>
              <w:rPr>
                <w:rFonts w:ascii="微软雅黑" w:eastAsia="微软雅黑" w:hAnsi="微软雅黑"/>
                <w:bCs/>
              </w:rPr>
              <w:t xml:space="preserve">五、 </w:t>
            </w:r>
            <w:r>
              <w:rPr>
                <w:rFonts w:ascii="微软雅黑" w:eastAsia="微软雅黑" w:hAnsi="微软雅黑"/>
              </w:rPr>
              <w:t>产品优势</w:t>
            </w:r>
            <w:r>
              <w:tab/>
            </w:r>
            <w:fldSimple w:instr=" PAGEREF _Toc1440190667 ">
              <w:r>
                <w:t>20</w:t>
              </w:r>
            </w:fldSimple>
          </w:hyperlink>
        </w:p>
        <w:p w14:paraId="50525C21" w14:textId="77777777" w:rsidR="008E6A47" w:rsidRDefault="00000000">
          <w:pPr>
            <w:pStyle w:val="TOC3"/>
            <w:tabs>
              <w:tab w:val="right" w:leader="dot" w:pos="9072"/>
            </w:tabs>
          </w:pPr>
          <w:hyperlink w:anchor="_Toc996354932" w:history="1">
            <w:r>
              <w:rPr>
                <w:rFonts w:ascii="微软雅黑" w:eastAsia="微软雅黑" w:hAnsi="微软雅黑"/>
              </w:rPr>
              <w:t>5.1、丰富的数据源接入</w:t>
            </w:r>
            <w:r>
              <w:tab/>
            </w:r>
            <w:fldSimple w:instr=" PAGEREF _Toc996354932 ">
              <w:r>
                <w:t>20</w:t>
              </w:r>
            </w:fldSimple>
          </w:hyperlink>
        </w:p>
        <w:p w14:paraId="02A54DC9" w14:textId="77777777" w:rsidR="008E6A47" w:rsidRDefault="00000000">
          <w:pPr>
            <w:pStyle w:val="TOC3"/>
            <w:tabs>
              <w:tab w:val="right" w:leader="dot" w:pos="9072"/>
            </w:tabs>
          </w:pPr>
          <w:hyperlink w:anchor="_Toc1807346465" w:history="1">
            <w:r>
              <w:rPr>
                <w:rFonts w:ascii="微软雅黑" w:eastAsia="微软雅黑" w:hAnsi="微软雅黑"/>
              </w:rPr>
              <w:t>5.2、三屏一体的可视化工具</w:t>
            </w:r>
            <w:r>
              <w:tab/>
            </w:r>
            <w:fldSimple w:instr=" PAGEREF _Toc1807346465 ">
              <w:r>
                <w:t>21</w:t>
              </w:r>
            </w:fldSimple>
          </w:hyperlink>
        </w:p>
        <w:p w14:paraId="1AA5CBCC" w14:textId="77777777" w:rsidR="008E6A47" w:rsidRDefault="00000000">
          <w:pPr>
            <w:pStyle w:val="TOC3"/>
            <w:tabs>
              <w:tab w:val="right" w:leader="dot" w:pos="9072"/>
            </w:tabs>
          </w:pPr>
          <w:hyperlink w:anchor="_Toc2063334087" w:history="1">
            <w:r>
              <w:rPr>
                <w:rFonts w:ascii="微软雅黑" w:eastAsia="微软雅黑" w:hAnsi="微软雅黑"/>
              </w:rPr>
              <w:t>5.3、内置行业看板案例</w:t>
            </w:r>
            <w:r>
              <w:tab/>
            </w:r>
            <w:fldSimple w:instr=" PAGEREF _Toc2063334087 ">
              <w:r>
                <w:t>21</w:t>
              </w:r>
            </w:fldSimple>
          </w:hyperlink>
        </w:p>
        <w:p w14:paraId="6588184B" w14:textId="77777777" w:rsidR="008E6A47" w:rsidRDefault="00000000">
          <w:pPr>
            <w:pStyle w:val="TOC3"/>
            <w:tabs>
              <w:tab w:val="right" w:leader="dot" w:pos="9072"/>
            </w:tabs>
          </w:pPr>
          <w:hyperlink w:anchor="_Toc890068453" w:history="1">
            <w:r>
              <w:rPr>
                <w:rFonts w:ascii="微软雅黑" w:eastAsia="微软雅黑" w:hAnsi="微软雅黑"/>
              </w:rPr>
              <w:t>5.4、快速与业务系统嵌入/集成</w:t>
            </w:r>
            <w:r>
              <w:tab/>
            </w:r>
            <w:fldSimple w:instr=" PAGEREF _Toc890068453 ">
              <w:r>
                <w:t>21</w:t>
              </w:r>
            </w:fldSimple>
          </w:hyperlink>
        </w:p>
        <w:p w14:paraId="3118D528" w14:textId="77777777" w:rsidR="008E6A47" w:rsidRDefault="00000000">
          <w:pPr>
            <w:pStyle w:val="TOC3"/>
            <w:tabs>
              <w:tab w:val="right" w:leader="dot" w:pos="9072"/>
            </w:tabs>
          </w:pPr>
          <w:hyperlink w:anchor="_Toc9404569" w:history="1">
            <w:r>
              <w:rPr>
                <w:rFonts w:ascii="微软雅黑" w:eastAsia="微软雅黑" w:hAnsi="微软雅黑"/>
              </w:rPr>
              <w:t>5.5、体系化的数据质量、数据安全保障</w:t>
            </w:r>
            <w:r>
              <w:tab/>
            </w:r>
            <w:fldSimple w:instr=" PAGEREF _Toc9404569 ">
              <w:r>
                <w:t>21</w:t>
              </w:r>
            </w:fldSimple>
          </w:hyperlink>
        </w:p>
        <w:p w14:paraId="20B62631" w14:textId="77777777" w:rsidR="008E6A47" w:rsidRDefault="00000000">
          <w:pPr>
            <w:sectPr w:rsidR="008E6A47">
              <w:pgSz w:w="11906" w:h="16838"/>
              <w:pgMar w:top="1361" w:right="1417" w:bottom="1361" w:left="1417" w:header="851" w:footer="992" w:gutter="0"/>
              <w:cols w:space="425"/>
              <w:docGrid w:type="lines" w:linePitch="312"/>
            </w:sectPr>
          </w:pPr>
          <w:r>
            <w:fldChar w:fldCharType="end"/>
          </w:r>
        </w:p>
      </w:sdtContent>
    </w:sdt>
    <w:p w14:paraId="06E3E44B" w14:textId="77777777" w:rsidR="008E6A47" w:rsidRDefault="008E6A47"/>
    <w:p w14:paraId="6FB9D774" w14:textId="77777777" w:rsidR="008E6A47" w:rsidRDefault="00000000">
      <w:pPr>
        <w:pStyle w:val="2"/>
        <w:numPr>
          <w:ilvl w:val="0"/>
          <w:numId w:val="1"/>
        </w:numPr>
        <w:snapToGrid w:val="0"/>
        <w:ind w:left="704" w:hangingChars="220" w:hanging="704"/>
        <w:rPr>
          <w:rFonts w:ascii="微软雅黑" w:eastAsia="微软雅黑" w:hAnsi="微软雅黑"/>
        </w:rPr>
      </w:pPr>
      <w:bookmarkStart w:id="0" w:name="_Toc461295701"/>
      <w:r>
        <w:rPr>
          <w:rFonts w:ascii="微软雅黑" w:eastAsia="微软雅黑" w:hAnsi="微软雅黑"/>
        </w:rPr>
        <w:t>概述</w:t>
      </w:r>
      <w:bookmarkEnd w:id="0"/>
    </w:p>
    <w:p w14:paraId="478B5E8C" w14:textId="77777777" w:rsidR="008E6A47" w:rsidRDefault="00000000">
      <w:pPr>
        <w:snapToGrid w:val="0"/>
        <w:spacing w:before="60" w:after="60" w:line="312" w:lineRule="auto"/>
        <w:jc w:val="left"/>
        <w:rPr>
          <w:rFonts w:ascii="Helvetica Neue" w:eastAsia="Helvetica Neue" w:hAnsi="Helvetica Neue"/>
          <w:color w:val="333333"/>
          <w:sz w:val="22"/>
        </w:rPr>
      </w:pPr>
      <w:r>
        <w:rPr>
          <w:rFonts w:ascii="Helvetica Neue" w:eastAsia="Helvetica Neue" w:hAnsi="Helvetica Neue"/>
          <w:color w:val="333333"/>
          <w:sz w:val="22"/>
        </w:rPr>
        <w:t>近些年来，随着企业CRM、ERP、SCM等应用系统的引入，企业不停留在事务处理过程，而注重有效利用企业的数据为准确快速的决策提供支持的需求越来越强烈。</w:t>
      </w:r>
    </w:p>
    <w:p w14:paraId="48B6FFCB" w14:textId="77777777" w:rsidR="008E6A47" w:rsidRDefault="00000000">
      <w:pPr>
        <w:snapToGrid w:val="0"/>
        <w:spacing w:before="60" w:after="60" w:line="312" w:lineRule="auto"/>
        <w:jc w:val="left"/>
        <w:rPr>
          <w:rFonts w:ascii="Helvetica Neue" w:eastAsia="Helvetica Neue" w:hAnsi="Helvetica Neue"/>
          <w:color w:val="333333"/>
          <w:sz w:val="22"/>
        </w:rPr>
      </w:pPr>
      <w:r>
        <w:rPr>
          <w:rFonts w:ascii="Helvetica Neue" w:eastAsia="Helvetica Neue" w:hAnsi="Helvetica Neue"/>
          <w:color w:val="333333"/>
          <w:sz w:val="22"/>
        </w:rPr>
        <w:t>在这个分析过程中，普遍存在如下突出问题：</w:t>
      </w:r>
    </w:p>
    <w:p w14:paraId="2F7FEDE8" w14:textId="77777777" w:rsidR="008E6A47" w:rsidRDefault="00000000">
      <w:pPr>
        <w:snapToGrid w:val="0"/>
        <w:spacing w:before="60" w:after="60" w:line="312" w:lineRule="auto"/>
        <w:jc w:val="left"/>
        <w:rPr>
          <w:rFonts w:ascii="Helvetica Neue" w:eastAsia="Helvetica Neue" w:hAnsi="Helvetica Neue"/>
          <w:color w:val="333333"/>
          <w:sz w:val="22"/>
        </w:rPr>
      </w:pPr>
      <w:r>
        <w:rPr>
          <w:rFonts w:ascii="Helvetica Neue" w:eastAsia="Helvetica Neue" w:hAnsi="Helvetica Neue"/>
          <w:color w:val="333333"/>
          <w:sz w:val="22"/>
        </w:rPr>
        <w:t>1、业务系统压力大：业务系统数据量越来越大，从业务系统查询数据导出来，越来越慢，把业务系统都会拖死</w:t>
      </w:r>
    </w:p>
    <w:p w14:paraId="59D6AAFB" w14:textId="77777777" w:rsidR="008E6A47" w:rsidRDefault="00000000">
      <w:pPr>
        <w:snapToGrid w:val="0"/>
        <w:spacing w:before="60" w:after="60" w:line="312" w:lineRule="auto"/>
        <w:jc w:val="left"/>
        <w:rPr>
          <w:rFonts w:ascii="Helvetica Neue" w:eastAsia="Helvetica Neue" w:hAnsi="Helvetica Neue"/>
          <w:color w:val="333333"/>
          <w:sz w:val="22"/>
        </w:rPr>
      </w:pPr>
      <w:r>
        <w:rPr>
          <w:rFonts w:ascii="Helvetica Neue" w:eastAsia="Helvetica Neue" w:hAnsi="Helvetica Neue"/>
          <w:color w:val="333333"/>
          <w:sz w:val="22"/>
        </w:rPr>
        <w:t>2、手工报表制作时间长：导数据、Excel加工，一张报表最少都需要2天，耗时太长</w:t>
      </w:r>
    </w:p>
    <w:p w14:paraId="1B6A46E3" w14:textId="77777777" w:rsidR="008E6A47" w:rsidRDefault="00000000">
      <w:pPr>
        <w:snapToGrid w:val="0"/>
        <w:spacing w:before="60" w:after="60" w:line="312" w:lineRule="auto"/>
        <w:jc w:val="left"/>
        <w:rPr>
          <w:rFonts w:ascii="Helvetica Neue" w:eastAsia="Helvetica Neue" w:hAnsi="Helvetica Neue"/>
          <w:color w:val="333333"/>
          <w:sz w:val="22"/>
        </w:rPr>
      </w:pPr>
      <w:r>
        <w:rPr>
          <w:rFonts w:ascii="Helvetica Neue" w:eastAsia="Helvetica Neue" w:hAnsi="Helvetica Neue"/>
          <w:color w:val="333333"/>
          <w:sz w:val="22"/>
        </w:rPr>
        <w:t>3、数据不统一：每个部门都有分析人员，大家都按照自己的数据口径出报表，最后到领导那里，数据对不上</w:t>
      </w:r>
    </w:p>
    <w:p w14:paraId="572E34ED" w14:textId="77777777" w:rsidR="008E6A47" w:rsidRDefault="00000000">
      <w:pPr>
        <w:snapToGrid w:val="0"/>
        <w:spacing w:before="60" w:after="60" w:line="312" w:lineRule="auto"/>
        <w:jc w:val="left"/>
        <w:rPr>
          <w:rFonts w:ascii="Helvetica Neue" w:eastAsia="Helvetica Neue" w:hAnsi="Helvetica Neue"/>
          <w:color w:val="333333"/>
          <w:sz w:val="22"/>
        </w:rPr>
      </w:pPr>
      <w:r>
        <w:rPr>
          <w:rFonts w:ascii="Helvetica Neue" w:eastAsia="Helvetica Neue" w:hAnsi="Helvetica Neue"/>
          <w:color w:val="333333"/>
          <w:sz w:val="22"/>
        </w:rPr>
        <w:t>4、决策难于深化：很多时候只有一个总数，无法了解具体是那里出问题了</w:t>
      </w:r>
    </w:p>
    <w:p w14:paraId="22B1465C" w14:textId="77777777" w:rsidR="008E6A47" w:rsidRDefault="00000000">
      <w:pPr>
        <w:snapToGrid w:val="0"/>
        <w:spacing w:before="60" w:after="60" w:line="312" w:lineRule="auto"/>
        <w:jc w:val="left"/>
        <w:rPr>
          <w:rFonts w:ascii="Helvetica Neue" w:eastAsia="Helvetica Neue" w:hAnsi="Helvetica Neue"/>
          <w:color w:val="333333"/>
          <w:sz w:val="22"/>
        </w:rPr>
      </w:pPr>
      <w:r>
        <w:rPr>
          <w:rFonts w:ascii="Helvetica Neue" w:eastAsia="Helvetica Neue" w:hAnsi="Helvetica Neue"/>
          <w:color w:val="333333"/>
          <w:sz w:val="22"/>
        </w:rPr>
        <w:t>5、没有一个大、中、小三屏一体化的可视化工具，需要借助多个可视化工具</w:t>
      </w:r>
    </w:p>
    <w:p w14:paraId="05E4FE3C" w14:textId="77777777" w:rsidR="008E6A47" w:rsidRDefault="00000000">
      <w:pPr>
        <w:snapToGrid w:val="0"/>
        <w:spacing w:before="60" w:after="60" w:line="312" w:lineRule="auto"/>
        <w:jc w:val="left"/>
        <w:rPr>
          <w:rFonts w:ascii="Helvetica Neue" w:eastAsia="Helvetica Neue" w:hAnsi="Helvetica Neue"/>
          <w:color w:val="333333"/>
          <w:sz w:val="22"/>
        </w:rPr>
      </w:pPr>
      <w:r>
        <w:rPr>
          <w:rFonts w:ascii="Helvetica Neue" w:eastAsia="Helvetica Neue" w:hAnsi="Helvetica Neue"/>
          <w:color w:val="333333"/>
          <w:sz w:val="22"/>
        </w:rPr>
        <w:t>为了解决企业上述的痛点，明源云基于多年的数据服务经验沉淀和对不动产行业的理解，构建了企业全员参与的数据BI产品-明源云·数见。</w:t>
      </w:r>
    </w:p>
    <w:p w14:paraId="3CF9E9DC" w14:textId="77777777" w:rsidR="008E6A47" w:rsidRDefault="00000000">
      <w:pPr>
        <w:pStyle w:val="2"/>
        <w:numPr>
          <w:ilvl w:val="0"/>
          <w:numId w:val="1"/>
        </w:numPr>
        <w:snapToGrid w:val="0"/>
        <w:ind w:left="704" w:hangingChars="220" w:hanging="704"/>
        <w:rPr>
          <w:rFonts w:ascii="微软雅黑" w:eastAsia="微软雅黑" w:hAnsi="微软雅黑"/>
        </w:rPr>
      </w:pPr>
      <w:bookmarkStart w:id="1" w:name="_Toc580881037"/>
      <w:r>
        <w:rPr>
          <w:rFonts w:ascii="微软雅黑" w:eastAsia="微软雅黑" w:hAnsi="微软雅黑"/>
        </w:rPr>
        <w:t>产品定位</w:t>
      </w:r>
      <w:bookmarkEnd w:id="1"/>
    </w:p>
    <w:p w14:paraId="5A8D8140" w14:textId="77777777" w:rsidR="008E6A47" w:rsidRDefault="00000000">
      <w:pPr>
        <w:snapToGrid w:val="0"/>
        <w:spacing w:before="60" w:after="60" w:line="312" w:lineRule="auto"/>
        <w:jc w:val="left"/>
        <w:rPr>
          <w:rFonts w:ascii="Helvetica Neue" w:eastAsia="Helvetica Neue" w:hAnsi="Helvetica Neue"/>
          <w:color w:val="333333"/>
          <w:sz w:val="22"/>
        </w:rPr>
      </w:pPr>
      <w:r>
        <w:rPr>
          <w:rFonts w:ascii="Helvetica Neue" w:eastAsia="Helvetica Neue" w:hAnsi="Helvetica Neue"/>
          <w:color w:val="333333"/>
          <w:sz w:val="22"/>
        </w:rPr>
        <w:t>明源云·数见，是一款专注不动产领域的敏捷BI，旨在帮助企业唤醒沉睡数据，打造体系的数字化管理及运营决策方案。通过整合企业内外部数据，强化企业数据资产可视化及分析应用。不同层级人员利用自助数据可视化分析技术挖掘数据价值，快速构建契合业务场景的数据应用。实现公司经营决策数据、货值、成本、进度计划、工程质量以及营销等不同业务场景的数据应用需求。</w:t>
      </w:r>
    </w:p>
    <w:p w14:paraId="01A45669" w14:textId="77777777" w:rsidR="008E6A47" w:rsidRDefault="00000000">
      <w:pPr>
        <w:snapToGrid w:val="0"/>
        <w:spacing w:before="60" w:after="60" w:line="312" w:lineRule="auto"/>
        <w:jc w:val="left"/>
        <w:rPr>
          <w:rFonts w:ascii="Helvetica Neue" w:eastAsia="Helvetica Neue" w:hAnsi="Helvetica Neue"/>
          <w:color w:val="333333"/>
          <w:sz w:val="22"/>
        </w:rPr>
      </w:pPr>
      <w:r>
        <w:rPr>
          <w:noProof/>
        </w:rPr>
        <w:lastRenderedPageBreak/>
        <w:drawing>
          <wp:inline distT="0" distB="0" distL="114300" distR="114300" wp14:anchorId="0578C499" wp14:editId="051AC27B">
            <wp:extent cx="5756910" cy="3233420"/>
            <wp:effectExtent l="0" t="0" r="8890" b="1778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9"/>
                    <a:stretch>
                      <a:fillRect/>
                    </a:stretch>
                  </pic:blipFill>
                  <pic:spPr>
                    <a:xfrm>
                      <a:off x="0" y="0"/>
                      <a:ext cx="5756910" cy="3233420"/>
                    </a:xfrm>
                    <a:prstGeom prst="rect">
                      <a:avLst/>
                    </a:prstGeom>
                    <a:noFill/>
                    <a:ln>
                      <a:noFill/>
                    </a:ln>
                  </pic:spPr>
                </pic:pic>
              </a:graphicData>
            </a:graphic>
          </wp:inline>
        </w:drawing>
      </w:r>
    </w:p>
    <w:p w14:paraId="1893ABAD" w14:textId="77777777" w:rsidR="008E6A47" w:rsidRDefault="00000000">
      <w:pPr>
        <w:pStyle w:val="2"/>
        <w:numPr>
          <w:ilvl w:val="0"/>
          <w:numId w:val="1"/>
        </w:numPr>
        <w:snapToGrid w:val="0"/>
        <w:ind w:left="704" w:hangingChars="220" w:hanging="704"/>
        <w:rPr>
          <w:rFonts w:ascii="微软雅黑" w:eastAsia="微软雅黑" w:hAnsi="微软雅黑"/>
        </w:rPr>
      </w:pPr>
      <w:bookmarkStart w:id="2" w:name="_Toc406929597"/>
      <w:r>
        <w:rPr>
          <w:rFonts w:ascii="微软雅黑" w:eastAsia="微软雅黑" w:hAnsi="微软雅黑"/>
        </w:rPr>
        <w:t>技术架构</w:t>
      </w:r>
      <w:bookmarkEnd w:id="2"/>
    </w:p>
    <w:p w14:paraId="742DC1CB" w14:textId="77777777" w:rsidR="008E6A47" w:rsidRDefault="00000000">
      <w:pPr>
        <w:pStyle w:val="3"/>
        <w:snapToGrid w:val="0"/>
        <w:rPr>
          <w:rFonts w:ascii="微软雅黑" w:eastAsia="微软雅黑" w:hAnsi="微软雅黑"/>
        </w:rPr>
      </w:pPr>
      <w:bookmarkStart w:id="3" w:name="_Toc1677804731"/>
      <w:r>
        <w:rPr>
          <w:rFonts w:ascii="微软雅黑" w:eastAsia="微软雅黑" w:hAnsi="微软雅黑"/>
        </w:rPr>
        <w:t>3.1、产品逻辑架构</w:t>
      </w:r>
      <w:bookmarkEnd w:id="3"/>
    </w:p>
    <w:p w14:paraId="1A708C10" w14:textId="77777777" w:rsidR="008E6A47" w:rsidRDefault="00000000">
      <w:pPr>
        <w:snapToGrid w:val="0"/>
        <w:spacing w:before="60" w:after="60" w:line="312" w:lineRule="auto"/>
        <w:jc w:val="left"/>
        <w:rPr>
          <w:rFonts w:ascii="微软雅黑" w:eastAsia="微软雅黑" w:hAnsi="微软雅黑"/>
          <w:color w:val="333333"/>
          <w:sz w:val="22"/>
        </w:rPr>
      </w:pPr>
      <w:r>
        <w:rPr>
          <w:rFonts w:ascii="微软雅黑" w:eastAsia="微软雅黑" w:hAnsi="微软雅黑"/>
          <w:noProof/>
          <w:color w:val="333333"/>
          <w:sz w:val="22"/>
        </w:rPr>
        <w:drawing>
          <wp:inline distT="0" distB="0" distL="0" distR="0" wp14:anchorId="6EA39231" wp14:editId="142C53C5">
            <wp:extent cx="5760720" cy="2921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760720" cy="2920865"/>
                    </a:xfrm>
                    <a:prstGeom prst="rect">
                      <a:avLst/>
                    </a:prstGeom>
                  </pic:spPr>
                </pic:pic>
              </a:graphicData>
            </a:graphic>
          </wp:inline>
        </w:drawing>
      </w:r>
    </w:p>
    <w:p w14:paraId="6AB9EEB1" w14:textId="77777777" w:rsidR="008E6A47" w:rsidRDefault="00000000">
      <w:pPr>
        <w:pStyle w:val="3"/>
        <w:snapToGrid w:val="0"/>
        <w:rPr>
          <w:rFonts w:ascii="微软雅黑" w:eastAsia="微软雅黑" w:hAnsi="微软雅黑"/>
        </w:rPr>
      </w:pPr>
      <w:bookmarkStart w:id="4" w:name="_Toc256345160"/>
      <w:r>
        <w:rPr>
          <w:rFonts w:ascii="Helvetica Neue" w:eastAsia="Helvetica Neue" w:hAnsi="Helvetica Neue"/>
        </w:rPr>
        <w:lastRenderedPageBreak/>
        <w:t>3.2、数据采集运行架构</w:t>
      </w:r>
      <w:bookmarkEnd w:id="4"/>
    </w:p>
    <w:p w14:paraId="7A06F4EF" w14:textId="77777777" w:rsidR="008E6A47" w:rsidRDefault="00000000">
      <w:pPr>
        <w:snapToGrid w:val="0"/>
        <w:spacing w:before="60" w:after="60" w:line="312" w:lineRule="auto"/>
        <w:jc w:val="left"/>
        <w:rPr>
          <w:rFonts w:ascii="微软雅黑" w:eastAsia="微软雅黑" w:hAnsi="微软雅黑"/>
          <w:color w:val="333333"/>
          <w:sz w:val="22"/>
        </w:rPr>
      </w:pPr>
      <w:r>
        <w:rPr>
          <w:rFonts w:ascii="微软雅黑" w:eastAsia="微软雅黑" w:hAnsi="微软雅黑"/>
          <w:noProof/>
          <w:color w:val="333333"/>
          <w:sz w:val="22"/>
        </w:rPr>
        <w:drawing>
          <wp:inline distT="0" distB="0" distL="0" distR="0" wp14:anchorId="03966AB0" wp14:editId="3C87854E">
            <wp:extent cx="5760720" cy="28130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760720" cy="2812851"/>
                    </a:xfrm>
                    <a:prstGeom prst="rect">
                      <a:avLst/>
                    </a:prstGeom>
                  </pic:spPr>
                </pic:pic>
              </a:graphicData>
            </a:graphic>
          </wp:inline>
        </w:drawing>
      </w:r>
    </w:p>
    <w:p w14:paraId="77EF5F98" w14:textId="77777777" w:rsidR="008E6A47" w:rsidRDefault="00000000">
      <w:pPr>
        <w:pStyle w:val="2"/>
        <w:numPr>
          <w:ilvl w:val="0"/>
          <w:numId w:val="1"/>
        </w:numPr>
        <w:snapToGrid w:val="0"/>
        <w:ind w:left="704" w:hangingChars="220" w:hanging="704"/>
        <w:rPr>
          <w:rFonts w:ascii="微软雅黑" w:eastAsia="微软雅黑" w:hAnsi="微软雅黑"/>
        </w:rPr>
      </w:pPr>
      <w:bookmarkStart w:id="5" w:name="_Toc540908238"/>
      <w:r>
        <w:rPr>
          <w:rFonts w:ascii="微软雅黑" w:eastAsia="微软雅黑" w:hAnsi="微软雅黑"/>
        </w:rPr>
        <w:t>产品核心能力</w:t>
      </w:r>
      <w:bookmarkEnd w:id="5"/>
    </w:p>
    <w:p w14:paraId="35334447" w14:textId="77777777" w:rsidR="008E6A47" w:rsidRDefault="00000000">
      <w:pPr>
        <w:adjustRightInd w:val="0"/>
        <w:snapToGrid w:val="0"/>
        <w:spacing w:line="360" w:lineRule="auto"/>
        <w:rPr>
          <w:b/>
          <w:bCs/>
          <w:szCs w:val="21"/>
          <w:lang w:eastAsia="zh-Hans"/>
        </w:rPr>
      </w:pPr>
      <w:r>
        <w:rPr>
          <w:rFonts w:hint="eastAsia"/>
          <w:b/>
          <w:bCs/>
          <w:szCs w:val="21"/>
          <w:lang w:eastAsia="zh-Hans"/>
        </w:rPr>
        <w:t>一、提供线上</w:t>
      </w:r>
      <w:r>
        <w:rPr>
          <w:b/>
          <w:bCs/>
          <w:szCs w:val="21"/>
          <w:lang w:eastAsia="zh-Hans"/>
        </w:rPr>
        <w:t>/</w:t>
      </w:r>
      <w:r>
        <w:rPr>
          <w:rFonts w:hint="eastAsia"/>
          <w:b/>
          <w:bCs/>
          <w:szCs w:val="21"/>
          <w:lang w:eastAsia="zh-Hans"/>
        </w:rPr>
        <w:t>线下的数据接入能力，用于数据分析</w:t>
      </w:r>
    </w:p>
    <w:p w14:paraId="0ACF2D97" w14:textId="77777777" w:rsidR="008E6A47" w:rsidRDefault="00000000">
      <w:pPr>
        <w:adjustRightInd w:val="0"/>
        <w:snapToGrid w:val="0"/>
        <w:spacing w:line="360" w:lineRule="auto"/>
        <w:rPr>
          <w:szCs w:val="21"/>
        </w:rPr>
      </w:pPr>
      <w:r>
        <w:rPr>
          <w:szCs w:val="21"/>
          <w:lang w:eastAsia="zh-Hans"/>
        </w:rPr>
        <w:t>1</w:t>
      </w:r>
      <w:r>
        <w:rPr>
          <w:rFonts w:hint="eastAsia"/>
          <w:szCs w:val="21"/>
          <w:lang w:eastAsia="zh-Hans"/>
        </w:rPr>
        <w:t>、针对线上数据：</w:t>
      </w:r>
      <w:r>
        <w:rPr>
          <w:rFonts w:hint="eastAsia"/>
          <w:szCs w:val="21"/>
        </w:rPr>
        <w:t>提供明源</w:t>
      </w:r>
      <w:r>
        <w:rPr>
          <w:rFonts w:hint="eastAsia"/>
          <w:szCs w:val="21"/>
          <w:lang w:eastAsia="zh-Hans"/>
        </w:rPr>
        <w:t>各业务系统</w:t>
      </w:r>
      <w:r>
        <w:rPr>
          <w:rFonts w:hint="eastAsia"/>
          <w:szCs w:val="21"/>
        </w:rPr>
        <w:t>数据源、</w:t>
      </w:r>
      <w:r>
        <w:rPr>
          <w:rFonts w:hint="eastAsia"/>
          <w:szCs w:val="21"/>
          <w:lang w:eastAsia="zh-Hans"/>
        </w:rPr>
        <w:t>明源数芯数据源、</w:t>
      </w:r>
      <w:r>
        <w:rPr>
          <w:rFonts w:hint="eastAsia"/>
          <w:szCs w:val="21"/>
        </w:rPr>
        <w:t>云</w:t>
      </w:r>
      <w:r>
        <w:rPr>
          <w:rFonts w:hint="eastAsia"/>
          <w:szCs w:val="21"/>
          <w:lang w:eastAsia="zh-Hans"/>
        </w:rPr>
        <w:t>端</w:t>
      </w:r>
      <w:r>
        <w:rPr>
          <w:rFonts w:hint="eastAsia"/>
          <w:szCs w:val="21"/>
        </w:rPr>
        <w:t>数据源、本地数据源三种类型的数据连接能力</w:t>
      </w:r>
    </w:p>
    <w:p w14:paraId="4914AC82" w14:textId="77777777" w:rsidR="008E6A47" w:rsidRDefault="00000000">
      <w:pPr>
        <w:rPr>
          <w:szCs w:val="21"/>
          <w:lang w:eastAsia="zh-Hans"/>
        </w:rPr>
      </w:pPr>
      <w:r>
        <w:rPr>
          <w:szCs w:val="21"/>
          <w:lang w:eastAsia="zh-Hans"/>
        </w:rPr>
        <w:t>2</w:t>
      </w:r>
      <w:r>
        <w:rPr>
          <w:rFonts w:hint="eastAsia"/>
          <w:szCs w:val="21"/>
          <w:lang w:eastAsia="zh-Hans"/>
        </w:rPr>
        <w:t>、针对线下数据：提供</w:t>
      </w:r>
      <w:r>
        <w:rPr>
          <w:rFonts w:hint="eastAsia"/>
          <w:szCs w:val="21"/>
          <w:lang w:eastAsia="zh-Hans"/>
        </w:rPr>
        <w:t>Excel</w:t>
      </w:r>
      <w:r>
        <w:rPr>
          <w:rFonts w:hint="eastAsia"/>
          <w:szCs w:val="21"/>
          <w:lang w:eastAsia="zh-Hans"/>
        </w:rPr>
        <w:t>导入、数据填报能力</w:t>
      </w:r>
    </w:p>
    <w:p w14:paraId="392AC8F9" w14:textId="77777777" w:rsidR="008E6A47" w:rsidRDefault="008E6A47">
      <w:pPr>
        <w:rPr>
          <w:szCs w:val="21"/>
          <w:lang w:eastAsia="zh-Hans"/>
        </w:rPr>
      </w:pPr>
    </w:p>
    <w:p w14:paraId="396CD8D1" w14:textId="77777777" w:rsidR="008E6A47" w:rsidRDefault="00000000">
      <w:pPr>
        <w:adjustRightInd w:val="0"/>
        <w:snapToGrid w:val="0"/>
        <w:spacing w:line="360" w:lineRule="auto"/>
        <w:rPr>
          <w:b/>
          <w:bCs/>
          <w:szCs w:val="21"/>
        </w:rPr>
      </w:pPr>
      <w:r>
        <w:rPr>
          <w:rFonts w:hint="eastAsia"/>
          <w:szCs w:val="21"/>
          <w:lang w:eastAsia="zh-Hans"/>
        </w:rPr>
        <w:t>二、</w:t>
      </w:r>
      <w:r>
        <w:rPr>
          <w:rFonts w:hint="eastAsia"/>
          <w:b/>
          <w:bCs/>
          <w:szCs w:val="21"/>
          <w:lang w:eastAsia="zh-Hans"/>
        </w:rPr>
        <w:t>提供</w:t>
      </w:r>
      <w:r>
        <w:rPr>
          <w:rFonts w:hint="eastAsia"/>
          <w:b/>
          <w:bCs/>
          <w:szCs w:val="21"/>
        </w:rPr>
        <w:t>包含</w:t>
      </w:r>
      <w:r>
        <w:rPr>
          <w:rFonts w:hint="eastAsia"/>
          <w:b/>
          <w:bCs/>
          <w:szCs w:val="21"/>
          <w:lang w:eastAsia="zh-Hans"/>
        </w:rPr>
        <w:t>酷炫</w:t>
      </w:r>
      <w:r>
        <w:rPr>
          <w:rFonts w:hint="eastAsia"/>
          <w:b/>
          <w:bCs/>
          <w:szCs w:val="21"/>
        </w:rPr>
        <w:t>大屏、</w:t>
      </w:r>
      <w:r>
        <w:rPr>
          <w:rFonts w:hint="eastAsia"/>
          <w:b/>
          <w:bCs/>
          <w:szCs w:val="21"/>
          <w:lang w:eastAsia="zh-Hans"/>
        </w:rPr>
        <w:t>PC</w:t>
      </w:r>
      <w:r>
        <w:rPr>
          <w:rFonts w:hint="eastAsia"/>
          <w:b/>
          <w:bCs/>
          <w:szCs w:val="21"/>
          <w:lang w:eastAsia="zh-Hans"/>
        </w:rPr>
        <w:t>仪表板、</w:t>
      </w:r>
      <w:r>
        <w:rPr>
          <w:rFonts w:hint="eastAsia"/>
          <w:b/>
          <w:bCs/>
          <w:szCs w:val="21"/>
        </w:rPr>
        <w:t>移动</w:t>
      </w:r>
      <w:r>
        <w:rPr>
          <w:rFonts w:hint="eastAsia"/>
          <w:b/>
          <w:bCs/>
          <w:szCs w:val="21"/>
          <w:lang w:eastAsia="zh-Hans"/>
        </w:rPr>
        <w:t>看板、消息订阅</w:t>
      </w:r>
      <w:r>
        <w:rPr>
          <w:rFonts w:hint="eastAsia"/>
          <w:b/>
          <w:bCs/>
          <w:szCs w:val="21"/>
        </w:rPr>
        <w:t>、</w:t>
      </w:r>
      <w:r>
        <w:rPr>
          <w:rFonts w:hint="eastAsia"/>
          <w:b/>
          <w:bCs/>
          <w:szCs w:val="21"/>
          <w:lang w:eastAsia="zh-Hans"/>
        </w:rPr>
        <w:t>统计</w:t>
      </w:r>
      <w:r>
        <w:rPr>
          <w:rFonts w:hint="eastAsia"/>
          <w:b/>
          <w:bCs/>
          <w:szCs w:val="21"/>
        </w:rPr>
        <w:t>报表、</w:t>
      </w:r>
      <w:r>
        <w:rPr>
          <w:rFonts w:hint="eastAsia"/>
          <w:b/>
          <w:bCs/>
          <w:szCs w:val="21"/>
          <w:lang w:eastAsia="zh-Hans"/>
        </w:rPr>
        <w:t>自助报表、</w:t>
      </w:r>
      <w:r>
        <w:rPr>
          <w:rFonts w:hint="eastAsia"/>
          <w:b/>
          <w:bCs/>
          <w:szCs w:val="21"/>
        </w:rPr>
        <w:t>会议报告等</w:t>
      </w:r>
      <w:r>
        <w:rPr>
          <w:rFonts w:hint="eastAsia"/>
          <w:b/>
          <w:bCs/>
          <w:szCs w:val="21"/>
          <w:lang w:eastAsia="zh-Hans"/>
        </w:rPr>
        <w:t>数据分析及应用能力</w:t>
      </w:r>
    </w:p>
    <w:p w14:paraId="1FC69408" w14:textId="77777777" w:rsidR="008E6A47" w:rsidRDefault="00000000">
      <w:pPr>
        <w:snapToGrid w:val="0"/>
        <w:spacing w:before="60" w:after="60" w:line="312" w:lineRule="auto"/>
        <w:jc w:val="left"/>
        <w:rPr>
          <w:rFonts w:ascii="Helvetica Neue" w:eastAsia="Helvetica Neue" w:hAnsi="Helvetica Neue"/>
          <w:color w:val="333333"/>
          <w:sz w:val="22"/>
          <w:lang w:eastAsia="zh-Hans"/>
        </w:rPr>
      </w:pPr>
      <w:r>
        <w:rPr>
          <w:rFonts w:ascii="Helvetica Neue" w:eastAsia="Helvetica Neue" w:hAnsi="Helvetica Neue"/>
          <w:color w:val="333333"/>
          <w:sz w:val="22"/>
        </w:rPr>
        <w:t>1</w:t>
      </w:r>
      <w:r>
        <w:rPr>
          <w:rFonts w:ascii="Helvetica Neue" w:eastAsia="Helvetica Neue" w:hAnsi="Helvetica Neue" w:hint="eastAsia"/>
          <w:color w:val="333333"/>
          <w:sz w:val="22"/>
          <w:lang w:eastAsia="zh-Hans"/>
        </w:rPr>
        <w:t>、</w:t>
      </w:r>
      <w:r>
        <w:rPr>
          <w:rFonts w:ascii="Helvetica Neue" w:eastAsia="Helvetica Neue" w:hAnsi="Helvetica Neue"/>
          <w:color w:val="333333"/>
          <w:sz w:val="22"/>
        </w:rPr>
        <w:t>酷炫大屏：</w:t>
      </w:r>
      <w:r>
        <w:rPr>
          <w:rFonts w:ascii="Helvetica Neue" w:eastAsia="Helvetica Neue" w:hAnsi="Helvetica Neue" w:hint="eastAsia"/>
          <w:color w:val="333333"/>
          <w:sz w:val="22"/>
          <w:lang w:eastAsia="zh-Hans"/>
        </w:rPr>
        <w:t>大屏的制作和展示能力，用于企业领导办公室、企业展厅等场景下的大屏数据指标展示；</w:t>
      </w:r>
    </w:p>
    <w:p w14:paraId="2029C309" w14:textId="77777777" w:rsidR="008E6A47" w:rsidRDefault="00000000">
      <w:pPr>
        <w:snapToGrid w:val="0"/>
        <w:spacing w:before="60" w:after="60" w:line="312" w:lineRule="auto"/>
        <w:jc w:val="left"/>
        <w:rPr>
          <w:rFonts w:ascii="Helvetica Neue" w:eastAsia="Helvetica Neue" w:hAnsi="Helvetica Neue"/>
          <w:color w:val="333333"/>
          <w:sz w:val="22"/>
          <w:lang w:eastAsia="zh-Hans"/>
        </w:rPr>
      </w:pPr>
      <w:r>
        <w:rPr>
          <w:rFonts w:ascii="Helvetica Neue" w:eastAsia="Helvetica Neue" w:hAnsi="Helvetica Neue"/>
          <w:color w:val="333333"/>
          <w:sz w:val="22"/>
          <w:lang w:eastAsia="zh-Hans"/>
        </w:rPr>
        <w:t>2</w:t>
      </w:r>
      <w:r>
        <w:rPr>
          <w:rFonts w:ascii="Helvetica Neue" w:eastAsia="Helvetica Neue" w:hAnsi="Helvetica Neue" w:hint="eastAsia"/>
          <w:color w:val="333333"/>
          <w:sz w:val="22"/>
          <w:lang w:eastAsia="zh-Hans"/>
        </w:rPr>
        <w:t>、PC仪表板：PC屏的制作和展示能力，企业领导和员工通过电脑设备展示相关数据指标；</w:t>
      </w:r>
    </w:p>
    <w:p w14:paraId="7D2BF8B9" w14:textId="77777777" w:rsidR="008E6A47" w:rsidRDefault="00000000">
      <w:pPr>
        <w:adjustRightInd w:val="0"/>
        <w:snapToGrid w:val="0"/>
        <w:spacing w:line="360" w:lineRule="auto"/>
        <w:rPr>
          <w:rFonts w:ascii="Helvetica Neue" w:eastAsia="Helvetica Neue" w:hAnsi="Helvetica Neue"/>
          <w:color w:val="333333"/>
          <w:sz w:val="22"/>
        </w:rPr>
      </w:pPr>
      <w:r>
        <w:rPr>
          <w:rFonts w:ascii="Helvetica Neue" w:eastAsia="Helvetica Neue" w:hAnsi="Helvetica Neue"/>
          <w:color w:val="333333"/>
          <w:sz w:val="22"/>
          <w:lang w:eastAsia="zh-Hans"/>
        </w:rPr>
        <w:t>3</w:t>
      </w:r>
      <w:r>
        <w:rPr>
          <w:rFonts w:ascii="Helvetica Neue" w:eastAsia="Helvetica Neue" w:hAnsi="Helvetica Neue" w:hint="eastAsia"/>
          <w:color w:val="333333"/>
          <w:sz w:val="22"/>
          <w:lang w:eastAsia="zh-Hans"/>
        </w:rPr>
        <w:t>、</w:t>
      </w:r>
      <w:r>
        <w:rPr>
          <w:rFonts w:ascii="Helvetica Neue" w:eastAsia="Helvetica Neue" w:hAnsi="Helvetica Neue"/>
          <w:color w:val="333333"/>
          <w:sz w:val="22"/>
        </w:rPr>
        <w:t>移动</w:t>
      </w:r>
      <w:r>
        <w:rPr>
          <w:rFonts w:ascii="Helvetica Neue" w:eastAsia="Helvetica Neue" w:hAnsi="Helvetica Neue" w:hint="eastAsia"/>
          <w:color w:val="333333"/>
          <w:sz w:val="22"/>
          <w:lang w:eastAsia="zh-Hans"/>
        </w:rPr>
        <w:t>小屏</w:t>
      </w:r>
      <w:r>
        <w:rPr>
          <w:rFonts w:ascii="Helvetica Neue" w:eastAsia="Helvetica Neue" w:hAnsi="Helvetica Neue"/>
          <w:color w:val="333333"/>
          <w:sz w:val="22"/>
        </w:rPr>
        <w:t>：</w:t>
      </w:r>
      <w:r>
        <w:rPr>
          <w:rFonts w:ascii="Helvetica Neue" w:eastAsia="Helvetica Neue" w:hAnsi="Helvetica Neue" w:hint="eastAsia"/>
          <w:color w:val="333333"/>
          <w:sz w:val="22"/>
          <w:lang w:eastAsia="zh-Hans"/>
        </w:rPr>
        <w:t>小屏的制作和展示能力，企业领导和员工通过移动设备展示相关数据指标；</w:t>
      </w:r>
    </w:p>
    <w:p w14:paraId="1AF1C3DA" w14:textId="77777777" w:rsidR="008E6A47" w:rsidRDefault="00000000">
      <w:pPr>
        <w:adjustRightInd w:val="0"/>
        <w:snapToGrid w:val="0"/>
        <w:spacing w:line="360" w:lineRule="auto"/>
        <w:rPr>
          <w:rFonts w:ascii="Helvetica Neue" w:eastAsia="Helvetica Neue" w:hAnsi="Helvetica Neue"/>
          <w:color w:val="333333"/>
          <w:sz w:val="22"/>
          <w:lang w:eastAsia="zh-Hans"/>
        </w:rPr>
      </w:pPr>
      <w:r>
        <w:rPr>
          <w:rFonts w:ascii="Helvetica Neue" w:eastAsia="Helvetica Neue" w:hAnsi="Helvetica Neue"/>
          <w:color w:val="333333"/>
          <w:sz w:val="22"/>
          <w:lang w:eastAsia="zh-Hans"/>
        </w:rPr>
        <w:t>4</w:t>
      </w:r>
      <w:r>
        <w:rPr>
          <w:rFonts w:ascii="Helvetica Neue" w:eastAsia="Helvetica Neue" w:hAnsi="Helvetica Neue" w:hint="eastAsia"/>
          <w:color w:val="333333"/>
          <w:sz w:val="22"/>
          <w:lang w:eastAsia="zh-Hans"/>
        </w:rPr>
        <w:t>、消息订阅：消息简讯的配置和推送能力，通过应用消息和邮件的方式，将相关数据指标结果及时推送给相应人员。</w:t>
      </w:r>
    </w:p>
    <w:p w14:paraId="47F33260" w14:textId="77777777" w:rsidR="008E6A47" w:rsidRDefault="00000000">
      <w:pPr>
        <w:adjustRightInd w:val="0"/>
        <w:snapToGrid w:val="0"/>
        <w:spacing w:line="360" w:lineRule="auto"/>
        <w:rPr>
          <w:rFonts w:ascii="Helvetica Neue" w:eastAsia="Helvetica Neue" w:hAnsi="Helvetica Neue"/>
          <w:color w:val="333333"/>
          <w:sz w:val="22"/>
          <w:lang w:eastAsia="zh-Hans"/>
        </w:rPr>
      </w:pPr>
      <w:r>
        <w:rPr>
          <w:rFonts w:ascii="Helvetica Neue" w:eastAsia="Helvetica Neue" w:hAnsi="Helvetica Neue"/>
          <w:color w:val="333333"/>
          <w:sz w:val="22"/>
          <w:lang w:eastAsia="zh-Hans"/>
        </w:rPr>
        <w:t>5</w:t>
      </w:r>
      <w:r>
        <w:rPr>
          <w:rFonts w:ascii="Helvetica Neue" w:eastAsia="Helvetica Neue" w:hAnsi="Helvetica Neue" w:hint="eastAsia"/>
          <w:color w:val="333333"/>
          <w:sz w:val="22"/>
          <w:lang w:eastAsia="zh-Hans"/>
        </w:rPr>
        <w:t>、统计报表：中国式复杂报表的配置和展示能力，明细报表、交叉报表、主从报表、卡片报表、套打报表等中国式报表的配置和展示</w:t>
      </w:r>
    </w:p>
    <w:p w14:paraId="57E05ED8" w14:textId="77777777" w:rsidR="008E6A47" w:rsidRDefault="00000000">
      <w:pPr>
        <w:adjustRightInd w:val="0"/>
        <w:snapToGrid w:val="0"/>
        <w:spacing w:line="360" w:lineRule="auto"/>
        <w:rPr>
          <w:rFonts w:ascii="Helvetica Neue" w:eastAsia="Helvetica Neue" w:hAnsi="Helvetica Neue"/>
          <w:color w:val="333333"/>
          <w:sz w:val="22"/>
          <w:lang w:eastAsia="zh-Hans"/>
        </w:rPr>
      </w:pPr>
      <w:r>
        <w:rPr>
          <w:rFonts w:ascii="Helvetica Neue" w:eastAsia="Helvetica Neue" w:hAnsi="Helvetica Neue"/>
          <w:color w:val="333333"/>
          <w:sz w:val="22"/>
          <w:lang w:eastAsia="zh-Hans"/>
        </w:rPr>
        <w:t>6</w:t>
      </w:r>
      <w:r>
        <w:rPr>
          <w:rFonts w:ascii="Helvetica Neue" w:eastAsia="Helvetica Neue" w:hAnsi="Helvetica Neue" w:hint="eastAsia"/>
          <w:color w:val="333333"/>
          <w:sz w:val="22"/>
          <w:lang w:eastAsia="zh-Hans"/>
        </w:rPr>
        <w:t>、自助报表：基于已构建好的数据模型，业务人员自助完成报表的配置和取数</w:t>
      </w:r>
    </w:p>
    <w:p w14:paraId="55A379BB" w14:textId="77777777" w:rsidR="008E6A47" w:rsidRDefault="00000000">
      <w:pPr>
        <w:rPr>
          <w:rFonts w:ascii="Helvetica Neue" w:eastAsia="Helvetica Neue" w:hAnsi="Helvetica Neue"/>
          <w:color w:val="333333"/>
          <w:sz w:val="22"/>
          <w:lang w:eastAsia="zh-Hans"/>
        </w:rPr>
      </w:pPr>
      <w:r>
        <w:rPr>
          <w:rFonts w:ascii="Helvetica Neue" w:eastAsia="Helvetica Neue" w:hAnsi="Helvetica Neue"/>
          <w:color w:val="333333"/>
          <w:sz w:val="22"/>
          <w:lang w:eastAsia="zh-Hans"/>
        </w:rPr>
        <w:t>7</w:t>
      </w:r>
      <w:r>
        <w:rPr>
          <w:rFonts w:ascii="Helvetica Neue" w:eastAsia="Helvetica Neue" w:hAnsi="Helvetica Neue" w:hint="eastAsia"/>
          <w:color w:val="333333"/>
          <w:sz w:val="22"/>
          <w:lang w:eastAsia="zh-Hans"/>
        </w:rPr>
        <w:t>、会议报告：提供类ppt报告的制作能力，通过在线数据采集</w:t>
      </w:r>
      <w:r>
        <w:rPr>
          <w:rFonts w:ascii="Helvetica Neue" w:eastAsia="Helvetica Neue" w:hAnsi="Helvetica Neue"/>
          <w:color w:val="333333"/>
          <w:sz w:val="22"/>
          <w:lang w:eastAsia="zh-Hans"/>
        </w:rPr>
        <w:t>+</w:t>
      </w:r>
      <w:r>
        <w:rPr>
          <w:rFonts w:ascii="Helvetica Neue" w:eastAsia="Helvetica Neue" w:hAnsi="Helvetica Neue" w:hint="eastAsia"/>
          <w:color w:val="333333"/>
          <w:sz w:val="22"/>
          <w:lang w:eastAsia="zh-Hans"/>
        </w:rPr>
        <w:t>在线PPT制作能力，可以帮助会议内容输入人员快速完成一份PPT报告的制作、导出</w:t>
      </w:r>
    </w:p>
    <w:p w14:paraId="7B81DF09" w14:textId="77777777" w:rsidR="008E6A47" w:rsidRDefault="008E6A47">
      <w:pPr>
        <w:rPr>
          <w:rFonts w:ascii="Helvetica Neue" w:eastAsia="Helvetica Neue" w:hAnsi="Helvetica Neue"/>
          <w:color w:val="333333"/>
          <w:sz w:val="22"/>
          <w:lang w:eastAsia="zh-Hans"/>
        </w:rPr>
      </w:pPr>
    </w:p>
    <w:p w14:paraId="40564FE2" w14:textId="77777777" w:rsidR="008E6A47" w:rsidRDefault="00000000">
      <w:pPr>
        <w:adjustRightInd w:val="0"/>
        <w:snapToGrid w:val="0"/>
        <w:spacing w:line="360" w:lineRule="auto"/>
        <w:rPr>
          <w:b/>
          <w:bCs/>
          <w:szCs w:val="21"/>
          <w:lang w:eastAsia="zh-Hans"/>
        </w:rPr>
      </w:pPr>
      <w:r>
        <w:rPr>
          <w:rFonts w:ascii="Helvetica Neue" w:eastAsia="Helvetica Neue" w:hAnsi="Helvetica Neue" w:hint="eastAsia"/>
          <w:color w:val="333333"/>
          <w:sz w:val="22"/>
          <w:lang w:eastAsia="zh-Hans"/>
        </w:rPr>
        <w:t>三、</w:t>
      </w:r>
      <w:r>
        <w:rPr>
          <w:rFonts w:hint="eastAsia"/>
          <w:b/>
          <w:bCs/>
          <w:szCs w:val="21"/>
          <w:lang w:eastAsia="zh-Hans"/>
        </w:rPr>
        <w:t>提供大、小屏数据门户的定义能力及与第三方系统的集成能力</w:t>
      </w:r>
    </w:p>
    <w:p w14:paraId="4A43756E" w14:textId="77777777" w:rsidR="008E6A47" w:rsidRDefault="00000000">
      <w:pPr>
        <w:adjustRightInd w:val="0"/>
        <w:snapToGrid w:val="0"/>
        <w:spacing w:line="360" w:lineRule="auto"/>
        <w:rPr>
          <w:szCs w:val="21"/>
          <w:lang w:eastAsia="zh-Hans"/>
        </w:rPr>
      </w:pPr>
      <w:r>
        <w:rPr>
          <w:szCs w:val="21"/>
          <w:lang w:eastAsia="zh-Hans"/>
        </w:rPr>
        <w:lastRenderedPageBreak/>
        <w:t>1</w:t>
      </w:r>
      <w:r>
        <w:rPr>
          <w:rFonts w:hint="eastAsia"/>
          <w:szCs w:val="21"/>
          <w:lang w:eastAsia="zh-Hans"/>
        </w:rPr>
        <w:t>、数据门户：将配置好的大、小屏按照用户角色组装成不同的数据门户，供不同角色进行查阅，例如营销门户、成本门户、企业经营门户等等</w:t>
      </w:r>
    </w:p>
    <w:p w14:paraId="18FCDF1F" w14:textId="77777777" w:rsidR="008E6A47" w:rsidRDefault="00000000">
      <w:pPr>
        <w:rPr>
          <w:rFonts w:ascii="Helvetica Neue" w:eastAsia="Helvetica Neue" w:hAnsi="Helvetica Neue"/>
          <w:color w:val="333333"/>
          <w:sz w:val="22"/>
          <w:lang w:eastAsia="zh-Hans"/>
        </w:rPr>
      </w:pPr>
      <w:r>
        <w:rPr>
          <w:szCs w:val="21"/>
          <w:lang w:eastAsia="zh-Hans"/>
        </w:rPr>
        <w:t>2</w:t>
      </w:r>
      <w:r>
        <w:rPr>
          <w:rFonts w:hint="eastAsia"/>
          <w:szCs w:val="21"/>
          <w:lang w:eastAsia="zh-Hans"/>
        </w:rPr>
        <w:t>、集成能力：将大、小屏门户集成到第三方</w:t>
      </w:r>
      <w:r>
        <w:rPr>
          <w:rFonts w:hint="eastAsia"/>
          <w:szCs w:val="21"/>
          <w:lang w:eastAsia="zh-Hans"/>
        </w:rPr>
        <w:t>OA</w:t>
      </w:r>
      <w:r>
        <w:rPr>
          <w:rFonts w:hint="eastAsia"/>
          <w:szCs w:val="21"/>
          <w:lang w:eastAsia="zh-Hans"/>
        </w:rPr>
        <w:t>，实现免登查阅，主流</w:t>
      </w:r>
      <w:r>
        <w:rPr>
          <w:rFonts w:hint="eastAsia"/>
          <w:szCs w:val="21"/>
          <w:lang w:eastAsia="zh-Hans"/>
        </w:rPr>
        <w:t>OA</w:t>
      </w:r>
      <w:r>
        <w:rPr>
          <w:rFonts w:hint="eastAsia"/>
          <w:szCs w:val="21"/>
          <w:lang w:eastAsia="zh-Hans"/>
        </w:rPr>
        <w:t>包含：明源云助手、明源产业建管、明源云客、企业微信、钉钉、飞书等</w:t>
      </w:r>
    </w:p>
    <w:p w14:paraId="380859CA" w14:textId="77777777" w:rsidR="008E6A47" w:rsidRDefault="008E6A47">
      <w:pPr>
        <w:rPr>
          <w:szCs w:val="21"/>
          <w:lang w:eastAsia="zh-Hans"/>
        </w:rPr>
      </w:pPr>
    </w:p>
    <w:p w14:paraId="336976B2" w14:textId="77777777" w:rsidR="008E6A47" w:rsidRDefault="00000000">
      <w:pPr>
        <w:pStyle w:val="3"/>
        <w:snapToGrid w:val="0"/>
        <w:rPr>
          <w:rFonts w:ascii="微软雅黑" w:eastAsia="微软雅黑" w:hAnsi="微软雅黑"/>
        </w:rPr>
      </w:pPr>
      <w:bookmarkStart w:id="6" w:name="_Toc746478315"/>
      <w:r>
        <w:rPr>
          <w:rFonts w:ascii="微软雅黑" w:eastAsia="微软雅黑" w:hAnsi="微软雅黑"/>
        </w:rPr>
        <w:t>4.1、数据接入</w:t>
      </w:r>
      <w:bookmarkEnd w:id="6"/>
    </w:p>
    <w:p w14:paraId="6FFB5C1C" w14:textId="77777777" w:rsidR="008E6A47" w:rsidRDefault="00000000">
      <w:pPr>
        <w:snapToGrid w:val="0"/>
        <w:spacing w:before="60" w:after="60" w:line="312" w:lineRule="auto"/>
        <w:jc w:val="left"/>
        <w:rPr>
          <w:rFonts w:ascii="微软雅黑" w:eastAsia="微软雅黑" w:hAnsi="微软雅黑"/>
          <w:color w:val="333333"/>
          <w:sz w:val="22"/>
        </w:rPr>
      </w:pPr>
      <w:r>
        <w:rPr>
          <w:rFonts w:ascii="微软雅黑" w:eastAsia="微软雅黑" w:hAnsi="微软雅黑"/>
          <w:color w:val="333333"/>
          <w:sz w:val="22"/>
        </w:rPr>
        <w:t>在进行数据分析报告前，IT人员或数据研发人员首先需要定义数据来源。通常数据来源有两个大渠道：</w:t>
      </w:r>
    </w:p>
    <w:p w14:paraId="19098906" w14:textId="77777777" w:rsidR="008E6A47" w:rsidRDefault="00000000">
      <w:pPr>
        <w:snapToGrid w:val="0"/>
        <w:spacing w:before="60" w:after="60" w:line="312" w:lineRule="auto"/>
        <w:jc w:val="left"/>
        <w:rPr>
          <w:rFonts w:ascii="微软雅黑" w:eastAsia="微软雅黑" w:hAnsi="微软雅黑"/>
          <w:color w:val="333333"/>
          <w:sz w:val="22"/>
        </w:rPr>
      </w:pPr>
      <w:r>
        <w:rPr>
          <w:rFonts w:ascii="微软雅黑" w:eastAsia="微软雅黑" w:hAnsi="微软雅黑"/>
          <w:color w:val="333333"/>
          <w:sz w:val="22"/>
        </w:rPr>
        <w:t>1、业务数据库或是数仓中的线上数据。</w:t>
      </w:r>
    </w:p>
    <w:p w14:paraId="1DDA5F8F" w14:textId="77777777" w:rsidR="008E6A47" w:rsidRDefault="00000000">
      <w:pPr>
        <w:snapToGrid w:val="0"/>
        <w:spacing w:before="60" w:after="60" w:line="312" w:lineRule="auto"/>
        <w:jc w:val="left"/>
        <w:rPr>
          <w:rFonts w:ascii="微软雅黑" w:eastAsia="微软雅黑" w:hAnsi="微软雅黑"/>
          <w:color w:val="333333"/>
          <w:sz w:val="22"/>
        </w:rPr>
      </w:pPr>
      <w:r>
        <w:rPr>
          <w:rFonts w:ascii="微软雅黑" w:eastAsia="微软雅黑" w:hAnsi="微软雅黑"/>
          <w:color w:val="333333"/>
          <w:sz w:val="22"/>
        </w:rPr>
        <w:t>2、线下台账保存的数据。</w:t>
      </w:r>
    </w:p>
    <w:p w14:paraId="5D90A326" w14:textId="77777777" w:rsidR="008E6A47" w:rsidRDefault="00000000">
      <w:pPr>
        <w:snapToGrid w:val="0"/>
        <w:spacing w:before="60" w:after="60" w:line="312" w:lineRule="auto"/>
        <w:jc w:val="left"/>
        <w:rPr>
          <w:rFonts w:ascii="微软雅黑" w:eastAsia="微软雅黑" w:hAnsi="微软雅黑"/>
          <w:color w:val="333333"/>
          <w:sz w:val="22"/>
        </w:rPr>
      </w:pPr>
      <w:r>
        <w:rPr>
          <w:rFonts w:ascii="微软雅黑" w:eastAsia="微软雅黑" w:hAnsi="微软雅黑"/>
          <w:color w:val="333333"/>
          <w:sz w:val="22"/>
        </w:rPr>
        <w:t>对于这两个渠道我们分别提供对应的取数方式：</w:t>
      </w:r>
    </w:p>
    <w:p w14:paraId="10CFDD79" w14:textId="77777777" w:rsidR="008E6A47" w:rsidRDefault="00000000">
      <w:pPr>
        <w:snapToGrid w:val="0"/>
        <w:spacing w:before="60" w:after="60" w:line="312" w:lineRule="auto"/>
        <w:jc w:val="left"/>
        <w:rPr>
          <w:rFonts w:ascii="微软雅黑" w:eastAsia="微软雅黑" w:hAnsi="微软雅黑"/>
          <w:color w:val="333333"/>
          <w:sz w:val="22"/>
        </w:rPr>
      </w:pPr>
      <w:r>
        <w:rPr>
          <w:rFonts w:ascii="微软雅黑" w:eastAsia="微软雅黑" w:hAnsi="微软雅黑"/>
          <w:color w:val="333333"/>
          <w:sz w:val="22"/>
        </w:rPr>
        <w:t>1、对于线上数据我们提供明源数据源、云数据源、本地数据源三种类型的数据库连接能力，将数据接入数见中进行分析。</w:t>
      </w:r>
    </w:p>
    <w:p w14:paraId="11701751" w14:textId="77777777" w:rsidR="008E6A47" w:rsidRDefault="00000000">
      <w:pPr>
        <w:snapToGrid w:val="0"/>
        <w:spacing w:before="60" w:after="60" w:line="312" w:lineRule="auto"/>
        <w:jc w:val="left"/>
        <w:rPr>
          <w:rFonts w:ascii="微软雅黑" w:eastAsia="微软雅黑" w:hAnsi="微软雅黑"/>
          <w:color w:val="333333"/>
          <w:sz w:val="22"/>
        </w:rPr>
      </w:pPr>
      <w:r>
        <w:rPr>
          <w:rFonts w:ascii="微软雅黑" w:eastAsia="微软雅黑" w:hAnsi="微软雅黑"/>
          <w:color w:val="333333"/>
          <w:sz w:val="22"/>
        </w:rPr>
        <w:t>2、对于线下数据，可以由IT人员自定义数据填报模板，由管理线下数据的业务人员自行录入系统。 </w:t>
      </w:r>
    </w:p>
    <w:p w14:paraId="143B4649" w14:textId="77777777" w:rsidR="008E6A47" w:rsidRDefault="00000000">
      <w:pPr>
        <w:pStyle w:val="4"/>
        <w:snapToGrid w:val="0"/>
        <w:rPr>
          <w:rFonts w:ascii="微软雅黑" w:eastAsia="微软雅黑" w:hAnsi="微软雅黑"/>
        </w:rPr>
      </w:pPr>
      <w:r>
        <w:rPr>
          <w:rFonts w:ascii="微软雅黑" w:eastAsia="微软雅黑" w:hAnsi="微软雅黑"/>
        </w:rPr>
        <w:t>4.1.1、数据源</w:t>
      </w:r>
    </w:p>
    <w:p w14:paraId="4104196A" w14:textId="77777777" w:rsidR="008E6A47" w:rsidRDefault="00000000">
      <w:pPr>
        <w:snapToGrid w:val="0"/>
        <w:spacing w:before="60" w:after="60" w:line="312" w:lineRule="auto"/>
        <w:jc w:val="left"/>
        <w:rPr>
          <w:rFonts w:ascii="微软雅黑" w:eastAsia="微软雅黑" w:hAnsi="微软雅黑"/>
          <w:color w:val="24292E"/>
          <w:szCs w:val="21"/>
          <w:shd w:val="clear" w:color="auto" w:fill="FFFFFF"/>
        </w:rPr>
      </w:pPr>
      <w:r>
        <w:rPr>
          <w:rFonts w:ascii="微软雅黑" w:eastAsia="微软雅黑" w:hAnsi="微软雅黑"/>
          <w:color w:val="24292E"/>
          <w:szCs w:val="21"/>
          <w:shd w:val="clear" w:color="auto" w:fill="FFFFFF"/>
        </w:rPr>
        <w:t>目前数见中支持明源产品数据源、云端数据源、本地数据源三种类型。</w:t>
      </w:r>
    </w:p>
    <w:p w14:paraId="554FC881" w14:textId="77777777" w:rsidR="008E6A47" w:rsidRDefault="00000000">
      <w:pPr>
        <w:snapToGrid w:val="0"/>
        <w:spacing w:before="60" w:after="60" w:line="312" w:lineRule="auto"/>
        <w:jc w:val="left"/>
        <w:rPr>
          <w:rFonts w:ascii="微软雅黑" w:eastAsia="微软雅黑" w:hAnsi="微软雅黑"/>
          <w:color w:val="333333"/>
          <w:sz w:val="22"/>
        </w:rPr>
      </w:pPr>
      <w:r>
        <w:rPr>
          <w:rFonts w:ascii="微软雅黑" w:eastAsia="微软雅黑" w:hAnsi="微软雅黑"/>
          <w:noProof/>
          <w:color w:val="24292E"/>
          <w:szCs w:val="21"/>
          <w:shd w:val="clear" w:color="auto" w:fill="FFFFFF"/>
        </w:rPr>
        <w:drawing>
          <wp:inline distT="0" distB="0" distL="0" distR="0" wp14:anchorId="3611D0FC" wp14:editId="648B309B">
            <wp:extent cx="1962150" cy="19240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1962150" cy="1924050"/>
                    </a:xfrm>
                    <a:prstGeom prst="rect">
                      <a:avLst/>
                    </a:prstGeom>
                  </pic:spPr>
                </pic:pic>
              </a:graphicData>
            </a:graphic>
          </wp:inline>
        </w:drawing>
      </w:r>
    </w:p>
    <w:p w14:paraId="70CBE443" w14:textId="77777777" w:rsidR="008E6A47" w:rsidRDefault="00000000">
      <w:pPr>
        <w:snapToGrid w:val="0"/>
        <w:spacing w:before="60" w:after="60" w:line="312" w:lineRule="auto"/>
        <w:jc w:val="left"/>
        <w:rPr>
          <w:rFonts w:ascii="微软雅黑" w:eastAsia="微软雅黑" w:hAnsi="微软雅黑"/>
          <w:color w:val="24292E"/>
          <w:szCs w:val="21"/>
          <w:shd w:val="clear" w:color="auto" w:fill="FFFFFF"/>
        </w:rPr>
      </w:pPr>
      <w:r>
        <w:rPr>
          <w:rFonts w:ascii="微软雅黑" w:eastAsia="微软雅黑" w:hAnsi="微软雅黑"/>
          <w:color w:val="24292E"/>
          <w:szCs w:val="21"/>
          <w:shd w:val="clear" w:color="auto" w:fill="FFFFFF"/>
        </w:rPr>
        <w:t>明源产品数据源：无缝链接明源内部产品，明源ERP、</w:t>
      </w:r>
      <w:proofErr w:type="spellStart"/>
      <w:r>
        <w:rPr>
          <w:rFonts w:ascii="微软雅黑" w:eastAsia="微软雅黑" w:hAnsi="微软雅黑"/>
          <w:color w:val="24292E"/>
          <w:szCs w:val="21"/>
          <w:shd w:val="clear" w:color="auto" w:fill="FFFFFF"/>
        </w:rPr>
        <w:t>HighData</w:t>
      </w:r>
      <w:proofErr w:type="spellEnd"/>
      <w:r>
        <w:rPr>
          <w:rFonts w:ascii="微软雅黑" w:eastAsia="微软雅黑" w:hAnsi="微软雅黑"/>
          <w:color w:val="24292E"/>
          <w:szCs w:val="21"/>
          <w:shd w:val="clear" w:color="auto" w:fill="FFFFFF"/>
        </w:rPr>
        <w:t>、云SaaS、数芯；</w:t>
      </w:r>
    </w:p>
    <w:p w14:paraId="5900D1A7" w14:textId="77777777" w:rsidR="008E6A47" w:rsidRDefault="00000000">
      <w:pPr>
        <w:snapToGrid w:val="0"/>
        <w:spacing w:before="60" w:after="60" w:line="312" w:lineRule="auto"/>
        <w:jc w:val="left"/>
        <w:rPr>
          <w:rFonts w:ascii="微软雅黑" w:eastAsia="微软雅黑" w:hAnsi="微软雅黑"/>
          <w:color w:val="24292E"/>
          <w:szCs w:val="21"/>
          <w:shd w:val="clear" w:color="auto" w:fill="FFFFFF"/>
        </w:rPr>
      </w:pPr>
      <w:r>
        <w:rPr>
          <w:rFonts w:ascii="微软雅黑" w:eastAsia="微软雅黑" w:hAnsi="微软雅黑"/>
          <w:color w:val="24292E"/>
          <w:szCs w:val="21"/>
          <w:shd w:val="clear" w:color="auto" w:fill="FFFFFF"/>
        </w:rPr>
        <w:t>云端数据源：通过云端的数据库连接信息进行连接，支持SQL Server、MySQL(RDS)、PostgreSQL、MaxComputer、ADS；</w:t>
      </w:r>
    </w:p>
    <w:p w14:paraId="0F77E27D" w14:textId="77777777" w:rsidR="008E6A47" w:rsidRDefault="00000000">
      <w:pPr>
        <w:snapToGrid w:val="0"/>
        <w:spacing w:before="60" w:after="60" w:line="312" w:lineRule="auto"/>
        <w:jc w:val="left"/>
        <w:rPr>
          <w:rFonts w:ascii="微软雅黑" w:eastAsia="微软雅黑" w:hAnsi="微软雅黑"/>
          <w:color w:val="333333"/>
          <w:sz w:val="22"/>
        </w:rPr>
      </w:pPr>
      <w:r>
        <w:rPr>
          <w:rFonts w:ascii="微软雅黑" w:eastAsia="微软雅黑" w:hAnsi="微软雅黑"/>
          <w:color w:val="24292E"/>
          <w:szCs w:val="21"/>
          <w:shd w:val="clear" w:color="auto" w:fill="FFFFFF"/>
        </w:rPr>
        <w:t>本地数据源：连接部署在本地的数据库，支持SQL Server、Oracle；</w:t>
      </w:r>
    </w:p>
    <w:p w14:paraId="0538A1B1" w14:textId="77777777" w:rsidR="008E6A47" w:rsidRDefault="00000000">
      <w:pPr>
        <w:pStyle w:val="4"/>
        <w:snapToGrid w:val="0"/>
        <w:rPr>
          <w:rFonts w:ascii="微软雅黑" w:eastAsia="微软雅黑" w:hAnsi="微软雅黑"/>
        </w:rPr>
      </w:pPr>
      <w:r>
        <w:rPr>
          <w:rFonts w:ascii="微软雅黑" w:eastAsia="微软雅黑" w:hAnsi="微软雅黑"/>
        </w:rPr>
        <w:lastRenderedPageBreak/>
        <w:t>4.1.2、数据填报</w:t>
      </w:r>
    </w:p>
    <w:p w14:paraId="689FB354" w14:textId="77777777" w:rsidR="008E6A47" w:rsidRDefault="00000000">
      <w:pPr>
        <w:snapToGrid w:val="0"/>
        <w:spacing w:before="60" w:after="60" w:line="312" w:lineRule="auto"/>
        <w:jc w:val="left"/>
        <w:rPr>
          <w:rFonts w:ascii="微软雅黑" w:eastAsia="微软雅黑" w:hAnsi="微软雅黑"/>
          <w:color w:val="24292E"/>
          <w:szCs w:val="21"/>
          <w:shd w:val="clear" w:color="auto" w:fill="FFFFFF"/>
        </w:rPr>
      </w:pPr>
      <w:r>
        <w:rPr>
          <w:rFonts w:ascii="微软雅黑" w:eastAsia="微软雅黑" w:hAnsi="微软雅黑"/>
          <w:color w:val="24292E"/>
          <w:szCs w:val="21"/>
          <w:shd w:val="clear" w:color="auto" w:fill="FFFFFF"/>
        </w:rPr>
        <w:t>对无法在线上获取的数据内容，通过填报的方式进行收集&amp;补充。</w:t>
      </w:r>
    </w:p>
    <w:p w14:paraId="51AF87EA" w14:textId="77777777" w:rsidR="008E6A47" w:rsidRDefault="00000000">
      <w:pPr>
        <w:snapToGrid w:val="0"/>
        <w:spacing w:before="60" w:after="60" w:line="312" w:lineRule="auto"/>
        <w:jc w:val="left"/>
        <w:rPr>
          <w:rFonts w:ascii="微软雅黑" w:eastAsia="微软雅黑" w:hAnsi="微软雅黑"/>
          <w:color w:val="24292E"/>
          <w:szCs w:val="21"/>
          <w:shd w:val="clear" w:color="auto" w:fill="FFFFFF"/>
        </w:rPr>
      </w:pPr>
      <w:r>
        <w:rPr>
          <w:rFonts w:ascii="微软雅黑" w:eastAsia="微软雅黑" w:hAnsi="微软雅黑"/>
          <w:noProof/>
          <w:color w:val="24292E"/>
          <w:szCs w:val="21"/>
          <w:shd w:val="clear" w:color="auto" w:fill="FFFFFF"/>
        </w:rPr>
        <w:drawing>
          <wp:inline distT="0" distB="0" distL="0" distR="0" wp14:anchorId="4AD49B13" wp14:editId="594E0FE7">
            <wp:extent cx="5760720" cy="30467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760720" cy="3046880"/>
                    </a:xfrm>
                    <a:prstGeom prst="rect">
                      <a:avLst/>
                    </a:prstGeom>
                  </pic:spPr>
                </pic:pic>
              </a:graphicData>
            </a:graphic>
          </wp:inline>
        </w:drawing>
      </w:r>
    </w:p>
    <w:p w14:paraId="55FDF326" w14:textId="77777777" w:rsidR="008E6A47" w:rsidRDefault="00000000">
      <w:pPr>
        <w:snapToGrid w:val="0"/>
        <w:spacing w:before="60" w:after="60" w:line="312" w:lineRule="auto"/>
        <w:jc w:val="left"/>
        <w:rPr>
          <w:rFonts w:ascii="微软雅黑" w:eastAsia="微软雅黑" w:hAnsi="微软雅黑"/>
          <w:color w:val="24292E"/>
          <w:szCs w:val="21"/>
          <w:shd w:val="clear" w:color="auto" w:fill="FFFFFF"/>
        </w:rPr>
      </w:pPr>
      <w:r>
        <w:rPr>
          <w:rFonts w:ascii="微软雅黑" w:eastAsia="微软雅黑" w:hAnsi="微软雅黑"/>
          <w:color w:val="24292E"/>
          <w:szCs w:val="21"/>
          <w:shd w:val="clear" w:color="auto" w:fill="FFFFFF"/>
        </w:rPr>
        <w:t>对于填报模板，支持引入数据集字段，进行辅助字段的配置，并进行填报周期、存储方式、审核人员的配置。</w:t>
      </w:r>
    </w:p>
    <w:p w14:paraId="0A65DC2A" w14:textId="77777777" w:rsidR="008E6A47" w:rsidRDefault="00000000">
      <w:pPr>
        <w:pStyle w:val="3"/>
        <w:snapToGrid w:val="0"/>
        <w:rPr>
          <w:rFonts w:ascii="微软雅黑" w:eastAsia="微软雅黑" w:hAnsi="微软雅黑"/>
        </w:rPr>
      </w:pPr>
      <w:bookmarkStart w:id="7" w:name="_Toc461574431"/>
      <w:r>
        <w:rPr>
          <w:rFonts w:ascii="微软雅黑" w:eastAsia="微软雅黑" w:hAnsi="微软雅黑"/>
        </w:rPr>
        <w:t>4.2、数据准备</w:t>
      </w:r>
      <w:bookmarkEnd w:id="7"/>
    </w:p>
    <w:p w14:paraId="00BBE531" w14:textId="77777777" w:rsidR="008E6A47" w:rsidRDefault="00000000">
      <w:pPr>
        <w:snapToGrid w:val="0"/>
        <w:spacing w:before="60" w:after="60" w:line="312" w:lineRule="auto"/>
        <w:jc w:val="left"/>
        <w:rPr>
          <w:rFonts w:ascii="Helvetica Neue" w:eastAsia="Helvetica Neue" w:hAnsi="Helvetica Neue"/>
          <w:color w:val="333333"/>
          <w:sz w:val="22"/>
        </w:rPr>
      </w:pPr>
      <w:r>
        <w:rPr>
          <w:rFonts w:ascii="Helvetica Neue" w:eastAsia="Helvetica Neue" w:hAnsi="Helvetica Neue"/>
          <w:color w:val="333333"/>
          <w:sz w:val="22"/>
        </w:rPr>
        <w:t>概述：数据集是数据源与报告间的中间层，由于数据源中的数据来源，数据定义和数据格式各种各样，往往需要通过SQL或表关联等方式对数据做预处理，处理成业务场景清晰、条件明确、可读性强的规范数据来进行数据分析报告的创作。</w:t>
      </w:r>
    </w:p>
    <w:p w14:paraId="4354498A" w14:textId="77777777" w:rsidR="008E6A47" w:rsidRDefault="00000000">
      <w:pPr>
        <w:snapToGrid w:val="0"/>
        <w:spacing w:before="60" w:after="60" w:line="312" w:lineRule="auto"/>
        <w:jc w:val="left"/>
        <w:rPr>
          <w:rFonts w:ascii="Helvetica Neue" w:eastAsia="Helvetica Neue" w:hAnsi="Helvetica Neue"/>
          <w:color w:val="333333"/>
          <w:sz w:val="22"/>
        </w:rPr>
      </w:pPr>
      <w:r>
        <w:rPr>
          <w:rFonts w:ascii="Helvetica Neue" w:eastAsia="Helvetica Neue" w:hAnsi="Helvetica Neue"/>
          <w:color w:val="333333"/>
          <w:sz w:val="22"/>
        </w:rPr>
        <w:t>数见的数据集目前支持四类 SQL数据集 、Excel数据集 、API数据集、组合数据集。</w:t>
      </w:r>
    </w:p>
    <w:p w14:paraId="13960A94" w14:textId="77777777" w:rsidR="008E6A47" w:rsidRDefault="00000000">
      <w:pPr>
        <w:snapToGrid w:val="0"/>
        <w:spacing w:before="60" w:after="60" w:line="312" w:lineRule="auto"/>
        <w:jc w:val="left"/>
        <w:rPr>
          <w:rFonts w:ascii="Helvetica Neue" w:eastAsia="Helvetica Neue" w:hAnsi="Helvetica Neue"/>
          <w:color w:val="333333"/>
          <w:sz w:val="22"/>
        </w:rPr>
      </w:pPr>
      <w:r>
        <w:rPr>
          <w:rFonts w:ascii="Helvetica Neue" w:eastAsia="Helvetica Neue" w:hAnsi="Helvetica Neue"/>
          <w:noProof/>
          <w:color w:val="333333"/>
          <w:sz w:val="22"/>
        </w:rPr>
        <w:drawing>
          <wp:inline distT="0" distB="0" distL="0" distR="0" wp14:anchorId="22C4EF41" wp14:editId="781B5E63">
            <wp:extent cx="5760720" cy="8413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760720" cy="841605"/>
                    </a:xfrm>
                    <a:prstGeom prst="rect">
                      <a:avLst/>
                    </a:prstGeom>
                  </pic:spPr>
                </pic:pic>
              </a:graphicData>
            </a:graphic>
          </wp:inline>
        </w:drawing>
      </w:r>
    </w:p>
    <w:p w14:paraId="7E208DBA" w14:textId="77777777" w:rsidR="008E6A47" w:rsidRDefault="00000000">
      <w:pPr>
        <w:pStyle w:val="4"/>
        <w:snapToGrid w:val="0"/>
        <w:rPr>
          <w:rFonts w:ascii="Helvetica Neue" w:eastAsia="Helvetica Neue" w:hAnsi="Helvetica Neue"/>
        </w:rPr>
      </w:pPr>
      <w:r>
        <w:rPr>
          <w:rFonts w:ascii="Helvetica Neue" w:eastAsia="Helvetica Neue" w:hAnsi="Helvetica Neue"/>
        </w:rPr>
        <w:t>4.2.1、SQL数据集</w:t>
      </w:r>
    </w:p>
    <w:p w14:paraId="41EA2117" w14:textId="77777777" w:rsidR="008E6A47" w:rsidRDefault="00000000">
      <w:pPr>
        <w:snapToGrid w:val="0"/>
        <w:spacing w:before="60" w:after="60" w:line="312" w:lineRule="auto"/>
        <w:jc w:val="left"/>
        <w:rPr>
          <w:rFonts w:ascii="Helvetica Neue" w:eastAsia="Helvetica Neue" w:hAnsi="Helvetica Neue"/>
          <w:color w:val="333333"/>
          <w:sz w:val="22"/>
        </w:rPr>
      </w:pPr>
      <w:r>
        <w:rPr>
          <w:rFonts w:ascii="Helvetica Neue" w:eastAsia="Helvetica Neue" w:hAnsi="Helvetica Neue"/>
          <w:color w:val="333333"/>
          <w:sz w:val="22"/>
        </w:rPr>
        <w:t>访问数据源，以SQL语句或者拖拉拽的形式，生成可分析的数据集，SQL数据集支持调度清洗和实时清洗两种模式。</w:t>
      </w:r>
    </w:p>
    <w:p w14:paraId="4E044765" w14:textId="77777777" w:rsidR="008E6A47" w:rsidRDefault="00000000">
      <w:pPr>
        <w:pStyle w:val="4"/>
        <w:snapToGrid w:val="0"/>
        <w:rPr>
          <w:rFonts w:ascii="微软雅黑" w:eastAsia="微软雅黑" w:hAnsi="微软雅黑"/>
        </w:rPr>
      </w:pPr>
      <w:r>
        <w:rPr>
          <w:rFonts w:ascii="微软雅黑" w:eastAsia="微软雅黑" w:hAnsi="微软雅黑"/>
        </w:rPr>
        <w:t>4.2.2、Excel数据集</w:t>
      </w:r>
    </w:p>
    <w:p w14:paraId="1533D7F1" w14:textId="77777777" w:rsidR="008E6A47" w:rsidRDefault="00000000">
      <w:pPr>
        <w:snapToGrid w:val="0"/>
        <w:spacing w:before="60" w:after="60" w:line="312" w:lineRule="auto"/>
        <w:jc w:val="left"/>
        <w:rPr>
          <w:rFonts w:ascii="Helvetica Neue" w:eastAsia="Helvetica Neue" w:hAnsi="Helvetica Neue"/>
          <w:color w:val="333333"/>
          <w:sz w:val="22"/>
        </w:rPr>
      </w:pPr>
      <w:r>
        <w:rPr>
          <w:rFonts w:ascii="Helvetica Neue" w:eastAsia="Helvetica Neue" w:hAnsi="Helvetica Neue"/>
          <w:color w:val="333333"/>
          <w:sz w:val="22"/>
        </w:rPr>
        <w:t>用户无需添加数据源，上传本地的Excel文件形成数据集，对已有的本地数据内容进行快捷分析。</w:t>
      </w:r>
    </w:p>
    <w:p w14:paraId="00F001C3" w14:textId="77777777" w:rsidR="008E6A47" w:rsidRDefault="00000000">
      <w:pPr>
        <w:pStyle w:val="4"/>
        <w:snapToGrid w:val="0"/>
        <w:rPr>
          <w:rFonts w:ascii="微软雅黑" w:eastAsia="微软雅黑" w:hAnsi="微软雅黑"/>
        </w:rPr>
      </w:pPr>
      <w:r>
        <w:rPr>
          <w:rFonts w:ascii="微软雅黑" w:eastAsia="微软雅黑" w:hAnsi="微软雅黑"/>
        </w:rPr>
        <w:lastRenderedPageBreak/>
        <w:t>4.2.3、API数据集</w:t>
      </w:r>
    </w:p>
    <w:p w14:paraId="128034B7" w14:textId="77777777" w:rsidR="008E6A47" w:rsidRDefault="00000000">
      <w:pPr>
        <w:snapToGrid w:val="0"/>
        <w:spacing w:before="60" w:after="60" w:line="312" w:lineRule="auto"/>
        <w:jc w:val="left"/>
        <w:rPr>
          <w:rFonts w:ascii="Helvetica Neue" w:eastAsia="Helvetica Neue" w:hAnsi="Helvetica Neue"/>
          <w:color w:val="333333"/>
          <w:sz w:val="22"/>
        </w:rPr>
      </w:pPr>
      <w:r>
        <w:rPr>
          <w:rFonts w:ascii="Helvetica Neue" w:eastAsia="Helvetica Neue" w:hAnsi="Helvetica Neue"/>
          <w:color w:val="333333"/>
          <w:sz w:val="22"/>
        </w:rPr>
        <w:t>针对已添加API数据源，使用该类型的数据源创建API数据集进行使用，API数据集支持调度清洗和实时清洗两种模式。</w:t>
      </w:r>
    </w:p>
    <w:p w14:paraId="5B72FDA9" w14:textId="77777777" w:rsidR="008E6A47" w:rsidRDefault="00000000">
      <w:pPr>
        <w:pStyle w:val="4"/>
        <w:snapToGrid w:val="0"/>
        <w:rPr>
          <w:rFonts w:ascii="微软雅黑" w:eastAsia="微软雅黑" w:hAnsi="微软雅黑"/>
        </w:rPr>
      </w:pPr>
      <w:r>
        <w:rPr>
          <w:rFonts w:ascii="微软雅黑" w:eastAsia="微软雅黑" w:hAnsi="微软雅黑"/>
        </w:rPr>
        <w:t>4.2.4、组合数据集</w:t>
      </w:r>
    </w:p>
    <w:p w14:paraId="657A360A" w14:textId="77777777" w:rsidR="008E6A47" w:rsidRDefault="00000000">
      <w:pPr>
        <w:snapToGrid w:val="0"/>
        <w:spacing w:before="60" w:after="60" w:line="312" w:lineRule="auto"/>
        <w:jc w:val="left"/>
        <w:rPr>
          <w:rFonts w:ascii="Helvetica Neue" w:eastAsia="Helvetica Neue" w:hAnsi="Helvetica Neue"/>
          <w:color w:val="333333"/>
          <w:sz w:val="22"/>
        </w:rPr>
      </w:pPr>
      <w:r>
        <w:rPr>
          <w:rFonts w:ascii="Helvetica Neue" w:eastAsia="Helvetica Neue" w:hAnsi="Helvetica Neue"/>
          <w:color w:val="333333"/>
          <w:sz w:val="22"/>
        </w:rPr>
        <w:t>不同的业务数据存储的数据库和数据表均不相同，当需要分析企业整体的经营状况，则需要将各业务数据汇总分析。在数见平台中，用户可先将需要分析的不同业务的数据表制作成单个数据集，再创建 “组合数据集” ，通过SQL语句进行多表查询，表关联等操作。</w:t>
      </w:r>
    </w:p>
    <w:p w14:paraId="1C780689" w14:textId="77777777" w:rsidR="008E6A47" w:rsidRDefault="008E6A47">
      <w:pPr>
        <w:snapToGrid w:val="0"/>
        <w:spacing w:before="60" w:after="60" w:line="312" w:lineRule="auto"/>
        <w:jc w:val="left"/>
        <w:rPr>
          <w:rFonts w:ascii="微软雅黑" w:eastAsia="微软雅黑" w:hAnsi="微软雅黑"/>
          <w:color w:val="333333"/>
          <w:sz w:val="22"/>
        </w:rPr>
      </w:pPr>
    </w:p>
    <w:p w14:paraId="439F74A2" w14:textId="77777777" w:rsidR="008E6A47" w:rsidRDefault="00000000">
      <w:pPr>
        <w:pStyle w:val="3"/>
        <w:snapToGrid w:val="0"/>
        <w:rPr>
          <w:rFonts w:ascii="微软雅黑" w:eastAsia="微软雅黑" w:hAnsi="微软雅黑"/>
        </w:rPr>
      </w:pPr>
      <w:bookmarkStart w:id="8" w:name="_Toc970528853"/>
      <w:r>
        <w:rPr>
          <w:rFonts w:ascii="微软雅黑" w:eastAsia="微软雅黑" w:hAnsi="微软雅黑"/>
        </w:rPr>
        <w:t>4.3、数据应用</w:t>
      </w:r>
      <w:bookmarkEnd w:id="8"/>
    </w:p>
    <w:p w14:paraId="574A53E6" w14:textId="77777777" w:rsidR="008E6A47" w:rsidRDefault="00000000">
      <w:pPr>
        <w:pStyle w:val="4"/>
        <w:snapToGrid w:val="0"/>
        <w:rPr>
          <w:rFonts w:ascii="微软雅黑" w:eastAsia="微软雅黑" w:hAnsi="微软雅黑"/>
        </w:rPr>
      </w:pPr>
      <w:r>
        <w:rPr>
          <w:rFonts w:ascii="微软雅黑" w:eastAsia="微软雅黑" w:hAnsi="微软雅黑"/>
        </w:rPr>
        <w:t>4.3.1、大小屏可视化</w:t>
      </w:r>
    </w:p>
    <w:p w14:paraId="598191B8" w14:textId="77777777" w:rsidR="008E6A47" w:rsidRDefault="00000000">
      <w:pPr>
        <w:snapToGrid w:val="0"/>
        <w:spacing w:before="60" w:after="60" w:line="312" w:lineRule="auto"/>
        <w:jc w:val="left"/>
        <w:rPr>
          <w:rFonts w:ascii="微软雅黑" w:eastAsia="微软雅黑" w:hAnsi="微软雅黑"/>
          <w:color w:val="333333"/>
          <w:sz w:val="22"/>
        </w:rPr>
      </w:pPr>
      <w:r>
        <w:rPr>
          <w:rFonts w:ascii="微软雅黑" w:eastAsia="微软雅黑" w:hAnsi="微软雅黑"/>
          <w:color w:val="333333"/>
          <w:sz w:val="22"/>
        </w:rPr>
        <w:t>概述：</w:t>
      </w:r>
      <w:r>
        <w:rPr>
          <w:rFonts w:ascii="Helvetica Neue" w:eastAsia="Helvetica Neue" w:hAnsi="Helvetica Neue"/>
          <w:color w:val="333333"/>
          <w:sz w:val="22"/>
        </w:rPr>
        <w:t>数据可视化，是数见的核心能力，作为一站式数据分析平台，针对不同场景提供了3类数据分析报告。</w:t>
      </w:r>
    </w:p>
    <w:p w14:paraId="5AC020A6" w14:textId="77777777" w:rsidR="008E6A47" w:rsidRDefault="00000000">
      <w:pPr>
        <w:snapToGrid w:val="0"/>
        <w:spacing w:before="60" w:after="60" w:line="312" w:lineRule="auto"/>
        <w:jc w:val="left"/>
        <w:rPr>
          <w:rFonts w:ascii="微软雅黑" w:eastAsia="微软雅黑" w:hAnsi="微软雅黑"/>
          <w:color w:val="333333"/>
          <w:sz w:val="22"/>
        </w:rPr>
      </w:pPr>
      <w:r>
        <w:rPr>
          <w:rFonts w:ascii="Helvetica Neue" w:eastAsia="Helvetica Neue" w:hAnsi="Helvetica Neue"/>
          <w:color w:val="333333"/>
          <w:sz w:val="22"/>
        </w:rPr>
        <w:t>酷炫大屏：“大屏”模块主要偏向于数据呈现，提供由专业视觉设计师设计的各类主题模版，用户可以借助“大屏”模块制作出精美的数据大屏投射至展厅的电视屏幕上。</w:t>
      </w:r>
    </w:p>
    <w:p w14:paraId="17B17439" w14:textId="77777777" w:rsidR="008E6A47" w:rsidRDefault="00000000">
      <w:pPr>
        <w:snapToGrid w:val="0"/>
        <w:spacing w:before="60" w:after="60" w:line="312" w:lineRule="auto"/>
        <w:jc w:val="left"/>
        <w:rPr>
          <w:rFonts w:ascii="Helvetica Neue" w:eastAsia="Helvetica Neue" w:hAnsi="Helvetica Neue"/>
          <w:color w:val="333333"/>
          <w:sz w:val="22"/>
        </w:rPr>
      </w:pPr>
      <w:r>
        <w:rPr>
          <w:rFonts w:ascii="Helvetica Neue" w:eastAsia="Helvetica Neue" w:hAnsi="Helvetica Neue"/>
          <w:color w:val="333333"/>
          <w:sz w:val="22"/>
        </w:rPr>
        <w:t>PC仪表板：通过简单拖拽快速完成数据分析报告的制作，对数据进行分析跟呈现，并快捷地与他人分享我们的分析结果。</w:t>
      </w:r>
    </w:p>
    <w:p w14:paraId="0DC4621C" w14:textId="77777777" w:rsidR="008E6A47" w:rsidRDefault="00000000">
      <w:pPr>
        <w:snapToGrid w:val="0"/>
        <w:spacing w:before="60" w:after="60" w:line="312" w:lineRule="auto"/>
        <w:jc w:val="left"/>
        <w:rPr>
          <w:rFonts w:ascii="Helvetica Neue" w:eastAsia="Helvetica Neue" w:hAnsi="Helvetica Neue"/>
          <w:color w:val="333333"/>
          <w:sz w:val="22"/>
        </w:rPr>
      </w:pPr>
      <w:r>
        <w:rPr>
          <w:rFonts w:ascii="Helvetica Neue" w:eastAsia="Helvetica Neue" w:hAnsi="Helvetica Neue"/>
          <w:color w:val="333333"/>
          <w:sz w:val="22"/>
        </w:rPr>
        <w:t>移动报表：主要偏向移动端的数据呈现，提供由专业视觉设计师设计的各类主题模板，可以制作更符合移动端的交互方式的精美报表。</w:t>
      </w:r>
    </w:p>
    <w:p w14:paraId="41F496E0" w14:textId="77777777" w:rsidR="008E6A47" w:rsidRDefault="00000000">
      <w:pPr>
        <w:pStyle w:val="5"/>
        <w:snapToGrid w:val="0"/>
        <w:rPr>
          <w:rFonts w:ascii="微软雅黑" w:eastAsia="微软雅黑" w:hAnsi="微软雅黑"/>
        </w:rPr>
      </w:pPr>
      <w:r>
        <w:rPr>
          <w:rFonts w:ascii="微软雅黑" w:eastAsia="微软雅黑" w:hAnsi="微软雅黑"/>
        </w:rPr>
        <w:t>4.3.1.1、酷炫大屏</w:t>
      </w:r>
    </w:p>
    <w:p w14:paraId="5F4CECE2" w14:textId="77777777" w:rsidR="008E6A47" w:rsidRDefault="00000000">
      <w:pPr>
        <w:snapToGrid w:val="0"/>
        <w:spacing w:before="60" w:after="60" w:line="312" w:lineRule="auto"/>
        <w:jc w:val="left"/>
        <w:rPr>
          <w:rFonts w:ascii="Helvetica Neue" w:eastAsia="Helvetica Neue" w:hAnsi="Helvetica Neue"/>
          <w:color w:val="333333"/>
          <w:sz w:val="22"/>
        </w:rPr>
      </w:pPr>
      <w:r>
        <w:rPr>
          <w:rFonts w:ascii="Helvetica Neue" w:eastAsia="Helvetica Neue" w:hAnsi="Helvetica Neue"/>
          <w:color w:val="333333"/>
          <w:sz w:val="22"/>
        </w:rPr>
        <w:t>大屏报告即是我们常说的自由布局报告，在大屏报告中内置50多个精美可视化图表，用户可根据需要对图表进行组合、堆叠、样式设置等操作，形成个性化的酷炫大屏。</w:t>
      </w:r>
    </w:p>
    <w:p w14:paraId="25288E51" w14:textId="77777777" w:rsidR="008E6A47" w:rsidRDefault="00000000">
      <w:pPr>
        <w:snapToGrid w:val="0"/>
        <w:spacing w:before="60" w:after="60" w:line="312" w:lineRule="auto"/>
        <w:jc w:val="left"/>
        <w:rPr>
          <w:rFonts w:ascii="Helvetica Neue" w:eastAsia="Helvetica Neue" w:hAnsi="Helvetica Neue"/>
          <w:color w:val="333333"/>
          <w:sz w:val="22"/>
        </w:rPr>
      </w:pPr>
      <w:r>
        <w:rPr>
          <w:rFonts w:ascii="Helvetica Neue" w:eastAsia="Helvetica Neue" w:hAnsi="Helvetica Neue"/>
          <w:noProof/>
          <w:color w:val="333333"/>
          <w:sz w:val="22"/>
        </w:rPr>
        <w:lastRenderedPageBreak/>
        <w:drawing>
          <wp:inline distT="0" distB="0" distL="0" distR="0" wp14:anchorId="4D00EAA2" wp14:editId="37362DA2">
            <wp:extent cx="5760720" cy="32404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5760720" cy="3240405"/>
                    </a:xfrm>
                    <a:prstGeom prst="rect">
                      <a:avLst/>
                    </a:prstGeom>
                  </pic:spPr>
                </pic:pic>
              </a:graphicData>
            </a:graphic>
          </wp:inline>
        </w:drawing>
      </w:r>
    </w:p>
    <w:p w14:paraId="1FE888B4" w14:textId="77777777" w:rsidR="008E6A47" w:rsidRDefault="00000000">
      <w:pPr>
        <w:pStyle w:val="5"/>
        <w:snapToGrid w:val="0"/>
        <w:rPr>
          <w:rFonts w:ascii="微软雅黑" w:eastAsia="微软雅黑" w:hAnsi="微软雅黑"/>
        </w:rPr>
      </w:pPr>
      <w:r>
        <w:rPr>
          <w:rFonts w:ascii="微软雅黑" w:eastAsia="微软雅黑" w:hAnsi="微软雅黑"/>
        </w:rPr>
        <w:t>4.3.1.2、PC仪表板</w:t>
      </w:r>
    </w:p>
    <w:p w14:paraId="36D11B9C" w14:textId="77777777" w:rsidR="008E6A47" w:rsidRDefault="00000000">
      <w:pPr>
        <w:snapToGrid w:val="0"/>
        <w:spacing w:before="60" w:after="60" w:line="312" w:lineRule="auto"/>
        <w:jc w:val="left"/>
        <w:rPr>
          <w:rFonts w:ascii="微软雅黑" w:eastAsia="微软雅黑" w:hAnsi="微软雅黑"/>
          <w:color w:val="333333"/>
          <w:sz w:val="22"/>
        </w:rPr>
      </w:pPr>
      <w:r>
        <w:rPr>
          <w:rFonts w:ascii="Helvetica Neue" w:eastAsia="Helvetica Neue" w:hAnsi="Helvetica Neue"/>
          <w:color w:val="333333"/>
          <w:sz w:val="22"/>
        </w:rPr>
        <w:t>在仪表板中，每个组件以“磁吸”的方式顺序排列，用户无需考虑整体布局即通过简单拖拽的方式快速完成仪表板搭建，对数据进行分析跟呈现，并快捷地与他人分享分析结果。</w:t>
      </w:r>
    </w:p>
    <w:p w14:paraId="0F1D0EAF" w14:textId="77777777" w:rsidR="008E6A47" w:rsidRDefault="00000000">
      <w:pPr>
        <w:snapToGrid w:val="0"/>
        <w:spacing w:before="60" w:after="60" w:line="312" w:lineRule="auto"/>
        <w:jc w:val="left"/>
        <w:rPr>
          <w:rFonts w:ascii="微软雅黑" w:eastAsia="微软雅黑" w:hAnsi="微软雅黑"/>
          <w:color w:val="333333"/>
          <w:sz w:val="22"/>
        </w:rPr>
      </w:pPr>
      <w:r>
        <w:rPr>
          <w:rFonts w:ascii="微软雅黑" w:eastAsia="微软雅黑" w:hAnsi="微软雅黑"/>
          <w:noProof/>
          <w:color w:val="333333"/>
          <w:sz w:val="22"/>
        </w:rPr>
        <w:drawing>
          <wp:inline distT="0" distB="0" distL="0" distR="0" wp14:anchorId="34815F18" wp14:editId="6229DAE2">
            <wp:extent cx="5760720" cy="23310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5760720" cy="2331291"/>
                    </a:xfrm>
                    <a:prstGeom prst="rect">
                      <a:avLst/>
                    </a:prstGeom>
                  </pic:spPr>
                </pic:pic>
              </a:graphicData>
            </a:graphic>
          </wp:inline>
        </w:drawing>
      </w:r>
    </w:p>
    <w:p w14:paraId="68C90F56" w14:textId="77777777" w:rsidR="008E6A47" w:rsidRDefault="00000000">
      <w:pPr>
        <w:pStyle w:val="5"/>
        <w:snapToGrid w:val="0"/>
        <w:rPr>
          <w:rFonts w:ascii="微软雅黑" w:eastAsia="微软雅黑" w:hAnsi="微软雅黑"/>
        </w:rPr>
      </w:pPr>
      <w:r>
        <w:rPr>
          <w:rFonts w:ascii="微软雅黑" w:eastAsia="微软雅黑" w:hAnsi="微软雅黑"/>
        </w:rPr>
        <w:t>4.3.1.3、移动报表</w:t>
      </w:r>
    </w:p>
    <w:p w14:paraId="045E4630" w14:textId="77777777" w:rsidR="008E6A47" w:rsidRDefault="00000000">
      <w:pPr>
        <w:snapToGrid w:val="0"/>
        <w:spacing w:before="60" w:after="60" w:line="312" w:lineRule="auto"/>
        <w:jc w:val="left"/>
        <w:rPr>
          <w:rFonts w:ascii="Helvetica Neue" w:eastAsia="Helvetica Neue" w:hAnsi="Helvetica Neue"/>
          <w:color w:val="333333"/>
          <w:sz w:val="22"/>
        </w:rPr>
      </w:pPr>
      <w:r>
        <w:rPr>
          <w:rFonts w:ascii="Helvetica Neue" w:eastAsia="Helvetica Neue" w:hAnsi="Helvetica Neue"/>
          <w:color w:val="333333"/>
          <w:sz w:val="22"/>
        </w:rPr>
        <w:t>在移动报表中，每个组件以“磁吸”的方式顺序排列且组件宽度为铺满屏幕，并提供适配移动端交互的30多图表组件，制作的移动报表可以在移动端进行浏览。</w:t>
      </w:r>
    </w:p>
    <w:p w14:paraId="2FB76127" w14:textId="77777777" w:rsidR="008E6A47" w:rsidRDefault="00000000">
      <w:pPr>
        <w:snapToGrid w:val="0"/>
        <w:spacing w:before="60" w:after="60" w:line="312" w:lineRule="auto"/>
        <w:jc w:val="left"/>
        <w:rPr>
          <w:rFonts w:ascii="Helvetica Neue" w:eastAsia="Helvetica Neue" w:hAnsi="Helvetica Neue"/>
          <w:color w:val="333333"/>
          <w:sz w:val="22"/>
        </w:rPr>
      </w:pPr>
      <w:r>
        <w:rPr>
          <w:rFonts w:ascii="Helvetica Neue" w:eastAsia="Helvetica Neue" w:hAnsi="Helvetica Neue"/>
          <w:noProof/>
          <w:color w:val="333333"/>
          <w:sz w:val="22"/>
        </w:rPr>
        <w:lastRenderedPageBreak/>
        <w:drawing>
          <wp:inline distT="0" distB="0" distL="0" distR="0" wp14:anchorId="7ABEEEA8" wp14:editId="09D6AC14">
            <wp:extent cx="5760720" cy="378333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5760720" cy="3783630"/>
                    </a:xfrm>
                    <a:prstGeom prst="rect">
                      <a:avLst/>
                    </a:prstGeom>
                  </pic:spPr>
                </pic:pic>
              </a:graphicData>
            </a:graphic>
          </wp:inline>
        </w:drawing>
      </w:r>
    </w:p>
    <w:p w14:paraId="2916D41C" w14:textId="77777777" w:rsidR="008E6A47" w:rsidRDefault="00000000">
      <w:pPr>
        <w:pStyle w:val="4"/>
        <w:snapToGrid w:val="0"/>
        <w:rPr>
          <w:rFonts w:ascii="微软雅黑" w:eastAsia="微软雅黑" w:hAnsi="微软雅黑"/>
        </w:rPr>
      </w:pPr>
      <w:r>
        <w:rPr>
          <w:rFonts w:ascii="微软雅黑" w:eastAsia="微软雅黑" w:hAnsi="微软雅黑"/>
        </w:rPr>
        <w:t>4.3.2、消息订阅</w:t>
      </w:r>
    </w:p>
    <w:p w14:paraId="6BD3FFD3" w14:textId="77777777" w:rsidR="008E6A47" w:rsidRDefault="00000000">
      <w:pPr>
        <w:snapToGrid w:val="0"/>
        <w:spacing w:before="60" w:after="60" w:line="312" w:lineRule="auto"/>
        <w:jc w:val="left"/>
        <w:rPr>
          <w:rFonts w:ascii="微软雅黑" w:eastAsia="微软雅黑" w:hAnsi="微软雅黑"/>
          <w:color w:val="333333"/>
          <w:sz w:val="22"/>
        </w:rPr>
      </w:pPr>
      <w:r>
        <w:rPr>
          <w:rFonts w:ascii="微软雅黑" w:eastAsia="微软雅黑" w:hAnsi="微软雅黑"/>
          <w:color w:val="333333"/>
          <w:sz w:val="22"/>
        </w:rPr>
        <w:t>概述：通过消息订阅功能，能够将制作好的分析报告通过邮件和简讯自动推送给关注该报告的用户。</w:t>
      </w:r>
    </w:p>
    <w:p w14:paraId="3F0A30B2" w14:textId="77777777" w:rsidR="008E6A47" w:rsidRDefault="00000000">
      <w:pPr>
        <w:pStyle w:val="5"/>
        <w:snapToGrid w:val="0"/>
        <w:rPr>
          <w:rFonts w:ascii="微软雅黑" w:eastAsia="微软雅黑" w:hAnsi="微软雅黑"/>
        </w:rPr>
      </w:pPr>
      <w:r>
        <w:rPr>
          <w:rFonts w:ascii="微软雅黑" w:eastAsia="微软雅黑" w:hAnsi="微软雅黑"/>
        </w:rPr>
        <w:t>4.3.2.1、简讯订阅</w:t>
      </w:r>
    </w:p>
    <w:p w14:paraId="04FAFE00" w14:textId="77777777" w:rsidR="008E6A47" w:rsidRDefault="00000000">
      <w:pPr>
        <w:snapToGrid w:val="0"/>
        <w:spacing w:before="60" w:after="60" w:line="312" w:lineRule="auto"/>
        <w:jc w:val="left"/>
        <w:rPr>
          <w:rFonts w:ascii="微软雅黑" w:eastAsia="微软雅黑" w:hAnsi="微软雅黑"/>
          <w:color w:val="333333"/>
          <w:sz w:val="22"/>
        </w:rPr>
      </w:pPr>
      <w:r>
        <w:rPr>
          <w:rFonts w:ascii="微软雅黑" w:eastAsia="微软雅黑" w:hAnsi="微软雅黑"/>
          <w:color w:val="333333"/>
          <w:sz w:val="22"/>
        </w:rPr>
        <w:t>能够将制作好的移动报表，利用简讯的方式自动将简讯内容推送到用户手机上，用户可以快捷浏览简讯数据内容，并通过简讯跳转到移动报表。</w:t>
      </w:r>
    </w:p>
    <w:p w14:paraId="2BEEF79B" w14:textId="77777777" w:rsidR="008E6A47" w:rsidRDefault="00000000">
      <w:pPr>
        <w:snapToGrid w:val="0"/>
        <w:spacing w:before="60" w:after="60" w:line="312" w:lineRule="auto"/>
        <w:jc w:val="left"/>
        <w:rPr>
          <w:rFonts w:ascii="微软雅黑" w:eastAsia="微软雅黑" w:hAnsi="微软雅黑"/>
          <w:color w:val="333333"/>
          <w:sz w:val="22"/>
        </w:rPr>
      </w:pPr>
      <w:r>
        <w:rPr>
          <w:rFonts w:ascii="微软雅黑" w:eastAsia="微软雅黑" w:hAnsi="微软雅黑"/>
          <w:noProof/>
          <w:color w:val="333333"/>
          <w:sz w:val="22"/>
        </w:rPr>
        <w:drawing>
          <wp:inline distT="0" distB="0" distL="0" distR="0" wp14:anchorId="0B943749" wp14:editId="5019B1F4">
            <wp:extent cx="2028825" cy="23431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2028825" cy="2343150"/>
                    </a:xfrm>
                    <a:prstGeom prst="rect">
                      <a:avLst/>
                    </a:prstGeom>
                  </pic:spPr>
                </pic:pic>
              </a:graphicData>
            </a:graphic>
          </wp:inline>
        </w:drawing>
      </w:r>
    </w:p>
    <w:p w14:paraId="099DB23B" w14:textId="77777777" w:rsidR="008E6A47" w:rsidRDefault="00000000">
      <w:pPr>
        <w:pStyle w:val="5"/>
        <w:snapToGrid w:val="0"/>
        <w:rPr>
          <w:rFonts w:ascii="微软雅黑" w:eastAsia="微软雅黑" w:hAnsi="微软雅黑"/>
        </w:rPr>
      </w:pPr>
      <w:r>
        <w:rPr>
          <w:rFonts w:ascii="微软雅黑" w:eastAsia="微软雅黑" w:hAnsi="微软雅黑"/>
        </w:rPr>
        <w:lastRenderedPageBreak/>
        <w:t>4.3.2.2、邮件订阅</w:t>
      </w:r>
    </w:p>
    <w:p w14:paraId="01CB2867" w14:textId="77777777" w:rsidR="008E6A47" w:rsidRDefault="00000000">
      <w:pPr>
        <w:snapToGrid w:val="0"/>
        <w:spacing w:before="60" w:after="60" w:line="312" w:lineRule="auto"/>
        <w:jc w:val="left"/>
        <w:rPr>
          <w:rFonts w:ascii="微软雅黑" w:eastAsia="微软雅黑" w:hAnsi="微软雅黑"/>
          <w:color w:val="333333"/>
          <w:sz w:val="22"/>
        </w:rPr>
      </w:pPr>
      <w:r>
        <w:rPr>
          <w:rFonts w:ascii="微软雅黑" w:eastAsia="微软雅黑" w:hAnsi="微软雅黑"/>
          <w:color w:val="333333"/>
          <w:sz w:val="22"/>
        </w:rPr>
        <w:t>能够将制作好的</w:t>
      </w:r>
      <w:r>
        <w:rPr>
          <w:rFonts w:ascii="微软雅黑" w:eastAsia="微软雅黑" w:hAnsi="微软雅黑" w:hint="eastAsia"/>
          <w:color w:val="333333"/>
          <w:sz w:val="22"/>
          <w:lang w:eastAsia="zh-Hans"/>
        </w:rPr>
        <w:t>PC</w:t>
      </w:r>
      <w:r>
        <w:rPr>
          <w:rFonts w:ascii="微软雅黑" w:eastAsia="微软雅黑" w:hAnsi="微软雅黑"/>
          <w:color w:val="333333"/>
          <w:sz w:val="22"/>
        </w:rPr>
        <w:t>仪表板</w:t>
      </w:r>
      <w:r>
        <w:rPr>
          <w:rFonts w:ascii="微软雅黑" w:eastAsia="微软雅黑" w:hAnsi="微软雅黑" w:hint="eastAsia"/>
          <w:color w:val="333333"/>
          <w:sz w:val="22"/>
          <w:lang w:eastAsia="zh-Hans"/>
        </w:rPr>
        <w:t>或</w:t>
      </w:r>
      <w:r>
        <w:rPr>
          <w:rFonts w:ascii="微软雅黑" w:eastAsia="微软雅黑" w:hAnsi="微软雅黑"/>
          <w:color w:val="333333"/>
          <w:sz w:val="22"/>
        </w:rPr>
        <w:t>酷炫大屏，利用邮件的方式将邮件内容推送到用户邮箱，用户可以通过邮件打开仪表板和大屏。</w:t>
      </w:r>
    </w:p>
    <w:p w14:paraId="69D995E9" w14:textId="77777777" w:rsidR="008E6A47" w:rsidRDefault="00000000">
      <w:pPr>
        <w:snapToGrid w:val="0"/>
        <w:spacing w:before="60" w:after="60" w:line="312" w:lineRule="auto"/>
        <w:jc w:val="left"/>
        <w:rPr>
          <w:rFonts w:ascii="微软雅黑" w:eastAsia="微软雅黑" w:hAnsi="微软雅黑"/>
          <w:color w:val="333333"/>
          <w:sz w:val="22"/>
        </w:rPr>
      </w:pPr>
      <w:r>
        <w:rPr>
          <w:rFonts w:ascii="微软雅黑" w:eastAsia="微软雅黑" w:hAnsi="微软雅黑"/>
          <w:noProof/>
          <w:color w:val="333333"/>
          <w:sz w:val="22"/>
        </w:rPr>
        <w:drawing>
          <wp:inline distT="0" distB="0" distL="0" distR="0" wp14:anchorId="04CCAD98" wp14:editId="3B2C4C6D">
            <wp:extent cx="5760720" cy="22053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5760720" cy="2205275"/>
                    </a:xfrm>
                    <a:prstGeom prst="rect">
                      <a:avLst/>
                    </a:prstGeom>
                  </pic:spPr>
                </pic:pic>
              </a:graphicData>
            </a:graphic>
          </wp:inline>
        </w:drawing>
      </w:r>
    </w:p>
    <w:p w14:paraId="5B590913" w14:textId="77777777" w:rsidR="008E6A47" w:rsidRDefault="00000000">
      <w:pPr>
        <w:pStyle w:val="4"/>
        <w:snapToGrid w:val="0"/>
        <w:rPr>
          <w:rFonts w:ascii="微软雅黑" w:eastAsia="微软雅黑" w:hAnsi="微软雅黑"/>
        </w:rPr>
      </w:pPr>
      <w:r>
        <w:rPr>
          <w:rFonts w:ascii="微软雅黑" w:eastAsia="微软雅黑" w:hAnsi="微软雅黑"/>
        </w:rPr>
        <w:t>4.3.3、统计报表</w:t>
      </w:r>
    </w:p>
    <w:p w14:paraId="01BE114C" w14:textId="77777777" w:rsidR="008E6A47" w:rsidRDefault="00000000">
      <w:pPr>
        <w:snapToGrid w:val="0"/>
        <w:spacing w:before="60" w:after="60" w:line="312" w:lineRule="auto"/>
        <w:jc w:val="left"/>
        <w:rPr>
          <w:rFonts w:ascii="微软雅黑" w:eastAsia="微软雅黑" w:hAnsi="微软雅黑"/>
          <w:color w:val="333333"/>
          <w:sz w:val="22"/>
        </w:rPr>
      </w:pPr>
      <w:r>
        <w:rPr>
          <w:rFonts w:ascii="微软雅黑" w:eastAsia="微软雅黑" w:hAnsi="微软雅黑"/>
          <w:color w:val="333333"/>
          <w:sz w:val="22"/>
        </w:rPr>
        <w:t>数见-统计报表，为不动产领域的报表场景提供解决方案。</w:t>
      </w:r>
    </w:p>
    <w:p w14:paraId="73AA3998" w14:textId="77777777" w:rsidR="008E6A47" w:rsidRDefault="00000000">
      <w:pPr>
        <w:snapToGrid w:val="0"/>
        <w:spacing w:before="60" w:after="60" w:line="312" w:lineRule="auto"/>
        <w:jc w:val="left"/>
        <w:rPr>
          <w:rFonts w:ascii="微软雅黑" w:eastAsia="微软雅黑" w:hAnsi="微软雅黑"/>
          <w:color w:val="333333"/>
          <w:sz w:val="22"/>
        </w:rPr>
      </w:pPr>
      <w:r>
        <w:rPr>
          <w:rFonts w:ascii="微软雅黑" w:eastAsia="微软雅黑" w:hAnsi="微软雅黑"/>
          <w:color w:val="333333"/>
          <w:sz w:val="22"/>
        </w:rPr>
        <w:t>在统计报表中，可以直接基于数见的数据集，通过拖拉拽，创建高性能、可导出的明细报表，以及中国式复杂报表。</w:t>
      </w:r>
    </w:p>
    <w:p w14:paraId="647063C5" w14:textId="77777777" w:rsidR="008E6A47" w:rsidRDefault="00000000">
      <w:pPr>
        <w:snapToGrid w:val="0"/>
        <w:spacing w:before="60" w:after="60" w:line="312" w:lineRule="auto"/>
        <w:jc w:val="left"/>
        <w:rPr>
          <w:rFonts w:ascii="微软雅黑" w:eastAsia="微软雅黑" w:hAnsi="微软雅黑"/>
          <w:color w:val="333333"/>
          <w:sz w:val="22"/>
        </w:rPr>
      </w:pPr>
      <w:r>
        <w:rPr>
          <w:rFonts w:ascii="微软雅黑" w:eastAsia="微软雅黑" w:hAnsi="微软雅黑"/>
          <w:color w:val="333333"/>
          <w:sz w:val="22"/>
        </w:rPr>
        <w:t>在统计报表中，可以构建并支持如下报表的应用场景：网格报表、交叉报表、分组报表、主从报表、套打报表。</w:t>
      </w:r>
    </w:p>
    <w:p w14:paraId="46B06E88" w14:textId="77777777" w:rsidR="008E6A47" w:rsidRDefault="00000000">
      <w:pPr>
        <w:pStyle w:val="5"/>
        <w:snapToGrid w:val="0"/>
        <w:rPr>
          <w:rFonts w:ascii="微软雅黑" w:eastAsia="微软雅黑" w:hAnsi="微软雅黑"/>
        </w:rPr>
      </w:pPr>
      <w:r>
        <w:rPr>
          <w:rFonts w:ascii="微软雅黑" w:eastAsia="微软雅黑" w:hAnsi="微软雅黑"/>
        </w:rPr>
        <w:t>4.3.3.1、网格报表</w:t>
      </w:r>
    </w:p>
    <w:p w14:paraId="798D3BCF" w14:textId="77777777" w:rsidR="008E6A47" w:rsidRDefault="00000000">
      <w:pPr>
        <w:snapToGrid w:val="0"/>
        <w:spacing w:before="60" w:after="60" w:line="312" w:lineRule="auto"/>
        <w:jc w:val="left"/>
        <w:rPr>
          <w:rFonts w:ascii="微软雅黑" w:eastAsia="微软雅黑" w:hAnsi="微软雅黑"/>
          <w:color w:val="333333"/>
          <w:sz w:val="22"/>
        </w:rPr>
      </w:pPr>
      <w:r>
        <w:rPr>
          <w:rFonts w:ascii="微软雅黑" w:eastAsia="微软雅黑" w:hAnsi="微软雅黑"/>
          <w:color w:val="333333"/>
          <w:sz w:val="22"/>
        </w:rPr>
        <w:t>主要将大量的明细数据以表格的形式进行呈现，并辅以简单的样式和公式计算。</w:t>
      </w:r>
    </w:p>
    <w:p w14:paraId="3A3C5D53" w14:textId="77777777" w:rsidR="008E6A47" w:rsidRDefault="00000000">
      <w:pPr>
        <w:snapToGrid w:val="0"/>
        <w:spacing w:before="60" w:after="60" w:line="312" w:lineRule="auto"/>
        <w:jc w:val="left"/>
        <w:rPr>
          <w:rFonts w:ascii="微软雅黑" w:eastAsia="微软雅黑" w:hAnsi="微软雅黑"/>
          <w:color w:val="333333"/>
          <w:sz w:val="22"/>
        </w:rPr>
      </w:pPr>
      <w:r>
        <w:rPr>
          <w:rFonts w:ascii="微软雅黑" w:eastAsia="微软雅黑" w:hAnsi="微软雅黑"/>
          <w:noProof/>
          <w:color w:val="333333"/>
          <w:sz w:val="22"/>
        </w:rPr>
        <w:lastRenderedPageBreak/>
        <w:drawing>
          <wp:inline distT="0" distB="0" distL="0" distR="0" wp14:anchorId="2D7CD1E2" wp14:editId="288C8E3D">
            <wp:extent cx="5760720" cy="43383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0"/>
                    <a:stretch>
                      <a:fillRect/>
                    </a:stretch>
                  </pic:blipFill>
                  <pic:spPr>
                    <a:xfrm>
                      <a:off x="0" y="0"/>
                      <a:ext cx="5760720" cy="4338542"/>
                    </a:xfrm>
                    <a:prstGeom prst="rect">
                      <a:avLst/>
                    </a:prstGeom>
                  </pic:spPr>
                </pic:pic>
              </a:graphicData>
            </a:graphic>
          </wp:inline>
        </w:drawing>
      </w:r>
    </w:p>
    <w:p w14:paraId="38D50CFF" w14:textId="77777777" w:rsidR="008E6A47" w:rsidRDefault="00000000">
      <w:pPr>
        <w:pStyle w:val="5"/>
        <w:snapToGrid w:val="0"/>
        <w:rPr>
          <w:rFonts w:ascii="微软雅黑" w:eastAsia="微软雅黑" w:hAnsi="微软雅黑"/>
        </w:rPr>
      </w:pPr>
      <w:r>
        <w:rPr>
          <w:rFonts w:ascii="微软雅黑" w:eastAsia="微软雅黑" w:hAnsi="微软雅黑"/>
        </w:rPr>
        <w:t>4.3.3.2、交叉报表</w:t>
      </w:r>
    </w:p>
    <w:p w14:paraId="6060764A" w14:textId="77777777" w:rsidR="008E6A47" w:rsidRDefault="00000000">
      <w:pPr>
        <w:snapToGrid w:val="0"/>
        <w:spacing w:before="60" w:after="60" w:line="312" w:lineRule="auto"/>
        <w:jc w:val="left"/>
        <w:rPr>
          <w:rFonts w:ascii="微软雅黑" w:eastAsia="微软雅黑" w:hAnsi="微软雅黑"/>
          <w:color w:val="333333"/>
          <w:sz w:val="22"/>
        </w:rPr>
      </w:pPr>
      <w:r>
        <w:rPr>
          <w:rFonts w:ascii="微软雅黑" w:eastAsia="微软雅黑" w:hAnsi="微软雅黑"/>
          <w:color w:val="333333"/>
          <w:sz w:val="22"/>
        </w:rPr>
        <w:t>报表数据的行和列均动态，即行列决定数据显示。最常见的应用场景为数据横向转置和数据的多维度交叉分析。</w:t>
      </w:r>
    </w:p>
    <w:p w14:paraId="6FA6E50C" w14:textId="77777777" w:rsidR="008E6A47" w:rsidRDefault="00000000">
      <w:pPr>
        <w:snapToGrid w:val="0"/>
        <w:spacing w:before="60" w:after="60" w:line="312" w:lineRule="auto"/>
        <w:jc w:val="left"/>
        <w:rPr>
          <w:rFonts w:ascii="微软雅黑" w:eastAsia="微软雅黑" w:hAnsi="微软雅黑"/>
          <w:color w:val="333333"/>
          <w:sz w:val="22"/>
        </w:rPr>
      </w:pPr>
      <w:r>
        <w:rPr>
          <w:rFonts w:ascii="微软雅黑" w:eastAsia="微软雅黑" w:hAnsi="微软雅黑"/>
          <w:noProof/>
          <w:color w:val="6A737D"/>
          <w:szCs w:val="21"/>
          <w:shd w:val="clear" w:color="auto" w:fill="FFFFFF"/>
        </w:rPr>
        <w:drawing>
          <wp:inline distT="0" distB="0" distL="0" distR="0" wp14:anchorId="33398A69" wp14:editId="417FA63A">
            <wp:extent cx="5760720" cy="16065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1"/>
                    <a:stretch>
                      <a:fillRect/>
                    </a:stretch>
                  </pic:blipFill>
                  <pic:spPr>
                    <a:xfrm>
                      <a:off x="0" y="0"/>
                      <a:ext cx="5760720" cy="1606259"/>
                    </a:xfrm>
                    <a:prstGeom prst="rect">
                      <a:avLst/>
                    </a:prstGeom>
                  </pic:spPr>
                </pic:pic>
              </a:graphicData>
            </a:graphic>
          </wp:inline>
        </w:drawing>
      </w:r>
    </w:p>
    <w:p w14:paraId="70ADFA56" w14:textId="77777777" w:rsidR="008E6A47" w:rsidRDefault="00000000">
      <w:pPr>
        <w:pStyle w:val="5"/>
        <w:snapToGrid w:val="0"/>
        <w:rPr>
          <w:rFonts w:ascii="微软雅黑" w:eastAsia="微软雅黑" w:hAnsi="微软雅黑"/>
        </w:rPr>
      </w:pPr>
      <w:r>
        <w:rPr>
          <w:rFonts w:ascii="微软雅黑" w:eastAsia="微软雅黑" w:hAnsi="微软雅黑"/>
        </w:rPr>
        <w:t>4.3.3.2、分组报表</w:t>
      </w:r>
    </w:p>
    <w:p w14:paraId="5D69B48B" w14:textId="77777777" w:rsidR="008E6A47" w:rsidRDefault="00000000">
      <w:pPr>
        <w:snapToGrid w:val="0"/>
        <w:spacing w:before="60" w:after="60" w:line="312" w:lineRule="auto"/>
        <w:jc w:val="left"/>
        <w:rPr>
          <w:rFonts w:ascii="微软雅黑" w:eastAsia="微软雅黑" w:hAnsi="微软雅黑"/>
          <w:color w:val="333333"/>
          <w:sz w:val="22"/>
        </w:rPr>
      </w:pPr>
      <w:r>
        <w:rPr>
          <w:rFonts w:ascii="微软雅黑" w:eastAsia="微软雅黑" w:hAnsi="微软雅黑"/>
          <w:color w:val="333333"/>
          <w:sz w:val="22"/>
        </w:rPr>
        <w:t>数据按照分组的形式进行聚合展示，如果希望数据行按某个分类性质的字段进行分组显示，就需要为表格设置分组。</w:t>
      </w:r>
    </w:p>
    <w:p w14:paraId="3B4029B7" w14:textId="77777777" w:rsidR="008E6A47" w:rsidRDefault="00000000">
      <w:pPr>
        <w:snapToGrid w:val="0"/>
        <w:spacing w:before="60" w:after="60" w:line="312" w:lineRule="auto"/>
        <w:jc w:val="left"/>
        <w:rPr>
          <w:rFonts w:ascii="微软雅黑" w:eastAsia="微软雅黑" w:hAnsi="微软雅黑"/>
          <w:color w:val="333333"/>
          <w:sz w:val="22"/>
        </w:rPr>
      </w:pPr>
      <w:r>
        <w:rPr>
          <w:rFonts w:ascii="微软雅黑" w:eastAsia="微软雅黑" w:hAnsi="微软雅黑"/>
          <w:noProof/>
          <w:color w:val="6A737D"/>
          <w:szCs w:val="21"/>
          <w:shd w:val="clear" w:color="auto" w:fill="FFFFFF"/>
        </w:rPr>
        <w:lastRenderedPageBreak/>
        <w:drawing>
          <wp:inline distT="0" distB="0" distL="0" distR="0" wp14:anchorId="5918CEDE" wp14:editId="27C505A6">
            <wp:extent cx="5760720" cy="419925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2"/>
                    <a:stretch>
                      <a:fillRect/>
                    </a:stretch>
                  </pic:blipFill>
                  <pic:spPr>
                    <a:xfrm>
                      <a:off x="0" y="0"/>
                      <a:ext cx="5760720" cy="4199024"/>
                    </a:xfrm>
                    <a:prstGeom prst="rect">
                      <a:avLst/>
                    </a:prstGeom>
                  </pic:spPr>
                </pic:pic>
              </a:graphicData>
            </a:graphic>
          </wp:inline>
        </w:drawing>
      </w:r>
    </w:p>
    <w:p w14:paraId="278D1691" w14:textId="77777777" w:rsidR="008E6A47" w:rsidRDefault="00000000">
      <w:pPr>
        <w:pStyle w:val="5"/>
        <w:snapToGrid w:val="0"/>
        <w:rPr>
          <w:rFonts w:ascii="微软雅黑" w:eastAsia="微软雅黑" w:hAnsi="微软雅黑"/>
        </w:rPr>
      </w:pPr>
      <w:r>
        <w:rPr>
          <w:rFonts w:ascii="微软雅黑" w:eastAsia="微软雅黑" w:hAnsi="微软雅黑"/>
        </w:rPr>
        <w:t>4.3.3.2、主从报表</w:t>
      </w:r>
    </w:p>
    <w:p w14:paraId="6AA77E48" w14:textId="77777777" w:rsidR="008E6A47" w:rsidRDefault="00000000">
      <w:pPr>
        <w:snapToGrid w:val="0"/>
        <w:spacing w:before="60" w:after="60" w:line="312" w:lineRule="auto"/>
        <w:jc w:val="left"/>
        <w:rPr>
          <w:rFonts w:ascii="微软雅黑" w:eastAsia="微软雅黑" w:hAnsi="微软雅黑"/>
          <w:color w:val="333333"/>
          <w:sz w:val="22"/>
        </w:rPr>
      </w:pPr>
      <w:r>
        <w:rPr>
          <w:rFonts w:ascii="微软雅黑" w:eastAsia="微软雅黑" w:hAnsi="微软雅黑"/>
          <w:color w:val="333333"/>
          <w:sz w:val="22"/>
        </w:rPr>
        <w:t>嵌套报表：将一个表格中嵌套另一个表格</w:t>
      </w:r>
    </w:p>
    <w:p w14:paraId="36A4868B" w14:textId="77777777" w:rsidR="008E6A47" w:rsidRDefault="00000000">
      <w:pPr>
        <w:snapToGrid w:val="0"/>
        <w:spacing w:before="60" w:after="60" w:line="312" w:lineRule="auto"/>
        <w:jc w:val="left"/>
        <w:rPr>
          <w:rFonts w:ascii="微软雅黑" w:eastAsia="微软雅黑" w:hAnsi="微软雅黑"/>
          <w:color w:val="333333"/>
          <w:sz w:val="22"/>
        </w:rPr>
      </w:pPr>
      <w:r>
        <w:rPr>
          <w:rFonts w:ascii="微软雅黑" w:eastAsia="微软雅黑" w:hAnsi="微软雅黑"/>
          <w:color w:val="333333"/>
          <w:sz w:val="22"/>
        </w:rPr>
        <w:t>钻取报表：点击表格中的内容，钻取到另一个表格或者其他目标页面中</w:t>
      </w:r>
    </w:p>
    <w:p w14:paraId="60CA5C09" w14:textId="77777777" w:rsidR="008E6A47" w:rsidRDefault="00000000">
      <w:pPr>
        <w:snapToGrid w:val="0"/>
        <w:jc w:val="left"/>
        <w:rPr>
          <w:rFonts w:ascii="微软雅黑" w:eastAsia="微软雅黑" w:hAnsi="微软雅黑"/>
          <w:color w:val="333333"/>
          <w:sz w:val="22"/>
        </w:rPr>
      </w:pPr>
      <w:r>
        <w:rPr>
          <w:rFonts w:ascii="微软雅黑" w:eastAsia="微软雅黑" w:hAnsi="微软雅黑"/>
          <w:noProof/>
          <w:color w:val="6A737D"/>
          <w:szCs w:val="21"/>
          <w:shd w:val="clear" w:color="auto" w:fill="FFFFFF"/>
        </w:rPr>
        <w:lastRenderedPageBreak/>
        <w:drawing>
          <wp:inline distT="0" distB="0" distL="0" distR="0" wp14:anchorId="4C767377" wp14:editId="773884FA">
            <wp:extent cx="5760720" cy="354203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3"/>
                    <a:stretch>
                      <a:fillRect/>
                    </a:stretch>
                  </pic:blipFill>
                  <pic:spPr>
                    <a:xfrm>
                      <a:off x="0" y="0"/>
                      <a:ext cx="5760720" cy="3541942"/>
                    </a:xfrm>
                    <a:prstGeom prst="rect">
                      <a:avLst/>
                    </a:prstGeom>
                  </pic:spPr>
                </pic:pic>
              </a:graphicData>
            </a:graphic>
          </wp:inline>
        </w:drawing>
      </w:r>
    </w:p>
    <w:p w14:paraId="4E39A16E" w14:textId="77777777" w:rsidR="008E6A47" w:rsidRDefault="00000000">
      <w:pPr>
        <w:pStyle w:val="5"/>
        <w:snapToGrid w:val="0"/>
        <w:rPr>
          <w:rFonts w:ascii="微软雅黑" w:eastAsia="微软雅黑" w:hAnsi="微软雅黑"/>
        </w:rPr>
      </w:pPr>
      <w:r>
        <w:rPr>
          <w:rFonts w:ascii="微软雅黑" w:eastAsia="微软雅黑" w:hAnsi="微软雅黑"/>
        </w:rPr>
        <w:t>4.3.3.2、套打报表</w:t>
      </w:r>
    </w:p>
    <w:p w14:paraId="13F2E2D6" w14:textId="77777777" w:rsidR="008E6A47" w:rsidRDefault="00000000">
      <w:pPr>
        <w:snapToGrid w:val="0"/>
        <w:spacing w:before="60" w:after="60" w:line="312" w:lineRule="auto"/>
        <w:jc w:val="left"/>
        <w:rPr>
          <w:rFonts w:ascii="微软雅黑" w:eastAsia="微软雅黑" w:hAnsi="微软雅黑"/>
          <w:color w:val="333333"/>
          <w:sz w:val="22"/>
        </w:rPr>
      </w:pPr>
      <w:r>
        <w:rPr>
          <w:rFonts w:ascii="微软雅黑" w:eastAsia="微软雅黑" w:hAnsi="微软雅黑"/>
          <w:color w:val="333333"/>
          <w:sz w:val="22"/>
        </w:rPr>
        <w:t>套打也被称作定位打印，即在一张预设格式的票据上，在固定位置零误差打印上需要填写的数据内容。预设票据纸张可以理解为，在报表制作过程中，为报表设置为特定的报表背景（票据电子版），然后根据此背景设置需要填写的数据项及匹配的数据控件。因此打印时只打印数据，而整个背景不会输出到打印机中。</w:t>
      </w:r>
    </w:p>
    <w:p w14:paraId="67F4F877" w14:textId="77777777" w:rsidR="008E6A47" w:rsidRDefault="00000000">
      <w:pPr>
        <w:snapToGrid w:val="0"/>
        <w:spacing w:before="60" w:after="60" w:line="312" w:lineRule="auto"/>
        <w:jc w:val="left"/>
        <w:rPr>
          <w:rFonts w:ascii="微软雅黑" w:eastAsia="微软雅黑" w:hAnsi="微软雅黑"/>
          <w:color w:val="6A737D"/>
          <w:szCs w:val="21"/>
          <w:shd w:val="clear" w:color="auto" w:fill="FFFFFF"/>
        </w:rPr>
      </w:pPr>
      <w:r>
        <w:rPr>
          <w:rFonts w:ascii="微软雅黑" w:eastAsia="微软雅黑" w:hAnsi="微软雅黑"/>
          <w:noProof/>
          <w:color w:val="6A737D"/>
          <w:szCs w:val="21"/>
          <w:shd w:val="clear" w:color="auto" w:fill="FFFFFF"/>
        </w:rPr>
        <w:lastRenderedPageBreak/>
        <w:drawing>
          <wp:inline distT="0" distB="0" distL="0" distR="0" wp14:anchorId="4E526879" wp14:editId="4A7EDB53">
            <wp:extent cx="5760720" cy="445516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5760720" cy="4454846"/>
                    </a:xfrm>
                    <a:prstGeom prst="rect">
                      <a:avLst/>
                    </a:prstGeom>
                  </pic:spPr>
                </pic:pic>
              </a:graphicData>
            </a:graphic>
          </wp:inline>
        </w:drawing>
      </w:r>
    </w:p>
    <w:p w14:paraId="3BECED6F" w14:textId="77777777" w:rsidR="008E6A47" w:rsidRDefault="008E6A47">
      <w:pPr>
        <w:snapToGrid w:val="0"/>
        <w:spacing w:before="60" w:after="60" w:line="312" w:lineRule="auto"/>
        <w:jc w:val="left"/>
        <w:rPr>
          <w:rFonts w:ascii="微软雅黑" w:eastAsia="微软雅黑" w:hAnsi="微软雅黑"/>
          <w:color w:val="333333"/>
          <w:sz w:val="22"/>
        </w:rPr>
      </w:pPr>
    </w:p>
    <w:p w14:paraId="0B5D8D00" w14:textId="77777777" w:rsidR="008E6A47" w:rsidRDefault="00000000">
      <w:pPr>
        <w:pStyle w:val="4"/>
        <w:snapToGrid w:val="0"/>
        <w:rPr>
          <w:rFonts w:ascii="微软雅黑" w:eastAsia="微软雅黑" w:hAnsi="微软雅黑"/>
        </w:rPr>
      </w:pPr>
      <w:r>
        <w:rPr>
          <w:rFonts w:ascii="微软雅黑" w:eastAsia="微软雅黑" w:hAnsi="微软雅黑"/>
        </w:rPr>
        <w:t>4.3.4、会议报告</w:t>
      </w:r>
    </w:p>
    <w:p w14:paraId="1EF6EC07" w14:textId="77777777" w:rsidR="008E6A47" w:rsidRDefault="00000000">
      <w:pPr>
        <w:snapToGrid w:val="0"/>
        <w:spacing w:before="60" w:after="60" w:line="312" w:lineRule="auto"/>
        <w:jc w:val="left"/>
        <w:rPr>
          <w:rFonts w:ascii="微软雅黑" w:eastAsia="微软雅黑" w:hAnsi="微软雅黑"/>
          <w:color w:val="333333"/>
          <w:sz w:val="22"/>
        </w:rPr>
      </w:pPr>
      <w:r>
        <w:rPr>
          <w:rFonts w:ascii="微软雅黑" w:eastAsia="微软雅黑" w:hAnsi="微软雅黑"/>
          <w:color w:val="333333"/>
          <w:sz w:val="22"/>
        </w:rPr>
        <w:t>数字化在线会议报告，采用类PPT的便捷交互模式，帮助用户实现数据动态生成，快速完成报告编辑，可协同编辑、可导出、可归档，会议时多人同时在线访问。</w:t>
      </w:r>
    </w:p>
    <w:p w14:paraId="01C996C6" w14:textId="77777777" w:rsidR="008E6A47" w:rsidRDefault="00000000">
      <w:pPr>
        <w:snapToGrid w:val="0"/>
        <w:spacing w:before="60" w:after="60" w:line="312" w:lineRule="auto"/>
        <w:jc w:val="left"/>
        <w:rPr>
          <w:rFonts w:ascii="微软雅黑" w:eastAsia="微软雅黑" w:hAnsi="微软雅黑"/>
          <w:color w:val="333333"/>
          <w:sz w:val="22"/>
        </w:rPr>
      </w:pPr>
      <w:r>
        <w:rPr>
          <w:rFonts w:ascii="微软雅黑" w:eastAsia="微软雅黑" w:hAnsi="微软雅黑"/>
          <w:color w:val="333333"/>
          <w:sz w:val="22"/>
        </w:rPr>
        <w:t>通过上述功能，会议报告帮助报告编辑者快速提升数字化会议报告出具效率，释放出人力更关注于报告数据内容的分析，为数字化会议报告场景提供高效的工具。</w:t>
      </w:r>
    </w:p>
    <w:p w14:paraId="2DA9CF52" w14:textId="77777777" w:rsidR="008E6A47" w:rsidRDefault="00000000">
      <w:pPr>
        <w:pStyle w:val="5"/>
        <w:snapToGrid w:val="0"/>
        <w:rPr>
          <w:rFonts w:ascii="微软雅黑" w:eastAsia="微软雅黑" w:hAnsi="微软雅黑"/>
        </w:rPr>
      </w:pPr>
      <w:r>
        <w:rPr>
          <w:rFonts w:ascii="微软雅黑" w:eastAsia="微软雅黑" w:hAnsi="微软雅黑"/>
        </w:rPr>
        <w:t>4.3.4.1、线下PPT无缝衔接</w:t>
      </w:r>
    </w:p>
    <w:p w14:paraId="668348C4" w14:textId="77777777" w:rsidR="008E6A47" w:rsidRDefault="00000000">
      <w:pPr>
        <w:snapToGrid w:val="0"/>
        <w:spacing w:before="60" w:after="60" w:line="312" w:lineRule="auto"/>
        <w:jc w:val="left"/>
        <w:rPr>
          <w:rFonts w:ascii="微软雅黑" w:eastAsia="微软雅黑" w:hAnsi="微软雅黑"/>
          <w:color w:val="333333"/>
          <w:sz w:val="22"/>
        </w:rPr>
      </w:pPr>
      <w:r>
        <w:rPr>
          <w:rFonts w:ascii="微软雅黑" w:eastAsia="微软雅黑" w:hAnsi="微软雅黑"/>
          <w:color w:val="333333"/>
          <w:sz w:val="22"/>
        </w:rPr>
        <w:t>线下模板导入，在线编辑；在线报告导出后再编辑。无缝衔接快速制作。</w:t>
      </w:r>
    </w:p>
    <w:p w14:paraId="558B7F16" w14:textId="77777777" w:rsidR="008E6A47" w:rsidRDefault="00000000">
      <w:pPr>
        <w:snapToGrid w:val="0"/>
        <w:spacing w:before="60" w:after="60" w:line="312" w:lineRule="auto"/>
        <w:jc w:val="left"/>
        <w:rPr>
          <w:rFonts w:ascii="微软雅黑" w:eastAsia="微软雅黑" w:hAnsi="微软雅黑"/>
          <w:color w:val="333333"/>
          <w:sz w:val="22"/>
        </w:rPr>
      </w:pPr>
      <w:r>
        <w:rPr>
          <w:rFonts w:ascii="微软雅黑" w:eastAsia="微软雅黑" w:hAnsi="微软雅黑"/>
          <w:noProof/>
          <w:color w:val="333333"/>
          <w:sz w:val="22"/>
        </w:rPr>
        <w:lastRenderedPageBreak/>
        <w:drawing>
          <wp:inline distT="0" distB="0" distL="0" distR="0" wp14:anchorId="7FB0D22B" wp14:editId="3D7BC5B7">
            <wp:extent cx="5760720" cy="31953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5"/>
                    <a:stretch>
                      <a:fillRect/>
                    </a:stretch>
                  </pic:blipFill>
                  <pic:spPr>
                    <a:xfrm>
                      <a:off x="0" y="0"/>
                      <a:ext cx="5760720" cy="3195399"/>
                    </a:xfrm>
                    <a:prstGeom prst="rect">
                      <a:avLst/>
                    </a:prstGeom>
                  </pic:spPr>
                </pic:pic>
              </a:graphicData>
            </a:graphic>
          </wp:inline>
        </w:drawing>
      </w:r>
    </w:p>
    <w:p w14:paraId="639760CE" w14:textId="77777777" w:rsidR="008E6A47" w:rsidRDefault="00000000">
      <w:pPr>
        <w:pStyle w:val="5"/>
        <w:snapToGrid w:val="0"/>
        <w:rPr>
          <w:rFonts w:ascii="微软雅黑" w:eastAsia="微软雅黑" w:hAnsi="微软雅黑"/>
        </w:rPr>
      </w:pPr>
      <w:r>
        <w:rPr>
          <w:rFonts w:ascii="微软雅黑" w:eastAsia="微软雅黑" w:hAnsi="微软雅黑"/>
        </w:rPr>
        <w:t>4.3.4.2、动静态数据轻松获取</w:t>
      </w:r>
    </w:p>
    <w:p w14:paraId="4169BBAB" w14:textId="77777777" w:rsidR="008E6A47" w:rsidRDefault="00000000">
      <w:pPr>
        <w:snapToGrid w:val="0"/>
        <w:spacing w:before="60" w:after="60" w:line="312" w:lineRule="auto"/>
        <w:jc w:val="left"/>
        <w:rPr>
          <w:rFonts w:ascii="微软雅黑" w:eastAsia="微软雅黑" w:hAnsi="微软雅黑"/>
          <w:color w:val="333333"/>
          <w:sz w:val="22"/>
        </w:rPr>
      </w:pPr>
      <w:r>
        <w:rPr>
          <w:rFonts w:ascii="微软雅黑" w:eastAsia="微软雅黑" w:hAnsi="微软雅黑"/>
          <w:color w:val="333333"/>
          <w:sz w:val="22"/>
        </w:rPr>
        <w:t>类PPT手工录入，轻松收集数据制作静态图表；类BI工具拖拽式交互，轻松获取数据制作动态图表；独创动态报告页，工程巡检记录批量生成。</w:t>
      </w:r>
    </w:p>
    <w:p w14:paraId="10515A21" w14:textId="77777777" w:rsidR="008E6A47" w:rsidRDefault="00000000">
      <w:pPr>
        <w:snapToGrid w:val="0"/>
        <w:spacing w:before="60" w:after="60" w:line="312" w:lineRule="auto"/>
        <w:jc w:val="left"/>
        <w:rPr>
          <w:rFonts w:ascii="微软雅黑" w:eastAsia="微软雅黑" w:hAnsi="微软雅黑"/>
          <w:color w:val="333333"/>
          <w:sz w:val="22"/>
        </w:rPr>
      </w:pPr>
      <w:r>
        <w:rPr>
          <w:rFonts w:ascii="微软雅黑" w:eastAsia="微软雅黑" w:hAnsi="微软雅黑"/>
          <w:noProof/>
          <w:color w:val="333333"/>
          <w:sz w:val="22"/>
        </w:rPr>
        <w:drawing>
          <wp:inline distT="0" distB="0" distL="0" distR="0" wp14:anchorId="505CCE54" wp14:editId="136445FC">
            <wp:extent cx="5760720" cy="258762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6"/>
                    <a:stretch>
                      <a:fillRect/>
                    </a:stretch>
                  </pic:blipFill>
                  <pic:spPr>
                    <a:xfrm>
                      <a:off x="0" y="0"/>
                      <a:ext cx="5760720" cy="2587823"/>
                    </a:xfrm>
                    <a:prstGeom prst="rect">
                      <a:avLst/>
                    </a:prstGeom>
                  </pic:spPr>
                </pic:pic>
              </a:graphicData>
            </a:graphic>
          </wp:inline>
        </w:drawing>
      </w:r>
    </w:p>
    <w:p w14:paraId="1BFB50A6" w14:textId="77777777" w:rsidR="008E6A47" w:rsidRDefault="00000000">
      <w:pPr>
        <w:pStyle w:val="5"/>
        <w:snapToGrid w:val="0"/>
        <w:rPr>
          <w:rFonts w:ascii="微软雅黑" w:eastAsia="微软雅黑" w:hAnsi="微软雅黑"/>
        </w:rPr>
      </w:pPr>
      <w:r>
        <w:rPr>
          <w:rFonts w:ascii="微软雅黑" w:eastAsia="微软雅黑" w:hAnsi="微软雅黑"/>
        </w:rPr>
        <w:t>4.3.4.3、按周期一键生成</w:t>
      </w:r>
    </w:p>
    <w:p w14:paraId="1351ADAD" w14:textId="77777777" w:rsidR="008E6A47" w:rsidRDefault="00000000">
      <w:pPr>
        <w:snapToGrid w:val="0"/>
        <w:spacing w:before="60" w:after="60" w:line="312" w:lineRule="auto"/>
        <w:jc w:val="left"/>
        <w:rPr>
          <w:rFonts w:ascii="微软雅黑" w:eastAsia="微软雅黑" w:hAnsi="微软雅黑"/>
          <w:color w:val="333333"/>
          <w:sz w:val="22"/>
        </w:rPr>
      </w:pPr>
      <w:r>
        <w:rPr>
          <w:rFonts w:ascii="微软雅黑" w:eastAsia="微软雅黑" w:hAnsi="微软雅黑"/>
          <w:color w:val="333333"/>
          <w:sz w:val="22"/>
        </w:rPr>
        <w:t>通过全局筛选实现报告按周期、按项目等维度一键切换，快速生成报告数据。</w:t>
      </w:r>
    </w:p>
    <w:p w14:paraId="3F807042" w14:textId="77777777" w:rsidR="008E6A47" w:rsidRDefault="00000000">
      <w:pPr>
        <w:snapToGrid w:val="0"/>
        <w:spacing w:before="60" w:after="60" w:line="312" w:lineRule="auto"/>
        <w:jc w:val="left"/>
        <w:rPr>
          <w:rFonts w:ascii="微软雅黑" w:eastAsia="微软雅黑" w:hAnsi="微软雅黑"/>
          <w:color w:val="333333"/>
          <w:sz w:val="22"/>
        </w:rPr>
      </w:pPr>
      <w:r>
        <w:rPr>
          <w:rFonts w:ascii="微软雅黑" w:eastAsia="微软雅黑" w:hAnsi="微软雅黑"/>
          <w:noProof/>
          <w:color w:val="333333"/>
          <w:sz w:val="22"/>
        </w:rPr>
        <w:lastRenderedPageBreak/>
        <w:drawing>
          <wp:inline distT="0" distB="0" distL="0" distR="0" wp14:anchorId="08DD8361" wp14:editId="3505E7DF">
            <wp:extent cx="5760720" cy="299212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7"/>
                    <a:stretch>
                      <a:fillRect/>
                    </a:stretch>
                  </pic:blipFill>
                  <pic:spPr>
                    <a:xfrm>
                      <a:off x="0" y="0"/>
                      <a:ext cx="5760720" cy="2992098"/>
                    </a:xfrm>
                    <a:prstGeom prst="rect">
                      <a:avLst/>
                    </a:prstGeom>
                  </pic:spPr>
                </pic:pic>
              </a:graphicData>
            </a:graphic>
          </wp:inline>
        </w:drawing>
      </w:r>
    </w:p>
    <w:p w14:paraId="3D5F6679" w14:textId="77777777" w:rsidR="008E6A47" w:rsidRDefault="00000000">
      <w:pPr>
        <w:pStyle w:val="5"/>
        <w:snapToGrid w:val="0"/>
        <w:rPr>
          <w:rFonts w:ascii="微软雅黑" w:eastAsia="微软雅黑" w:hAnsi="微软雅黑"/>
        </w:rPr>
      </w:pPr>
      <w:r>
        <w:rPr>
          <w:rFonts w:ascii="微软雅黑" w:eastAsia="微软雅黑" w:hAnsi="微软雅黑"/>
        </w:rPr>
        <w:t>4.3.4.4、拍照存档便捷管理</w:t>
      </w:r>
    </w:p>
    <w:p w14:paraId="0FEB0946" w14:textId="77777777" w:rsidR="008E6A47" w:rsidRDefault="00000000">
      <w:pPr>
        <w:snapToGrid w:val="0"/>
        <w:spacing w:before="60" w:after="60" w:line="312" w:lineRule="auto"/>
        <w:jc w:val="left"/>
        <w:rPr>
          <w:rFonts w:ascii="微软雅黑" w:eastAsia="微软雅黑" w:hAnsi="微软雅黑"/>
          <w:color w:val="333333"/>
          <w:sz w:val="22"/>
        </w:rPr>
      </w:pPr>
      <w:r>
        <w:rPr>
          <w:rFonts w:ascii="微软雅黑" w:eastAsia="微软雅黑" w:hAnsi="微软雅黑"/>
          <w:color w:val="333333"/>
          <w:sz w:val="22"/>
        </w:rPr>
        <w:t>自动生成的报告可编辑增加总结性描述，定期存档快照，便于留档、回溯。存档报告可随时查看、播放、导出。</w:t>
      </w:r>
    </w:p>
    <w:p w14:paraId="46CF89B0" w14:textId="77777777" w:rsidR="008E6A47" w:rsidRDefault="00000000">
      <w:pPr>
        <w:snapToGrid w:val="0"/>
        <w:spacing w:before="60" w:after="60" w:line="312" w:lineRule="auto"/>
        <w:jc w:val="left"/>
        <w:rPr>
          <w:rFonts w:ascii="微软雅黑" w:eastAsia="微软雅黑" w:hAnsi="微软雅黑"/>
          <w:color w:val="333333"/>
          <w:sz w:val="22"/>
        </w:rPr>
      </w:pPr>
      <w:r>
        <w:rPr>
          <w:rFonts w:ascii="微软雅黑" w:eastAsia="微软雅黑" w:hAnsi="微软雅黑"/>
          <w:noProof/>
          <w:color w:val="333333"/>
          <w:sz w:val="22"/>
        </w:rPr>
        <w:drawing>
          <wp:inline distT="0" distB="0" distL="0" distR="0" wp14:anchorId="3E9D225D" wp14:editId="2D3C2726">
            <wp:extent cx="5760720" cy="299847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8"/>
                    <a:stretch>
                      <a:fillRect/>
                    </a:stretch>
                  </pic:blipFill>
                  <pic:spPr>
                    <a:xfrm>
                      <a:off x="0" y="0"/>
                      <a:ext cx="5760720" cy="2998626"/>
                    </a:xfrm>
                    <a:prstGeom prst="rect">
                      <a:avLst/>
                    </a:prstGeom>
                  </pic:spPr>
                </pic:pic>
              </a:graphicData>
            </a:graphic>
          </wp:inline>
        </w:drawing>
      </w:r>
    </w:p>
    <w:p w14:paraId="22E1F4D0" w14:textId="77777777" w:rsidR="008E6A47" w:rsidRDefault="00000000">
      <w:pPr>
        <w:pStyle w:val="5"/>
        <w:snapToGrid w:val="0"/>
        <w:rPr>
          <w:rFonts w:ascii="微软雅黑" w:eastAsia="微软雅黑" w:hAnsi="微软雅黑"/>
        </w:rPr>
      </w:pPr>
      <w:r>
        <w:rPr>
          <w:rFonts w:ascii="微软雅黑" w:eastAsia="微软雅黑" w:hAnsi="微软雅黑"/>
        </w:rPr>
        <w:t>4.3.4.5、按页加锁多人协同</w:t>
      </w:r>
    </w:p>
    <w:p w14:paraId="51799B2A" w14:textId="77777777" w:rsidR="008E6A47" w:rsidRDefault="00000000">
      <w:pPr>
        <w:snapToGrid w:val="0"/>
        <w:spacing w:before="60" w:after="60" w:line="312" w:lineRule="auto"/>
        <w:jc w:val="left"/>
        <w:rPr>
          <w:rFonts w:ascii="微软雅黑" w:eastAsia="微软雅黑" w:hAnsi="微软雅黑"/>
          <w:color w:val="333333"/>
          <w:sz w:val="22"/>
        </w:rPr>
      </w:pPr>
      <w:r>
        <w:rPr>
          <w:rFonts w:ascii="微软雅黑" w:eastAsia="微软雅黑" w:hAnsi="微软雅黑"/>
          <w:color w:val="333333"/>
          <w:sz w:val="22"/>
        </w:rPr>
        <w:t>多人在线协同，按页加锁，实现不同业务领域、不同角色用户协作输出同一份报告，告别频繁合并文档的重复工作。</w:t>
      </w:r>
    </w:p>
    <w:p w14:paraId="41427EA9" w14:textId="77777777" w:rsidR="008E6A47" w:rsidRDefault="00000000">
      <w:pPr>
        <w:snapToGrid w:val="0"/>
        <w:spacing w:before="60" w:after="60" w:line="312" w:lineRule="auto"/>
        <w:jc w:val="left"/>
        <w:rPr>
          <w:rFonts w:ascii="微软雅黑" w:eastAsia="微软雅黑" w:hAnsi="微软雅黑"/>
          <w:color w:val="333333"/>
          <w:sz w:val="22"/>
        </w:rPr>
      </w:pPr>
      <w:r>
        <w:rPr>
          <w:rFonts w:ascii="微软雅黑" w:eastAsia="微软雅黑" w:hAnsi="微软雅黑"/>
          <w:noProof/>
          <w:color w:val="333333"/>
          <w:sz w:val="22"/>
        </w:rPr>
        <w:lastRenderedPageBreak/>
        <w:drawing>
          <wp:inline distT="0" distB="0" distL="0" distR="0" wp14:anchorId="77B69CB7" wp14:editId="33A7165C">
            <wp:extent cx="5760720" cy="160210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9"/>
                    <a:stretch>
                      <a:fillRect/>
                    </a:stretch>
                  </pic:blipFill>
                  <pic:spPr>
                    <a:xfrm>
                      <a:off x="0" y="0"/>
                      <a:ext cx="5760720" cy="1602200"/>
                    </a:xfrm>
                    <a:prstGeom prst="rect">
                      <a:avLst/>
                    </a:prstGeom>
                  </pic:spPr>
                </pic:pic>
              </a:graphicData>
            </a:graphic>
          </wp:inline>
        </w:drawing>
      </w:r>
    </w:p>
    <w:p w14:paraId="2F020285" w14:textId="77777777" w:rsidR="008E6A47" w:rsidRDefault="00000000">
      <w:pPr>
        <w:pStyle w:val="3"/>
        <w:snapToGrid w:val="0"/>
        <w:rPr>
          <w:rFonts w:ascii="微软雅黑" w:eastAsia="微软雅黑" w:hAnsi="微软雅黑"/>
        </w:rPr>
      </w:pPr>
      <w:bookmarkStart w:id="9" w:name="_Toc1540133406"/>
      <w:r>
        <w:rPr>
          <w:rFonts w:ascii="微软雅黑" w:eastAsia="微软雅黑" w:hAnsi="微软雅黑"/>
        </w:rPr>
        <w:t>4.4、数据门户</w:t>
      </w:r>
      <w:bookmarkEnd w:id="9"/>
    </w:p>
    <w:p w14:paraId="7B277C15" w14:textId="77777777" w:rsidR="008E6A47" w:rsidRDefault="00000000">
      <w:pPr>
        <w:snapToGrid w:val="0"/>
        <w:spacing w:before="60" w:after="60" w:line="312" w:lineRule="auto"/>
        <w:jc w:val="left"/>
        <w:rPr>
          <w:rFonts w:ascii="微软雅黑" w:eastAsia="微软雅黑" w:hAnsi="微软雅黑"/>
          <w:color w:val="333333"/>
          <w:sz w:val="22"/>
        </w:rPr>
      </w:pPr>
      <w:r>
        <w:rPr>
          <w:rFonts w:ascii="微软雅黑" w:eastAsia="微软雅黑" w:hAnsi="微软雅黑"/>
          <w:color w:val="333333"/>
          <w:sz w:val="22"/>
        </w:rPr>
        <w:t>数据门户是数据应用的查看载体。通过数据门户，可以按照业务主题进行导航菜单设计，将发布的数据报告挂接到菜单中，形成特定场景主题的解决方案，如营销分析、财务分析等。对于每一类场景主题，可针对不同角色设置不同的数据权限，快速搭建千人千面的全套数据主题展示，进而帮助用户实现沉淀领域知识、以推动数据驱动业务价值提升的目标。</w:t>
      </w:r>
    </w:p>
    <w:p w14:paraId="34D034AE" w14:textId="77777777" w:rsidR="008E6A47" w:rsidRDefault="00000000">
      <w:pPr>
        <w:pStyle w:val="4"/>
        <w:snapToGrid w:val="0"/>
        <w:rPr>
          <w:rFonts w:ascii="微软雅黑" w:eastAsia="微软雅黑" w:hAnsi="微软雅黑"/>
        </w:rPr>
      </w:pPr>
      <w:r>
        <w:rPr>
          <w:rFonts w:ascii="微软雅黑" w:eastAsia="微软雅黑" w:hAnsi="微软雅黑"/>
        </w:rPr>
        <w:t>4.4.1、自定义数据门户</w:t>
      </w:r>
    </w:p>
    <w:p w14:paraId="3281C536" w14:textId="77777777" w:rsidR="008E6A47" w:rsidRDefault="00000000">
      <w:pPr>
        <w:snapToGrid w:val="0"/>
        <w:spacing w:before="60" w:after="60" w:line="312" w:lineRule="auto"/>
        <w:jc w:val="left"/>
        <w:rPr>
          <w:rFonts w:ascii="微软雅黑" w:eastAsia="微软雅黑" w:hAnsi="微软雅黑"/>
          <w:color w:val="333333"/>
          <w:sz w:val="22"/>
        </w:rPr>
      </w:pPr>
      <w:r>
        <w:rPr>
          <w:rFonts w:ascii="微软雅黑" w:eastAsia="微软雅黑" w:hAnsi="微软雅黑"/>
          <w:color w:val="333333"/>
          <w:sz w:val="22"/>
        </w:rPr>
        <w:t>用户可根据业务需求自定义门户标题、名称、三级菜单导航，无缝挂接仪表板、酷炫大屏及移动报告，并与其数据的行、列权限打通，无需重复配置。</w:t>
      </w:r>
    </w:p>
    <w:p w14:paraId="377785D4" w14:textId="77777777" w:rsidR="008E6A47" w:rsidRDefault="00000000">
      <w:pPr>
        <w:snapToGrid w:val="0"/>
        <w:spacing w:before="60" w:after="60" w:line="312" w:lineRule="auto"/>
        <w:jc w:val="left"/>
        <w:rPr>
          <w:rFonts w:ascii="微软雅黑" w:eastAsia="微软雅黑" w:hAnsi="微软雅黑"/>
          <w:color w:val="333333"/>
          <w:sz w:val="22"/>
        </w:rPr>
      </w:pPr>
      <w:r>
        <w:rPr>
          <w:rFonts w:ascii="微软雅黑" w:eastAsia="微软雅黑" w:hAnsi="微软雅黑"/>
          <w:noProof/>
          <w:color w:val="333333"/>
          <w:sz w:val="22"/>
        </w:rPr>
        <w:drawing>
          <wp:inline distT="0" distB="0" distL="0" distR="0" wp14:anchorId="2C11A742" wp14:editId="3C4A4EAB">
            <wp:extent cx="5760720" cy="378015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0"/>
                    <a:stretch>
                      <a:fillRect/>
                    </a:stretch>
                  </pic:blipFill>
                  <pic:spPr>
                    <a:xfrm>
                      <a:off x="0" y="0"/>
                      <a:ext cx="5760720" cy="3780472"/>
                    </a:xfrm>
                    <a:prstGeom prst="rect">
                      <a:avLst/>
                    </a:prstGeom>
                  </pic:spPr>
                </pic:pic>
              </a:graphicData>
            </a:graphic>
          </wp:inline>
        </w:drawing>
      </w:r>
    </w:p>
    <w:p w14:paraId="7F55EE5A" w14:textId="77777777" w:rsidR="008E6A47" w:rsidRDefault="00000000">
      <w:pPr>
        <w:pStyle w:val="4"/>
        <w:snapToGrid w:val="0"/>
        <w:rPr>
          <w:rFonts w:ascii="微软雅黑" w:eastAsia="微软雅黑" w:hAnsi="微软雅黑"/>
        </w:rPr>
      </w:pPr>
      <w:r>
        <w:rPr>
          <w:rFonts w:ascii="微软雅黑" w:eastAsia="微软雅黑" w:hAnsi="微软雅黑"/>
        </w:rPr>
        <w:lastRenderedPageBreak/>
        <w:t>4.4.2、门户应用</w:t>
      </w:r>
    </w:p>
    <w:p w14:paraId="1EA5F8D2" w14:textId="77777777" w:rsidR="008E6A47" w:rsidRDefault="00000000">
      <w:pPr>
        <w:snapToGrid w:val="0"/>
        <w:spacing w:before="60" w:after="60" w:line="312" w:lineRule="auto"/>
        <w:jc w:val="left"/>
        <w:rPr>
          <w:rFonts w:ascii="微软雅黑" w:eastAsia="微软雅黑" w:hAnsi="微软雅黑"/>
          <w:color w:val="333333"/>
          <w:sz w:val="22"/>
        </w:rPr>
      </w:pPr>
      <w:r>
        <w:rPr>
          <w:rFonts w:ascii="微软雅黑" w:eastAsia="微软雅黑" w:hAnsi="微软雅黑"/>
          <w:color w:val="333333"/>
          <w:sz w:val="22"/>
        </w:rPr>
        <w:t>用户可根据需求访问业务主题门户，实现业务洞察。</w:t>
      </w:r>
    </w:p>
    <w:p w14:paraId="60474928" w14:textId="77777777" w:rsidR="008E6A47" w:rsidRDefault="00000000">
      <w:pPr>
        <w:snapToGrid w:val="0"/>
        <w:spacing w:before="60" w:after="60" w:line="312" w:lineRule="auto"/>
        <w:jc w:val="left"/>
        <w:rPr>
          <w:rFonts w:ascii="微软雅黑" w:eastAsia="微软雅黑" w:hAnsi="微软雅黑"/>
          <w:b/>
          <w:bCs/>
          <w:color w:val="333333"/>
          <w:sz w:val="22"/>
        </w:rPr>
      </w:pPr>
      <w:r>
        <w:rPr>
          <w:rFonts w:ascii="微软雅黑" w:eastAsia="微软雅黑" w:hAnsi="微软雅黑"/>
          <w:b/>
          <w:bCs/>
          <w:noProof/>
          <w:color w:val="333333"/>
          <w:sz w:val="22"/>
        </w:rPr>
        <w:drawing>
          <wp:inline distT="0" distB="0" distL="0" distR="0" wp14:anchorId="09B8B8BC" wp14:editId="0E93CA22">
            <wp:extent cx="5760720" cy="310070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1"/>
                    <a:stretch>
                      <a:fillRect/>
                    </a:stretch>
                  </pic:blipFill>
                  <pic:spPr>
                    <a:xfrm>
                      <a:off x="0" y="0"/>
                      <a:ext cx="5760720" cy="3100887"/>
                    </a:xfrm>
                    <a:prstGeom prst="rect">
                      <a:avLst/>
                    </a:prstGeom>
                  </pic:spPr>
                </pic:pic>
              </a:graphicData>
            </a:graphic>
          </wp:inline>
        </w:drawing>
      </w:r>
    </w:p>
    <w:p w14:paraId="29CE7E91" w14:textId="77777777" w:rsidR="008E6A47" w:rsidRDefault="008E6A47">
      <w:pPr>
        <w:snapToGrid w:val="0"/>
        <w:spacing w:before="60" w:after="60" w:line="312" w:lineRule="auto"/>
        <w:jc w:val="left"/>
        <w:rPr>
          <w:rFonts w:ascii="微软雅黑" w:eastAsia="微软雅黑" w:hAnsi="微软雅黑"/>
          <w:color w:val="333333"/>
          <w:sz w:val="22"/>
        </w:rPr>
      </w:pPr>
    </w:p>
    <w:p w14:paraId="71DA3DE4" w14:textId="77777777" w:rsidR="008E6A47" w:rsidRDefault="00000000">
      <w:pPr>
        <w:pStyle w:val="3"/>
        <w:snapToGrid w:val="0"/>
        <w:rPr>
          <w:rFonts w:ascii="微软雅黑" w:eastAsia="微软雅黑" w:hAnsi="微软雅黑"/>
        </w:rPr>
      </w:pPr>
      <w:bookmarkStart w:id="10" w:name="_Toc1401757351"/>
      <w:r>
        <w:rPr>
          <w:rFonts w:ascii="微软雅黑" w:eastAsia="微软雅黑" w:hAnsi="微软雅黑"/>
        </w:rPr>
        <w:t>4.5、系统管理</w:t>
      </w:r>
      <w:bookmarkEnd w:id="10"/>
    </w:p>
    <w:p w14:paraId="5C853D07" w14:textId="77777777" w:rsidR="008E6A47" w:rsidRDefault="00000000">
      <w:pPr>
        <w:pStyle w:val="4"/>
        <w:snapToGrid w:val="0"/>
        <w:rPr>
          <w:rFonts w:ascii="微软雅黑" w:eastAsia="微软雅黑" w:hAnsi="微软雅黑"/>
        </w:rPr>
      </w:pPr>
      <w:r>
        <w:rPr>
          <w:rFonts w:ascii="微软雅黑" w:eastAsia="微软雅黑" w:hAnsi="微软雅黑"/>
        </w:rPr>
        <w:t>4.5.1、权限管理</w:t>
      </w:r>
    </w:p>
    <w:p w14:paraId="7E831047" w14:textId="77777777" w:rsidR="008E6A47" w:rsidRDefault="00000000">
      <w:pPr>
        <w:snapToGrid w:val="0"/>
        <w:spacing w:before="60" w:after="60" w:line="312" w:lineRule="auto"/>
        <w:jc w:val="left"/>
        <w:rPr>
          <w:rFonts w:ascii="微软雅黑" w:eastAsia="微软雅黑" w:hAnsi="微软雅黑"/>
          <w:color w:val="333333"/>
          <w:sz w:val="22"/>
        </w:rPr>
      </w:pPr>
      <w:r>
        <w:rPr>
          <w:rFonts w:ascii="Helvetica Neue" w:eastAsia="Helvetica Neue" w:hAnsi="Helvetica Neue"/>
          <w:color w:val="333333"/>
          <w:sz w:val="22"/>
        </w:rPr>
        <w:t>数见提供以IT为中心的企业级安全管控方案,在平台上可以轻松地进行用户管理、组织架构管理、权限管理等,进而支撑起系统性全局可控的信息化管理方式。</w:t>
      </w:r>
    </w:p>
    <w:p w14:paraId="051472BA" w14:textId="77777777" w:rsidR="008E6A47" w:rsidRDefault="00000000">
      <w:pPr>
        <w:snapToGrid w:val="0"/>
        <w:spacing w:before="60" w:after="60" w:line="312" w:lineRule="auto"/>
        <w:jc w:val="left"/>
        <w:rPr>
          <w:rFonts w:ascii="微软雅黑" w:eastAsia="微软雅黑" w:hAnsi="微软雅黑"/>
          <w:color w:val="333333"/>
          <w:sz w:val="22"/>
        </w:rPr>
      </w:pPr>
      <w:r>
        <w:rPr>
          <w:rFonts w:ascii="Helvetica Neue" w:eastAsia="Helvetica Neue" w:hAnsi="Helvetica Neue"/>
          <w:color w:val="333333"/>
          <w:sz w:val="22"/>
        </w:rPr>
        <w:t>IT管理员可以根据业务需要分配数据报告及报告应用门户的查看权限,用户的编辑权限。还可对不同业务部门用户设置数据权限,针对角色配置过滤条件，实现基于用户角色的精细的行列权限设置。让用户在有序的管控下,能够自由地针对权限范围内的数据进行自助式数据分析以及数据洞察。既能够有效分流信息中心的压力,又能够满足业务部门即时的数据分析需求。</w:t>
      </w:r>
    </w:p>
    <w:p w14:paraId="7C81F1A7" w14:textId="77777777" w:rsidR="008E6A47" w:rsidRDefault="00000000">
      <w:pPr>
        <w:snapToGrid w:val="0"/>
        <w:spacing w:before="60" w:after="60" w:line="312" w:lineRule="auto"/>
        <w:jc w:val="left"/>
        <w:rPr>
          <w:rFonts w:ascii="微软雅黑" w:eastAsia="微软雅黑" w:hAnsi="微软雅黑"/>
          <w:color w:val="333333"/>
          <w:sz w:val="22"/>
        </w:rPr>
      </w:pPr>
      <w:r>
        <w:rPr>
          <w:rFonts w:ascii="Helvetica Neue" w:eastAsia="Helvetica Neue" w:hAnsi="Helvetica Neue"/>
          <w:color w:val="333333"/>
          <w:sz w:val="22"/>
        </w:rPr>
        <w:t>数见平台的账号体系分为系统独立账号、明源域账号、明源ERP账号、明源混合账号（独立账号+域账号）四类账号体系。</w:t>
      </w:r>
    </w:p>
    <w:p w14:paraId="20209AB1" w14:textId="77777777" w:rsidR="008E6A47" w:rsidRDefault="00000000">
      <w:pPr>
        <w:snapToGrid w:val="0"/>
        <w:spacing w:before="60" w:after="60" w:line="312" w:lineRule="auto"/>
        <w:jc w:val="left"/>
        <w:rPr>
          <w:rFonts w:ascii="Helvetica Neue" w:eastAsia="Helvetica Neue" w:hAnsi="Helvetica Neue"/>
          <w:color w:val="333333"/>
          <w:sz w:val="22"/>
        </w:rPr>
      </w:pPr>
      <w:r>
        <w:rPr>
          <w:rFonts w:ascii="Helvetica Neue" w:eastAsia="Helvetica Neue" w:hAnsi="Helvetica Neue"/>
          <w:color w:val="333333"/>
          <w:sz w:val="22"/>
        </w:rPr>
        <w:t>在环境初始化时，即配置了账号体系类型。首次使用前，需要管理员手动添加用户后，该用户才可以登录平台；根据角色权限分配功能操作和数据对象权限后，该用户才可以进入菜单或者查看数据对象等。</w:t>
      </w:r>
    </w:p>
    <w:p w14:paraId="1DDB3811" w14:textId="77777777" w:rsidR="008E6A47" w:rsidRDefault="00000000">
      <w:pPr>
        <w:snapToGrid w:val="0"/>
        <w:spacing w:before="60" w:after="60" w:line="312" w:lineRule="auto"/>
        <w:jc w:val="left"/>
        <w:rPr>
          <w:rFonts w:ascii="微软雅黑" w:eastAsia="微软雅黑" w:hAnsi="微软雅黑"/>
          <w:color w:val="333333"/>
          <w:sz w:val="22"/>
        </w:rPr>
      </w:pPr>
      <w:r>
        <w:rPr>
          <w:rFonts w:ascii="微软雅黑" w:eastAsia="微软雅黑" w:hAnsi="微软雅黑"/>
          <w:noProof/>
          <w:color w:val="333333"/>
          <w:sz w:val="22"/>
        </w:rPr>
        <w:lastRenderedPageBreak/>
        <w:drawing>
          <wp:inline distT="0" distB="0" distL="0" distR="0" wp14:anchorId="56BE38EA" wp14:editId="5A9A5C8C">
            <wp:extent cx="5760720" cy="308800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2"/>
                    <a:stretch>
                      <a:fillRect/>
                    </a:stretch>
                  </pic:blipFill>
                  <pic:spPr>
                    <a:xfrm>
                      <a:off x="0" y="0"/>
                      <a:ext cx="5760720" cy="3088051"/>
                    </a:xfrm>
                    <a:prstGeom prst="rect">
                      <a:avLst/>
                    </a:prstGeom>
                  </pic:spPr>
                </pic:pic>
              </a:graphicData>
            </a:graphic>
          </wp:inline>
        </w:drawing>
      </w:r>
    </w:p>
    <w:p w14:paraId="7E02ADC0" w14:textId="77777777" w:rsidR="008E6A47" w:rsidRDefault="00000000">
      <w:pPr>
        <w:pStyle w:val="4"/>
        <w:snapToGrid w:val="0"/>
        <w:rPr>
          <w:rFonts w:ascii="微软雅黑" w:eastAsia="微软雅黑" w:hAnsi="微软雅黑"/>
        </w:rPr>
      </w:pPr>
      <w:r>
        <w:rPr>
          <w:rFonts w:ascii="微软雅黑" w:eastAsia="微软雅黑" w:hAnsi="微软雅黑"/>
        </w:rPr>
        <w:t>4.5.2、集成管理</w:t>
      </w:r>
    </w:p>
    <w:p w14:paraId="47D0AD30" w14:textId="77777777" w:rsidR="008E6A47" w:rsidRDefault="00000000">
      <w:pPr>
        <w:snapToGrid w:val="0"/>
        <w:spacing w:before="60" w:after="60" w:line="312" w:lineRule="auto"/>
        <w:jc w:val="left"/>
        <w:rPr>
          <w:rFonts w:ascii="Helvetica Neue" w:eastAsia="Helvetica Neue" w:hAnsi="Helvetica Neue"/>
          <w:color w:val="333333"/>
          <w:sz w:val="22"/>
        </w:rPr>
      </w:pPr>
      <w:r>
        <w:rPr>
          <w:rFonts w:ascii="Helvetica Neue" w:eastAsia="Helvetica Neue" w:hAnsi="Helvetica Neue"/>
          <w:color w:val="333333"/>
          <w:sz w:val="22"/>
        </w:rPr>
        <w:t>用于将数见制作的大小屏或数据门户集成到第三方应用中，便于快捷查看或是通过发送移动简讯来触达。</w:t>
      </w:r>
    </w:p>
    <w:p w14:paraId="2B90EFD1" w14:textId="77777777" w:rsidR="008E6A47" w:rsidRDefault="00000000">
      <w:pPr>
        <w:snapToGrid w:val="0"/>
        <w:spacing w:before="60" w:after="60" w:line="312" w:lineRule="auto"/>
        <w:jc w:val="left"/>
        <w:rPr>
          <w:rFonts w:ascii="Helvetica Neue" w:eastAsia="Helvetica Neue" w:hAnsi="Helvetica Neue"/>
          <w:color w:val="333333"/>
          <w:sz w:val="22"/>
        </w:rPr>
      </w:pPr>
      <w:r>
        <w:rPr>
          <w:rFonts w:ascii="Helvetica Neue" w:eastAsia="Helvetica Neue" w:hAnsi="Helvetica Neue"/>
          <w:color w:val="333333"/>
          <w:sz w:val="22"/>
        </w:rPr>
        <w:t>当前已支持明源系统无缝集成：超级工作台、云客、云链、云空间、云助手、云ERP；和外部第三方配置化集成：企业微信、钉钉、飞书等主流办公厂商。</w:t>
      </w:r>
    </w:p>
    <w:p w14:paraId="724CF58C" w14:textId="77777777" w:rsidR="008E6A47" w:rsidRDefault="00000000">
      <w:pPr>
        <w:snapToGrid w:val="0"/>
        <w:spacing w:before="60" w:after="60" w:line="312" w:lineRule="auto"/>
        <w:jc w:val="left"/>
        <w:rPr>
          <w:rFonts w:ascii="Helvetica Neue" w:eastAsia="Helvetica Neue" w:hAnsi="Helvetica Neue"/>
          <w:color w:val="333333"/>
          <w:sz w:val="22"/>
        </w:rPr>
      </w:pPr>
      <w:r>
        <w:rPr>
          <w:rFonts w:ascii="Helvetica Neue" w:eastAsia="Helvetica Neue" w:hAnsi="Helvetica Neue"/>
          <w:noProof/>
          <w:color w:val="333333"/>
          <w:sz w:val="22"/>
        </w:rPr>
        <w:drawing>
          <wp:inline distT="0" distB="0" distL="0" distR="0" wp14:anchorId="6EDD4424" wp14:editId="398C1EC0">
            <wp:extent cx="5760720" cy="242443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a:stretch>
                      <a:fillRect/>
                    </a:stretch>
                  </pic:blipFill>
                  <pic:spPr>
                    <a:xfrm>
                      <a:off x="0" y="0"/>
                      <a:ext cx="5760720" cy="2424378"/>
                    </a:xfrm>
                    <a:prstGeom prst="rect">
                      <a:avLst/>
                    </a:prstGeom>
                  </pic:spPr>
                </pic:pic>
              </a:graphicData>
            </a:graphic>
          </wp:inline>
        </w:drawing>
      </w:r>
    </w:p>
    <w:p w14:paraId="0D74E6C9" w14:textId="77777777" w:rsidR="008E6A47" w:rsidRDefault="00000000">
      <w:pPr>
        <w:pStyle w:val="4"/>
        <w:snapToGrid w:val="0"/>
        <w:rPr>
          <w:rFonts w:ascii="微软雅黑" w:eastAsia="微软雅黑" w:hAnsi="微软雅黑"/>
        </w:rPr>
      </w:pPr>
      <w:r>
        <w:rPr>
          <w:rFonts w:ascii="微软雅黑" w:eastAsia="微软雅黑" w:hAnsi="微软雅黑"/>
        </w:rPr>
        <w:t>4.5.3、部署运维</w:t>
      </w:r>
    </w:p>
    <w:p w14:paraId="58C66849" w14:textId="77777777" w:rsidR="008E6A47" w:rsidRDefault="00000000">
      <w:pPr>
        <w:pStyle w:val="5"/>
        <w:snapToGrid w:val="0"/>
        <w:rPr>
          <w:rFonts w:ascii="微软雅黑" w:eastAsia="微软雅黑" w:hAnsi="微软雅黑"/>
        </w:rPr>
      </w:pPr>
      <w:r>
        <w:rPr>
          <w:rFonts w:ascii="微软雅黑" w:eastAsia="微软雅黑" w:hAnsi="微软雅黑"/>
        </w:rPr>
        <w:t>4.5.3.1、部署架构</w:t>
      </w:r>
    </w:p>
    <w:p w14:paraId="4E9BAC5C" w14:textId="77777777" w:rsidR="008E6A47" w:rsidRDefault="00000000">
      <w:pPr>
        <w:snapToGrid w:val="0"/>
        <w:jc w:val="left"/>
        <w:rPr>
          <w:rFonts w:ascii="微软雅黑" w:eastAsia="微软雅黑" w:hAnsi="微软雅黑"/>
          <w:color w:val="333333"/>
          <w:sz w:val="22"/>
        </w:rPr>
      </w:pPr>
      <w:r>
        <w:rPr>
          <w:rFonts w:ascii="宋体" w:eastAsia="宋体" w:hAnsi="宋体"/>
          <w:color w:val="000000"/>
          <w:sz w:val="24"/>
          <w:szCs w:val="24"/>
        </w:rPr>
        <w:t>数见采用容器化的部署方案，可以依据实际负载情况，动态地调整对硬件基础设施资源的使用。</w:t>
      </w:r>
    </w:p>
    <w:p w14:paraId="45301838" w14:textId="77777777" w:rsidR="008E6A47" w:rsidRDefault="00000000">
      <w:pPr>
        <w:snapToGrid w:val="0"/>
        <w:spacing w:before="60" w:after="60" w:line="312" w:lineRule="auto"/>
        <w:jc w:val="left"/>
        <w:rPr>
          <w:rFonts w:ascii="微软雅黑" w:eastAsia="微软雅黑" w:hAnsi="微软雅黑"/>
          <w:color w:val="333333"/>
          <w:sz w:val="22"/>
        </w:rPr>
      </w:pPr>
      <w:r>
        <w:rPr>
          <w:rFonts w:ascii="微软雅黑" w:eastAsia="微软雅黑" w:hAnsi="微软雅黑"/>
          <w:noProof/>
          <w:color w:val="333333"/>
          <w:sz w:val="22"/>
        </w:rPr>
        <w:lastRenderedPageBreak/>
        <w:drawing>
          <wp:inline distT="0" distB="0" distL="0" distR="0" wp14:anchorId="4F848763" wp14:editId="2A4AC06D">
            <wp:extent cx="5760720" cy="358013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4"/>
                    <a:stretch>
                      <a:fillRect/>
                    </a:stretch>
                  </pic:blipFill>
                  <pic:spPr>
                    <a:xfrm>
                      <a:off x="0" y="0"/>
                      <a:ext cx="5760720" cy="3580248"/>
                    </a:xfrm>
                    <a:prstGeom prst="rect">
                      <a:avLst/>
                    </a:prstGeom>
                  </pic:spPr>
                </pic:pic>
              </a:graphicData>
            </a:graphic>
          </wp:inline>
        </w:drawing>
      </w:r>
    </w:p>
    <w:p w14:paraId="611DEB2B" w14:textId="77777777" w:rsidR="008E6A47" w:rsidRDefault="008E6A47">
      <w:pPr>
        <w:snapToGrid w:val="0"/>
        <w:spacing w:before="60" w:after="60" w:line="312" w:lineRule="auto"/>
        <w:jc w:val="left"/>
        <w:rPr>
          <w:rFonts w:ascii="微软雅黑" w:eastAsia="微软雅黑" w:hAnsi="微软雅黑"/>
          <w:color w:val="333333"/>
          <w:sz w:val="22"/>
        </w:rPr>
      </w:pPr>
    </w:p>
    <w:tbl>
      <w:tblPr>
        <w:tblStyle w:val="a8"/>
        <w:tblW w:w="0" w:type="auto"/>
        <w:tblLayout w:type="fixed"/>
        <w:tblCellMar>
          <w:top w:w="120" w:type="dxa"/>
          <w:left w:w="60" w:type="dxa"/>
          <w:bottom w:w="120" w:type="dxa"/>
          <w:right w:w="60" w:type="dxa"/>
        </w:tblCellMar>
        <w:tblLook w:val="04A0" w:firstRow="1" w:lastRow="0" w:firstColumn="1" w:lastColumn="0" w:noHBand="0" w:noVBand="1"/>
      </w:tblPr>
      <w:tblGrid>
        <w:gridCol w:w="3015"/>
        <w:gridCol w:w="3015"/>
        <w:gridCol w:w="3015"/>
      </w:tblGrid>
      <w:tr w:rsidR="008E6A47" w14:paraId="7ABDBCD8" w14:textId="77777777">
        <w:trPr>
          <w:trHeight w:val="480"/>
        </w:trPr>
        <w:tc>
          <w:tcPr>
            <w:tcW w:w="9045" w:type="dxa"/>
            <w:gridSpan w:val="3"/>
            <w:tcBorders>
              <w:top w:val="single" w:sz="8" w:space="0" w:color="000000"/>
              <w:left w:val="single" w:sz="8" w:space="0" w:color="000000"/>
              <w:bottom w:val="single" w:sz="8" w:space="0" w:color="000000"/>
              <w:right w:val="single" w:sz="8" w:space="0" w:color="000000"/>
            </w:tcBorders>
            <w:vAlign w:val="center"/>
          </w:tcPr>
          <w:p w14:paraId="53D3ADC2" w14:textId="77777777" w:rsidR="008E6A47" w:rsidRDefault="00000000">
            <w:pPr>
              <w:snapToGrid w:val="0"/>
              <w:spacing w:before="60" w:after="60" w:line="312" w:lineRule="auto"/>
              <w:jc w:val="center"/>
              <w:rPr>
                <w:rFonts w:ascii="微软雅黑" w:eastAsia="微软雅黑" w:hAnsi="微软雅黑"/>
                <w:color w:val="333333"/>
                <w:szCs w:val="21"/>
              </w:rPr>
            </w:pPr>
            <w:r>
              <w:rPr>
                <w:rFonts w:ascii="微软雅黑" w:eastAsia="微软雅黑" w:hAnsi="微软雅黑"/>
                <w:b/>
                <w:bCs/>
                <w:color w:val="000000"/>
                <w:sz w:val="22"/>
              </w:rPr>
              <w:t>私有化部署-服务器资源清单</w:t>
            </w:r>
          </w:p>
        </w:tc>
      </w:tr>
      <w:tr w:rsidR="008E6A47" w14:paraId="1B8D5606" w14:textId="77777777">
        <w:trPr>
          <w:trHeight w:val="480"/>
        </w:trPr>
        <w:tc>
          <w:tcPr>
            <w:tcW w:w="3015" w:type="dxa"/>
            <w:tcBorders>
              <w:top w:val="single" w:sz="8" w:space="0" w:color="000000"/>
              <w:left w:val="single" w:sz="8" w:space="0" w:color="000000"/>
              <w:bottom w:val="single" w:sz="8" w:space="0" w:color="000000"/>
              <w:right w:val="single" w:sz="8" w:space="0" w:color="000000"/>
            </w:tcBorders>
            <w:vAlign w:val="center"/>
          </w:tcPr>
          <w:p w14:paraId="5C02B4B6" w14:textId="77777777" w:rsidR="008E6A47" w:rsidRDefault="00000000">
            <w:pPr>
              <w:snapToGrid w:val="0"/>
              <w:spacing w:before="60" w:after="60" w:line="312" w:lineRule="auto"/>
              <w:jc w:val="left"/>
              <w:rPr>
                <w:rFonts w:ascii="微软雅黑" w:eastAsia="微软雅黑" w:hAnsi="微软雅黑"/>
                <w:b/>
                <w:bCs/>
                <w:color w:val="333333"/>
                <w:szCs w:val="21"/>
              </w:rPr>
            </w:pPr>
            <w:r>
              <w:rPr>
                <w:rFonts w:ascii="微软雅黑" w:eastAsia="微软雅黑" w:hAnsi="微软雅黑"/>
                <w:b/>
                <w:bCs/>
                <w:color w:val="333333"/>
                <w:sz w:val="22"/>
              </w:rPr>
              <w:t>类别</w:t>
            </w:r>
          </w:p>
        </w:tc>
        <w:tc>
          <w:tcPr>
            <w:tcW w:w="3015" w:type="dxa"/>
            <w:tcBorders>
              <w:top w:val="single" w:sz="8" w:space="0" w:color="000000"/>
              <w:left w:val="single" w:sz="8" w:space="0" w:color="000000"/>
              <w:bottom w:val="single" w:sz="8" w:space="0" w:color="000000"/>
              <w:right w:val="single" w:sz="8" w:space="0" w:color="000000"/>
            </w:tcBorders>
            <w:vAlign w:val="center"/>
          </w:tcPr>
          <w:p w14:paraId="6EDB88E6" w14:textId="77777777" w:rsidR="008E6A47" w:rsidRDefault="00000000">
            <w:pPr>
              <w:snapToGrid w:val="0"/>
              <w:spacing w:before="60" w:after="60" w:line="312" w:lineRule="auto"/>
              <w:jc w:val="left"/>
              <w:rPr>
                <w:rFonts w:ascii="微软雅黑" w:eastAsia="微软雅黑" w:hAnsi="微软雅黑"/>
                <w:b/>
                <w:bCs/>
                <w:color w:val="333333"/>
                <w:szCs w:val="21"/>
              </w:rPr>
            </w:pPr>
            <w:r>
              <w:rPr>
                <w:rFonts w:ascii="微软雅黑" w:eastAsia="微软雅黑" w:hAnsi="微软雅黑"/>
                <w:b/>
                <w:bCs/>
                <w:color w:val="333333"/>
                <w:sz w:val="22"/>
              </w:rPr>
              <w:t>规格</w:t>
            </w:r>
          </w:p>
        </w:tc>
        <w:tc>
          <w:tcPr>
            <w:tcW w:w="3015" w:type="dxa"/>
            <w:tcBorders>
              <w:top w:val="single" w:sz="8" w:space="0" w:color="000000"/>
              <w:left w:val="single" w:sz="8" w:space="0" w:color="000000"/>
              <w:bottom w:val="single" w:sz="8" w:space="0" w:color="000000"/>
              <w:right w:val="single" w:sz="8" w:space="0" w:color="000000"/>
            </w:tcBorders>
            <w:vAlign w:val="center"/>
          </w:tcPr>
          <w:p w14:paraId="771FD723" w14:textId="77777777" w:rsidR="008E6A47" w:rsidRDefault="00000000">
            <w:pPr>
              <w:snapToGrid w:val="0"/>
              <w:spacing w:before="60" w:after="60" w:line="312" w:lineRule="auto"/>
              <w:jc w:val="left"/>
              <w:rPr>
                <w:rFonts w:ascii="微软雅黑" w:eastAsia="微软雅黑" w:hAnsi="微软雅黑"/>
                <w:b/>
                <w:bCs/>
                <w:color w:val="333333"/>
                <w:szCs w:val="21"/>
              </w:rPr>
            </w:pPr>
            <w:r>
              <w:rPr>
                <w:rFonts w:ascii="微软雅黑" w:eastAsia="微软雅黑" w:hAnsi="微软雅黑"/>
                <w:b/>
                <w:bCs/>
                <w:color w:val="333333"/>
                <w:sz w:val="22"/>
              </w:rPr>
              <w:t>数量</w:t>
            </w:r>
          </w:p>
        </w:tc>
      </w:tr>
      <w:tr w:rsidR="008E6A47" w14:paraId="6368D591" w14:textId="77777777">
        <w:trPr>
          <w:trHeight w:val="480"/>
        </w:trPr>
        <w:tc>
          <w:tcPr>
            <w:tcW w:w="3015" w:type="dxa"/>
            <w:tcBorders>
              <w:top w:val="single" w:sz="8" w:space="0" w:color="000000"/>
              <w:left w:val="single" w:sz="8" w:space="0" w:color="000000"/>
              <w:bottom w:val="single" w:sz="8" w:space="0" w:color="000000"/>
              <w:right w:val="single" w:sz="8" w:space="0" w:color="000000"/>
            </w:tcBorders>
            <w:vAlign w:val="center"/>
          </w:tcPr>
          <w:p w14:paraId="1829E4D8" w14:textId="77777777" w:rsidR="008E6A47" w:rsidRDefault="00000000">
            <w:pPr>
              <w:snapToGrid w:val="0"/>
              <w:spacing w:before="60" w:after="60" w:line="312" w:lineRule="auto"/>
              <w:jc w:val="left"/>
              <w:rPr>
                <w:rFonts w:ascii="微软雅黑" w:eastAsia="微软雅黑" w:hAnsi="微软雅黑"/>
                <w:color w:val="333333"/>
                <w:szCs w:val="21"/>
              </w:rPr>
            </w:pPr>
            <w:r>
              <w:rPr>
                <w:rFonts w:ascii="微软雅黑" w:eastAsia="微软雅黑" w:hAnsi="微软雅黑"/>
                <w:color w:val="333333"/>
                <w:sz w:val="22"/>
              </w:rPr>
              <w:t>主机</w:t>
            </w:r>
          </w:p>
        </w:tc>
        <w:tc>
          <w:tcPr>
            <w:tcW w:w="3015" w:type="dxa"/>
            <w:tcBorders>
              <w:top w:val="single" w:sz="8" w:space="0" w:color="000000"/>
              <w:left w:val="single" w:sz="8" w:space="0" w:color="000000"/>
              <w:bottom w:val="single" w:sz="8" w:space="0" w:color="000000"/>
              <w:right w:val="single" w:sz="8" w:space="0" w:color="000000"/>
            </w:tcBorders>
            <w:vAlign w:val="center"/>
          </w:tcPr>
          <w:p w14:paraId="1A3D02F2" w14:textId="77777777" w:rsidR="008E6A47" w:rsidRDefault="00000000">
            <w:pPr>
              <w:snapToGrid w:val="0"/>
              <w:spacing w:before="60" w:after="60" w:line="312" w:lineRule="auto"/>
              <w:jc w:val="left"/>
              <w:rPr>
                <w:rFonts w:ascii="微软雅黑" w:eastAsia="微软雅黑" w:hAnsi="微软雅黑"/>
                <w:color w:val="333333"/>
                <w:sz w:val="22"/>
              </w:rPr>
            </w:pPr>
            <w:r>
              <w:rPr>
                <w:rFonts w:ascii="微软雅黑" w:eastAsia="微软雅黑" w:hAnsi="微软雅黑"/>
                <w:color w:val="000000"/>
                <w:sz w:val="22"/>
              </w:rPr>
              <w:t>4C8G</w:t>
            </w:r>
          </w:p>
        </w:tc>
        <w:tc>
          <w:tcPr>
            <w:tcW w:w="3015" w:type="dxa"/>
            <w:tcBorders>
              <w:top w:val="single" w:sz="8" w:space="0" w:color="000000"/>
              <w:left w:val="single" w:sz="8" w:space="0" w:color="000000"/>
              <w:bottom w:val="single" w:sz="8" w:space="0" w:color="000000"/>
              <w:right w:val="single" w:sz="8" w:space="0" w:color="000000"/>
            </w:tcBorders>
            <w:vAlign w:val="center"/>
          </w:tcPr>
          <w:p w14:paraId="31A6B48A" w14:textId="77777777" w:rsidR="008E6A47" w:rsidRDefault="00000000">
            <w:pPr>
              <w:snapToGrid w:val="0"/>
              <w:spacing w:before="60" w:after="60" w:line="312" w:lineRule="auto"/>
              <w:jc w:val="left"/>
              <w:rPr>
                <w:rFonts w:ascii="微软雅黑" w:eastAsia="微软雅黑" w:hAnsi="微软雅黑"/>
                <w:color w:val="333333"/>
                <w:szCs w:val="21"/>
              </w:rPr>
            </w:pPr>
            <w:r>
              <w:rPr>
                <w:rFonts w:ascii="微软雅黑" w:eastAsia="微软雅黑" w:hAnsi="微软雅黑"/>
                <w:color w:val="333333"/>
                <w:sz w:val="22"/>
              </w:rPr>
              <w:t>2</w:t>
            </w:r>
          </w:p>
        </w:tc>
      </w:tr>
      <w:tr w:rsidR="008E6A47" w14:paraId="15B298BB" w14:textId="77777777">
        <w:trPr>
          <w:trHeight w:val="480"/>
        </w:trPr>
        <w:tc>
          <w:tcPr>
            <w:tcW w:w="3015" w:type="dxa"/>
            <w:tcBorders>
              <w:top w:val="single" w:sz="8" w:space="0" w:color="000000"/>
              <w:left w:val="single" w:sz="8" w:space="0" w:color="000000"/>
              <w:bottom w:val="single" w:sz="8" w:space="0" w:color="000000"/>
              <w:right w:val="single" w:sz="8" w:space="0" w:color="000000"/>
            </w:tcBorders>
            <w:vAlign w:val="center"/>
          </w:tcPr>
          <w:p w14:paraId="47D607CC" w14:textId="77777777" w:rsidR="008E6A47" w:rsidRDefault="00000000">
            <w:pPr>
              <w:snapToGrid w:val="0"/>
              <w:spacing w:before="60" w:after="60" w:line="312" w:lineRule="auto"/>
              <w:jc w:val="left"/>
              <w:rPr>
                <w:rFonts w:ascii="微软雅黑" w:eastAsia="微软雅黑" w:hAnsi="微软雅黑"/>
                <w:color w:val="333333"/>
                <w:szCs w:val="21"/>
              </w:rPr>
            </w:pPr>
            <w:r>
              <w:rPr>
                <w:rFonts w:ascii="微软雅黑" w:eastAsia="微软雅黑" w:hAnsi="微软雅黑"/>
                <w:color w:val="333333"/>
                <w:sz w:val="22"/>
              </w:rPr>
              <w:t>MySQL</w:t>
            </w:r>
          </w:p>
        </w:tc>
        <w:tc>
          <w:tcPr>
            <w:tcW w:w="3015" w:type="dxa"/>
            <w:tcBorders>
              <w:top w:val="single" w:sz="8" w:space="0" w:color="000000"/>
              <w:left w:val="single" w:sz="8" w:space="0" w:color="000000"/>
              <w:bottom w:val="single" w:sz="8" w:space="0" w:color="000000"/>
              <w:right w:val="single" w:sz="8" w:space="0" w:color="000000"/>
            </w:tcBorders>
            <w:vAlign w:val="center"/>
          </w:tcPr>
          <w:p w14:paraId="78F5FB11" w14:textId="77777777" w:rsidR="008E6A47" w:rsidRDefault="00000000">
            <w:pPr>
              <w:snapToGrid w:val="0"/>
              <w:spacing w:before="60" w:after="60" w:line="312" w:lineRule="auto"/>
              <w:jc w:val="left"/>
              <w:rPr>
                <w:rFonts w:ascii="微软雅黑" w:eastAsia="微软雅黑" w:hAnsi="微软雅黑"/>
                <w:color w:val="333333"/>
                <w:sz w:val="22"/>
              </w:rPr>
            </w:pPr>
            <w:r>
              <w:rPr>
                <w:rFonts w:ascii="微软雅黑" w:eastAsia="微软雅黑" w:hAnsi="微软雅黑"/>
                <w:color w:val="000000"/>
                <w:sz w:val="22"/>
              </w:rPr>
              <w:t>2C4G 100G</w:t>
            </w:r>
          </w:p>
        </w:tc>
        <w:tc>
          <w:tcPr>
            <w:tcW w:w="3015" w:type="dxa"/>
            <w:tcBorders>
              <w:top w:val="single" w:sz="8" w:space="0" w:color="000000"/>
              <w:left w:val="single" w:sz="8" w:space="0" w:color="000000"/>
              <w:bottom w:val="single" w:sz="8" w:space="0" w:color="000000"/>
              <w:right w:val="single" w:sz="8" w:space="0" w:color="000000"/>
            </w:tcBorders>
            <w:vAlign w:val="center"/>
          </w:tcPr>
          <w:p w14:paraId="0FADB2D7" w14:textId="77777777" w:rsidR="008E6A47" w:rsidRDefault="00000000">
            <w:pPr>
              <w:snapToGrid w:val="0"/>
              <w:spacing w:before="60" w:after="60" w:line="312" w:lineRule="auto"/>
              <w:jc w:val="left"/>
              <w:rPr>
                <w:rFonts w:ascii="微软雅黑" w:eastAsia="微软雅黑" w:hAnsi="微软雅黑"/>
                <w:color w:val="333333"/>
                <w:szCs w:val="21"/>
              </w:rPr>
            </w:pPr>
            <w:r>
              <w:rPr>
                <w:rFonts w:ascii="微软雅黑" w:eastAsia="微软雅黑" w:hAnsi="微软雅黑"/>
                <w:color w:val="333333"/>
                <w:sz w:val="22"/>
              </w:rPr>
              <w:t>1</w:t>
            </w:r>
          </w:p>
        </w:tc>
      </w:tr>
      <w:tr w:rsidR="008E6A47" w14:paraId="3CD595B6" w14:textId="77777777">
        <w:trPr>
          <w:trHeight w:val="480"/>
        </w:trPr>
        <w:tc>
          <w:tcPr>
            <w:tcW w:w="3015" w:type="dxa"/>
            <w:tcBorders>
              <w:top w:val="single" w:sz="8" w:space="0" w:color="000000"/>
              <w:left w:val="single" w:sz="8" w:space="0" w:color="000000"/>
              <w:bottom w:val="single" w:sz="8" w:space="0" w:color="000000"/>
              <w:right w:val="single" w:sz="8" w:space="0" w:color="000000"/>
            </w:tcBorders>
            <w:vAlign w:val="center"/>
          </w:tcPr>
          <w:p w14:paraId="7F9A015E" w14:textId="77777777" w:rsidR="008E6A47" w:rsidRDefault="00000000">
            <w:pPr>
              <w:snapToGrid w:val="0"/>
              <w:spacing w:before="60" w:after="60" w:line="312" w:lineRule="auto"/>
              <w:jc w:val="left"/>
              <w:rPr>
                <w:rFonts w:ascii="微软雅黑" w:eastAsia="微软雅黑" w:hAnsi="微软雅黑"/>
                <w:color w:val="333333"/>
                <w:szCs w:val="21"/>
              </w:rPr>
            </w:pPr>
            <w:r>
              <w:rPr>
                <w:rFonts w:ascii="微软雅黑" w:eastAsia="微软雅黑" w:hAnsi="微软雅黑"/>
                <w:color w:val="333333"/>
                <w:sz w:val="22"/>
              </w:rPr>
              <w:t>Redis</w:t>
            </w:r>
          </w:p>
        </w:tc>
        <w:tc>
          <w:tcPr>
            <w:tcW w:w="3015" w:type="dxa"/>
            <w:tcBorders>
              <w:top w:val="single" w:sz="8" w:space="0" w:color="000000"/>
              <w:left w:val="single" w:sz="8" w:space="0" w:color="000000"/>
              <w:bottom w:val="single" w:sz="8" w:space="0" w:color="000000"/>
              <w:right w:val="single" w:sz="8" w:space="0" w:color="000000"/>
            </w:tcBorders>
            <w:vAlign w:val="center"/>
          </w:tcPr>
          <w:p w14:paraId="52335F45" w14:textId="77777777" w:rsidR="008E6A47" w:rsidRDefault="00000000">
            <w:pPr>
              <w:snapToGrid w:val="0"/>
              <w:spacing w:before="60" w:after="60" w:line="312" w:lineRule="auto"/>
              <w:jc w:val="left"/>
              <w:rPr>
                <w:rFonts w:ascii="微软雅黑" w:eastAsia="微软雅黑" w:hAnsi="微软雅黑"/>
                <w:color w:val="333333"/>
                <w:sz w:val="22"/>
              </w:rPr>
            </w:pPr>
            <w:r>
              <w:rPr>
                <w:rFonts w:ascii="微软雅黑" w:eastAsia="微软雅黑" w:hAnsi="微软雅黑"/>
                <w:color w:val="000000"/>
                <w:sz w:val="22"/>
              </w:rPr>
              <w:t>1G</w:t>
            </w:r>
          </w:p>
        </w:tc>
        <w:tc>
          <w:tcPr>
            <w:tcW w:w="3015" w:type="dxa"/>
            <w:tcBorders>
              <w:top w:val="single" w:sz="8" w:space="0" w:color="000000"/>
              <w:left w:val="single" w:sz="8" w:space="0" w:color="000000"/>
              <w:bottom w:val="single" w:sz="8" w:space="0" w:color="000000"/>
              <w:right w:val="single" w:sz="8" w:space="0" w:color="000000"/>
            </w:tcBorders>
            <w:vAlign w:val="center"/>
          </w:tcPr>
          <w:p w14:paraId="17DAB81B" w14:textId="77777777" w:rsidR="008E6A47" w:rsidRDefault="00000000">
            <w:pPr>
              <w:snapToGrid w:val="0"/>
              <w:spacing w:before="60" w:after="60" w:line="312" w:lineRule="auto"/>
              <w:jc w:val="left"/>
              <w:rPr>
                <w:rFonts w:ascii="微软雅黑" w:eastAsia="微软雅黑" w:hAnsi="微软雅黑"/>
                <w:color w:val="333333"/>
                <w:szCs w:val="21"/>
              </w:rPr>
            </w:pPr>
            <w:r>
              <w:rPr>
                <w:rFonts w:ascii="微软雅黑" w:eastAsia="微软雅黑" w:hAnsi="微软雅黑"/>
                <w:color w:val="333333"/>
                <w:sz w:val="22"/>
              </w:rPr>
              <w:t>1</w:t>
            </w:r>
          </w:p>
        </w:tc>
      </w:tr>
      <w:tr w:rsidR="008E6A47" w14:paraId="1501858D" w14:textId="77777777">
        <w:trPr>
          <w:trHeight w:val="480"/>
        </w:trPr>
        <w:tc>
          <w:tcPr>
            <w:tcW w:w="3015" w:type="dxa"/>
            <w:tcBorders>
              <w:top w:val="single" w:sz="8" w:space="0" w:color="000000"/>
              <w:left w:val="single" w:sz="8" w:space="0" w:color="000000"/>
              <w:bottom w:val="single" w:sz="8" w:space="0" w:color="000000"/>
              <w:right w:val="single" w:sz="8" w:space="0" w:color="000000"/>
            </w:tcBorders>
            <w:vAlign w:val="center"/>
          </w:tcPr>
          <w:p w14:paraId="68DD3FE8" w14:textId="77777777" w:rsidR="008E6A47" w:rsidRDefault="00000000">
            <w:pPr>
              <w:snapToGrid w:val="0"/>
              <w:spacing w:before="60" w:after="60" w:line="312" w:lineRule="auto"/>
              <w:jc w:val="left"/>
              <w:rPr>
                <w:rFonts w:ascii="微软雅黑" w:eastAsia="微软雅黑" w:hAnsi="微软雅黑"/>
                <w:color w:val="333333"/>
                <w:szCs w:val="21"/>
              </w:rPr>
            </w:pPr>
            <w:r>
              <w:rPr>
                <w:rFonts w:ascii="微软雅黑" w:eastAsia="微软雅黑" w:hAnsi="微软雅黑"/>
                <w:color w:val="333333"/>
                <w:sz w:val="22"/>
              </w:rPr>
              <w:t>PostgreSQL</w:t>
            </w:r>
          </w:p>
        </w:tc>
        <w:tc>
          <w:tcPr>
            <w:tcW w:w="3015" w:type="dxa"/>
            <w:tcBorders>
              <w:top w:val="single" w:sz="8" w:space="0" w:color="000000"/>
              <w:left w:val="single" w:sz="8" w:space="0" w:color="000000"/>
              <w:bottom w:val="single" w:sz="8" w:space="0" w:color="000000"/>
              <w:right w:val="single" w:sz="8" w:space="0" w:color="000000"/>
            </w:tcBorders>
            <w:vAlign w:val="center"/>
          </w:tcPr>
          <w:p w14:paraId="0AE98A7D" w14:textId="77777777" w:rsidR="008E6A47" w:rsidRDefault="00000000">
            <w:pPr>
              <w:snapToGrid w:val="0"/>
              <w:spacing w:before="60" w:after="60" w:line="312" w:lineRule="auto"/>
              <w:jc w:val="left"/>
              <w:rPr>
                <w:rFonts w:ascii="微软雅黑" w:eastAsia="微软雅黑" w:hAnsi="微软雅黑"/>
                <w:color w:val="333333"/>
                <w:sz w:val="22"/>
              </w:rPr>
            </w:pPr>
            <w:r>
              <w:rPr>
                <w:rFonts w:ascii="微软雅黑" w:eastAsia="微软雅黑" w:hAnsi="微软雅黑"/>
                <w:color w:val="000000"/>
                <w:sz w:val="22"/>
              </w:rPr>
              <w:t>1C2G 20G 10.0版本</w:t>
            </w:r>
          </w:p>
        </w:tc>
        <w:tc>
          <w:tcPr>
            <w:tcW w:w="3015" w:type="dxa"/>
            <w:tcBorders>
              <w:top w:val="single" w:sz="8" w:space="0" w:color="000000"/>
              <w:left w:val="single" w:sz="8" w:space="0" w:color="000000"/>
              <w:bottom w:val="single" w:sz="8" w:space="0" w:color="000000"/>
              <w:right w:val="single" w:sz="8" w:space="0" w:color="000000"/>
            </w:tcBorders>
            <w:vAlign w:val="center"/>
          </w:tcPr>
          <w:p w14:paraId="3C72A3C5" w14:textId="77777777" w:rsidR="008E6A47" w:rsidRDefault="008E6A47">
            <w:pPr>
              <w:snapToGrid w:val="0"/>
              <w:spacing w:before="60" w:after="60" w:line="312" w:lineRule="auto"/>
              <w:jc w:val="left"/>
              <w:rPr>
                <w:rFonts w:ascii="微软雅黑" w:eastAsia="微软雅黑" w:hAnsi="微软雅黑"/>
                <w:color w:val="333333"/>
                <w:szCs w:val="21"/>
              </w:rPr>
            </w:pPr>
          </w:p>
        </w:tc>
      </w:tr>
    </w:tbl>
    <w:p w14:paraId="766D228C" w14:textId="77777777" w:rsidR="008E6A47" w:rsidRDefault="00000000">
      <w:pPr>
        <w:pStyle w:val="5"/>
        <w:snapToGrid w:val="0"/>
        <w:rPr>
          <w:rFonts w:ascii="微软雅黑" w:eastAsia="微软雅黑" w:hAnsi="微软雅黑"/>
        </w:rPr>
      </w:pPr>
      <w:r>
        <w:rPr>
          <w:rFonts w:ascii="微软雅黑" w:eastAsia="微软雅黑" w:hAnsi="微软雅黑"/>
        </w:rPr>
        <w:t>4.5.3.2、看板迁移</w:t>
      </w:r>
    </w:p>
    <w:p w14:paraId="53D35B21" w14:textId="77777777" w:rsidR="008E6A47" w:rsidRDefault="00000000">
      <w:pPr>
        <w:snapToGrid w:val="0"/>
        <w:spacing w:after="240"/>
        <w:jc w:val="left"/>
        <w:rPr>
          <w:rFonts w:ascii="微软雅黑" w:eastAsia="微软雅黑" w:hAnsi="微软雅黑"/>
          <w:color w:val="333333"/>
          <w:sz w:val="22"/>
        </w:rPr>
      </w:pPr>
      <w:r>
        <w:rPr>
          <w:rFonts w:ascii="微软雅黑" w:eastAsia="微软雅黑" w:hAnsi="微软雅黑"/>
          <w:color w:val="24292E"/>
          <w:sz w:val="22"/>
          <w:shd w:val="clear" w:color="auto" w:fill="FFFFFF"/>
        </w:rPr>
        <w:t>在数见使用过程中，存在以下场景：在客户项目上成功应用的案例，可以将成果分享给其他客户使用，缩短同类需求的项目实施周期；或是在测试环境验证好的报告导入到生产环境给客户使用。</w:t>
      </w:r>
    </w:p>
    <w:p w14:paraId="6E5BEE02" w14:textId="77777777" w:rsidR="008E6A47" w:rsidRDefault="00000000">
      <w:pPr>
        <w:snapToGrid w:val="0"/>
        <w:spacing w:after="240"/>
        <w:jc w:val="left"/>
        <w:rPr>
          <w:rFonts w:ascii="微软雅黑" w:eastAsia="微软雅黑" w:hAnsi="微软雅黑"/>
          <w:color w:val="333333"/>
          <w:sz w:val="22"/>
        </w:rPr>
      </w:pPr>
      <w:r>
        <w:rPr>
          <w:rFonts w:ascii="微软雅黑" w:eastAsia="微软雅黑" w:hAnsi="微软雅黑"/>
          <w:color w:val="24292E"/>
          <w:sz w:val="22"/>
          <w:shd w:val="clear" w:color="auto" w:fill="FFFFFF"/>
        </w:rPr>
        <w:t>针对此需求，数见提供</w:t>
      </w:r>
      <w:r>
        <w:rPr>
          <w:rFonts w:ascii="微软雅黑" w:eastAsia="微软雅黑" w:hAnsi="微软雅黑"/>
          <w:b/>
          <w:bCs/>
          <w:color w:val="24292E"/>
          <w:sz w:val="22"/>
          <w:shd w:val="clear" w:color="auto" w:fill="FFFFFF"/>
        </w:rPr>
        <w:t>导出和导入案例功能</w:t>
      </w:r>
      <w:r>
        <w:rPr>
          <w:rFonts w:ascii="微软雅黑" w:eastAsia="微软雅黑" w:hAnsi="微软雅黑"/>
          <w:color w:val="24292E"/>
          <w:sz w:val="22"/>
          <w:shd w:val="clear" w:color="auto" w:fill="FFFFFF"/>
        </w:rPr>
        <w:t>，支持用户将正式报告和配套数据集导出，导入不</w:t>
      </w:r>
      <w:r>
        <w:rPr>
          <w:rFonts w:ascii="微软雅黑" w:eastAsia="微软雅黑" w:hAnsi="微软雅黑"/>
          <w:color w:val="24292E"/>
          <w:sz w:val="22"/>
          <w:shd w:val="clear" w:color="auto" w:fill="FFFFFF"/>
        </w:rPr>
        <w:lastRenderedPageBreak/>
        <w:t>同环境和租户中，直接编辑使用，而不需要再重新制作。</w:t>
      </w:r>
    </w:p>
    <w:p w14:paraId="57C6A794" w14:textId="77777777" w:rsidR="008E6A47" w:rsidRDefault="00000000">
      <w:pPr>
        <w:snapToGrid w:val="0"/>
        <w:spacing w:before="60" w:after="60" w:line="312" w:lineRule="auto"/>
        <w:jc w:val="left"/>
        <w:rPr>
          <w:rFonts w:ascii="微软雅黑" w:eastAsia="微软雅黑" w:hAnsi="微软雅黑"/>
          <w:color w:val="333333"/>
          <w:sz w:val="22"/>
        </w:rPr>
      </w:pPr>
      <w:r>
        <w:rPr>
          <w:rFonts w:ascii="微软雅黑" w:eastAsia="微软雅黑" w:hAnsi="微软雅黑"/>
          <w:noProof/>
          <w:color w:val="333333"/>
          <w:sz w:val="22"/>
        </w:rPr>
        <w:drawing>
          <wp:inline distT="0" distB="0" distL="0" distR="0" wp14:anchorId="10C4D8D0" wp14:editId="6ABE546A">
            <wp:extent cx="5760720" cy="20478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5"/>
                    <a:stretch>
                      <a:fillRect/>
                    </a:stretch>
                  </pic:blipFill>
                  <pic:spPr>
                    <a:xfrm>
                      <a:off x="0" y="0"/>
                      <a:ext cx="5760720" cy="2047755"/>
                    </a:xfrm>
                    <a:prstGeom prst="rect">
                      <a:avLst/>
                    </a:prstGeom>
                  </pic:spPr>
                </pic:pic>
              </a:graphicData>
            </a:graphic>
          </wp:inline>
        </w:drawing>
      </w:r>
    </w:p>
    <w:p w14:paraId="7B17C57C" w14:textId="77777777" w:rsidR="008E6A47" w:rsidRDefault="00000000">
      <w:pPr>
        <w:pStyle w:val="5"/>
        <w:snapToGrid w:val="0"/>
        <w:rPr>
          <w:rFonts w:ascii="微软雅黑" w:eastAsia="微软雅黑" w:hAnsi="微软雅黑"/>
        </w:rPr>
      </w:pPr>
      <w:r>
        <w:rPr>
          <w:rFonts w:ascii="微软雅黑" w:eastAsia="微软雅黑" w:hAnsi="微软雅黑"/>
        </w:rPr>
        <w:t>4.5.3.3、流程运维</w:t>
      </w:r>
    </w:p>
    <w:p w14:paraId="5A001564" w14:textId="77777777" w:rsidR="008E6A47" w:rsidRDefault="00000000">
      <w:pPr>
        <w:snapToGrid w:val="0"/>
        <w:spacing w:after="240"/>
        <w:jc w:val="left"/>
        <w:rPr>
          <w:rFonts w:ascii="微软雅黑" w:eastAsia="微软雅黑" w:hAnsi="微软雅黑"/>
          <w:color w:val="333333"/>
          <w:sz w:val="22"/>
        </w:rPr>
      </w:pPr>
      <w:r>
        <w:rPr>
          <w:rFonts w:ascii="微软雅黑" w:eastAsia="微软雅黑" w:hAnsi="微软雅黑"/>
          <w:color w:val="24292E"/>
          <w:sz w:val="22"/>
          <w:shd w:val="clear" w:color="auto" w:fill="FFFFFF"/>
        </w:rPr>
        <w:t>对系统中存在的异步流程任务，进行统一的监控和管理，管理员可以在这个界面直观的看到系统中流程的运行情况，便于快速定位问题。</w:t>
      </w:r>
    </w:p>
    <w:p w14:paraId="5041742B" w14:textId="77777777" w:rsidR="008E6A47" w:rsidRDefault="00000000">
      <w:pPr>
        <w:snapToGrid w:val="0"/>
        <w:spacing w:after="240"/>
        <w:jc w:val="left"/>
        <w:rPr>
          <w:rFonts w:ascii="微软雅黑" w:eastAsia="微软雅黑" w:hAnsi="微软雅黑"/>
          <w:color w:val="24292E"/>
          <w:sz w:val="22"/>
          <w:shd w:val="clear" w:color="auto" w:fill="FFFFFF"/>
        </w:rPr>
      </w:pPr>
      <w:r>
        <w:rPr>
          <w:rFonts w:ascii="微软雅黑" w:eastAsia="微软雅黑" w:hAnsi="微软雅黑"/>
          <w:color w:val="24292E"/>
          <w:sz w:val="22"/>
          <w:shd w:val="clear" w:color="auto" w:fill="FFFFFF"/>
        </w:rPr>
        <w:t>主要包括以下流程的监控：数据集调度任务，消息订阅的执行任务，组件数据导出成Excel的异步任务等。</w:t>
      </w:r>
    </w:p>
    <w:p w14:paraId="7A128376" w14:textId="77777777" w:rsidR="008E6A47" w:rsidRDefault="00000000">
      <w:pPr>
        <w:snapToGrid w:val="0"/>
        <w:spacing w:after="240"/>
        <w:jc w:val="left"/>
        <w:rPr>
          <w:rFonts w:ascii="微软雅黑" w:eastAsia="微软雅黑" w:hAnsi="微软雅黑"/>
          <w:color w:val="333333"/>
          <w:sz w:val="22"/>
        </w:rPr>
      </w:pPr>
      <w:r>
        <w:rPr>
          <w:rFonts w:ascii="微软雅黑" w:eastAsia="微软雅黑" w:hAnsi="微软雅黑"/>
          <w:noProof/>
          <w:color w:val="24292E"/>
          <w:szCs w:val="21"/>
          <w:shd w:val="clear" w:color="auto" w:fill="FFFFFF"/>
        </w:rPr>
        <w:drawing>
          <wp:inline distT="0" distB="0" distL="0" distR="0" wp14:anchorId="22B950D5" wp14:editId="3A5ECB8E">
            <wp:extent cx="5760720" cy="301561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6"/>
                    <a:stretch>
                      <a:fillRect/>
                    </a:stretch>
                  </pic:blipFill>
                  <pic:spPr>
                    <a:xfrm>
                      <a:off x="0" y="0"/>
                      <a:ext cx="5760720" cy="3015376"/>
                    </a:xfrm>
                    <a:prstGeom prst="rect">
                      <a:avLst/>
                    </a:prstGeom>
                  </pic:spPr>
                </pic:pic>
              </a:graphicData>
            </a:graphic>
          </wp:inline>
        </w:drawing>
      </w:r>
    </w:p>
    <w:p w14:paraId="334A5103" w14:textId="77777777" w:rsidR="008E6A47" w:rsidRDefault="00000000">
      <w:pPr>
        <w:pStyle w:val="2"/>
        <w:numPr>
          <w:ilvl w:val="0"/>
          <w:numId w:val="1"/>
        </w:numPr>
        <w:snapToGrid w:val="0"/>
        <w:ind w:left="704" w:hangingChars="220" w:hanging="704"/>
        <w:rPr>
          <w:rFonts w:ascii="微软雅黑" w:eastAsia="微软雅黑" w:hAnsi="微软雅黑"/>
        </w:rPr>
      </w:pPr>
      <w:bookmarkStart w:id="11" w:name="_Toc1440190667"/>
      <w:r>
        <w:rPr>
          <w:rFonts w:ascii="微软雅黑" w:eastAsia="微软雅黑" w:hAnsi="微软雅黑"/>
        </w:rPr>
        <w:t>产品优势</w:t>
      </w:r>
      <w:bookmarkEnd w:id="11"/>
    </w:p>
    <w:p w14:paraId="45129F67" w14:textId="77777777" w:rsidR="008E6A47" w:rsidRDefault="00000000">
      <w:pPr>
        <w:pStyle w:val="3"/>
        <w:snapToGrid w:val="0"/>
        <w:rPr>
          <w:rFonts w:ascii="微软雅黑" w:eastAsia="微软雅黑" w:hAnsi="微软雅黑"/>
        </w:rPr>
      </w:pPr>
      <w:bookmarkStart w:id="12" w:name="_Toc996354932"/>
      <w:r>
        <w:rPr>
          <w:rFonts w:ascii="微软雅黑" w:eastAsia="微软雅黑" w:hAnsi="微软雅黑"/>
        </w:rPr>
        <w:t>5.1、丰富的数据源接入</w:t>
      </w:r>
      <w:bookmarkEnd w:id="12"/>
    </w:p>
    <w:p w14:paraId="767A1EE9" w14:textId="77777777" w:rsidR="008E6A47" w:rsidRDefault="00000000">
      <w:pPr>
        <w:numPr>
          <w:ilvl w:val="0"/>
          <w:numId w:val="2"/>
        </w:numPr>
        <w:snapToGrid w:val="0"/>
        <w:spacing w:after="240"/>
        <w:ind w:left="0" w:firstLine="0"/>
        <w:jc w:val="left"/>
        <w:rPr>
          <w:rFonts w:ascii="微软雅黑" w:eastAsia="微软雅黑" w:hAnsi="微软雅黑"/>
          <w:color w:val="333333"/>
          <w:sz w:val="22"/>
        </w:rPr>
      </w:pPr>
      <w:r>
        <w:rPr>
          <w:rFonts w:ascii="微软雅黑" w:eastAsia="微软雅黑" w:hAnsi="微软雅黑"/>
          <w:color w:val="24292E"/>
          <w:sz w:val="22"/>
          <w:shd w:val="clear" w:color="auto" w:fill="FFFFFF"/>
        </w:rPr>
        <w:t>明源产品数据源：明源数芯、明源ERP、明源云客、明源云链、明源云空间等</w:t>
      </w:r>
    </w:p>
    <w:p w14:paraId="4600D172" w14:textId="77777777" w:rsidR="008E6A47" w:rsidRDefault="00000000">
      <w:pPr>
        <w:numPr>
          <w:ilvl w:val="0"/>
          <w:numId w:val="2"/>
        </w:numPr>
        <w:snapToGrid w:val="0"/>
        <w:spacing w:before="80" w:after="240"/>
        <w:ind w:left="0" w:firstLine="0"/>
        <w:jc w:val="left"/>
        <w:rPr>
          <w:rFonts w:ascii="微软雅黑" w:eastAsia="微软雅黑" w:hAnsi="微软雅黑"/>
          <w:color w:val="333333"/>
          <w:sz w:val="22"/>
        </w:rPr>
      </w:pPr>
      <w:r>
        <w:rPr>
          <w:rFonts w:ascii="微软雅黑" w:eastAsia="微软雅黑" w:hAnsi="微软雅黑"/>
          <w:color w:val="24292E"/>
          <w:sz w:val="22"/>
          <w:shd w:val="clear" w:color="auto" w:fill="FFFFFF"/>
        </w:rPr>
        <w:lastRenderedPageBreak/>
        <w:t>云端数据源：RDS、MaxComputer、ADB等</w:t>
      </w:r>
    </w:p>
    <w:p w14:paraId="286FE58C" w14:textId="77777777" w:rsidR="008E6A47" w:rsidRDefault="00000000">
      <w:pPr>
        <w:numPr>
          <w:ilvl w:val="0"/>
          <w:numId w:val="2"/>
        </w:numPr>
        <w:snapToGrid w:val="0"/>
        <w:spacing w:before="80" w:after="240"/>
        <w:ind w:left="0" w:firstLine="0"/>
        <w:jc w:val="left"/>
        <w:rPr>
          <w:rFonts w:ascii="微软雅黑" w:eastAsia="微软雅黑" w:hAnsi="微软雅黑"/>
          <w:color w:val="333333"/>
          <w:sz w:val="22"/>
        </w:rPr>
      </w:pPr>
      <w:r>
        <w:rPr>
          <w:rFonts w:ascii="微软雅黑" w:eastAsia="微软雅黑" w:hAnsi="微软雅黑"/>
          <w:color w:val="24292E"/>
          <w:sz w:val="22"/>
          <w:shd w:val="clear" w:color="auto" w:fill="FFFFFF"/>
        </w:rPr>
        <w:t>本地数据源：Oracle、SQLServer、MySQL、PostgreSQL等</w:t>
      </w:r>
    </w:p>
    <w:p w14:paraId="67C5EB3F" w14:textId="77777777" w:rsidR="008E6A47" w:rsidRDefault="00000000">
      <w:pPr>
        <w:numPr>
          <w:ilvl w:val="0"/>
          <w:numId w:val="2"/>
        </w:numPr>
        <w:snapToGrid w:val="0"/>
        <w:spacing w:before="80" w:after="240"/>
        <w:ind w:left="0" w:firstLine="0"/>
        <w:jc w:val="left"/>
        <w:rPr>
          <w:rFonts w:ascii="微软雅黑" w:eastAsia="微软雅黑" w:hAnsi="微软雅黑"/>
          <w:color w:val="333333"/>
          <w:sz w:val="22"/>
        </w:rPr>
      </w:pPr>
      <w:r>
        <w:rPr>
          <w:rFonts w:ascii="微软雅黑" w:eastAsia="微软雅黑" w:hAnsi="微软雅黑"/>
          <w:color w:val="24292E"/>
          <w:sz w:val="22"/>
          <w:shd w:val="clear" w:color="auto" w:fill="FFFFFF"/>
        </w:rPr>
        <w:t>文件型数据源：Excel、CSV、ZIP（数据集包）等</w:t>
      </w:r>
    </w:p>
    <w:p w14:paraId="2EDEC35A" w14:textId="77777777" w:rsidR="008E6A47" w:rsidRDefault="00000000">
      <w:pPr>
        <w:pStyle w:val="3"/>
        <w:snapToGrid w:val="0"/>
        <w:rPr>
          <w:rFonts w:ascii="微软雅黑" w:eastAsia="微软雅黑" w:hAnsi="微软雅黑"/>
        </w:rPr>
      </w:pPr>
      <w:bookmarkStart w:id="13" w:name="_Toc1807346465"/>
      <w:r>
        <w:rPr>
          <w:rFonts w:ascii="微软雅黑" w:eastAsia="微软雅黑" w:hAnsi="微软雅黑"/>
        </w:rPr>
        <w:t>5.2、三屏一体的可视化工具</w:t>
      </w:r>
      <w:bookmarkEnd w:id="13"/>
    </w:p>
    <w:p w14:paraId="32F92A04" w14:textId="77777777" w:rsidR="008E6A47" w:rsidRDefault="00000000">
      <w:pPr>
        <w:numPr>
          <w:ilvl w:val="0"/>
          <w:numId w:val="3"/>
        </w:numPr>
        <w:snapToGrid w:val="0"/>
        <w:spacing w:after="240"/>
        <w:ind w:left="0" w:firstLine="0"/>
        <w:jc w:val="left"/>
        <w:rPr>
          <w:rFonts w:ascii="微软雅黑" w:eastAsia="微软雅黑" w:hAnsi="微软雅黑"/>
          <w:color w:val="333333"/>
          <w:sz w:val="22"/>
        </w:rPr>
      </w:pPr>
      <w:r>
        <w:rPr>
          <w:rFonts w:ascii="微软雅黑" w:eastAsia="微软雅黑" w:hAnsi="微软雅黑"/>
          <w:color w:val="24292E"/>
          <w:sz w:val="22"/>
          <w:shd w:val="clear" w:color="auto" w:fill="FFFFFF"/>
        </w:rPr>
        <w:t>大、中、小屏三屏一体的可视化工具</w:t>
      </w:r>
    </w:p>
    <w:p w14:paraId="1BCD9886" w14:textId="77777777" w:rsidR="008E6A47" w:rsidRDefault="00000000">
      <w:pPr>
        <w:numPr>
          <w:ilvl w:val="0"/>
          <w:numId w:val="3"/>
        </w:numPr>
        <w:snapToGrid w:val="0"/>
        <w:spacing w:before="80" w:after="240"/>
        <w:ind w:left="0" w:firstLine="0"/>
        <w:jc w:val="left"/>
        <w:rPr>
          <w:rFonts w:ascii="微软雅黑" w:eastAsia="微软雅黑" w:hAnsi="微软雅黑"/>
          <w:color w:val="333333"/>
          <w:sz w:val="22"/>
        </w:rPr>
      </w:pPr>
      <w:r>
        <w:rPr>
          <w:rFonts w:ascii="微软雅黑" w:eastAsia="微软雅黑" w:hAnsi="微软雅黑"/>
          <w:color w:val="24292E"/>
          <w:sz w:val="22"/>
          <w:shd w:val="clear" w:color="auto" w:fill="FFFFFF"/>
        </w:rPr>
        <w:t>界面展现组件丰富、布局灵活</w:t>
      </w:r>
    </w:p>
    <w:p w14:paraId="39610194" w14:textId="77777777" w:rsidR="008E6A47" w:rsidRDefault="00000000">
      <w:pPr>
        <w:numPr>
          <w:ilvl w:val="0"/>
          <w:numId w:val="3"/>
        </w:numPr>
        <w:snapToGrid w:val="0"/>
        <w:spacing w:before="80" w:after="240"/>
        <w:ind w:left="0" w:firstLine="0"/>
        <w:jc w:val="left"/>
        <w:rPr>
          <w:rFonts w:ascii="微软雅黑" w:eastAsia="微软雅黑" w:hAnsi="微软雅黑"/>
          <w:color w:val="333333"/>
          <w:sz w:val="22"/>
        </w:rPr>
      </w:pPr>
      <w:r>
        <w:rPr>
          <w:rFonts w:ascii="微软雅黑" w:eastAsia="微软雅黑" w:hAnsi="微软雅黑"/>
          <w:color w:val="24292E"/>
          <w:sz w:val="22"/>
          <w:shd w:val="clear" w:color="auto" w:fill="FFFFFF"/>
        </w:rPr>
        <w:t>拖拽瞬间生成数据图表，配置效果所见即所得</w:t>
      </w:r>
    </w:p>
    <w:p w14:paraId="59866DBF" w14:textId="77777777" w:rsidR="008E6A47" w:rsidRDefault="00000000">
      <w:pPr>
        <w:numPr>
          <w:ilvl w:val="0"/>
          <w:numId w:val="3"/>
        </w:numPr>
        <w:snapToGrid w:val="0"/>
        <w:spacing w:before="80" w:after="240"/>
        <w:ind w:left="0" w:firstLine="0"/>
        <w:jc w:val="left"/>
        <w:rPr>
          <w:rFonts w:ascii="微软雅黑" w:eastAsia="微软雅黑" w:hAnsi="微软雅黑"/>
          <w:color w:val="333333"/>
          <w:sz w:val="22"/>
        </w:rPr>
      </w:pPr>
      <w:r>
        <w:rPr>
          <w:rFonts w:ascii="微软雅黑" w:eastAsia="微软雅黑" w:hAnsi="微软雅黑"/>
          <w:color w:val="24292E"/>
          <w:sz w:val="22"/>
          <w:shd w:val="clear" w:color="auto" w:fill="FFFFFF"/>
        </w:rPr>
        <w:t>自由布局分析报告，进行穿透、筛选、联动、跳转等探索分析，直接洞察数据本质</w:t>
      </w:r>
    </w:p>
    <w:p w14:paraId="152D1035" w14:textId="77777777" w:rsidR="008E6A47" w:rsidRDefault="00000000">
      <w:pPr>
        <w:pStyle w:val="3"/>
        <w:snapToGrid w:val="0"/>
        <w:rPr>
          <w:rFonts w:ascii="微软雅黑" w:eastAsia="微软雅黑" w:hAnsi="微软雅黑"/>
        </w:rPr>
      </w:pPr>
      <w:bookmarkStart w:id="14" w:name="_Toc2063334087"/>
      <w:r>
        <w:rPr>
          <w:rFonts w:ascii="微软雅黑" w:eastAsia="微软雅黑" w:hAnsi="微软雅黑"/>
        </w:rPr>
        <w:t>5.3、内置行业看板案例</w:t>
      </w:r>
      <w:bookmarkEnd w:id="14"/>
    </w:p>
    <w:p w14:paraId="7CD3703B" w14:textId="77777777" w:rsidR="008E6A47" w:rsidRDefault="00000000">
      <w:pPr>
        <w:numPr>
          <w:ilvl w:val="0"/>
          <w:numId w:val="4"/>
        </w:numPr>
        <w:snapToGrid w:val="0"/>
        <w:spacing w:after="240"/>
        <w:ind w:left="0" w:firstLine="0"/>
        <w:jc w:val="left"/>
        <w:rPr>
          <w:rFonts w:ascii="微软雅黑" w:eastAsia="微软雅黑" w:hAnsi="微软雅黑"/>
          <w:color w:val="333333"/>
          <w:sz w:val="22"/>
        </w:rPr>
      </w:pPr>
      <w:r>
        <w:rPr>
          <w:rFonts w:ascii="微软雅黑" w:eastAsia="微软雅黑" w:hAnsi="微软雅黑"/>
          <w:color w:val="24292E"/>
          <w:sz w:val="22"/>
          <w:shd w:val="clear" w:color="auto" w:fill="FFFFFF"/>
        </w:rPr>
        <w:t>内置企业经营、运营、货值、营销、成本、计划、采招...等大、中、小屏决策看板</w:t>
      </w:r>
    </w:p>
    <w:p w14:paraId="5685835D" w14:textId="77777777" w:rsidR="008E6A47" w:rsidRDefault="00000000">
      <w:pPr>
        <w:numPr>
          <w:ilvl w:val="0"/>
          <w:numId w:val="4"/>
        </w:numPr>
        <w:snapToGrid w:val="0"/>
        <w:spacing w:before="80" w:after="240"/>
        <w:ind w:left="0" w:firstLine="0"/>
        <w:jc w:val="left"/>
        <w:rPr>
          <w:rFonts w:ascii="微软雅黑" w:eastAsia="微软雅黑" w:hAnsi="微软雅黑"/>
          <w:color w:val="333333"/>
          <w:sz w:val="22"/>
        </w:rPr>
      </w:pPr>
      <w:r>
        <w:rPr>
          <w:rFonts w:ascii="微软雅黑" w:eastAsia="微软雅黑" w:hAnsi="微软雅黑"/>
          <w:color w:val="24292E"/>
          <w:sz w:val="22"/>
          <w:shd w:val="clear" w:color="auto" w:fill="FFFFFF"/>
        </w:rPr>
        <w:t>案例看板支持开箱即用，快速构建帮助企业数字化看板落地</w:t>
      </w:r>
    </w:p>
    <w:p w14:paraId="5B0D7168" w14:textId="77777777" w:rsidR="008E6A47" w:rsidRDefault="00000000">
      <w:pPr>
        <w:pStyle w:val="3"/>
        <w:snapToGrid w:val="0"/>
        <w:rPr>
          <w:rFonts w:ascii="微软雅黑" w:eastAsia="微软雅黑" w:hAnsi="微软雅黑"/>
        </w:rPr>
      </w:pPr>
      <w:bookmarkStart w:id="15" w:name="_Toc890068453"/>
      <w:r>
        <w:rPr>
          <w:rFonts w:ascii="微软雅黑" w:eastAsia="微软雅黑" w:hAnsi="微软雅黑"/>
        </w:rPr>
        <w:t>5.4、快速与业务系统嵌入/集成</w:t>
      </w:r>
      <w:bookmarkEnd w:id="15"/>
    </w:p>
    <w:p w14:paraId="2DC48ED4" w14:textId="77777777" w:rsidR="008E6A47" w:rsidRDefault="00000000">
      <w:pPr>
        <w:numPr>
          <w:ilvl w:val="0"/>
          <w:numId w:val="5"/>
        </w:numPr>
        <w:snapToGrid w:val="0"/>
        <w:spacing w:after="240"/>
        <w:ind w:left="0" w:firstLine="0"/>
        <w:jc w:val="left"/>
        <w:rPr>
          <w:rFonts w:ascii="微软雅黑" w:eastAsia="微软雅黑" w:hAnsi="微软雅黑"/>
          <w:color w:val="333333"/>
          <w:sz w:val="22"/>
        </w:rPr>
      </w:pPr>
      <w:r>
        <w:rPr>
          <w:rFonts w:ascii="微软雅黑" w:eastAsia="微软雅黑" w:hAnsi="微软雅黑"/>
          <w:color w:val="24292E"/>
          <w:sz w:val="22"/>
          <w:shd w:val="clear" w:color="auto" w:fill="FFFFFF"/>
        </w:rPr>
        <w:t>支持和明源ERP和三云</w:t>
      </w:r>
      <w:proofErr w:type="spellStart"/>
      <w:r>
        <w:rPr>
          <w:rFonts w:ascii="微软雅黑" w:eastAsia="微软雅黑" w:hAnsi="微软雅黑"/>
          <w:color w:val="24292E"/>
          <w:sz w:val="22"/>
          <w:shd w:val="clear" w:color="auto" w:fill="FFFFFF"/>
        </w:rPr>
        <w:t>Saas</w:t>
      </w:r>
      <w:proofErr w:type="spellEnd"/>
      <w:r>
        <w:rPr>
          <w:rFonts w:ascii="微软雅黑" w:eastAsia="微软雅黑" w:hAnsi="微软雅黑"/>
          <w:color w:val="24292E"/>
          <w:sz w:val="22"/>
          <w:shd w:val="clear" w:color="auto" w:fill="FFFFFF"/>
        </w:rPr>
        <w:t>业务的快速整合</w:t>
      </w:r>
    </w:p>
    <w:p w14:paraId="68A83201" w14:textId="77777777" w:rsidR="008E6A47" w:rsidRDefault="00000000">
      <w:pPr>
        <w:numPr>
          <w:ilvl w:val="0"/>
          <w:numId w:val="5"/>
        </w:numPr>
        <w:snapToGrid w:val="0"/>
        <w:spacing w:before="80" w:after="240"/>
        <w:ind w:left="0" w:firstLine="0"/>
        <w:jc w:val="left"/>
        <w:rPr>
          <w:rFonts w:ascii="微软雅黑" w:eastAsia="微软雅黑" w:hAnsi="微软雅黑"/>
          <w:color w:val="333333"/>
          <w:sz w:val="22"/>
        </w:rPr>
      </w:pPr>
      <w:r>
        <w:rPr>
          <w:rFonts w:ascii="微软雅黑" w:eastAsia="微软雅黑" w:hAnsi="微软雅黑"/>
          <w:color w:val="24292E"/>
          <w:sz w:val="22"/>
          <w:shd w:val="clear" w:color="auto" w:fill="FFFFFF"/>
        </w:rPr>
        <w:t>方便地与客户原有系统集成嵌入，支持HTML5，支持单点登录</w:t>
      </w:r>
    </w:p>
    <w:p w14:paraId="17934C26" w14:textId="77777777" w:rsidR="008E6A47" w:rsidRDefault="00000000">
      <w:pPr>
        <w:numPr>
          <w:ilvl w:val="0"/>
          <w:numId w:val="5"/>
        </w:numPr>
        <w:snapToGrid w:val="0"/>
        <w:spacing w:before="80" w:after="240"/>
        <w:ind w:left="0" w:firstLine="0"/>
        <w:jc w:val="left"/>
        <w:rPr>
          <w:rFonts w:ascii="微软雅黑" w:eastAsia="微软雅黑" w:hAnsi="微软雅黑"/>
          <w:color w:val="333333"/>
          <w:sz w:val="22"/>
        </w:rPr>
      </w:pPr>
      <w:r>
        <w:rPr>
          <w:rFonts w:ascii="微软雅黑" w:eastAsia="微软雅黑" w:hAnsi="微软雅黑"/>
          <w:color w:val="24292E"/>
          <w:sz w:val="22"/>
          <w:shd w:val="clear" w:color="auto" w:fill="FFFFFF"/>
        </w:rPr>
        <w:t>与第三方系统快速集成，如企业微信，泛微OA</w:t>
      </w:r>
    </w:p>
    <w:p w14:paraId="08DD03FB" w14:textId="77777777" w:rsidR="008E6A47" w:rsidRDefault="00000000">
      <w:pPr>
        <w:numPr>
          <w:ilvl w:val="0"/>
          <w:numId w:val="5"/>
        </w:numPr>
        <w:snapToGrid w:val="0"/>
        <w:spacing w:before="80" w:after="240"/>
        <w:ind w:left="0" w:firstLine="0"/>
        <w:jc w:val="left"/>
        <w:rPr>
          <w:rFonts w:ascii="微软雅黑" w:eastAsia="微软雅黑" w:hAnsi="微软雅黑"/>
          <w:color w:val="333333"/>
          <w:sz w:val="22"/>
        </w:rPr>
      </w:pPr>
      <w:r>
        <w:rPr>
          <w:rFonts w:ascii="微软雅黑" w:eastAsia="微软雅黑" w:hAnsi="微软雅黑"/>
          <w:color w:val="24292E"/>
          <w:sz w:val="22"/>
          <w:shd w:val="clear" w:color="auto" w:fill="FFFFFF"/>
        </w:rPr>
        <w:t>一键分享，高效的数据报告分享机制</w:t>
      </w:r>
    </w:p>
    <w:p w14:paraId="21EE742D" w14:textId="77777777" w:rsidR="008E6A47" w:rsidRDefault="00000000">
      <w:pPr>
        <w:pStyle w:val="3"/>
        <w:snapToGrid w:val="0"/>
        <w:rPr>
          <w:rFonts w:ascii="微软雅黑" w:eastAsia="微软雅黑" w:hAnsi="微软雅黑"/>
        </w:rPr>
      </w:pPr>
      <w:bookmarkStart w:id="16" w:name="_Toc9404569"/>
      <w:r>
        <w:rPr>
          <w:rFonts w:ascii="微软雅黑" w:eastAsia="微软雅黑" w:hAnsi="微软雅黑"/>
        </w:rPr>
        <w:t>5.5、体系化的数据质量、数据安全保障</w:t>
      </w:r>
      <w:bookmarkEnd w:id="16"/>
    </w:p>
    <w:p w14:paraId="53EB9A78" w14:textId="77777777" w:rsidR="008E6A47" w:rsidRDefault="00000000">
      <w:pPr>
        <w:numPr>
          <w:ilvl w:val="0"/>
          <w:numId w:val="6"/>
        </w:numPr>
        <w:snapToGrid w:val="0"/>
        <w:spacing w:after="240"/>
        <w:ind w:left="0" w:firstLine="0"/>
        <w:jc w:val="left"/>
        <w:rPr>
          <w:rFonts w:ascii="微软雅黑" w:eastAsia="微软雅黑" w:hAnsi="微软雅黑"/>
          <w:color w:val="333333"/>
          <w:sz w:val="22"/>
        </w:rPr>
      </w:pPr>
      <w:r>
        <w:rPr>
          <w:rFonts w:ascii="微软雅黑" w:eastAsia="微软雅黑" w:hAnsi="微软雅黑"/>
          <w:color w:val="24292E"/>
          <w:sz w:val="22"/>
          <w:shd w:val="clear" w:color="auto" w:fill="FFFFFF"/>
        </w:rPr>
        <w:t>数据全链路监控、数据血缘追踪、数据审核、数据版本管理</w:t>
      </w:r>
    </w:p>
    <w:p w14:paraId="1091C94F" w14:textId="77777777" w:rsidR="008E6A47" w:rsidRDefault="00000000">
      <w:pPr>
        <w:numPr>
          <w:ilvl w:val="0"/>
          <w:numId w:val="6"/>
        </w:numPr>
        <w:snapToGrid w:val="0"/>
        <w:spacing w:before="80" w:after="240"/>
        <w:ind w:left="0" w:firstLine="0"/>
        <w:jc w:val="left"/>
        <w:rPr>
          <w:rFonts w:ascii="微软雅黑" w:eastAsia="微软雅黑" w:hAnsi="微软雅黑"/>
          <w:color w:val="333333"/>
          <w:sz w:val="22"/>
        </w:rPr>
      </w:pPr>
      <w:r>
        <w:rPr>
          <w:rFonts w:ascii="微软雅黑" w:eastAsia="微软雅黑" w:hAnsi="微软雅黑"/>
          <w:color w:val="24292E"/>
          <w:sz w:val="22"/>
          <w:shd w:val="clear" w:color="auto" w:fill="FFFFFF"/>
        </w:rPr>
        <w:t>基于用户角色分配报告查看权限，精细到行与列，千人千面</w:t>
      </w:r>
    </w:p>
    <w:p w14:paraId="43E49BC3" w14:textId="77777777" w:rsidR="008E6A47" w:rsidRDefault="00000000">
      <w:pPr>
        <w:numPr>
          <w:ilvl w:val="0"/>
          <w:numId w:val="6"/>
        </w:numPr>
        <w:snapToGrid w:val="0"/>
        <w:spacing w:before="80" w:after="240"/>
        <w:ind w:left="0" w:firstLine="0"/>
        <w:jc w:val="left"/>
        <w:rPr>
          <w:rFonts w:ascii="微软雅黑" w:eastAsia="微软雅黑" w:hAnsi="微软雅黑"/>
          <w:color w:val="333333"/>
          <w:sz w:val="22"/>
        </w:rPr>
      </w:pPr>
      <w:r>
        <w:rPr>
          <w:rFonts w:ascii="微软雅黑" w:eastAsia="微软雅黑" w:hAnsi="微软雅黑"/>
          <w:color w:val="24292E"/>
          <w:sz w:val="22"/>
          <w:shd w:val="clear" w:color="auto" w:fill="FFFFFF"/>
        </w:rPr>
        <w:t>数据传输、存储加密，并有多层网络攻击防范能力</w:t>
      </w:r>
    </w:p>
    <w:p w14:paraId="34386D4B" w14:textId="77777777" w:rsidR="008E6A47" w:rsidRDefault="00000000">
      <w:pPr>
        <w:numPr>
          <w:ilvl w:val="0"/>
          <w:numId w:val="6"/>
        </w:numPr>
        <w:snapToGrid w:val="0"/>
        <w:spacing w:before="80" w:after="240"/>
        <w:ind w:left="0" w:firstLine="0"/>
        <w:jc w:val="left"/>
        <w:rPr>
          <w:rFonts w:ascii="微软雅黑" w:eastAsia="微软雅黑" w:hAnsi="微软雅黑"/>
          <w:color w:val="333333"/>
          <w:sz w:val="22"/>
        </w:rPr>
      </w:pPr>
      <w:r>
        <w:rPr>
          <w:rFonts w:ascii="微软雅黑" w:eastAsia="微软雅黑" w:hAnsi="微软雅黑"/>
          <w:color w:val="24292E"/>
          <w:sz w:val="22"/>
          <w:shd w:val="clear" w:color="auto" w:fill="FFFFFF"/>
        </w:rPr>
        <w:t>定期安全顾问扫描，安全风险零容忍</w:t>
      </w:r>
    </w:p>
    <w:p w14:paraId="73C5ADD6" w14:textId="77777777" w:rsidR="008E6A47" w:rsidRDefault="008E6A47">
      <w:pPr>
        <w:snapToGrid w:val="0"/>
        <w:spacing w:before="60" w:after="60" w:line="312" w:lineRule="auto"/>
        <w:ind w:leftChars="220" w:left="462"/>
        <w:jc w:val="left"/>
        <w:rPr>
          <w:rFonts w:ascii="微软雅黑" w:eastAsia="微软雅黑" w:hAnsi="微软雅黑"/>
          <w:color w:val="333333"/>
          <w:sz w:val="22"/>
        </w:rPr>
      </w:pPr>
    </w:p>
    <w:p w14:paraId="01AAD18C" w14:textId="77777777" w:rsidR="008E6A47" w:rsidRDefault="008E6A47">
      <w:pPr>
        <w:snapToGrid w:val="0"/>
        <w:spacing w:before="60" w:after="60" w:line="312" w:lineRule="auto"/>
        <w:jc w:val="left"/>
        <w:rPr>
          <w:rFonts w:ascii="微软雅黑" w:eastAsia="微软雅黑" w:hAnsi="微软雅黑"/>
          <w:color w:val="333333"/>
          <w:sz w:val="22"/>
        </w:rPr>
      </w:pPr>
    </w:p>
    <w:sectPr w:rsidR="008E6A47">
      <w:pgSz w:w="11906" w:h="16838"/>
      <w:pgMar w:top="1361" w:right="1417" w:bottom="1361" w:left="141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F4C6D" w14:textId="77777777" w:rsidR="00FA511E" w:rsidRDefault="00FA511E">
      <w:r>
        <w:separator/>
      </w:r>
    </w:p>
  </w:endnote>
  <w:endnote w:type="continuationSeparator" w:id="0">
    <w:p w14:paraId="0A6C598D" w14:textId="77777777" w:rsidR="00FA511E" w:rsidRDefault="00FA5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altName w:val="汉仪旗黑"/>
    <w:panose1 w:val="020B0503020204020204"/>
    <w:charset w:val="86"/>
    <w:family w:val="swiss"/>
    <w:pitch w:val="variable"/>
    <w:sig w:usb0="80000287" w:usb1="28CF3C52" w:usb2="00000016" w:usb3="00000000" w:csb0="0004001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135DA" w14:textId="77777777" w:rsidR="00FA511E" w:rsidRDefault="00FA511E">
      <w:r>
        <w:separator/>
      </w:r>
    </w:p>
  </w:footnote>
  <w:footnote w:type="continuationSeparator" w:id="0">
    <w:p w14:paraId="451E2664" w14:textId="77777777" w:rsidR="00FA511E" w:rsidRDefault="00FA5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BA7B0" w14:textId="77777777" w:rsidR="008E6A47" w:rsidRDefault="00000000">
    <w:pPr>
      <w:pStyle w:val="a5"/>
      <w:jc w:val="both"/>
    </w:pPr>
    <w:r>
      <w:rPr>
        <w:noProof/>
      </w:rPr>
      <w:drawing>
        <wp:inline distT="0" distB="0" distL="114300" distR="114300" wp14:anchorId="7E483767" wp14:editId="33826860">
          <wp:extent cx="643255" cy="225425"/>
          <wp:effectExtent l="0" t="0" r="17145" b="3175"/>
          <wp:docPr id="30" name="图片 3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1"/>
                  <pic:cNvPicPr>
                    <a:picLocks noChangeAspect="1"/>
                  </pic:cNvPicPr>
                </pic:nvPicPr>
                <pic:blipFill>
                  <a:blip r:embed="rId1"/>
                  <a:stretch>
                    <a:fillRect/>
                  </a:stretch>
                </pic:blipFill>
                <pic:spPr>
                  <a:xfrm>
                    <a:off x="0" y="0"/>
                    <a:ext cx="643255" cy="2254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D22BB6"/>
    <w:multiLevelType w:val="multilevel"/>
    <w:tmpl w:val="62D22BB6"/>
    <w:lvl w:ilvl="0">
      <w:start w:val="1"/>
      <w:numFmt w:val="chineseCountingThousand"/>
      <w:lvlText w:val="%1、"/>
      <w:lvlJc w:val="left"/>
      <w:pPr>
        <w:ind w:left="420" w:hanging="420"/>
      </w:pPr>
      <w:rPr>
        <w:bCs/>
      </w:rPr>
    </w:lvl>
    <w:lvl w:ilvl="1">
      <w:start w:val="1"/>
      <w:numFmt w:val="decimal"/>
      <w:lvlText w:val="%2、"/>
      <w:lvlJc w:val="left"/>
      <w:pPr>
        <w:ind w:left="840" w:hanging="420"/>
      </w:pPr>
      <w:rPr>
        <w:bCs/>
      </w:rPr>
    </w:lvl>
    <w:lvl w:ilvl="2">
      <w:start w:val="1"/>
      <w:numFmt w:val="lowerLetter"/>
      <w:lvlText w:val="%3)"/>
      <w:lvlJc w:val="left"/>
      <w:pPr>
        <w:ind w:left="1260" w:hanging="420"/>
      </w:pPr>
      <w:rPr>
        <w:bCs/>
      </w:rPr>
    </w:lvl>
    <w:lvl w:ilvl="3">
      <w:start w:val="1"/>
      <w:numFmt w:val="chineseCountingThousand"/>
      <w:lvlText w:val="%4、"/>
      <w:lvlJc w:val="left"/>
      <w:pPr>
        <w:ind w:left="1680" w:hanging="420"/>
      </w:pPr>
      <w:rPr>
        <w:bCs/>
      </w:rPr>
    </w:lvl>
    <w:lvl w:ilvl="4">
      <w:start w:val="1"/>
      <w:numFmt w:val="decimal"/>
      <w:lvlText w:val="%5、"/>
      <w:lvlJc w:val="left"/>
      <w:pPr>
        <w:ind w:left="2100" w:hanging="420"/>
      </w:pPr>
      <w:rPr>
        <w:bCs/>
      </w:rPr>
    </w:lvl>
    <w:lvl w:ilvl="5">
      <w:start w:val="1"/>
      <w:numFmt w:val="lowerLetter"/>
      <w:lvlText w:val="%6)"/>
      <w:lvlJc w:val="left"/>
      <w:pPr>
        <w:ind w:left="2520" w:hanging="420"/>
      </w:pPr>
      <w:rPr>
        <w:bCs/>
      </w:rPr>
    </w:lvl>
    <w:lvl w:ilvl="6">
      <w:start w:val="1"/>
      <w:numFmt w:val="chineseCountingThousand"/>
      <w:lvlText w:val="%7、"/>
      <w:lvlJc w:val="left"/>
      <w:pPr>
        <w:ind w:left="2940" w:hanging="420"/>
      </w:pPr>
      <w:rPr>
        <w:bCs/>
      </w:rPr>
    </w:lvl>
    <w:lvl w:ilvl="7">
      <w:start w:val="1"/>
      <w:numFmt w:val="decimal"/>
      <w:lvlText w:val="%8、"/>
      <w:lvlJc w:val="left"/>
      <w:pPr>
        <w:ind w:left="3360" w:hanging="420"/>
      </w:pPr>
      <w:rPr>
        <w:bCs/>
      </w:rPr>
    </w:lvl>
    <w:lvl w:ilvl="8">
      <w:numFmt w:val="decimal"/>
      <w:lvlText w:val=""/>
      <w:lvlJc w:val="left"/>
    </w:lvl>
  </w:abstractNum>
  <w:abstractNum w:abstractNumId="1" w15:restartNumberingAfterBreak="0">
    <w:nsid w:val="62D22BC1"/>
    <w:multiLevelType w:val="multilevel"/>
    <w:tmpl w:val="62D22BC1"/>
    <w:lvl w:ilvl="0">
      <w:start w:val="1"/>
      <w:numFmt w:val="bullet"/>
      <w:lvlText w:val=""/>
      <w:lvlJc w:val="left"/>
      <w:pPr>
        <w:ind w:left="420" w:hanging="420"/>
      </w:pPr>
      <w:rPr>
        <w:rFonts w:ascii="Wingdings" w:eastAsia="Wingdings" w:hAnsi="Wingdings" w:hint="default"/>
        <w:bCs/>
      </w:rPr>
    </w:lvl>
    <w:lvl w:ilvl="1">
      <w:start w:val="1"/>
      <w:numFmt w:val="bullet"/>
      <w:lvlText w:val=""/>
      <w:lvlJc w:val="left"/>
      <w:pPr>
        <w:ind w:left="840" w:hanging="420"/>
      </w:pPr>
      <w:rPr>
        <w:rFonts w:ascii="Wingdings" w:eastAsia="Wingdings" w:hAnsi="Wingdings" w:hint="default"/>
        <w:bCs/>
      </w:rPr>
    </w:lvl>
    <w:lvl w:ilvl="2">
      <w:start w:val="1"/>
      <w:numFmt w:val="bullet"/>
      <w:lvlText w:val=""/>
      <w:lvlJc w:val="left"/>
      <w:pPr>
        <w:ind w:left="1260" w:hanging="420"/>
      </w:pPr>
      <w:rPr>
        <w:rFonts w:ascii="Wingdings" w:eastAsia="Wingdings" w:hAnsi="Wingdings" w:hint="default"/>
        <w:bCs/>
      </w:rPr>
    </w:lvl>
    <w:lvl w:ilvl="3">
      <w:start w:val="1"/>
      <w:numFmt w:val="bullet"/>
      <w:lvlText w:val=""/>
      <w:lvlJc w:val="left"/>
      <w:pPr>
        <w:ind w:left="1680" w:hanging="420"/>
      </w:pPr>
      <w:rPr>
        <w:rFonts w:ascii="Wingdings" w:eastAsia="Wingdings" w:hAnsi="Wingdings" w:hint="default"/>
        <w:bCs/>
      </w:rPr>
    </w:lvl>
    <w:lvl w:ilvl="4">
      <w:start w:val="1"/>
      <w:numFmt w:val="bullet"/>
      <w:lvlText w:val=""/>
      <w:lvlJc w:val="left"/>
      <w:pPr>
        <w:ind w:left="2100" w:hanging="420"/>
      </w:pPr>
      <w:rPr>
        <w:rFonts w:ascii="Wingdings" w:eastAsia="Wingdings" w:hAnsi="Wingdings" w:hint="default"/>
        <w:bCs/>
      </w:rPr>
    </w:lvl>
    <w:lvl w:ilvl="5">
      <w:start w:val="1"/>
      <w:numFmt w:val="bullet"/>
      <w:lvlText w:val=""/>
      <w:lvlJc w:val="left"/>
      <w:pPr>
        <w:ind w:left="2520" w:hanging="420"/>
      </w:pPr>
      <w:rPr>
        <w:rFonts w:ascii="Wingdings" w:eastAsia="Wingdings" w:hAnsi="Wingdings" w:hint="default"/>
        <w:bCs/>
      </w:rPr>
    </w:lvl>
    <w:lvl w:ilvl="6">
      <w:start w:val="1"/>
      <w:numFmt w:val="bullet"/>
      <w:lvlText w:val=""/>
      <w:lvlJc w:val="left"/>
      <w:pPr>
        <w:ind w:left="2940" w:hanging="420"/>
      </w:pPr>
      <w:rPr>
        <w:rFonts w:ascii="Wingdings" w:eastAsia="Wingdings" w:hAnsi="Wingdings" w:hint="default"/>
        <w:bCs/>
      </w:rPr>
    </w:lvl>
    <w:lvl w:ilvl="7">
      <w:start w:val="1"/>
      <w:numFmt w:val="bullet"/>
      <w:lvlText w:val=""/>
      <w:lvlJc w:val="left"/>
      <w:pPr>
        <w:ind w:left="3360" w:hanging="420"/>
      </w:pPr>
      <w:rPr>
        <w:rFonts w:ascii="Wingdings" w:eastAsia="Wingdings" w:hAnsi="Wingdings" w:hint="default"/>
        <w:bCs/>
      </w:rPr>
    </w:lvl>
    <w:lvl w:ilvl="8">
      <w:numFmt w:val="decimal"/>
      <w:lvlText w:val=""/>
      <w:lvlJc w:val="left"/>
    </w:lvl>
  </w:abstractNum>
  <w:abstractNum w:abstractNumId="2" w15:restartNumberingAfterBreak="0">
    <w:nsid w:val="62D22BCC"/>
    <w:multiLevelType w:val="multilevel"/>
    <w:tmpl w:val="62D22BCC"/>
    <w:lvl w:ilvl="0">
      <w:start w:val="1"/>
      <w:numFmt w:val="bullet"/>
      <w:lvlText w:val=""/>
      <w:lvlJc w:val="left"/>
      <w:pPr>
        <w:ind w:left="420" w:hanging="420"/>
      </w:pPr>
      <w:rPr>
        <w:rFonts w:ascii="Wingdings" w:eastAsia="Wingdings" w:hAnsi="Wingdings" w:hint="default"/>
        <w:bCs/>
      </w:rPr>
    </w:lvl>
    <w:lvl w:ilvl="1">
      <w:start w:val="1"/>
      <w:numFmt w:val="bullet"/>
      <w:lvlText w:val=""/>
      <w:lvlJc w:val="left"/>
      <w:pPr>
        <w:ind w:left="840" w:hanging="420"/>
      </w:pPr>
      <w:rPr>
        <w:rFonts w:ascii="Wingdings" w:eastAsia="Wingdings" w:hAnsi="Wingdings" w:hint="default"/>
        <w:bCs/>
      </w:rPr>
    </w:lvl>
    <w:lvl w:ilvl="2">
      <w:start w:val="1"/>
      <w:numFmt w:val="bullet"/>
      <w:lvlText w:val=""/>
      <w:lvlJc w:val="left"/>
      <w:pPr>
        <w:ind w:left="1260" w:hanging="420"/>
      </w:pPr>
      <w:rPr>
        <w:rFonts w:ascii="Wingdings" w:eastAsia="Wingdings" w:hAnsi="Wingdings" w:hint="default"/>
        <w:bCs/>
      </w:rPr>
    </w:lvl>
    <w:lvl w:ilvl="3">
      <w:start w:val="1"/>
      <w:numFmt w:val="bullet"/>
      <w:lvlText w:val=""/>
      <w:lvlJc w:val="left"/>
      <w:pPr>
        <w:ind w:left="1680" w:hanging="420"/>
      </w:pPr>
      <w:rPr>
        <w:rFonts w:ascii="Wingdings" w:eastAsia="Wingdings" w:hAnsi="Wingdings" w:hint="default"/>
        <w:bCs/>
      </w:rPr>
    </w:lvl>
    <w:lvl w:ilvl="4">
      <w:start w:val="1"/>
      <w:numFmt w:val="bullet"/>
      <w:lvlText w:val=""/>
      <w:lvlJc w:val="left"/>
      <w:pPr>
        <w:ind w:left="2100" w:hanging="420"/>
      </w:pPr>
      <w:rPr>
        <w:rFonts w:ascii="Wingdings" w:eastAsia="Wingdings" w:hAnsi="Wingdings" w:hint="default"/>
        <w:bCs/>
      </w:rPr>
    </w:lvl>
    <w:lvl w:ilvl="5">
      <w:start w:val="1"/>
      <w:numFmt w:val="bullet"/>
      <w:lvlText w:val=""/>
      <w:lvlJc w:val="left"/>
      <w:pPr>
        <w:ind w:left="2520" w:hanging="420"/>
      </w:pPr>
      <w:rPr>
        <w:rFonts w:ascii="Wingdings" w:eastAsia="Wingdings" w:hAnsi="Wingdings" w:hint="default"/>
        <w:bCs/>
      </w:rPr>
    </w:lvl>
    <w:lvl w:ilvl="6">
      <w:start w:val="1"/>
      <w:numFmt w:val="bullet"/>
      <w:lvlText w:val=""/>
      <w:lvlJc w:val="left"/>
      <w:pPr>
        <w:ind w:left="2940" w:hanging="420"/>
      </w:pPr>
      <w:rPr>
        <w:rFonts w:ascii="Wingdings" w:eastAsia="Wingdings" w:hAnsi="Wingdings" w:hint="default"/>
        <w:bCs/>
      </w:rPr>
    </w:lvl>
    <w:lvl w:ilvl="7">
      <w:start w:val="1"/>
      <w:numFmt w:val="bullet"/>
      <w:lvlText w:val=""/>
      <w:lvlJc w:val="left"/>
      <w:pPr>
        <w:ind w:left="3360" w:hanging="420"/>
      </w:pPr>
      <w:rPr>
        <w:rFonts w:ascii="Wingdings" w:eastAsia="Wingdings" w:hAnsi="Wingdings" w:hint="default"/>
        <w:bCs/>
      </w:rPr>
    </w:lvl>
    <w:lvl w:ilvl="8">
      <w:numFmt w:val="decimal"/>
      <w:lvlText w:val=""/>
      <w:lvlJc w:val="left"/>
    </w:lvl>
  </w:abstractNum>
  <w:abstractNum w:abstractNumId="3" w15:restartNumberingAfterBreak="0">
    <w:nsid w:val="62D22BD7"/>
    <w:multiLevelType w:val="multilevel"/>
    <w:tmpl w:val="62D22BD7"/>
    <w:lvl w:ilvl="0">
      <w:start w:val="1"/>
      <w:numFmt w:val="bullet"/>
      <w:lvlText w:val=""/>
      <w:lvlJc w:val="left"/>
      <w:pPr>
        <w:ind w:left="420" w:hanging="420"/>
      </w:pPr>
      <w:rPr>
        <w:rFonts w:ascii="Wingdings" w:eastAsia="Wingdings" w:hAnsi="Wingdings" w:hint="default"/>
        <w:bCs/>
      </w:rPr>
    </w:lvl>
    <w:lvl w:ilvl="1">
      <w:start w:val="1"/>
      <w:numFmt w:val="bullet"/>
      <w:lvlText w:val=""/>
      <w:lvlJc w:val="left"/>
      <w:pPr>
        <w:ind w:left="840" w:hanging="420"/>
      </w:pPr>
      <w:rPr>
        <w:rFonts w:ascii="Wingdings" w:eastAsia="Wingdings" w:hAnsi="Wingdings" w:hint="default"/>
        <w:bCs/>
      </w:rPr>
    </w:lvl>
    <w:lvl w:ilvl="2">
      <w:start w:val="1"/>
      <w:numFmt w:val="bullet"/>
      <w:lvlText w:val=""/>
      <w:lvlJc w:val="left"/>
      <w:pPr>
        <w:ind w:left="1260" w:hanging="420"/>
      </w:pPr>
      <w:rPr>
        <w:rFonts w:ascii="Wingdings" w:eastAsia="Wingdings" w:hAnsi="Wingdings" w:hint="default"/>
        <w:bCs/>
      </w:rPr>
    </w:lvl>
    <w:lvl w:ilvl="3">
      <w:start w:val="1"/>
      <w:numFmt w:val="bullet"/>
      <w:lvlText w:val=""/>
      <w:lvlJc w:val="left"/>
      <w:pPr>
        <w:ind w:left="1680" w:hanging="420"/>
      </w:pPr>
      <w:rPr>
        <w:rFonts w:ascii="Wingdings" w:eastAsia="Wingdings" w:hAnsi="Wingdings" w:hint="default"/>
        <w:bCs/>
      </w:rPr>
    </w:lvl>
    <w:lvl w:ilvl="4">
      <w:start w:val="1"/>
      <w:numFmt w:val="bullet"/>
      <w:lvlText w:val=""/>
      <w:lvlJc w:val="left"/>
      <w:pPr>
        <w:ind w:left="2100" w:hanging="420"/>
      </w:pPr>
      <w:rPr>
        <w:rFonts w:ascii="Wingdings" w:eastAsia="Wingdings" w:hAnsi="Wingdings" w:hint="default"/>
        <w:bCs/>
      </w:rPr>
    </w:lvl>
    <w:lvl w:ilvl="5">
      <w:start w:val="1"/>
      <w:numFmt w:val="bullet"/>
      <w:lvlText w:val=""/>
      <w:lvlJc w:val="left"/>
      <w:pPr>
        <w:ind w:left="2520" w:hanging="420"/>
      </w:pPr>
      <w:rPr>
        <w:rFonts w:ascii="Wingdings" w:eastAsia="Wingdings" w:hAnsi="Wingdings" w:hint="default"/>
        <w:bCs/>
      </w:rPr>
    </w:lvl>
    <w:lvl w:ilvl="6">
      <w:start w:val="1"/>
      <w:numFmt w:val="bullet"/>
      <w:lvlText w:val=""/>
      <w:lvlJc w:val="left"/>
      <w:pPr>
        <w:ind w:left="2940" w:hanging="420"/>
      </w:pPr>
      <w:rPr>
        <w:rFonts w:ascii="Wingdings" w:eastAsia="Wingdings" w:hAnsi="Wingdings" w:hint="default"/>
        <w:bCs/>
      </w:rPr>
    </w:lvl>
    <w:lvl w:ilvl="7">
      <w:start w:val="1"/>
      <w:numFmt w:val="bullet"/>
      <w:lvlText w:val=""/>
      <w:lvlJc w:val="left"/>
      <w:pPr>
        <w:ind w:left="3360" w:hanging="420"/>
      </w:pPr>
      <w:rPr>
        <w:rFonts w:ascii="Wingdings" w:eastAsia="Wingdings" w:hAnsi="Wingdings" w:hint="default"/>
        <w:bCs/>
      </w:rPr>
    </w:lvl>
    <w:lvl w:ilvl="8">
      <w:numFmt w:val="decimal"/>
      <w:lvlText w:val=""/>
      <w:lvlJc w:val="left"/>
    </w:lvl>
  </w:abstractNum>
  <w:abstractNum w:abstractNumId="4" w15:restartNumberingAfterBreak="0">
    <w:nsid w:val="62D22BE2"/>
    <w:multiLevelType w:val="multilevel"/>
    <w:tmpl w:val="62D22BE2"/>
    <w:lvl w:ilvl="0">
      <w:start w:val="1"/>
      <w:numFmt w:val="bullet"/>
      <w:lvlText w:val=""/>
      <w:lvlJc w:val="left"/>
      <w:pPr>
        <w:ind w:left="420" w:hanging="420"/>
      </w:pPr>
      <w:rPr>
        <w:rFonts w:ascii="Wingdings" w:eastAsia="Wingdings" w:hAnsi="Wingdings" w:hint="default"/>
        <w:bCs/>
      </w:rPr>
    </w:lvl>
    <w:lvl w:ilvl="1">
      <w:start w:val="1"/>
      <w:numFmt w:val="bullet"/>
      <w:lvlText w:val=""/>
      <w:lvlJc w:val="left"/>
      <w:pPr>
        <w:ind w:left="840" w:hanging="420"/>
      </w:pPr>
      <w:rPr>
        <w:rFonts w:ascii="Wingdings" w:eastAsia="Wingdings" w:hAnsi="Wingdings" w:hint="default"/>
        <w:bCs/>
      </w:rPr>
    </w:lvl>
    <w:lvl w:ilvl="2">
      <w:start w:val="1"/>
      <w:numFmt w:val="bullet"/>
      <w:lvlText w:val=""/>
      <w:lvlJc w:val="left"/>
      <w:pPr>
        <w:ind w:left="1260" w:hanging="420"/>
      </w:pPr>
      <w:rPr>
        <w:rFonts w:ascii="Wingdings" w:eastAsia="Wingdings" w:hAnsi="Wingdings" w:hint="default"/>
        <w:bCs/>
      </w:rPr>
    </w:lvl>
    <w:lvl w:ilvl="3">
      <w:start w:val="1"/>
      <w:numFmt w:val="bullet"/>
      <w:lvlText w:val=""/>
      <w:lvlJc w:val="left"/>
      <w:pPr>
        <w:ind w:left="1680" w:hanging="420"/>
      </w:pPr>
      <w:rPr>
        <w:rFonts w:ascii="Wingdings" w:eastAsia="Wingdings" w:hAnsi="Wingdings" w:hint="default"/>
        <w:bCs/>
      </w:rPr>
    </w:lvl>
    <w:lvl w:ilvl="4">
      <w:start w:val="1"/>
      <w:numFmt w:val="bullet"/>
      <w:lvlText w:val=""/>
      <w:lvlJc w:val="left"/>
      <w:pPr>
        <w:ind w:left="2100" w:hanging="420"/>
      </w:pPr>
      <w:rPr>
        <w:rFonts w:ascii="Wingdings" w:eastAsia="Wingdings" w:hAnsi="Wingdings" w:hint="default"/>
        <w:bCs/>
      </w:rPr>
    </w:lvl>
    <w:lvl w:ilvl="5">
      <w:start w:val="1"/>
      <w:numFmt w:val="bullet"/>
      <w:lvlText w:val=""/>
      <w:lvlJc w:val="left"/>
      <w:pPr>
        <w:ind w:left="2520" w:hanging="420"/>
      </w:pPr>
      <w:rPr>
        <w:rFonts w:ascii="Wingdings" w:eastAsia="Wingdings" w:hAnsi="Wingdings" w:hint="default"/>
        <w:bCs/>
      </w:rPr>
    </w:lvl>
    <w:lvl w:ilvl="6">
      <w:start w:val="1"/>
      <w:numFmt w:val="bullet"/>
      <w:lvlText w:val=""/>
      <w:lvlJc w:val="left"/>
      <w:pPr>
        <w:ind w:left="2940" w:hanging="420"/>
      </w:pPr>
      <w:rPr>
        <w:rFonts w:ascii="Wingdings" w:eastAsia="Wingdings" w:hAnsi="Wingdings" w:hint="default"/>
        <w:bCs/>
      </w:rPr>
    </w:lvl>
    <w:lvl w:ilvl="7">
      <w:start w:val="1"/>
      <w:numFmt w:val="bullet"/>
      <w:lvlText w:val=""/>
      <w:lvlJc w:val="left"/>
      <w:pPr>
        <w:ind w:left="3360" w:hanging="420"/>
      </w:pPr>
      <w:rPr>
        <w:rFonts w:ascii="Wingdings" w:eastAsia="Wingdings" w:hAnsi="Wingdings" w:hint="default"/>
        <w:bCs/>
      </w:rPr>
    </w:lvl>
    <w:lvl w:ilvl="8">
      <w:numFmt w:val="decimal"/>
      <w:lvlText w:val=""/>
      <w:lvlJc w:val="left"/>
    </w:lvl>
  </w:abstractNum>
  <w:abstractNum w:abstractNumId="5" w15:restartNumberingAfterBreak="0">
    <w:nsid w:val="62D22BED"/>
    <w:multiLevelType w:val="multilevel"/>
    <w:tmpl w:val="62D22BED"/>
    <w:lvl w:ilvl="0">
      <w:start w:val="1"/>
      <w:numFmt w:val="bullet"/>
      <w:lvlText w:val=""/>
      <w:lvlJc w:val="left"/>
      <w:pPr>
        <w:ind w:left="420" w:hanging="420"/>
      </w:pPr>
      <w:rPr>
        <w:rFonts w:ascii="Wingdings" w:eastAsia="Wingdings" w:hAnsi="Wingdings" w:hint="default"/>
        <w:bCs/>
      </w:rPr>
    </w:lvl>
    <w:lvl w:ilvl="1">
      <w:start w:val="1"/>
      <w:numFmt w:val="bullet"/>
      <w:lvlText w:val=""/>
      <w:lvlJc w:val="left"/>
      <w:pPr>
        <w:ind w:left="840" w:hanging="420"/>
      </w:pPr>
      <w:rPr>
        <w:rFonts w:ascii="Wingdings" w:eastAsia="Wingdings" w:hAnsi="Wingdings" w:hint="default"/>
        <w:bCs/>
      </w:rPr>
    </w:lvl>
    <w:lvl w:ilvl="2">
      <w:start w:val="1"/>
      <w:numFmt w:val="bullet"/>
      <w:lvlText w:val=""/>
      <w:lvlJc w:val="left"/>
      <w:pPr>
        <w:ind w:left="1260" w:hanging="420"/>
      </w:pPr>
      <w:rPr>
        <w:rFonts w:ascii="Wingdings" w:eastAsia="Wingdings" w:hAnsi="Wingdings" w:hint="default"/>
        <w:bCs/>
      </w:rPr>
    </w:lvl>
    <w:lvl w:ilvl="3">
      <w:start w:val="1"/>
      <w:numFmt w:val="bullet"/>
      <w:lvlText w:val=""/>
      <w:lvlJc w:val="left"/>
      <w:pPr>
        <w:ind w:left="1680" w:hanging="420"/>
      </w:pPr>
      <w:rPr>
        <w:rFonts w:ascii="Wingdings" w:eastAsia="Wingdings" w:hAnsi="Wingdings" w:hint="default"/>
        <w:bCs/>
      </w:rPr>
    </w:lvl>
    <w:lvl w:ilvl="4">
      <w:start w:val="1"/>
      <w:numFmt w:val="bullet"/>
      <w:lvlText w:val=""/>
      <w:lvlJc w:val="left"/>
      <w:pPr>
        <w:ind w:left="2100" w:hanging="420"/>
      </w:pPr>
      <w:rPr>
        <w:rFonts w:ascii="Wingdings" w:eastAsia="Wingdings" w:hAnsi="Wingdings" w:hint="default"/>
        <w:bCs/>
      </w:rPr>
    </w:lvl>
    <w:lvl w:ilvl="5">
      <w:start w:val="1"/>
      <w:numFmt w:val="bullet"/>
      <w:lvlText w:val=""/>
      <w:lvlJc w:val="left"/>
      <w:pPr>
        <w:ind w:left="2520" w:hanging="420"/>
      </w:pPr>
      <w:rPr>
        <w:rFonts w:ascii="Wingdings" w:eastAsia="Wingdings" w:hAnsi="Wingdings" w:hint="default"/>
        <w:bCs/>
      </w:rPr>
    </w:lvl>
    <w:lvl w:ilvl="6">
      <w:start w:val="1"/>
      <w:numFmt w:val="bullet"/>
      <w:lvlText w:val=""/>
      <w:lvlJc w:val="left"/>
      <w:pPr>
        <w:ind w:left="2940" w:hanging="420"/>
      </w:pPr>
      <w:rPr>
        <w:rFonts w:ascii="Wingdings" w:eastAsia="Wingdings" w:hAnsi="Wingdings" w:hint="default"/>
        <w:bCs/>
      </w:rPr>
    </w:lvl>
    <w:lvl w:ilvl="7">
      <w:start w:val="1"/>
      <w:numFmt w:val="bullet"/>
      <w:lvlText w:val=""/>
      <w:lvlJc w:val="left"/>
      <w:pPr>
        <w:ind w:left="3360" w:hanging="420"/>
      </w:pPr>
      <w:rPr>
        <w:rFonts w:ascii="Wingdings" w:eastAsia="Wingdings" w:hAnsi="Wingdings" w:hint="default"/>
        <w:bCs/>
      </w:rPr>
    </w:lvl>
    <w:lvl w:ilvl="8">
      <w:numFmt w:val="decimal"/>
      <w:lvlText w:val=""/>
      <w:lvlJc w:val="left"/>
    </w:lvl>
  </w:abstractNum>
  <w:num w:numId="1" w16cid:durableId="1241718569">
    <w:abstractNumId w:val="0"/>
  </w:num>
  <w:num w:numId="2" w16cid:durableId="1017855493">
    <w:abstractNumId w:val="1"/>
  </w:num>
  <w:num w:numId="3" w16cid:durableId="690574003">
    <w:abstractNumId w:val="2"/>
  </w:num>
  <w:num w:numId="4" w16cid:durableId="1824732976">
    <w:abstractNumId w:val="3"/>
  </w:num>
  <w:num w:numId="5" w16cid:durableId="1868257284">
    <w:abstractNumId w:val="4"/>
  </w:num>
  <w:num w:numId="6" w16cid:durableId="13577333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displayBackgroundShape/>
  <w:bordersDoNotSurroundHeader/>
  <w:bordersDoNotSurroundFooter/>
  <w:proofState w:spelling="clean"/>
  <w:attachedTemplate r:id="rId1"/>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C3AE39A6"/>
    <w:rsid w:val="F75F7C22"/>
    <w:rsid w:val="F78F16A4"/>
    <w:rsid w:val="FFFDFB27"/>
    <w:rsid w:val="000C51B7"/>
    <w:rsid w:val="00172A27"/>
    <w:rsid w:val="00216EB9"/>
    <w:rsid w:val="0059531B"/>
    <w:rsid w:val="00616505"/>
    <w:rsid w:val="0062213C"/>
    <w:rsid w:val="00633F40"/>
    <w:rsid w:val="006549AD"/>
    <w:rsid w:val="00684D9C"/>
    <w:rsid w:val="00722823"/>
    <w:rsid w:val="008E6A47"/>
    <w:rsid w:val="00A60633"/>
    <w:rsid w:val="00BA0C1A"/>
    <w:rsid w:val="00C061CB"/>
    <w:rsid w:val="00C604EC"/>
    <w:rsid w:val="00E26251"/>
    <w:rsid w:val="00EA1EE8"/>
    <w:rsid w:val="00F53662"/>
    <w:rsid w:val="00FA511E"/>
    <w:rsid w:val="083D07F0"/>
    <w:rsid w:val="105E3B74"/>
    <w:rsid w:val="15FFE0B7"/>
    <w:rsid w:val="1C2C4424"/>
    <w:rsid w:val="1CD54CE6"/>
    <w:rsid w:val="1DEC38DC"/>
    <w:rsid w:val="30456175"/>
    <w:rsid w:val="36772279"/>
    <w:rsid w:val="3EFED9D8"/>
    <w:rsid w:val="434067C1"/>
    <w:rsid w:val="568D20C3"/>
    <w:rsid w:val="5FFB3199"/>
    <w:rsid w:val="6ADB9AE8"/>
    <w:rsid w:val="6EAF13B0"/>
    <w:rsid w:val="71061E72"/>
    <w:rsid w:val="7A3B2499"/>
    <w:rsid w:val="7BFF2F70"/>
    <w:rsid w:val="7DF1330C"/>
    <w:rsid w:val="7F5D7889"/>
    <w:rsid w:val="7FFF89BA"/>
    <w:rsid w:val="8977AA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fillcolor="white">
      <v:fill color="white"/>
    </o:shapedefaults>
    <o:shapelayout v:ext="edit">
      <o:idmap v:ext="edit" data="1"/>
    </o:shapelayout>
  </w:shapeDefaults>
  <w:decimalSymbol w:val="."/>
  <w:listSeparator w:val=","/>
  <w14:docId w14:val="1EC3601F"/>
  <w15:docId w15:val="{CC8C3369-F8A8-3449-BAA0-88ACB2BA7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2">
    <w:name w:val="heading 2"/>
    <w:basedOn w:val="a"/>
    <w:next w:val="a"/>
    <w:uiPriority w:val="9"/>
    <w:unhideWhenUsed/>
    <w:qFormat/>
    <w:pPr>
      <w:keepNext/>
      <w:keepLines/>
      <w:spacing w:line="408" w:lineRule="auto"/>
      <w:jc w:val="left"/>
      <w:outlineLvl w:val="1"/>
    </w:pPr>
    <w:rPr>
      <w:rFonts w:asciiTheme="majorHAnsi" w:eastAsiaTheme="majorEastAsia" w:hAnsiTheme="majorHAnsi" w:cstheme="majorBidi"/>
      <w:b/>
      <w:bCs/>
      <w:color w:val="1A1A1A"/>
      <w:sz w:val="32"/>
      <w:szCs w:val="32"/>
    </w:rPr>
  </w:style>
  <w:style w:type="paragraph" w:styleId="3">
    <w:name w:val="heading 3"/>
    <w:basedOn w:val="a"/>
    <w:next w:val="a"/>
    <w:uiPriority w:val="9"/>
    <w:unhideWhenUsed/>
    <w:qFormat/>
    <w:pPr>
      <w:keepNext/>
      <w:keepLines/>
      <w:spacing w:line="408" w:lineRule="auto"/>
      <w:jc w:val="left"/>
      <w:outlineLvl w:val="2"/>
    </w:pPr>
    <w:rPr>
      <w:b/>
      <w:bCs/>
      <w:color w:val="1A1A1A"/>
      <w:sz w:val="28"/>
      <w:szCs w:val="32"/>
    </w:rPr>
  </w:style>
  <w:style w:type="paragraph" w:styleId="4">
    <w:name w:val="heading 4"/>
    <w:basedOn w:val="a"/>
    <w:next w:val="a"/>
    <w:uiPriority w:val="9"/>
    <w:unhideWhenUsed/>
    <w:qFormat/>
    <w:pPr>
      <w:keepNext/>
      <w:keepLines/>
      <w:spacing w:line="408" w:lineRule="auto"/>
      <w:jc w:val="left"/>
      <w:outlineLvl w:val="3"/>
    </w:pPr>
    <w:rPr>
      <w:rFonts w:asciiTheme="majorHAnsi" w:eastAsiaTheme="majorEastAsia" w:hAnsiTheme="majorHAnsi" w:cstheme="majorBidi"/>
      <w:b/>
      <w:bCs/>
      <w:color w:val="1A1A1A"/>
      <w:sz w:val="24"/>
      <w:szCs w:val="28"/>
    </w:rPr>
  </w:style>
  <w:style w:type="paragraph" w:styleId="5">
    <w:name w:val="heading 5"/>
    <w:basedOn w:val="a"/>
    <w:next w:val="a"/>
    <w:uiPriority w:val="9"/>
    <w:unhideWhenUsed/>
    <w:qFormat/>
    <w:pPr>
      <w:keepNext/>
      <w:keepLines/>
      <w:spacing w:line="408" w:lineRule="auto"/>
      <w:jc w:val="left"/>
      <w:outlineLvl w:val="4"/>
    </w:pPr>
    <w:rPr>
      <w:b/>
      <w:bCs/>
      <w:color w:val="1A1A1A"/>
      <w:sz w:val="22"/>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unhideWhenUsed/>
    <w:qFormat/>
    <w:pPr>
      <w:ind w:leftChars="400" w:left="840"/>
    </w:pPr>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TOC2">
    <w:name w:val="toc 2"/>
    <w:basedOn w:val="a"/>
    <w:next w:val="a"/>
    <w:uiPriority w:val="39"/>
    <w:unhideWhenUsed/>
    <w:qFormat/>
    <w:pPr>
      <w:ind w:leftChars="200" w:left="420"/>
    </w:pPr>
  </w:style>
  <w:style w:type="paragraph" w:styleId="a7">
    <w:name w:val="Title"/>
    <w:basedOn w:val="a"/>
    <w:next w:val="a"/>
    <w:uiPriority w:val="10"/>
    <w:qFormat/>
    <w:pPr>
      <w:spacing w:line="480" w:lineRule="auto"/>
      <w:jc w:val="center"/>
      <w:outlineLvl w:val="0"/>
    </w:pPr>
    <w:rPr>
      <w:rFonts w:asciiTheme="majorHAnsi" w:eastAsiaTheme="majorEastAsia" w:hAnsiTheme="majorHAnsi" w:cstheme="majorBidi"/>
      <w:b/>
      <w:bCs/>
      <w:sz w:val="48"/>
      <w:szCs w:val="32"/>
    </w:rPr>
  </w:style>
  <w:style w:type="table" w:styleId="a8">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页眉 字符"/>
    <w:basedOn w:val="a0"/>
    <w:link w:val="a5"/>
    <w:uiPriority w:val="99"/>
    <w:semiHidden/>
    <w:qFormat/>
    <w:rPr>
      <w:sz w:val="18"/>
      <w:szCs w:val="18"/>
    </w:rPr>
  </w:style>
  <w:style w:type="character" w:customStyle="1" w:styleId="a4">
    <w:name w:val="页脚 字符"/>
    <w:basedOn w:val="a0"/>
    <w:link w:val="a3"/>
    <w:uiPriority w:val="99"/>
    <w:semiHidden/>
    <w:qFormat/>
    <w:rPr>
      <w:sz w:val="18"/>
      <w:szCs w:val="18"/>
    </w:rPr>
  </w:style>
  <w:style w:type="paragraph" w:customStyle="1" w:styleId="1">
    <w:name w:val="列表段落1"/>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ikp/Library/Containers/com.kingsoft.wpsoffice.mac/Data/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标准型"/>
    </customSectPr>
    <customSectPr/>
    <customSectPr/>
  </customSectProps>
  <customShpExts>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Normal.wpt</Template>
  <TotalTime>3</TotalTime>
  <Pages>24</Pages>
  <Words>1064</Words>
  <Characters>6070</Characters>
  <Application>Microsoft Office Word</Application>
  <DocSecurity>0</DocSecurity>
  <Lines>50</Lines>
  <Paragraphs>14</Paragraphs>
  <ScaleCrop>false</ScaleCrop>
  <Company>Microsoft</Company>
  <LinksUpToDate>false</LinksUpToDate>
  <CharactersWithSpaces>7120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Tencent</dc:creator>
  <cp:lastModifiedBy>chen Snowing</cp:lastModifiedBy>
  <cp:revision>9</cp:revision>
  <dcterms:created xsi:type="dcterms:W3CDTF">2017-01-11T09:10:00Z</dcterms:created>
  <dcterms:modified xsi:type="dcterms:W3CDTF">2023-03-21T09:16:00Z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2052-5.1.1.7662</vt:lpwstr>
  </property>
  <property fmtid="{D5CDD505-2E9C-101B-9397-08002B2CF9AE}" pid="3" name="ICV">
    <vt:lpwstr>A34BAB5529FE4176DAF2FF63BBDBB684</vt:lpwstr>
  </property>
</Properties>
</file>