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IPv6检测服务介绍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IPv6检测服务</w:t>
      </w:r>
      <w:r>
        <w:rPr>
          <w:rFonts w:hint="eastAsia" w:ascii="Arial" w:hAnsi="Arial" w:eastAsia="黑体" w:cs="Arial"/>
          <w:sz w:val="28"/>
          <w:szCs w:val="28"/>
        </w:rPr>
        <w:t>平台</w:t>
      </w:r>
      <w:r>
        <w:rPr>
          <w:rFonts w:ascii="Arial" w:hAnsi="Arial" w:eastAsia="黑体" w:cs="Arial"/>
          <w:sz w:val="28"/>
          <w:szCs w:val="28"/>
        </w:rPr>
        <w:t>，基于公有云构建面向</w:t>
      </w:r>
      <w:r>
        <w:rPr>
          <w:rFonts w:hint="eastAsia" w:ascii="Arial" w:hAnsi="Arial" w:eastAsia="黑体" w:cs="Arial"/>
          <w:sz w:val="28"/>
          <w:szCs w:val="28"/>
        </w:rPr>
        <w:t>各行业</w:t>
      </w:r>
      <w:r>
        <w:rPr>
          <w:rFonts w:ascii="Arial" w:hAnsi="Arial" w:eastAsia="黑体" w:cs="Arial"/>
          <w:sz w:val="28"/>
          <w:szCs w:val="28"/>
        </w:rPr>
        <w:t>客户</w:t>
      </w:r>
      <w:r>
        <w:rPr>
          <w:rFonts w:hint="eastAsia" w:ascii="Arial" w:hAnsi="Arial" w:eastAsia="黑体" w:cs="Arial"/>
          <w:sz w:val="28"/>
          <w:szCs w:val="28"/>
        </w:rPr>
        <w:t>提供网站</w:t>
      </w:r>
      <w:r>
        <w:rPr>
          <w:rFonts w:ascii="Arial" w:hAnsi="Arial" w:eastAsia="黑体" w:cs="Arial"/>
          <w:sz w:val="28"/>
          <w:szCs w:val="28"/>
        </w:rPr>
        <w:t>IPv6检测</w:t>
      </w:r>
      <w:r>
        <w:rPr>
          <w:rFonts w:hint="eastAsia" w:ascii="Arial" w:hAnsi="Arial" w:eastAsia="黑体" w:cs="Arial"/>
          <w:sz w:val="28"/>
          <w:szCs w:val="28"/>
        </w:rPr>
        <w:t>轻量级支撑服务</w:t>
      </w:r>
      <w:r>
        <w:rPr>
          <w:rFonts w:ascii="Arial" w:hAnsi="Arial" w:eastAsia="黑体" w:cs="Arial"/>
          <w:sz w:val="28"/>
          <w:szCs w:val="28"/>
        </w:rPr>
        <w:t>，采用</w:t>
      </w:r>
      <w:r>
        <w:rPr>
          <w:rFonts w:hint="eastAsia" w:ascii="Arial" w:hAnsi="Arial" w:eastAsia="黑体" w:cs="Arial"/>
          <w:sz w:val="28"/>
          <w:szCs w:val="28"/>
        </w:rPr>
        <w:t>并保持与</w:t>
      </w:r>
      <w:r>
        <w:rPr>
          <w:rFonts w:ascii="Arial" w:hAnsi="Arial" w:eastAsia="黑体" w:cs="Arial"/>
          <w:sz w:val="28"/>
          <w:szCs w:val="28"/>
        </w:rPr>
        <w:t>权威监管机构（如国家IPv6发展监测平台、</w:t>
      </w:r>
      <w:r>
        <w:rPr>
          <w:rFonts w:hint="eastAsia" w:ascii="Arial" w:hAnsi="Arial" w:eastAsia="黑体" w:cs="Arial"/>
          <w:sz w:val="28"/>
          <w:szCs w:val="28"/>
        </w:rPr>
        <w:t>金融行业</w:t>
      </w:r>
      <w:r>
        <w:rPr>
          <w:rFonts w:ascii="Arial" w:hAnsi="Arial" w:eastAsia="黑体" w:cs="Arial"/>
          <w:sz w:val="28"/>
          <w:szCs w:val="28"/>
        </w:rPr>
        <w:t>IPv6发展监测平台等）</w:t>
      </w:r>
      <w:r>
        <w:rPr>
          <w:rFonts w:hint="eastAsia" w:ascii="Arial" w:hAnsi="Arial" w:eastAsia="黑体" w:cs="Arial"/>
          <w:sz w:val="28"/>
          <w:szCs w:val="28"/>
        </w:rPr>
        <w:t>部署</w:t>
      </w:r>
      <w:r>
        <w:rPr>
          <w:rFonts w:ascii="Arial" w:hAnsi="Arial" w:eastAsia="黑体" w:cs="Arial"/>
          <w:sz w:val="28"/>
          <w:szCs w:val="28"/>
        </w:rPr>
        <w:t>的监测</w:t>
      </w:r>
      <w:r>
        <w:rPr>
          <w:rFonts w:hint="eastAsia" w:ascii="Arial" w:hAnsi="Arial" w:eastAsia="黑体" w:cs="Arial"/>
          <w:sz w:val="28"/>
          <w:szCs w:val="28"/>
        </w:rPr>
        <w:t>平台</w:t>
      </w:r>
      <w:r>
        <w:rPr>
          <w:rFonts w:ascii="Arial" w:hAnsi="Arial" w:eastAsia="黑体" w:cs="Arial"/>
          <w:sz w:val="28"/>
          <w:szCs w:val="28"/>
        </w:rPr>
        <w:t>评分指标</w:t>
      </w:r>
      <w:r>
        <w:rPr>
          <w:rFonts w:hint="eastAsia" w:ascii="Arial" w:hAnsi="Arial" w:eastAsia="黑体" w:cs="Arial"/>
          <w:sz w:val="28"/>
          <w:szCs w:val="28"/>
        </w:rPr>
        <w:t>体系，</w:t>
      </w:r>
      <w:r>
        <w:rPr>
          <w:rFonts w:ascii="Arial" w:hAnsi="Arial" w:eastAsia="黑体" w:cs="Arial"/>
          <w:sz w:val="28"/>
          <w:szCs w:val="28"/>
        </w:rPr>
        <w:t>通过全面监测和分析网站的IPv6升级改造情况，客观、准确地评估</w:t>
      </w:r>
      <w:r>
        <w:rPr>
          <w:rFonts w:hint="eastAsia" w:ascii="Arial" w:hAnsi="Arial" w:eastAsia="黑体" w:cs="Arial"/>
          <w:sz w:val="28"/>
          <w:szCs w:val="28"/>
        </w:rPr>
        <w:t>网站</w:t>
      </w:r>
      <w:r>
        <w:rPr>
          <w:rFonts w:ascii="Arial" w:hAnsi="Arial" w:eastAsia="黑体" w:cs="Arial"/>
          <w:sz w:val="28"/>
          <w:szCs w:val="28"/>
        </w:rPr>
        <w:t>的IPv6支持度状况</w:t>
      </w:r>
      <w:r>
        <w:rPr>
          <w:rFonts w:hint="eastAsia" w:ascii="Arial" w:hAnsi="Arial" w:eastAsia="黑体" w:cs="Arial"/>
          <w:sz w:val="28"/>
          <w:szCs w:val="28"/>
        </w:rPr>
        <w:t>，提升并保持网站I</w:t>
      </w:r>
      <w:r>
        <w:rPr>
          <w:rFonts w:ascii="Arial" w:hAnsi="Arial" w:eastAsia="黑体" w:cs="Arial"/>
          <w:sz w:val="28"/>
          <w:szCs w:val="28"/>
        </w:rPr>
        <w:t>Pv6</w:t>
      </w:r>
      <w:r>
        <w:rPr>
          <w:rFonts w:hint="eastAsia" w:ascii="Arial" w:hAnsi="Arial" w:eastAsia="黑体" w:cs="Arial"/>
          <w:sz w:val="28"/>
          <w:szCs w:val="28"/>
        </w:rPr>
        <w:t>支持度评分。实现对网站应用的全方位IPv6发</w:t>
      </w:r>
      <w:bookmarkStart w:id="0" w:name="_GoBack"/>
      <w:bookmarkEnd w:id="0"/>
      <w:r>
        <w:rPr>
          <w:rFonts w:hint="eastAsia" w:ascii="Arial" w:hAnsi="Arial" w:eastAsia="黑体" w:cs="Arial"/>
          <w:sz w:val="28"/>
          <w:szCs w:val="28"/>
        </w:rPr>
        <w:t>展指标监测，并根据各项检测指标结果形成整体的监测评分以及完整、详细的监测报告，作为向上汇报或者向下考核的权威依据。</w:t>
      </w:r>
    </w:p>
    <w:p>
      <w:pPr>
        <w:pStyle w:val="2"/>
      </w:pPr>
      <w:r>
        <w:rPr>
          <w:rFonts w:hint="eastAsia"/>
        </w:rPr>
        <w:t>检测服务内容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IPv6检测服务，可以持续对应用IPv6改造效果进行监测、评估、整改和优化，并提供改造咨询服务，支撑应用改造达到国家的考核要求</w:t>
      </w:r>
      <w:r>
        <w:rPr>
          <w:rFonts w:hint="eastAsia" w:ascii="Arial" w:hAnsi="Arial" w:eastAsia="黑体" w:cs="Arial"/>
          <w:sz w:val="28"/>
          <w:szCs w:val="28"/>
        </w:rPr>
        <w:t>。</w:t>
      </w:r>
      <w:r>
        <w:rPr>
          <w:rFonts w:ascii="Arial" w:hAnsi="Arial" w:eastAsia="黑体" w:cs="Arial"/>
          <w:sz w:val="28"/>
          <w:szCs w:val="28"/>
        </w:rPr>
        <w:t>IPv6检测服务</w:t>
      </w:r>
      <w:r>
        <w:rPr>
          <w:rFonts w:hint="eastAsia" w:ascii="Arial" w:hAnsi="Arial" w:eastAsia="黑体" w:cs="Arial"/>
          <w:sz w:val="28"/>
          <w:szCs w:val="28"/>
        </w:rPr>
        <w:t>采用线上购买，线下提供服务的方式，</w:t>
      </w:r>
      <w:r>
        <w:rPr>
          <w:rFonts w:ascii="Arial" w:hAnsi="Arial" w:eastAsia="黑体" w:cs="Arial"/>
          <w:sz w:val="28"/>
          <w:szCs w:val="28"/>
        </w:rPr>
        <w:t>1年提供4次报告</w:t>
      </w:r>
      <w:r>
        <w:rPr>
          <w:rFonts w:hint="eastAsia" w:ascii="Arial" w:hAnsi="Arial" w:eastAsia="黑体" w:cs="Arial"/>
          <w:sz w:val="28"/>
          <w:szCs w:val="28"/>
        </w:rPr>
        <w:t>，其主要提供服务内容如下：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服务项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网站IPv6支持度检测评估服务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对网站如下IPv6支持度能力进行检测：</w:t>
            </w:r>
          </w:p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1、网站域名</w:t>
            </w:r>
            <w:r>
              <w:rPr>
                <w:rFonts w:ascii="Arial" w:hAnsi="Arial" w:eastAsia="黑体" w:cs="Arial"/>
                <w:sz w:val="24"/>
                <w:szCs w:val="24"/>
              </w:rPr>
              <w:t>IPv6地址解析能力</w:t>
            </w:r>
          </w:p>
          <w:p>
            <w:pPr>
              <w:spacing w:line="360" w:lineRule="auto"/>
              <w:rPr>
                <w:rFonts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2、网站首页</w:t>
            </w:r>
            <w:r>
              <w:rPr>
                <w:rFonts w:ascii="Arial" w:hAnsi="Arial" w:eastAsia="黑体" w:cs="Arial"/>
                <w:b/>
                <w:bCs/>
                <w:sz w:val="24"/>
                <w:szCs w:val="24"/>
              </w:rPr>
              <w:t>IPv6是否可访问（考核权重占比20分）</w:t>
            </w:r>
          </w:p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3、网站首页</w:t>
            </w:r>
            <w:r>
              <w:rPr>
                <w:rFonts w:ascii="Arial" w:hAnsi="Arial" w:eastAsia="黑体" w:cs="Arial"/>
                <w:sz w:val="24"/>
                <w:szCs w:val="24"/>
              </w:rPr>
              <w:t>IPv6访问成功率</w:t>
            </w:r>
          </w:p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4、网站首页内容</w:t>
            </w:r>
            <w:r>
              <w:rPr>
                <w:rFonts w:ascii="Arial" w:hAnsi="Arial" w:eastAsia="黑体" w:cs="Arial"/>
                <w:sz w:val="24"/>
                <w:szCs w:val="24"/>
              </w:rPr>
              <w:t>IPv6和IPv4的一致性</w:t>
            </w:r>
          </w:p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5、网站域名是否具备完整的</w:t>
            </w:r>
            <w:r>
              <w:rPr>
                <w:rFonts w:ascii="Arial" w:hAnsi="Arial" w:eastAsia="黑体" w:cs="Arial"/>
                <w:sz w:val="24"/>
                <w:szCs w:val="24"/>
              </w:rPr>
              <w:t>IPv6域名授权体系</w:t>
            </w:r>
          </w:p>
          <w:p>
            <w:pPr>
              <w:spacing w:line="360" w:lineRule="auto"/>
              <w:rPr>
                <w:rFonts w:ascii="Arial" w:hAnsi="Arial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6、网站二级</w:t>
            </w:r>
            <w:r>
              <w:rPr>
                <w:rFonts w:ascii="Arial" w:hAnsi="Arial" w:eastAsia="黑体" w:cs="Arial"/>
                <w:b/>
                <w:bCs/>
                <w:sz w:val="24"/>
                <w:szCs w:val="24"/>
              </w:rPr>
              <w:t>IPv6支持率（考核权重占比40分）</w:t>
            </w:r>
          </w:p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b/>
                <w:bCs/>
                <w:sz w:val="24"/>
                <w:szCs w:val="24"/>
              </w:rPr>
              <w:t>7、网站三级链接</w:t>
            </w:r>
            <w:r>
              <w:rPr>
                <w:rFonts w:ascii="Arial" w:hAnsi="Arial" w:eastAsia="黑体" w:cs="Arial"/>
                <w:b/>
                <w:bCs/>
                <w:sz w:val="24"/>
                <w:szCs w:val="24"/>
              </w:rPr>
              <w:t>IPv6支持率（考核权重占比40分）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网站IPv6检测后整改服务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提供网站</w:t>
            </w:r>
            <w:r>
              <w:rPr>
                <w:rFonts w:ascii="Arial" w:hAnsi="Arial" w:eastAsia="黑体" w:cs="Arial"/>
                <w:sz w:val="24"/>
                <w:szCs w:val="24"/>
              </w:rPr>
              <w:t>IPv6支持度不达标项的原因分析（提供不达标详情和分析，以及指标优化工作建议）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，并协调安排对已完成整改的网站进行重新检测，验证改造效果。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网站IPv6支持度检测巡检服务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按指定周期对以完成改造的网站进行</w:t>
            </w:r>
            <w:r>
              <w:rPr>
                <w:rFonts w:ascii="Arial" w:hAnsi="Arial" w:eastAsia="黑体" w:cs="Arial"/>
                <w:sz w:val="24"/>
                <w:szCs w:val="24"/>
              </w:rPr>
              <w:t>IPv6支持度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检测巡检</w:t>
            </w:r>
            <w:r>
              <w:rPr>
                <w:rFonts w:ascii="Arial" w:hAnsi="Arial" w:eastAsia="黑体" w:cs="Arial"/>
                <w:sz w:val="24"/>
                <w:szCs w:val="24"/>
              </w:rPr>
              <w:t>，及时掌握网站的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运行</w:t>
            </w:r>
            <w:r>
              <w:rPr>
                <w:rFonts w:ascii="Arial" w:hAnsi="Arial" w:eastAsia="黑体" w:cs="Arial"/>
                <w:sz w:val="24"/>
                <w:szCs w:val="24"/>
              </w:rPr>
              <w:t>状态，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避免因网络波动等因素影响网站IPv6访问，导致考核不达标的状况出现。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网站</w:t>
            </w:r>
            <w:r>
              <w:rPr>
                <w:rFonts w:ascii="Arial" w:hAnsi="Arial" w:eastAsia="黑体" w:cs="Arial"/>
                <w:sz w:val="24"/>
                <w:szCs w:val="24"/>
              </w:rPr>
              <w:t>IPv6检测</w:t>
            </w:r>
          </w:p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预警服务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提供网站</w:t>
            </w:r>
            <w:r>
              <w:rPr>
                <w:rFonts w:ascii="Arial" w:hAnsi="Arial" w:eastAsia="黑体" w:cs="Arial"/>
                <w:sz w:val="24"/>
                <w:szCs w:val="24"/>
              </w:rPr>
              <w:t>IPv6检测预警服务，在中央网信办进行网站考核期间，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实时跟踪网站运行状态，若发现网站运行异常，及时通知客户单位进行整改，</w:t>
            </w:r>
            <w:r>
              <w:rPr>
                <w:rFonts w:ascii="Arial" w:hAnsi="Arial" w:eastAsia="黑体" w:cs="Arial"/>
                <w:sz w:val="24"/>
                <w:szCs w:val="24"/>
              </w:rPr>
              <w:t>保障网站正常运行</w:t>
            </w:r>
            <w:r>
              <w:rPr>
                <w:rFonts w:hint="eastAsia" w:ascii="Arial" w:hAnsi="Arial" w:eastAsia="黑体" w:cs="Arial"/>
                <w:sz w:val="24"/>
                <w:szCs w:val="24"/>
              </w:rPr>
              <w:t>。</w:t>
            </w:r>
          </w:p>
        </w:tc>
      </w:tr>
    </w:tbl>
    <w:p/>
    <w:p>
      <w:pPr>
        <w:pStyle w:val="2"/>
      </w:pPr>
      <w:r>
        <w:rPr>
          <w:rFonts w:hint="eastAsia"/>
        </w:rPr>
        <w:t>检测服务流程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1、用户从云商店采购IPv6检测服务之后，通过我司预留的联系方式，联系我方服务人员提供检测服务；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2、用户需提前梳理好需要检测的网站应用清单，并将清单提交给我方服务人员；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3、我方服务人员拿到网站应用清单后，将网站应用信息导入到IPv6检测服务平台中进行管理；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4、根据客户需求，我方服务人员在平台上进行操作，对目标网站下发检测任务，进行快速/深度检测；检测数据代入权威评分体系，生成评测结果；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5、根据评测结果，我方服务人员输出网站评测报告（报告含附件：二/三级链接IPv6支持度清单）。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（1）当网站评测不达标时，我方服务人员将在评测报告对不达标项进行原因分析，并提供网站优化整改建议；后续网站完成改造，可协调安排对已完成整改的网站进行重新检测，验证改造效果。</w:t>
      </w:r>
    </w:p>
    <w:p>
      <w:pPr>
        <w:spacing w:line="360" w:lineRule="auto"/>
        <w:ind w:firstLine="560" w:firstLineChars="200"/>
        <w:rPr>
          <w:rFonts w:ascii="Arial" w:hAnsi="Arial" w:eastAsia="黑体" w:cs="Arial"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（2）当网站评测达标时，我方服务人员提供正常的评测报告，并在服务期内持续跟踪目标网站运行情况，及时掌握网站的运行状态，避免因网络波动等因素影响网站</w:t>
      </w:r>
      <w:r>
        <w:rPr>
          <w:rFonts w:ascii="Arial" w:hAnsi="Arial" w:eastAsia="黑体" w:cs="Arial"/>
          <w:sz w:val="28"/>
          <w:szCs w:val="28"/>
        </w:rPr>
        <w:t>IPv6访问，导致考核不达标的状况出现。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409B3"/>
    <w:multiLevelType w:val="multilevel"/>
    <w:tmpl w:val="6ED409B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ODJkMTBkOTdhMjI2YjYxN2VlMWNiODA2OWEzZTIifQ=="/>
  </w:docVars>
  <w:rsids>
    <w:rsidRoot w:val="00D268ED"/>
    <w:rsid w:val="00053340"/>
    <w:rsid w:val="000E5CBA"/>
    <w:rsid w:val="001B44C6"/>
    <w:rsid w:val="00275D87"/>
    <w:rsid w:val="002E5DF9"/>
    <w:rsid w:val="003170A4"/>
    <w:rsid w:val="006662B8"/>
    <w:rsid w:val="006B6F7A"/>
    <w:rsid w:val="007C5DE3"/>
    <w:rsid w:val="00821589"/>
    <w:rsid w:val="009950DB"/>
    <w:rsid w:val="009C3080"/>
    <w:rsid w:val="00C33C0A"/>
    <w:rsid w:val="00D268ED"/>
    <w:rsid w:val="00DB41B9"/>
    <w:rsid w:val="0D2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2"/>
    <w:uiPriority w:val="99"/>
    <w:rPr>
      <w:sz w:val="18"/>
      <w:szCs w:val="18"/>
    </w:rPr>
  </w:style>
  <w:style w:type="character" w:customStyle="1" w:styleId="17">
    <w:name w:val="页脚 字符"/>
    <w:basedOn w:val="15"/>
    <w:link w:val="11"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字符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字符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5">
    <w:name w:val="标题 8 字符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字符"/>
    <w:basedOn w:val="15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1249</Characters>
  <Lines>9</Lines>
  <Paragraphs>2</Paragraphs>
  <TotalTime>3</TotalTime>
  <ScaleCrop>false</ScaleCrop>
  <LinksUpToDate>false</LinksUpToDate>
  <CharactersWithSpaces>1249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2023-06-20T08:25:00Z</dcterms:created>
  <dc:creator>asus</dc:creator>
  <cp:lastModifiedBy>嘉仔</cp:lastModifiedBy>
  <dcterms:modified xsi:type="dcterms:W3CDTF">2023-06-20T09:01:15Z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25513430980649278FD5A3FECE423156_13</vt:lpwstr>
  </property>
</Properties>
</file>