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2.svg" ContentType="image/svg+xml"/>
  <Override PartName="/word/media/image4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2407285</wp:posOffset>
            </wp:positionH>
            <wp:positionV relativeFrom="paragraph">
              <wp:posOffset>161290</wp:posOffset>
            </wp:positionV>
            <wp:extent cx="1979295" cy="2214245"/>
            <wp:effectExtent l="0" t="0" r="0" b="0"/>
            <wp:wrapTight wrapText="bothSides">
              <wp:wrapPolygon>
                <wp:start x="8939" y="2416"/>
                <wp:lineTo x="7484" y="3345"/>
                <wp:lineTo x="5405" y="5203"/>
                <wp:lineTo x="5197" y="9106"/>
                <wp:lineTo x="7900" y="11707"/>
                <wp:lineTo x="3534" y="12822"/>
                <wp:lineTo x="2703" y="13194"/>
                <wp:lineTo x="2703" y="16725"/>
                <wp:lineTo x="5405" y="17654"/>
                <wp:lineTo x="3534" y="17654"/>
                <wp:lineTo x="2703" y="17840"/>
                <wp:lineTo x="3118" y="18955"/>
                <wp:lineTo x="18710" y="18955"/>
                <wp:lineTo x="19126" y="18026"/>
                <wp:lineTo x="16423" y="17654"/>
                <wp:lineTo x="18918" y="16725"/>
                <wp:lineTo x="18918" y="13380"/>
                <wp:lineTo x="18087" y="13008"/>
                <wp:lineTo x="13721" y="11707"/>
                <wp:lineTo x="16423" y="8734"/>
                <wp:lineTo x="16008" y="5203"/>
                <wp:lineTo x="13929" y="3345"/>
                <wp:lineTo x="12474" y="2416"/>
                <wp:lineTo x="8939" y="2416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widowControl/>
        <w:jc w:val="left"/>
        <w:rPr>
          <w:rFonts w:ascii="微软雅黑" w:hAnsi="微软雅黑" w:eastAsia="微软雅黑"/>
        </w:rPr>
      </w:pPr>
    </w:p>
    <w:p>
      <w:pPr>
        <w:widowControl/>
        <w:jc w:val="center"/>
        <w:rPr>
          <w:rFonts w:ascii="微软雅黑" w:hAnsi="微软雅黑" w:eastAsia="微软雅黑"/>
          <w:b/>
          <w:sz w:val="48"/>
          <w:szCs w:val="32"/>
        </w:rPr>
      </w:pPr>
      <w:bookmarkStart w:id="22" w:name="_GoBack"/>
      <w:r>
        <w:rPr>
          <w:rFonts w:hint="eastAsia" w:ascii="微软雅黑" w:hAnsi="微软雅黑" w:eastAsia="微软雅黑"/>
          <w:b/>
          <w:sz w:val="48"/>
          <w:szCs w:val="32"/>
        </w:rPr>
        <w:t>API接口产品使用手册</w:t>
      </w:r>
    </w:p>
    <w:bookmarkEnd w:id="22"/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8043545</wp:posOffset>
                </wp:positionV>
                <wp:extent cx="2780030" cy="1301750"/>
                <wp:effectExtent l="0" t="0" r="0" b="0"/>
                <wp:wrapTight wrapText="bothSides">
                  <wp:wrapPolygon>
                    <wp:start x="444" y="0"/>
                    <wp:lineTo x="444" y="21179"/>
                    <wp:lineTo x="21018" y="21179"/>
                    <wp:lineTo x="21018" y="0"/>
                    <wp:lineTo x="444" y="0"/>
                  </wp:wrapPolygon>
                </wp:wrapTight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0199" cy="130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color w:val="76717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767171"/>
                                <w:sz w:val="18"/>
                                <w:szCs w:val="18"/>
                              </w:rPr>
                              <w:t>北京金堤征信服务有限公司</w:t>
                            </w:r>
                          </w:p>
                          <w:p>
                            <w:pPr>
                              <w:spacing w:line="220" w:lineRule="exact"/>
                              <w:rPr>
                                <w:color w:val="76717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767171"/>
                                <w:sz w:val="15"/>
                                <w:szCs w:val="15"/>
                              </w:rPr>
                              <w:t>地址：北京市海淀区知春路65号院1号楼B座19层1902号</w:t>
                            </w:r>
                          </w:p>
                          <w:p>
                            <w:pPr>
                              <w:spacing w:line="220" w:lineRule="exact"/>
                              <w:rPr>
                                <w:color w:val="76717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767171"/>
                                <w:sz w:val="15"/>
                                <w:szCs w:val="15"/>
                              </w:rPr>
                              <w:t>邮编：1</w:t>
                            </w:r>
                            <w:r>
                              <w:rPr>
                                <w:color w:val="767171"/>
                                <w:sz w:val="15"/>
                                <w:szCs w:val="15"/>
                              </w:rPr>
                              <w:t>00086</w:t>
                            </w:r>
                          </w:p>
                          <w:p>
                            <w:pPr>
                              <w:spacing w:line="220" w:lineRule="exact"/>
                              <w:rPr>
                                <w:color w:val="76717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767171"/>
                                <w:sz w:val="15"/>
                                <w:szCs w:val="15"/>
                              </w:rPr>
                              <w:t>电话：</w:t>
                            </w:r>
                            <w:r>
                              <w:rPr>
                                <w:color w:val="767171"/>
                                <w:sz w:val="15"/>
                                <w:szCs w:val="15"/>
                              </w:rPr>
                              <w:t>010-82607132</w:t>
                            </w:r>
                          </w:p>
                          <w:p>
                            <w:pPr>
                              <w:spacing w:line="220" w:lineRule="exact"/>
                              <w:rPr>
                                <w:color w:val="76717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767171"/>
                                <w:sz w:val="15"/>
                                <w:szCs w:val="15"/>
                              </w:rPr>
                              <w:t>邮箱：</w:t>
                            </w:r>
                            <w:r>
                              <w:rPr>
                                <w:color w:val="767171"/>
                                <w:sz w:val="15"/>
                                <w:szCs w:val="15"/>
                              </w:rPr>
                              <w:t>sunchentian@tianyancha.com</w:t>
                            </w:r>
                          </w:p>
                          <w:p>
                            <w:pPr>
                              <w:spacing w:line="220" w:lineRule="exact"/>
                              <w:rPr>
                                <w:color w:val="76717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767171"/>
                                <w:sz w:val="15"/>
                                <w:szCs w:val="15"/>
                              </w:rPr>
                              <w:t>网址：</w:t>
                            </w:r>
                            <w:r>
                              <w:rPr>
                                <w:color w:val="767171"/>
                                <w:sz w:val="15"/>
                                <w:szCs w:val="15"/>
                              </w:rPr>
                              <w:t>www.tianyancha.com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633.35pt;height:102.5pt;width:218.9pt;mso-position-horizontal:left;mso-position-horizontal-relative:margin;mso-position-vertical-relative:page;mso-wrap-distance-left:9pt;mso-wrap-distance-right:9pt;z-index:-251656192;mso-width-relative:page;mso-height-relative:page;" filled="f" stroked="f" coordsize="21600,21600" wrapcoords="444 0 444 21179 21018 21179 21018 0 444 0" o:gfxdata="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zke+X2wAAAAoBAAAPAAAAAAAAAAEAIAAA&#10;ACIAAABkcnMvZG93bnJldi54bWxQSwECFAAUAAAACACHTuJAVt14/UICAAB3BAAADgAAAAAAAAAB&#10;ACAAAAAq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color w:val="767171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767171"/>
                          <w:sz w:val="18"/>
                          <w:szCs w:val="18"/>
                        </w:rPr>
                        <w:t>北京金堤征信服务有限公司</w:t>
                      </w:r>
                    </w:p>
                    <w:p>
                      <w:pPr>
                        <w:spacing w:line="220" w:lineRule="exact"/>
                        <w:rPr>
                          <w:color w:val="76717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767171"/>
                          <w:sz w:val="15"/>
                          <w:szCs w:val="15"/>
                        </w:rPr>
                        <w:t>地址：北京市海淀区知春路65号院1号楼B座19层1902号</w:t>
                      </w:r>
                    </w:p>
                    <w:p>
                      <w:pPr>
                        <w:spacing w:line="220" w:lineRule="exact"/>
                        <w:rPr>
                          <w:color w:val="76717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767171"/>
                          <w:sz w:val="15"/>
                          <w:szCs w:val="15"/>
                        </w:rPr>
                        <w:t>邮编：1</w:t>
                      </w:r>
                      <w:r>
                        <w:rPr>
                          <w:color w:val="767171"/>
                          <w:sz w:val="15"/>
                          <w:szCs w:val="15"/>
                        </w:rPr>
                        <w:t>00086</w:t>
                      </w:r>
                    </w:p>
                    <w:p>
                      <w:pPr>
                        <w:spacing w:line="220" w:lineRule="exact"/>
                        <w:rPr>
                          <w:color w:val="76717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767171"/>
                          <w:sz w:val="15"/>
                          <w:szCs w:val="15"/>
                        </w:rPr>
                        <w:t>电话：</w:t>
                      </w:r>
                      <w:r>
                        <w:rPr>
                          <w:color w:val="767171"/>
                          <w:sz w:val="15"/>
                          <w:szCs w:val="15"/>
                        </w:rPr>
                        <w:t>010-82607132</w:t>
                      </w:r>
                    </w:p>
                    <w:p>
                      <w:pPr>
                        <w:spacing w:line="220" w:lineRule="exact"/>
                        <w:rPr>
                          <w:color w:val="76717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767171"/>
                          <w:sz w:val="15"/>
                          <w:szCs w:val="15"/>
                        </w:rPr>
                        <w:t>邮箱：</w:t>
                      </w:r>
                      <w:r>
                        <w:rPr>
                          <w:color w:val="767171"/>
                          <w:sz w:val="15"/>
                          <w:szCs w:val="15"/>
                        </w:rPr>
                        <w:t>sunchentian@tianyancha.com</w:t>
                      </w:r>
                    </w:p>
                    <w:p>
                      <w:pPr>
                        <w:spacing w:line="220" w:lineRule="exact"/>
                        <w:rPr>
                          <w:color w:val="767171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767171"/>
                          <w:sz w:val="15"/>
                          <w:szCs w:val="15"/>
                        </w:rPr>
                        <w:t>网址：</w:t>
                      </w:r>
                      <w:r>
                        <w:rPr>
                          <w:color w:val="767171"/>
                          <w:sz w:val="15"/>
                          <w:szCs w:val="15"/>
                        </w:rPr>
                        <w:t>www.tianyancha.com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>
      <w:pPr>
        <w:pStyle w:val="46"/>
        <w:numPr>
          <w:ilvl w:val="0"/>
          <w:numId w:val="0"/>
        </w:numPr>
        <w:tabs>
          <w:tab w:val="center" w:pos="5443"/>
          <w:tab w:val="left" w:pos="8299"/>
        </w:tabs>
        <w:ind w:left="420"/>
        <w:rPr>
          <w:rFonts w:ascii="微软雅黑" w:hAnsi="微软雅黑"/>
          <w:sz w:val="28"/>
          <w:szCs w:val="18"/>
        </w:rPr>
      </w:pPr>
      <w:r>
        <w:rPr>
          <w:rFonts w:ascii="微软雅黑" w:hAnsi="微软雅黑"/>
          <w:sz w:val="28"/>
          <w:szCs w:val="18"/>
          <w:lang w:val="zh-CN"/>
        </w:rPr>
        <w:tab/>
      </w:r>
      <w:r>
        <w:rPr>
          <w:rFonts w:hint="eastAsia" w:ascii="微软雅黑" w:hAnsi="微软雅黑"/>
          <w:sz w:val="28"/>
          <w:szCs w:val="18"/>
          <w:lang w:val="zh-CN"/>
        </w:rPr>
        <w:t>目录</w:t>
      </w:r>
      <w:r>
        <w:rPr>
          <w:rFonts w:ascii="微软雅黑" w:hAnsi="微软雅黑"/>
          <w:sz w:val="28"/>
          <w:szCs w:val="18"/>
          <w:lang w:val="zh-CN"/>
        </w:rPr>
        <w:tab/>
      </w:r>
    </w:p>
    <w:p>
      <w:pPr>
        <w:pStyle w:val="16"/>
        <w:tabs>
          <w:tab w:val="left" w:pos="420"/>
          <w:tab w:val="right" w:leader="dot" w:pos="10456"/>
        </w:tabs>
        <w:rPr>
          <w:rFonts w:asciiTheme="minorHAnsi" w:hAnsiTheme="minorHAnsi" w:eastAsiaTheme="minorEastAsia" w:cstheme="minorBidi"/>
          <w14:ligatures w14:val="standardContextual"/>
        </w:rPr>
      </w:pPr>
      <w:r>
        <w:rPr>
          <w:rFonts w:ascii="微软雅黑" w:hAnsi="微软雅黑" w:eastAsia="微软雅黑" w:cstheme="minorHAnsi"/>
          <w:b/>
          <w:bCs/>
          <w:caps/>
          <w:sz w:val="20"/>
          <w:szCs w:val="18"/>
        </w:rPr>
        <w:fldChar w:fldCharType="begin"/>
      </w:r>
      <w:r>
        <w:rPr>
          <w:rFonts w:ascii="微软雅黑" w:hAnsi="微软雅黑" w:eastAsia="微软雅黑" w:cstheme="minorHAnsi"/>
          <w:b/>
          <w:bCs/>
          <w:caps/>
          <w:sz w:val="20"/>
          <w:szCs w:val="18"/>
        </w:rPr>
        <w:instrText xml:space="preserve"> TOC \o "1-3" \h \z \u </w:instrText>
      </w:r>
      <w:r>
        <w:rPr>
          <w:rFonts w:ascii="微软雅黑" w:hAnsi="微软雅黑" w:eastAsia="微软雅黑" w:cstheme="minorHAnsi"/>
          <w:b/>
          <w:bCs/>
          <w:caps/>
          <w:sz w:val="20"/>
          <w:szCs w:val="18"/>
        </w:rPr>
        <w:fldChar w:fldCharType="separate"/>
      </w:r>
      <w:r>
        <w:fldChar w:fldCharType="begin"/>
      </w:r>
      <w:r>
        <w:instrText xml:space="preserve"> HYPERLINK \l "_Toc145430144" </w:instrText>
      </w:r>
      <w:r>
        <w:fldChar w:fldCharType="separate"/>
      </w:r>
      <w:r>
        <w:rPr>
          <w:rStyle w:val="34"/>
        </w:rPr>
        <w:t>1.</w:t>
      </w:r>
      <w:r>
        <w:rPr>
          <w:rFonts w:asciiTheme="minorHAnsi" w:hAnsiTheme="minorHAnsi" w:eastAsiaTheme="minorEastAsia" w:cstheme="minorBidi"/>
          <w14:ligatures w14:val="standardContextual"/>
        </w:rPr>
        <w:tab/>
      </w:r>
      <w:r>
        <w:rPr>
          <w:rStyle w:val="34"/>
        </w:rPr>
        <w:t>概述</w:t>
      </w:r>
      <w:r>
        <w:tab/>
      </w:r>
      <w:r>
        <w:fldChar w:fldCharType="begin"/>
      </w:r>
      <w:r>
        <w:instrText xml:space="preserve"> PAGEREF _Toc145430144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0"/>
        <w:tabs>
          <w:tab w:val="left" w:pos="1260"/>
          <w:tab w:val="right" w:leader="dot" w:pos="10456"/>
        </w:tabs>
        <w:rPr>
          <w:rFonts w:asciiTheme="minorHAnsi" w:hAnsiTheme="minorHAnsi" w:eastAsiaTheme="minorEastAsia" w:cstheme="minorBidi"/>
          <w14:ligatures w14:val="standardContextual"/>
        </w:rPr>
      </w:pPr>
      <w:r>
        <w:fldChar w:fldCharType="begin"/>
      </w:r>
      <w:r>
        <w:instrText xml:space="preserve"> HYPERLINK \l "_Toc145430145" </w:instrText>
      </w:r>
      <w:r>
        <w:fldChar w:fldCharType="separate"/>
      </w:r>
      <w:r>
        <w:rPr>
          <w:rStyle w:val="34"/>
          <w14:scene3d w14:prst="orthographicFront">
            <w14:lightRig w14:rig="threePt" w14:dir="t">
              <w14:rot w14:lat="0" w14:lon="0" w14:rev="0"/>
            </w14:lightRig>
          </w14:scene3d>
        </w:rPr>
        <w:t>1.1</w:t>
      </w:r>
      <w:r>
        <w:rPr>
          <w:rFonts w:asciiTheme="minorHAnsi" w:hAnsiTheme="minorHAnsi" w:eastAsiaTheme="minorEastAsia" w:cstheme="minorBidi"/>
          <w14:ligatures w14:val="standardContextual"/>
        </w:rPr>
        <w:tab/>
      </w:r>
      <w:r>
        <w:rPr>
          <w:rStyle w:val="34"/>
        </w:rPr>
        <w:t>文档目的</w:t>
      </w:r>
      <w:r>
        <w:tab/>
      </w:r>
      <w:r>
        <w:fldChar w:fldCharType="begin"/>
      </w:r>
      <w:r>
        <w:instrText xml:space="preserve"> PAGEREF _Toc145430145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0"/>
        <w:tabs>
          <w:tab w:val="left" w:pos="1260"/>
          <w:tab w:val="right" w:leader="dot" w:pos="10456"/>
        </w:tabs>
        <w:rPr>
          <w:rFonts w:asciiTheme="minorHAnsi" w:hAnsiTheme="minorHAnsi" w:eastAsiaTheme="minorEastAsia" w:cstheme="minorBidi"/>
          <w14:ligatures w14:val="standardContextual"/>
        </w:rPr>
      </w:pPr>
      <w:r>
        <w:fldChar w:fldCharType="begin"/>
      </w:r>
      <w:r>
        <w:instrText xml:space="preserve"> HYPERLINK \l "_Toc145430146" </w:instrText>
      </w:r>
      <w:r>
        <w:fldChar w:fldCharType="separate"/>
      </w:r>
      <w:r>
        <w:rPr>
          <w:rStyle w:val="34"/>
          <w14:scene3d w14:prst="orthographicFront">
            <w14:lightRig w14:rig="threePt" w14:dir="t">
              <w14:rot w14:lat="0" w14:lon="0" w14:rev="0"/>
            </w14:lightRig>
          </w14:scene3d>
        </w:rPr>
        <w:t>1.2</w:t>
      </w:r>
      <w:r>
        <w:rPr>
          <w:rFonts w:asciiTheme="minorHAnsi" w:hAnsiTheme="minorHAnsi" w:eastAsiaTheme="minorEastAsia" w:cstheme="minorBidi"/>
          <w14:ligatures w14:val="standardContextual"/>
        </w:rPr>
        <w:tab/>
      </w:r>
      <w:r>
        <w:rPr>
          <w:rStyle w:val="34"/>
        </w:rPr>
        <w:t>阅读对象</w:t>
      </w:r>
      <w:r>
        <w:tab/>
      </w:r>
      <w:r>
        <w:fldChar w:fldCharType="begin"/>
      </w:r>
      <w:r>
        <w:instrText xml:space="preserve"> PAGEREF _Toc145430146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0"/>
        <w:tabs>
          <w:tab w:val="left" w:pos="1260"/>
          <w:tab w:val="right" w:leader="dot" w:pos="10456"/>
        </w:tabs>
        <w:rPr>
          <w:rFonts w:asciiTheme="minorHAnsi" w:hAnsiTheme="minorHAnsi" w:eastAsiaTheme="minorEastAsia" w:cstheme="minorBidi"/>
          <w14:ligatures w14:val="standardContextual"/>
        </w:rPr>
      </w:pPr>
      <w:r>
        <w:fldChar w:fldCharType="begin"/>
      </w:r>
      <w:r>
        <w:instrText xml:space="preserve"> HYPERLINK \l "_Toc145430147" </w:instrText>
      </w:r>
      <w:r>
        <w:fldChar w:fldCharType="separate"/>
      </w:r>
      <w:r>
        <w:rPr>
          <w:rStyle w:val="34"/>
          <w14:scene3d w14:prst="orthographicFront">
            <w14:lightRig w14:rig="threePt" w14:dir="t">
              <w14:rot w14:lat="0" w14:lon="0" w14:rev="0"/>
            </w14:lightRig>
          </w14:scene3d>
        </w:rPr>
        <w:t>1.3</w:t>
      </w:r>
      <w:r>
        <w:rPr>
          <w:rFonts w:asciiTheme="minorHAnsi" w:hAnsiTheme="minorHAnsi" w:eastAsiaTheme="minorEastAsia" w:cstheme="minorBidi"/>
          <w14:ligatures w14:val="standardContextual"/>
        </w:rPr>
        <w:tab/>
      </w:r>
      <w:r>
        <w:rPr>
          <w:rStyle w:val="34"/>
        </w:rPr>
        <w:t>技术支持</w:t>
      </w:r>
      <w:r>
        <w:tab/>
      </w:r>
      <w:r>
        <w:fldChar w:fldCharType="begin"/>
      </w:r>
      <w:r>
        <w:instrText xml:space="preserve"> PAGEREF _Toc145430147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6"/>
        <w:tabs>
          <w:tab w:val="left" w:pos="420"/>
          <w:tab w:val="right" w:leader="dot" w:pos="10456"/>
        </w:tabs>
        <w:rPr>
          <w:rFonts w:asciiTheme="minorHAnsi" w:hAnsiTheme="minorHAnsi" w:eastAsiaTheme="minorEastAsia" w:cstheme="minorBidi"/>
          <w14:ligatures w14:val="standardContextual"/>
        </w:rPr>
      </w:pPr>
      <w:r>
        <w:fldChar w:fldCharType="begin"/>
      </w:r>
      <w:r>
        <w:instrText xml:space="preserve"> HYPERLINK \l "_Toc145430148" </w:instrText>
      </w:r>
      <w:r>
        <w:fldChar w:fldCharType="separate"/>
      </w:r>
      <w:r>
        <w:rPr>
          <w:rStyle w:val="34"/>
        </w:rPr>
        <w:t>2.</w:t>
      </w:r>
      <w:r>
        <w:rPr>
          <w:rFonts w:asciiTheme="minorHAnsi" w:hAnsiTheme="minorHAnsi" w:eastAsiaTheme="minorEastAsia" w:cstheme="minorBidi"/>
          <w14:ligatures w14:val="standardContextual"/>
        </w:rPr>
        <w:tab/>
      </w:r>
      <w:r>
        <w:rPr>
          <w:rStyle w:val="34"/>
        </w:rPr>
        <w:t>接口联调测试</w:t>
      </w:r>
      <w:r>
        <w:tab/>
      </w:r>
      <w:r>
        <w:fldChar w:fldCharType="begin"/>
      </w:r>
      <w:r>
        <w:instrText xml:space="preserve"> PAGEREF _Toc145430148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0"/>
        <w:tabs>
          <w:tab w:val="left" w:pos="1260"/>
          <w:tab w:val="right" w:leader="dot" w:pos="10456"/>
        </w:tabs>
        <w:rPr>
          <w:rFonts w:asciiTheme="minorHAnsi" w:hAnsiTheme="minorHAnsi" w:eastAsiaTheme="minorEastAsia" w:cstheme="minorBidi"/>
          <w14:ligatures w14:val="standardContextual"/>
        </w:rPr>
      </w:pPr>
      <w:r>
        <w:fldChar w:fldCharType="begin"/>
      </w:r>
      <w:r>
        <w:instrText xml:space="preserve"> HYPERLINK \l "_Toc145430149" </w:instrText>
      </w:r>
      <w:r>
        <w:fldChar w:fldCharType="separate"/>
      </w:r>
      <w:r>
        <w:rPr>
          <w:rStyle w:val="34"/>
        </w:rPr>
        <w:t>2.1</w:t>
      </w:r>
      <w:r>
        <w:rPr>
          <w:rFonts w:asciiTheme="minorHAnsi" w:hAnsiTheme="minorHAnsi" w:eastAsiaTheme="minorEastAsia" w:cstheme="minorBidi"/>
          <w14:ligatures w14:val="standardContextual"/>
        </w:rPr>
        <w:tab/>
      </w:r>
      <w:r>
        <w:rPr>
          <w:rStyle w:val="34"/>
        </w:rPr>
        <w:t>测试概述</w:t>
      </w:r>
      <w:r>
        <w:tab/>
      </w:r>
      <w:r>
        <w:fldChar w:fldCharType="begin"/>
      </w:r>
      <w:r>
        <w:instrText xml:space="preserve"> PAGEREF _Toc145430149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0"/>
        <w:tabs>
          <w:tab w:val="left" w:pos="1260"/>
          <w:tab w:val="right" w:leader="dot" w:pos="10456"/>
        </w:tabs>
        <w:rPr>
          <w:rFonts w:asciiTheme="minorHAnsi" w:hAnsiTheme="minorHAnsi" w:eastAsiaTheme="minorEastAsia" w:cstheme="minorBidi"/>
          <w14:ligatures w14:val="standardContextual"/>
        </w:rPr>
      </w:pPr>
      <w:r>
        <w:fldChar w:fldCharType="begin"/>
      </w:r>
      <w:r>
        <w:instrText xml:space="preserve"> HYPERLINK \l "_Toc145430150" </w:instrText>
      </w:r>
      <w:r>
        <w:fldChar w:fldCharType="separate"/>
      </w:r>
      <w:r>
        <w:rPr>
          <w:rStyle w:val="34"/>
        </w:rPr>
        <w:t>2.2</w:t>
      </w:r>
      <w:r>
        <w:rPr>
          <w:rFonts w:asciiTheme="minorHAnsi" w:hAnsiTheme="minorHAnsi" w:eastAsiaTheme="minorEastAsia" w:cstheme="minorBidi"/>
          <w14:ligatures w14:val="standardContextual"/>
        </w:rPr>
        <w:tab/>
      </w:r>
      <w:r>
        <w:rPr>
          <w:rStyle w:val="34"/>
        </w:rPr>
        <w:t>测试目标</w:t>
      </w:r>
      <w:r>
        <w:tab/>
      </w:r>
      <w:r>
        <w:fldChar w:fldCharType="begin"/>
      </w:r>
      <w:r>
        <w:instrText xml:space="preserve"> PAGEREF _Toc145430150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0"/>
        <w:tabs>
          <w:tab w:val="left" w:pos="1260"/>
          <w:tab w:val="right" w:leader="dot" w:pos="10456"/>
        </w:tabs>
        <w:rPr>
          <w:rFonts w:asciiTheme="minorHAnsi" w:hAnsiTheme="minorHAnsi" w:eastAsiaTheme="minorEastAsia" w:cstheme="minorBidi"/>
          <w14:ligatures w14:val="standardContextual"/>
        </w:rPr>
      </w:pPr>
      <w:r>
        <w:fldChar w:fldCharType="begin"/>
      </w:r>
      <w:r>
        <w:instrText xml:space="preserve"> HYPERLINK \l "_Toc145430151" </w:instrText>
      </w:r>
      <w:r>
        <w:fldChar w:fldCharType="separate"/>
      </w:r>
      <w:r>
        <w:rPr>
          <w:rStyle w:val="34"/>
        </w:rPr>
        <w:t>2.3</w:t>
      </w:r>
      <w:r>
        <w:rPr>
          <w:rFonts w:asciiTheme="minorHAnsi" w:hAnsiTheme="minorHAnsi" w:eastAsiaTheme="minorEastAsia" w:cstheme="minorBidi"/>
          <w14:ligatures w14:val="standardContextual"/>
        </w:rPr>
        <w:tab/>
      </w:r>
      <w:r>
        <w:rPr>
          <w:rStyle w:val="34"/>
        </w:rPr>
        <w:t>测试环境设置</w:t>
      </w:r>
      <w:r>
        <w:tab/>
      </w:r>
      <w:r>
        <w:fldChar w:fldCharType="begin"/>
      </w:r>
      <w:r>
        <w:instrText xml:space="preserve"> PAGEREF _Toc145430151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0"/>
        <w:tabs>
          <w:tab w:val="left" w:pos="1260"/>
          <w:tab w:val="right" w:leader="dot" w:pos="10456"/>
        </w:tabs>
        <w:rPr>
          <w:rFonts w:asciiTheme="minorHAnsi" w:hAnsiTheme="minorHAnsi" w:eastAsiaTheme="minorEastAsia" w:cstheme="minorBidi"/>
          <w14:ligatures w14:val="standardContextual"/>
        </w:rPr>
      </w:pPr>
      <w:r>
        <w:fldChar w:fldCharType="begin"/>
      </w:r>
      <w:r>
        <w:instrText xml:space="preserve"> HYPERLINK \l "_Toc145430152" </w:instrText>
      </w:r>
      <w:r>
        <w:fldChar w:fldCharType="separate"/>
      </w:r>
      <w:r>
        <w:rPr>
          <w:rStyle w:val="34"/>
        </w:rPr>
        <w:t>2.4</w:t>
      </w:r>
      <w:r>
        <w:rPr>
          <w:rFonts w:asciiTheme="minorHAnsi" w:hAnsiTheme="minorHAnsi" w:eastAsiaTheme="minorEastAsia" w:cstheme="minorBidi"/>
          <w14:ligatures w14:val="standardContextual"/>
        </w:rPr>
        <w:tab/>
      </w:r>
      <w:r>
        <w:rPr>
          <w:rStyle w:val="34"/>
        </w:rPr>
        <w:t>测试步骤</w:t>
      </w:r>
      <w:r>
        <w:tab/>
      </w:r>
      <w:r>
        <w:fldChar w:fldCharType="begin"/>
      </w:r>
      <w:r>
        <w:instrText xml:space="preserve"> PAGEREF _Toc145430152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0"/>
        <w:tabs>
          <w:tab w:val="left" w:pos="1680"/>
          <w:tab w:val="right" w:leader="dot" w:pos="10456"/>
        </w:tabs>
        <w:rPr>
          <w:rFonts w:asciiTheme="minorHAnsi" w:hAnsiTheme="minorHAnsi" w:eastAsiaTheme="minorEastAsia" w:cstheme="minorBidi"/>
          <w14:ligatures w14:val="standardContextual"/>
        </w:rPr>
      </w:pPr>
      <w:r>
        <w:fldChar w:fldCharType="begin"/>
      </w:r>
      <w:r>
        <w:instrText xml:space="preserve"> HYPERLINK \l "_Toc145430153" </w:instrText>
      </w:r>
      <w:r>
        <w:fldChar w:fldCharType="separate"/>
      </w:r>
      <w:r>
        <w:rPr>
          <w:rStyle w:val="34"/>
        </w:rPr>
        <w:t>2.4.1</w:t>
      </w:r>
      <w:r>
        <w:rPr>
          <w:rFonts w:asciiTheme="minorHAnsi" w:hAnsiTheme="minorHAnsi" w:eastAsiaTheme="minorEastAsia" w:cstheme="minorBidi"/>
          <w14:ligatures w14:val="standardContextual"/>
        </w:rPr>
        <w:tab/>
      </w:r>
      <w:r>
        <w:rPr>
          <w:rStyle w:val="34"/>
        </w:rPr>
        <w:t>操作说明</w:t>
      </w:r>
      <w:r>
        <w:tab/>
      </w:r>
      <w:r>
        <w:fldChar w:fldCharType="begin"/>
      </w:r>
      <w:r>
        <w:instrText xml:space="preserve"> PAGEREF _Toc145430153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0"/>
        <w:tabs>
          <w:tab w:val="left" w:pos="1680"/>
          <w:tab w:val="right" w:leader="dot" w:pos="10456"/>
        </w:tabs>
        <w:rPr>
          <w:rFonts w:asciiTheme="minorHAnsi" w:hAnsiTheme="minorHAnsi" w:eastAsiaTheme="minorEastAsia" w:cstheme="minorBidi"/>
          <w14:ligatures w14:val="standardContextual"/>
        </w:rPr>
      </w:pPr>
      <w:r>
        <w:fldChar w:fldCharType="begin"/>
      </w:r>
      <w:r>
        <w:instrText xml:space="preserve"> HYPERLINK \l "_Toc145430154" </w:instrText>
      </w:r>
      <w:r>
        <w:fldChar w:fldCharType="separate"/>
      </w:r>
      <w:r>
        <w:rPr>
          <w:rStyle w:val="34"/>
        </w:rPr>
        <w:t>2.4.2</w:t>
      </w:r>
      <w:r>
        <w:rPr>
          <w:rFonts w:asciiTheme="minorHAnsi" w:hAnsiTheme="minorHAnsi" w:eastAsiaTheme="minorEastAsia" w:cstheme="minorBidi"/>
          <w14:ligatures w14:val="standardContextual"/>
        </w:rPr>
        <w:tab/>
      </w:r>
      <w:r>
        <w:rPr>
          <w:rStyle w:val="34"/>
        </w:rPr>
        <w:t>错误代码</w:t>
      </w:r>
      <w:r>
        <w:tab/>
      </w:r>
      <w:r>
        <w:fldChar w:fldCharType="begin"/>
      </w:r>
      <w:r>
        <w:instrText xml:space="preserve"> PAGEREF _Toc145430154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0"/>
        <w:tabs>
          <w:tab w:val="left" w:pos="1680"/>
          <w:tab w:val="right" w:leader="dot" w:pos="10456"/>
        </w:tabs>
        <w:rPr>
          <w:rFonts w:asciiTheme="minorHAnsi" w:hAnsiTheme="minorHAnsi" w:eastAsiaTheme="minorEastAsia" w:cstheme="minorBidi"/>
          <w14:ligatures w14:val="standardContextual"/>
        </w:rPr>
      </w:pPr>
      <w:r>
        <w:fldChar w:fldCharType="begin"/>
      </w:r>
      <w:r>
        <w:instrText xml:space="preserve"> HYPERLINK \l "_Toc145430155" </w:instrText>
      </w:r>
      <w:r>
        <w:fldChar w:fldCharType="separate"/>
      </w:r>
      <w:r>
        <w:rPr>
          <w:rStyle w:val="34"/>
        </w:rPr>
        <w:t>2.4.3</w:t>
      </w:r>
      <w:r>
        <w:rPr>
          <w:rFonts w:asciiTheme="minorHAnsi" w:hAnsiTheme="minorHAnsi" w:eastAsiaTheme="minorEastAsia" w:cstheme="minorBidi"/>
          <w14:ligatures w14:val="standardContextual"/>
        </w:rPr>
        <w:tab/>
      </w:r>
      <w:r>
        <w:rPr>
          <w:rStyle w:val="34"/>
        </w:rPr>
        <w:t>个人中心</w:t>
      </w:r>
      <w:r>
        <w:tab/>
      </w:r>
      <w:r>
        <w:fldChar w:fldCharType="begin"/>
      </w:r>
      <w:r>
        <w:instrText xml:space="preserve"> PAGEREF _Toc145430155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6"/>
        <w:tabs>
          <w:tab w:val="left" w:pos="420"/>
          <w:tab w:val="right" w:leader="dot" w:pos="10456"/>
        </w:tabs>
        <w:rPr>
          <w:rFonts w:asciiTheme="minorHAnsi" w:hAnsiTheme="minorHAnsi" w:eastAsiaTheme="minorEastAsia" w:cstheme="minorBidi"/>
          <w14:ligatures w14:val="standardContextual"/>
        </w:rPr>
      </w:pPr>
      <w:r>
        <w:fldChar w:fldCharType="begin"/>
      </w:r>
      <w:r>
        <w:instrText xml:space="preserve"> HYPERLINK \l "_Toc145430156" </w:instrText>
      </w:r>
      <w:r>
        <w:fldChar w:fldCharType="separate"/>
      </w:r>
      <w:r>
        <w:rPr>
          <w:rStyle w:val="34"/>
        </w:rPr>
        <w:t>3.</w:t>
      </w:r>
      <w:r>
        <w:rPr>
          <w:rFonts w:asciiTheme="minorHAnsi" w:hAnsiTheme="minorHAnsi" w:eastAsiaTheme="minorEastAsia" w:cstheme="minorBidi"/>
          <w14:ligatures w14:val="standardContextual"/>
        </w:rPr>
        <w:tab/>
      </w:r>
      <w:r>
        <w:rPr>
          <w:rStyle w:val="34"/>
        </w:rPr>
        <w:t>接口详情</w:t>
      </w:r>
      <w:r>
        <w:tab/>
      </w:r>
      <w:r>
        <w:fldChar w:fldCharType="begin"/>
      </w:r>
      <w:r>
        <w:instrText xml:space="preserve"> PAGEREF _Toc145430156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0"/>
        <w:tabs>
          <w:tab w:val="left" w:pos="1260"/>
          <w:tab w:val="right" w:leader="dot" w:pos="10456"/>
        </w:tabs>
        <w:rPr>
          <w:rFonts w:asciiTheme="minorHAnsi" w:hAnsiTheme="minorHAnsi" w:eastAsiaTheme="minorEastAsia" w:cstheme="minorBidi"/>
          <w14:ligatures w14:val="standardContextual"/>
        </w:rPr>
      </w:pPr>
      <w:r>
        <w:fldChar w:fldCharType="begin"/>
      </w:r>
      <w:r>
        <w:instrText xml:space="preserve"> HYPERLINK \l "_Toc145430157" </w:instrText>
      </w:r>
      <w:r>
        <w:fldChar w:fldCharType="separate"/>
      </w:r>
      <w:r>
        <w:rPr>
          <w:rStyle w:val="34"/>
        </w:rPr>
        <w:t>3.1</w:t>
      </w:r>
      <w:r>
        <w:rPr>
          <w:rFonts w:asciiTheme="minorHAnsi" w:hAnsiTheme="minorHAnsi" w:eastAsiaTheme="minorEastAsia" w:cstheme="minorBidi"/>
          <w14:ligatures w14:val="standardContextual"/>
        </w:rPr>
        <w:tab/>
      </w:r>
      <w:r>
        <w:rPr>
          <w:rStyle w:val="34"/>
        </w:rPr>
        <w:t>接口列表简介</w:t>
      </w:r>
      <w:r>
        <w:tab/>
      </w:r>
      <w:r>
        <w:fldChar w:fldCharType="begin"/>
      </w:r>
      <w:r>
        <w:instrText xml:space="preserve"> PAGEREF _Toc145430157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0"/>
        <w:tabs>
          <w:tab w:val="left" w:pos="1260"/>
          <w:tab w:val="right" w:leader="dot" w:pos="10456"/>
        </w:tabs>
        <w:rPr>
          <w:rFonts w:asciiTheme="minorHAnsi" w:hAnsiTheme="minorHAnsi" w:eastAsiaTheme="minorEastAsia" w:cstheme="minorBidi"/>
          <w14:ligatures w14:val="standardContextual"/>
        </w:rPr>
      </w:pPr>
      <w:r>
        <w:fldChar w:fldCharType="begin"/>
      </w:r>
      <w:r>
        <w:instrText xml:space="preserve"> HYPERLINK \l "_Toc145430158" </w:instrText>
      </w:r>
      <w:r>
        <w:fldChar w:fldCharType="separate"/>
      </w:r>
      <w:r>
        <w:rPr>
          <w:rStyle w:val="34"/>
        </w:rPr>
        <w:t>3.2</w:t>
      </w:r>
      <w:r>
        <w:rPr>
          <w:rFonts w:asciiTheme="minorHAnsi" w:hAnsiTheme="minorHAnsi" w:eastAsiaTheme="minorEastAsia" w:cstheme="minorBidi"/>
          <w14:ligatures w14:val="standardContextual"/>
        </w:rPr>
        <w:tab/>
      </w:r>
      <w:r>
        <w:rPr>
          <w:rStyle w:val="34"/>
        </w:rPr>
        <w:t>接口详情页示例</w:t>
      </w:r>
      <w:r>
        <w:tab/>
      </w:r>
      <w:r>
        <w:fldChar w:fldCharType="begin"/>
      </w:r>
      <w:r>
        <w:instrText xml:space="preserve"> PAGEREF _Toc145430158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0"/>
        <w:tabs>
          <w:tab w:val="left" w:pos="1680"/>
          <w:tab w:val="right" w:leader="dot" w:pos="10456"/>
        </w:tabs>
        <w:rPr>
          <w:rFonts w:asciiTheme="minorHAnsi" w:hAnsiTheme="minorHAnsi" w:eastAsiaTheme="minorEastAsia" w:cstheme="minorBidi"/>
          <w14:ligatures w14:val="standardContextual"/>
        </w:rPr>
      </w:pPr>
      <w:r>
        <w:fldChar w:fldCharType="begin"/>
      </w:r>
      <w:r>
        <w:instrText xml:space="preserve"> HYPERLINK \l "_Toc145430159" </w:instrText>
      </w:r>
      <w:r>
        <w:fldChar w:fldCharType="separate"/>
      </w:r>
      <w:r>
        <w:rPr>
          <w:rStyle w:val="34"/>
        </w:rPr>
        <w:t>3.2.1</w:t>
      </w:r>
      <w:r>
        <w:rPr>
          <w:rFonts w:asciiTheme="minorHAnsi" w:hAnsiTheme="minorHAnsi" w:eastAsiaTheme="minorEastAsia" w:cstheme="minorBidi"/>
          <w14:ligatures w14:val="standardContextual"/>
        </w:rPr>
        <w:tab/>
      </w:r>
      <w:r>
        <w:rPr>
          <w:rStyle w:val="34"/>
        </w:rPr>
        <w:t>企业基本信息</w:t>
      </w:r>
      <w:r>
        <w:tab/>
      </w:r>
      <w:r>
        <w:fldChar w:fldCharType="begin"/>
      </w:r>
      <w:r>
        <w:instrText xml:space="preserve"> PAGEREF _Toc145430159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6"/>
        <w:tabs>
          <w:tab w:val="left" w:pos="420"/>
          <w:tab w:val="right" w:leader="dot" w:pos="10456"/>
        </w:tabs>
        <w:rPr>
          <w:rFonts w:asciiTheme="minorHAnsi" w:hAnsiTheme="minorHAnsi" w:eastAsiaTheme="minorEastAsia" w:cstheme="minorBidi"/>
          <w14:ligatures w14:val="standardContextual"/>
        </w:rPr>
      </w:pPr>
      <w:r>
        <w:fldChar w:fldCharType="begin"/>
      </w:r>
      <w:r>
        <w:instrText xml:space="preserve"> HYPERLINK \l "_Toc145430160" </w:instrText>
      </w:r>
      <w:r>
        <w:fldChar w:fldCharType="separate"/>
      </w:r>
      <w:r>
        <w:rPr>
          <w:rStyle w:val="34"/>
        </w:rPr>
        <w:t>4.</w:t>
      </w:r>
      <w:r>
        <w:rPr>
          <w:rFonts w:asciiTheme="minorHAnsi" w:hAnsiTheme="minorHAnsi" w:eastAsiaTheme="minorEastAsia" w:cstheme="minorBidi"/>
          <w14:ligatures w14:val="standardContextual"/>
        </w:rPr>
        <w:tab/>
      </w:r>
      <w:r>
        <w:rPr>
          <w:rStyle w:val="34"/>
        </w:rPr>
        <w:t>接口调试与上线</w:t>
      </w:r>
      <w:r>
        <w:tab/>
      </w:r>
      <w:r>
        <w:fldChar w:fldCharType="begin"/>
      </w:r>
      <w:r>
        <w:instrText xml:space="preserve"> PAGEREF _Toc145430160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20"/>
        <w:tabs>
          <w:tab w:val="left" w:pos="1260"/>
          <w:tab w:val="right" w:leader="dot" w:pos="10456"/>
        </w:tabs>
        <w:rPr>
          <w:rFonts w:asciiTheme="minorHAnsi" w:hAnsiTheme="minorHAnsi" w:eastAsiaTheme="minorEastAsia" w:cstheme="minorBidi"/>
          <w14:ligatures w14:val="standardContextual"/>
        </w:rPr>
      </w:pPr>
      <w:r>
        <w:fldChar w:fldCharType="begin"/>
      </w:r>
      <w:r>
        <w:instrText xml:space="preserve"> HYPERLINK \l "_Toc145430161" </w:instrText>
      </w:r>
      <w:r>
        <w:fldChar w:fldCharType="separate"/>
      </w:r>
      <w:r>
        <w:rPr>
          <w:rStyle w:val="34"/>
        </w:rPr>
        <w:t>4.1</w:t>
      </w:r>
      <w:r>
        <w:rPr>
          <w:rFonts w:asciiTheme="minorHAnsi" w:hAnsiTheme="minorHAnsi" w:eastAsiaTheme="minorEastAsia" w:cstheme="minorBidi"/>
          <w14:ligatures w14:val="standardContextual"/>
        </w:rPr>
        <w:tab/>
      </w:r>
      <w:r>
        <w:rPr>
          <w:rStyle w:val="34"/>
        </w:rPr>
        <w:t>接口调试说明</w:t>
      </w:r>
      <w:r>
        <w:tab/>
      </w:r>
      <w:r>
        <w:fldChar w:fldCharType="begin"/>
      </w:r>
      <w:r>
        <w:instrText xml:space="preserve"> PAGEREF _Toc145430161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20"/>
        <w:tabs>
          <w:tab w:val="left" w:pos="1260"/>
          <w:tab w:val="right" w:leader="dot" w:pos="10456"/>
        </w:tabs>
        <w:rPr>
          <w:rFonts w:asciiTheme="minorHAnsi" w:hAnsiTheme="minorHAnsi" w:eastAsiaTheme="minorEastAsia" w:cstheme="minorBidi"/>
          <w14:ligatures w14:val="standardContextual"/>
        </w:rPr>
      </w:pPr>
      <w:r>
        <w:fldChar w:fldCharType="begin"/>
      </w:r>
      <w:r>
        <w:instrText xml:space="preserve"> HYPERLINK \l "_Toc145430162" </w:instrText>
      </w:r>
      <w:r>
        <w:fldChar w:fldCharType="separate"/>
      </w:r>
      <w:r>
        <w:rPr>
          <w:rStyle w:val="34"/>
        </w:rPr>
        <w:t>4.2</w:t>
      </w:r>
      <w:r>
        <w:rPr>
          <w:rFonts w:asciiTheme="minorHAnsi" w:hAnsiTheme="minorHAnsi" w:eastAsiaTheme="minorEastAsia" w:cstheme="minorBidi"/>
          <w14:ligatures w14:val="standardContextual"/>
        </w:rPr>
        <w:tab/>
      </w:r>
      <w:r>
        <w:rPr>
          <w:rStyle w:val="34"/>
        </w:rPr>
        <w:t>上线准备说明</w:t>
      </w:r>
      <w:r>
        <w:tab/>
      </w:r>
      <w:r>
        <w:fldChar w:fldCharType="begin"/>
      </w:r>
      <w:r>
        <w:instrText xml:space="preserve"> PAGEREF _Toc145430162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rPr>
          <w:rFonts w:ascii="微软雅黑" w:hAnsi="微软雅黑" w:eastAsia="微软雅黑"/>
          <w:b/>
          <w:bCs/>
          <w:sz w:val="18"/>
          <w:szCs w:val="18"/>
          <w:lang w:val="zh-CN"/>
        </w:rPr>
      </w:pPr>
      <w:r>
        <w:rPr>
          <w:rFonts w:ascii="微软雅黑" w:hAnsi="微软雅黑" w:eastAsia="微软雅黑" w:cstheme="minorHAnsi"/>
          <w:b/>
          <w:bCs/>
          <w:caps/>
          <w:sz w:val="20"/>
          <w:szCs w:val="18"/>
        </w:rPr>
        <w:fldChar w:fldCharType="end"/>
      </w:r>
    </w:p>
    <w:p>
      <w:pPr>
        <w:rPr>
          <w:rFonts w:ascii="微软雅黑" w:hAnsi="微软雅黑" w:eastAsia="微软雅黑"/>
          <w:b/>
          <w:bCs/>
        </w:rPr>
      </w:pPr>
    </w:p>
    <w:p>
      <w:pPr>
        <w:rPr>
          <w:rFonts w:ascii="微软雅黑" w:hAnsi="微软雅黑" w:eastAsia="微软雅黑"/>
          <w:b/>
          <w:bCs/>
          <w:lang w:val="zh-CN"/>
        </w:rPr>
      </w:pPr>
    </w:p>
    <w:p>
      <w:pPr>
        <w:pStyle w:val="2"/>
        <w:numPr>
          <w:ilvl w:val="0"/>
          <w:numId w:val="4"/>
        </w:numPr>
      </w:pPr>
      <w:bookmarkStart w:id="0" w:name="_Toc145430144"/>
      <w:r>
        <w:t>概述</w:t>
      </w:r>
      <w:bookmarkEnd w:id="0"/>
    </w:p>
    <w:p>
      <w:pPr>
        <w:pStyle w:val="3"/>
      </w:pPr>
      <w:bookmarkStart w:id="1" w:name="_Toc468303788"/>
      <w:bookmarkStart w:id="2" w:name="_Toc145430145"/>
      <w:r>
        <w:rPr>
          <w:rFonts w:hint="eastAsia"/>
        </w:rPr>
        <w:t>文档目的</w:t>
      </w:r>
      <w:bookmarkEnd w:id="1"/>
      <w:bookmarkEnd w:id="2"/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这份使用指南旨在帮助研发部门完成天眼查API接口服务的调试和上线过程，以确保整个过程顺利进行，避免遗漏任何重要操作步骤。这样，研发部门可以更轻松地将API接口服务集成至其项目中，而不必在上线阶段面临不必要的问题或遗漏关键步骤的风险。</w:t>
      </w:r>
    </w:p>
    <w:p>
      <w:pPr>
        <w:pStyle w:val="3"/>
      </w:pPr>
      <w:bookmarkStart w:id="3" w:name="_Toc468303789"/>
      <w:bookmarkStart w:id="4" w:name="_Toc145430146"/>
      <w:r>
        <w:rPr>
          <w:rFonts w:hint="eastAsia"/>
        </w:rPr>
        <w:t>阅读对象</w:t>
      </w:r>
      <w:bookmarkEnd w:id="3"/>
      <w:bookmarkEnd w:id="4"/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这份文档的受众包括但不限于以下职业群体：产品经理、项目经理、技术经理、技术支持工程师和运营经理等，文档旨在为他们提供必要的信息和指导，以便他们能够更有效地理解、购买、配置和管理该API接口服务，以满足其业务需求和项目目标。</w:t>
      </w:r>
    </w:p>
    <w:p>
      <w:pPr>
        <w:pStyle w:val="3"/>
      </w:pPr>
      <w:bookmarkStart w:id="5" w:name="_Toc145430147"/>
      <w:r>
        <w:rPr>
          <w:rFonts w:hint="eastAsia"/>
        </w:rPr>
        <w:t>技术支持</w:t>
      </w:r>
      <w:bookmarkEnd w:id="5"/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对接过程中遇到的任何问题，可以通过以下方式联系我们获取技术支持：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企业</w:t>
      </w:r>
      <w:r>
        <w:rPr>
          <w:rFonts w:ascii="微软雅黑" w:hAnsi="微软雅黑" w:eastAsia="微软雅黑"/>
        </w:rPr>
        <w:t>微信：</w:t>
      </w:r>
      <w:r>
        <w:rPr>
          <w:rFonts w:ascii="微软雅黑" w:hAnsi="微软雅黑" w:eastAsia="微软雅黑"/>
        </w:rPr>
        <w:drawing>
          <wp:inline distT="0" distB="0" distL="0" distR="0">
            <wp:extent cx="2663825" cy="1071245"/>
            <wp:effectExtent l="0" t="0" r="3175" b="0"/>
            <wp:docPr id="7152572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257289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6" t="59805" r="3935" b="23091"/>
                    <a:stretch>
                      <a:fillRect/>
                    </a:stretch>
                  </pic:blipFill>
                  <pic:spPr>
                    <a:xfrm>
                      <a:off x="0" y="0"/>
                      <a:ext cx="2671226" cy="10741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t xml:space="preserve">     邮箱：</w:t>
      </w:r>
      <w:r>
        <w:t>sunchentian@tianyancha.com</w:t>
      </w:r>
    </w:p>
    <w:p>
      <w:pPr>
        <w:pStyle w:val="2"/>
      </w:pPr>
      <w:bookmarkStart w:id="6" w:name="_Toc145430148"/>
      <w:r>
        <w:rPr>
          <w:rFonts w:hint="eastAsia"/>
        </w:rPr>
        <w:t>接口</w:t>
      </w:r>
      <w:r>
        <w:rPr>
          <w:rFonts w:hint="eastAsia"/>
          <w:lang w:eastAsia="zh-CN"/>
        </w:rPr>
        <w:t>联调测试</w:t>
      </w:r>
      <w:bookmarkEnd w:id="6"/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接口联调测试是确保不同系统或服务之间的API接口协同工作正常的关键步骤。以下是关于天眼查API接口联调测试的文档，它将指导您如何有效地进行测试，以确保各个组件之间的顺畅交互。</w:t>
      </w:r>
    </w:p>
    <w:p>
      <w:pPr>
        <w:pStyle w:val="3"/>
        <w:numPr>
          <w:ilvl w:val="1"/>
          <w:numId w:val="1"/>
        </w:numPr>
        <w:rPr>
          <w:lang w:eastAsia="zh-CN"/>
        </w:rPr>
      </w:pPr>
      <w:bookmarkStart w:id="7" w:name="_Toc145430149"/>
      <w:r>
        <w:rPr>
          <w:rFonts w:hint="eastAsia"/>
          <w:lang w:eastAsia="zh-CN"/>
        </w:rPr>
        <w:t>测试概述</w:t>
      </w:r>
      <w:bookmarkEnd w:id="7"/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接口联调测试是确保不同系统或服务的API接口在协同工作时正常运行的过程。这通常涉及到多个组件、服务或系统之间的交互测试，以确保数据传输、通信和功能正常。</w:t>
      </w:r>
    </w:p>
    <w:p>
      <w:pPr>
        <w:pStyle w:val="3"/>
        <w:numPr>
          <w:ilvl w:val="1"/>
          <w:numId w:val="1"/>
        </w:numPr>
        <w:rPr>
          <w:lang w:eastAsia="zh-CN"/>
        </w:rPr>
      </w:pPr>
      <w:bookmarkStart w:id="8" w:name="_Toc145430150"/>
      <w:r>
        <w:rPr>
          <w:rFonts w:hint="eastAsia"/>
          <w:lang w:eastAsia="zh-CN"/>
        </w:rPr>
        <w:t>测试目标</w:t>
      </w:r>
      <w:bookmarkEnd w:id="8"/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接口联调测试的主要目标包括：</w:t>
      </w:r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1、确保API接口可以正确地发送和接收数据；</w:t>
      </w:r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2、验证API接口是否按照规范处理数据请求；</w:t>
      </w:r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3、检查API接口在各种条件下的稳定性和可用性；</w:t>
      </w:r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ascii="微软雅黑" w:hAnsi="微软雅黑" w:eastAsia="微软雅黑"/>
          <w:lang w:val="zh-CN"/>
        </w:rPr>
        <w:t>4</w:t>
      </w:r>
      <w:r>
        <w:rPr>
          <w:rFonts w:hint="eastAsia" w:ascii="微软雅黑" w:hAnsi="微软雅黑" w:eastAsia="微软雅黑"/>
          <w:lang w:val="zh-CN"/>
        </w:rPr>
        <w:t>、验证数据在系统之间的正确传递和转换；</w:t>
      </w:r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5、检查错误处理和异常情况的情况。</w:t>
      </w:r>
    </w:p>
    <w:p>
      <w:pPr>
        <w:pStyle w:val="3"/>
        <w:numPr>
          <w:ilvl w:val="1"/>
          <w:numId w:val="1"/>
        </w:numPr>
        <w:rPr>
          <w:lang w:eastAsia="zh-CN"/>
        </w:rPr>
      </w:pPr>
      <w:bookmarkStart w:id="9" w:name="_Toc145430151"/>
      <w:r>
        <w:rPr>
          <w:rFonts w:hint="eastAsia"/>
          <w:lang w:eastAsia="zh-CN"/>
        </w:rPr>
        <w:t>测试环境设置</w:t>
      </w:r>
      <w:bookmarkEnd w:id="9"/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在进行接口联调测试之前，需要准备一个合适的测试环境，包括：</w:t>
      </w:r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确保所有相关系统、服务和组件都已部署和运行；</w:t>
      </w:r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配置测试数据库或存储，以支持测试数据的使用；</w:t>
      </w:r>
    </w:p>
    <w:p>
      <w:pPr>
        <w:pStyle w:val="3"/>
        <w:numPr>
          <w:ilvl w:val="1"/>
          <w:numId w:val="1"/>
        </w:numPr>
        <w:rPr>
          <w:lang w:eastAsia="zh-CN"/>
        </w:rPr>
      </w:pPr>
      <w:bookmarkStart w:id="10" w:name="_Toc145430152"/>
      <w:r>
        <w:rPr>
          <w:rFonts w:hint="eastAsia"/>
          <w:lang w:eastAsia="zh-CN"/>
        </w:rPr>
        <w:t>测试步骤</w:t>
      </w:r>
      <w:bookmarkEnd w:id="10"/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发起请求：使用测试工具或自动化脚本发起API请求。</w:t>
      </w:r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数据传输：验证数据是否正确传输到目标系统。</w:t>
      </w:r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处理逻辑：确保API接口按照规范处理数据请求，包括验证、身份验证和授权等。</w:t>
      </w:r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数据转换：检查数据是否在不同系统之间正确转换。</w:t>
      </w:r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异常情况：测试异常情况下的处理，包括错误码、错误消息和错误处理。</w:t>
      </w:r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性能测试：评估API接口的性能，包括响应时间、吞吐量和负载容量。</w:t>
      </w:r>
    </w:p>
    <w:p>
      <w:pPr>
        <w:pStyle w:val="4"/>
        <w:numPr>
          <w:ilvl w:val="2"/>
          <w:numId w:val="1"/>
        </w:numPr>
      </w:pPr>
      <w:bookmarkStart w:id="11" w:name="_Toc145430153"/>
      <w:r>
        <w:t>操作说明</w:t>
      </w:r>
      <w:bookmarkEnd w:id="11"/>
    </w:p>
    <w:p>
      <w:pPr>
        <w:pStyle w:val="5"/>
        <w:rPr>
          <w:rFonts w:hint="eastAsia"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2</w:t>
      </w:r>
      <w:r>
        <w:rPr>
          <w:rFonts w:ascii="微软雅黑" w:hAnsi="微软雅黑" w:eastAsia="微软雅黑"/>
          <w:sz w:val="18"/>
          <w:szCs w:val="18"/>
        </w:rPr>
        <w:t xml:space="preserve">.4.1.1 </w:t>
      </w:r>
      <w:r>
        <w:rPr>
          <w:rFonts w:hint="eastAsia" w:ascii="微软雅黑" w:hAnsi="微软雅黑" w:eastAsia="微软雅黑"/>
          <w:sz w:val="18"/>
          <w:szCs w:val="18"/>
        </w:rPr>
        <w:t>官网地址</w:t>
      </w:r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天眼查API接口可以通过官网进行登录，官网地址为：</w:t>
      </w:r>
      <w:r>
        <w:rPr>
          <w:rFonts w:ascii="微软雅黑" w:hAnsi="微软雅黑" w:eastAsia="微软雅黑"/>
          <w:lang w:val="zh-CN"/>
        </w:rPr>
        <w:fldChar w:fldCharType="begin"/>
      </w:r>
      <w:r>
        <w:rPr>
          <w:rFonts w:ascii="微软雅黑" w:hAnsi="微软雅黑" w:eastAsia="微软雅黑"/>
          <w:lang w:val="zh-CN"/>
        </w:rPr>
        <w:instrText xml:space="preserve">HYPERLINK "https://open.tianyancha.com/</w:instrText>
      </w:r>
      <w:r>
        <w:rPr>
          <w:rFonts w:hint="eastAsia" w:ascii="微软雅黑" w:hAnsi="微软雅黑" w:eastAsia="微软雅黑"/>
          <w:lang w:val="zh-CN"/>
        </w:rPr>
        <w:instrText xml:space="preserve">，如图1</w:instrText>
      </w:r>
      <w:r>
        <w:rPr>
          <w:rFonts w:ascii="微软雅黑" w:hAnsi="微软雅黑" w:eastAsia="微软雅黑"/>
          <w:lang w:val="zh-CN"/>
        </w:rPr>
        <w:instrText xml:space="preserve">"</w:instrText>
      </w:r>
      <w:r>
        <w:rPr>
          <w:rFonts w:ascii="微软雅黑" w:hAnsi="微软雅黑" w:eastAsia="微软雅黑"/>
          <w:lang w:val="zh-CN"/>
        </w:rPr>
        <w:fldChar w:fldCharType="separate"/>
      </w:r>
      <w:r>
        <w:t>https://open.tianyancha.com/</w:t>
      </w:r>
      <w:r>
        <w:rPr>
          <w:rFonts w:hint="eastAsia"/>
        </w:rPr>
        <w:t>，</w:t>
      </w:r>
      <w:r>
        <w:rPr>
          <w:rFonts w:hint="eastAsia" w:ascii="微软雅黑" w:hAnsi="微软雅黑" w:eastAsia="微软雅黑"/>
          <w:lang w:val="zh-CN"/>
        </w:rPr>
        <w:t>如图1</w:t>
      </w:r>
      <w:r>
        <w:rPr>
          <w:rFonts w:ascii="微软雅黑" w:hAnsi="微软雅黑" w:eastAsia="微软雅黑"/>
          <w:lang w:val="zh-CN"/>
        </w:rPr>
        <w:fldChar w:fldCharType="end"/>
      </w:r>
      <w:r>
        <w:rPr>
          <w:rFonts w:hint="eastAsia" w:ascii="微软雅黑" w:hAnsi="微软雅黑" w:eastAsia="微软雅黑"/>
          <w:lang w:val="zh-CN"/>
        </w:rPr>
        <w:t>所示，API接口官网包含了接口分类、在线咨询入口、4</w:t>
      </w:r>
      <w:r>
        <w:rPr>
          <w:rFonts w:ascii="微软雅黑" w:hAnsi="微软雅黑" w:eastAsia="微软雅黑"/>
          <w:lang w:val="zh-CN"/>
        </w:rPr>
        <w:t>00</w:t>
      </w:r>
      <w:r>
        <w:rPr>
          <w:rFonts w:hint="eastAsia" w:ascii="微软雅黑" w:hAnsi="微软雅黑" w:eastAsia="微软雅黑"/>
          <w:lang w:val="zh-CN"/>
        </w:rPr>
        <w:t>电话、热门接口推荐、新增接口推荐、以及针对银行、证券、保险、互联网金融、IT互联网等行业的细化解决方案；</w:t>
      </w:r>
    </w:p>
    <w:p>
      <w:pPr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图</w: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45910" cy="3331845"/>
            <wp:effectExtent l="0" t="0" r="2540" b="1905"/>
            <wp:wrapSquare wrapText="bothSides"/>
            <wp:docPr id="11092273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227328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lang w:val="zh-CN"/>
        </w:rPr>
        <w:t>1</w:t>
      </w:r>
      <w:r>
        <w:rPr>
          <w:rFonts w:ascii="微软雅黑" w:hAnsi="微软雅黑" w:eastAsia="微软雅黑"/>
          <w:lang w:val="zh-CN"/>
        </w:rPr>
        <w:t xml:space="preserve">  </w:t>
      </w:r>
      <w:r>
        <w:rPr>
          <w:rFonts w:hint="eastAsia" w:ascii="微软雅黑" w:hAnsi="微软雅黑" w:eastAsia="微软雅黑"/>
          <w:lang w:val="zh-CN"/>
        </w:rPr>
        <w:t>天眼查API接口官网</w:t>
      </w:r>
    </w:p>
    <w:p>
      <w:pPr>
        <w:pStyle w:val="5"/>
        <w:rPr>
          <w:rFonts w:hint="eastAsia"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2</w:t>
      </w:r>
      <w:r>
        <w:rPr>
          <w:rFonts w:ascii="微软雅黑" w:hAnsi="微软雅黑" w:eastAsia="微软雅黑"/>
          <w:sz w:val="18"/>
          <w:szCs w:val="18"/>
        </w:rPr>
        <w:t xml:space="preserve">.4.1.2 </w:t>
      </w:r>
      <w:r>
        <w:rPr>
          <w:rFonts w:hint="eastAsia" w:ascii="微软雅黑" w:hAnsi="微软雅黑" w:eastAsia="微软雅黑"/>
          <w:sz w:val="18"/>
          <w:szCs w:val="18"/>
        </w:rPr>
        <w:t>登录方式一</w:t>
      </w:r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天眼查API接口官网提供2种登录方式，短信验证码登录，如图2所示，输入账号绑定的手机号码获取验证码后验证通过后即可登录；</w:t>
      </w:r>
    </w:p>
    <w:p>
      <w:pPr>
        <w:rPr>
          <w:rFonts w:ascii="微软雅黑" w:hAnsi="微软雅黑" w:eastAsia="微软雅黑"/>
          <w:lang w:val="zh-CN"/>
        </w:rPr>
      </w:pPr>
      <w:r>
        <w:drawing>
          <wp:inline distT="0" distB="0" distL="0" distR="0">
            <wp:extent cx="6645910" cy="3331845"/>
            <wp:effectExtent l="0" t="0" r="2540" b="1905"/>
            <wp:docPr id="6189591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95914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图2</w:t>
      </w:r>
      <w:r>
        <w:rPr>
          <w:rFonts w:ascii="微软雅黑" w:hAnsi="微软雅黑" w:eastAsia="微软雅黑"/>
          <w:lang w:val="zh-CN"/>
        </w:rPr>
        <w:t xml:space="preserve">  </w:t>
      </w:r>
      <w:r>
        <w:rPr>
          <w:rFonts w:hint="eastAsia" w:ascii="微软雅黑" w:hAnsi="微软雅黑" w:eastAsia="微软雅黑"/>
          <w:lang w:val="zh-CN"/>
        </w:rPr>
        <w:t>短信验证码登录窗口</w:t>
      </w:r>
    </w:p>
    <w:p>
      <w:pPr>
        <w:pStyle w:val="5"/>
        <w:rPr>
          <w:rFonts w:hint="eastAsia"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2</w:t>
      </w:r>
      <w:r>
        <w:rPr>
          <w:rFonts w:ascii="微软雅黑" w:hAnsi="微软雅黑" w:eastAsia="微软雅黑"/>
          <w:sz w:val="18"/>
          <w:szCs w:val="18"/>
        </w:rPr>
        <w:t xml:space="preserve">.4.1.3 </w:t>
      </w:r>
      <w:r>
        <w:rPr>
          <w:rFonts w:hint="eastAsia" w:ascii="微软雅黑" w:hAnsi="微软雅黑" w:eastAsia="微软雅黑"/>
          <w:sz w:val="18"/>
          <w:szCs w:val="18"/>
        </w:rPr>
        <w:t>登录方式二</w:t>
      </w:r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账号密码登录窗口，如图3所示，用户输入账号的用户名或密码验证通过后即可成功登录；</w:t>
      </w:r>
    </w:p>
    <w:p>
      <w:pPr>
        <w:rPr>
          <w:rFonts w:ascii="微软雅黑" w:hAnsi="微软雅黑" w:eastAsia="微软雅黑"/>
          <w:lang w:val="zh-CN"/>
        </w:rPr>
      </w:pPr>
      <w:r>
        <w:drawing>
          <wp:inline distT="0" distB="0" distL="0" distR="0">
            <wp:extent cx="6645910" cy="3331845"/>
            <wp:effectExtent l="0" t="0" r="2540" b="1905"/>
            <wp:docPr id="20986086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60865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 xml:space="preserve">图3 </w:t>
      </w:r>
      <w:r>
        <w:rPr>
          <w:rFonts w:ascii="微软雅黑" w:hAnsi="微软雅黑" w:eastAsia="微软雅黑"/>
          <w:lang w:val="zh-CN"/>
        </w:rPr>
        <w:t xml:space="preserve"> </w:t>
      </w:r>
      <w:r>
        <w:rPr>
          <w:rFonts w:hint="eastAsia" w:ascii="微软雅黑" w:hAnsi="微软雅黑" w:eastAsia="微软雅黑"/>
          <w:lang w:val="zh-CN"/>
        </w:rPr>
        <w:t>账号密码登陆窗口</w:t>
      </w:r>
    </w:p>
    <w:p>
      <w:pPr>
        <w:pStyle w:val="5"/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2</w:t>
      </w:r>
      <w:r>
        <w:rPr>
          <w:rFonts w:ascii="微软雅黑" w:hAnsi="微软雅黑" w:eastAsia="微软雅黑"/>
          <w:sz w:val="18"/>
          <w:szCs w:val="18"/>
        </w:rPr>
        <w:t xml:space="preserve">.4.1.3 </w:t>
      </w:r>
      <w:r>
        <w:rPr>
          <w:rFonts w:hint="eastAsia" w:ascii="微软雅黑" w:hAnsi="微软雅黑" w:eastAsia="微软雅黑"/>
          <w:sz w:val="18"/>
          <w:szCs w:val="18"/>
        </w:rPr>
        <w:t>Token获取方式一</w:t>
      </w:r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账号登录后</w:t>
      </w:r>
      <w:r>
        <w:rPr>
          <w:rFonts w:ascii="微软雅黑" w:hAnsi="微软雅黑" w:eastAsia="微软雅黑"/>
          <w:lang w:val="zh-CN"/>
        </w:rPr>
        <w:t>T</w:t>
      </w:r>
      <w:r>
        <w:rPr>
          <w:rFonts w:hint="eastAsia" w:ascii="微软雅黑" w:hAnsi="微软雅黑" w:eastAsia="微软雅黑"/>
          <w:lang w:val="zh-CN"/>
        </w:rPr>
        <w:t>oken获取方式有2种，第一种是点击任意一个接口标题，在接口详情页点击图4所示的测试API蓝色按钮，即可跳转至该接口的线上测试页面，见图4所示：</w:t>
      </w:r>
    </w:p>
    <w:p>
      <w:pPr>
        <w:rPr>
          <w:rFonts w:ascii="微软雅黑" w:hAnsi="微软雅黑" w:eastAsia="微软雅黑"/>
          <w:lang w:val="zh-CN"/>
        </w:rPr>
      </w:pPr>
      <w:r>
        <w:drawing>
          <wp:inline distT="0" distB="0" distL="0" distR="0">
            <wp:extent cx="6645910" cy="3331845"/>
            <wp:effectExtent l="0" t="0" r="2540" b="1905"/>
            <wp:docPr id="12301182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1825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图4</w:t>
      </w:r>
      <w:r>
        <w:rPr>
          <w:rFonts w:ascii="微软雅黑" w:hAnsi="微软雅黑" w:eastAsia="微软雅黑"/>
          <w:lang w:val="zh-CN"/>
        </w:rPr>
        <w:t xml:space="preserve">  </w:t>
      </w:r>
      <w:r>
        <w:rPr>
          <w:rFonts w:hint="eastAsia" w:ascii="微软雅黑" w:hAnsi="微软雅黑" w:eastAsia="微软雅黑"/>
          <w:lang w:val="zh-CN"/>
        </w:rPr>
        <w:t>企业基本信息接口详情页面</w:t>
      </w:r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页面上方选择包年套餐，右侧即展示当前账户调用接口的Token，点击复制即可进行一键复制，如图5所示：</w:t>
      </w:r>
    </w:p>
    <w:p>
      <w:pPr>
        <w:rPr>
          <w:rFonts w:ascii="微软雅黑" w:hAnsi="微软雅黑" w:eastAsia="微软雅黑"/>
          <w:lang w:val="zh-CN"/>
        </w:rPr>
      </w:pPr>
      <w:r>
        <w:drawing>
          <wp:inline distT="0" distB="0" distL="0" distR="0">
            <wp:extent cx="6645910" cy="3331845"/>
            <wp:effectExtent l="0" t="0" r="2540" b="1905"/>
            <wp:docPr id="3417122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71227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图5</w:t>
      </w:r>
      <w:r>
        <w:rPr>
          <w:rFonts w:ascii="微软雅黑" w:hAnsi="微软雅黑" w:eastAsia="微软雅黑"/>
          <w:lang w:val="zh-CN"/>
        </w:rPr>
        <w:t xml:space="preserve">  </w:t>
      </w:r>
      <w:r>
        <w:rPr>
          <w:rFonts w:hint="eastAsia" w:ascii="微软雅黑" w:hAnsi="微软雅黑" w:eastAsia="微软雅黑"/>
          <w:lang w:val="zh-CN"/>
        </w:rPr>
        <w:t>API接口在线测试页面</w:t>
      </w:r>
    </w:p>
    <w:p>
      <w:pPr>
        <w:pStyle w:val="5"/>
        <w:rPr>
          <w:rFonts w:hint="eastAsia"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2</w:t>
      </w:r>
      <w:r>
        <w:rPr>
          <w:rFonts w:ascii="微软雅黑" w:hAnsi="微软雅黑" w:eastAsia="微软雅黑"/>
          <w:sz w:val="18"/>
          <w:szCs w:val="18"/>
        </w:rPr>
        <w:t xml:space="preserve">.4.1.4 </w:t>
      </w:r>
      <w:r>
        <w:rPr>
          <w:rFonts w:hint="eastAsia" w:ascii="微软雅黑" w:hAnsi="微软雅黑" w:eastAsia="微软雅黑"/>
          <w:sz w:val="18"/>
          <w:szCs w:val="18"/>
        </w:rPr>
        <w:t>Token获取方式二</w:t>
      </w:r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第二种Token获取方式，在账号登录后鼠标悬停至用户名上方，点击下拉悬浮菜单的个人中心按钮，即跳转至个人中心页面，如图6所示：</w:t>
      </w:r>
    </w:p>
    <w:p>
      <w:pPr>
        <w:rPr>
          <w:rFonts w:ascii="微软雅黑" w:hAnsi="微软雅黑" w:eastAsia="微软雅黑"/>
          <w:lang w:val="zh-CN"/>
        </w:rPr>
      </w:pPr>
      <w:r>
        <w:drawing>
          <wp:inline distT="0" distB="0" distL="0" distR="0">
            <wp:extent cx="6645910" cy="3431540"/>
            <wp:effectExtent l="0" t="0" r="2540" b="0"/>
            <wp:docPr id="20250616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6169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图6</w:t>
      </w:r>
      <w:r>
        <w:rPr>
          <w:rFonts w:ascii="微软雅黑" w:hAnsi="微软雅黑" w:eastAsia="微软雅黑"/>
          <w:lang w:val="zh-CN"/>
        </w:rPr>
        <w:t xml:space="preserve">  </w:t>
      </w:r>
      <w:r>
        <w:rPr>
          <w:rFonts w:hint="eastAsia" w:ascii="微软雅黑" w:hAnsi="微软雅黑" w:eastAsia="微软雅黑"/>
          <w:lang w:val="zh-CN"/>
        </w:rPr>
        <w:t>API接口个人中心入口</w:t>
      </w:r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点击左侧的菜单栏，路径：数据中心</w:t>
      </w:r>
      <w:r>
        <w:rPr>
          <w:rFonts w:ascii="微软雅黑" w:hAnsi="微软雅黑" w:eastAsia="微软雅黑"/>
          <w:lang w:val="zh-CN"/>
        </w:rPr>
        <w:t>--&gt;</w:t>
      </w:r>
      <w:r>
        <w:rPr>
          <w:rFonts w:hint="eastAsia" w:ascii="微软雅黑" w:hAnsi="微软雅黑" w:eastAsia="微软雅黑"/>
          <w:lang w:val="zh-CN"/>
        </w:rPr>
        <w:t>我的接口，点击套餐即可查看该账号的包年套餐的</w:t>
      </w:r>
      <w:r>
        <w:rPr>
          <w:rFonts w:ascii="微软雅黑" w:hAnsi="微软雅黑" w:eastAsia="微软雅黑"/>
          <w:lang w:val="zh-CN"/>
        </w:rPr>
        <w:t>T</w:t>
      </w:r>
      <w:r>
        <w:rPr>
          <w:rFonts w:hint="eastAsia" w:ascii="微软雅黑" w:hAnsi="微软雅黑" w:eastAsia="微软雅黑"/>
          <w:lang w:val="zh-CN"/>
        </w:rPr>
        <w:t>oken；</w:t>
      </w:r>
    </w:p>
    <w:p>
      <w:pPr>
        <w:rPr>
          <w:rFonts w:ascii="微软雅黑" w:hAnsi="微软雅黑" w:eastAsia="微软雅黑"/>
          <w:lang w:val="zh-CN"/>
        </w:rPr>
      </w:pPr>
      <w:r>
        <w:drawing>
          <wp:inline distT="0" distB="0" distL="0" distR="0">
            <wp:extent cx="6645910" cy="3436620"/>
            <wp:effectExtent l="0" t="0" r="2540" b="0"/>
            <wp:docPr id="942995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99517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图7</w:t>
      </w:r>
      <w:r>
        <w:rPr>
          <w:rFonts w:ascii="微软雅黑" w:hAnsi="微软雅黑" w:eastAsia="微软雅黑"/>
          <w:lang w:val="zh-CN"/>
        </w:rPr>
        <w:t xml:space="preserve">  </w:t>
      </w:r>
      <w:r>
        <w:rPr>
          <w:rFonts w:hint="eastAsia" w:ascii="微软雅黑" w:hAnsi="微软雅黑" w:eastAsia="微软雅黑"/>
          <w:lang w:val="zh-CN"/>
        </w:rPr>
        <w:t>API接口个人中心数据中心</w:t>
      </w:r>
      <w:r>
        <w:rPr>
          <w:rFonts w:ascii="微软雅黑" w:hAnsi="微软雅黑" w:eastAsia="微软雅黑"/>
          <w:lang w:val="zh-CN"/>
        </w:rPr>
        <w:t>--&gt;</w:t>
      </w:r>
      <w:r>
        <w:rPr>
          <w:rFonts w:hint="eastAsia" w:ascii="微软雅黑" w:hAnsi="微软雅黑" w:eastAsia="微软雅黑"/>
          <w:lang w:val="zh-CN"/>
        </w:rPr>
        <w:t>我的接口</w:t>
      </w:r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每个账户的Token可每日自行重置1次，如图7所示；客户可点击接口账单查看账号的接口调用账单，注：每日的账单于次日的凌晨1点3</w:t>
      </w:r>
      <w:r>
        <w:rPr>
          <w:rFonts w:ascii="微软雅黑" w:hAnsi="微软雅黑" w:eastAsia="微软雅黑"/>
          <w:lang w:val="zh-CN"/>
        </w:rPr>
        <w:t>0</w:t>
      </w:r>
      <w:r>
        <w:rPr>
          <w:rFonts w:hint="eastAsia" w:ascii="微软雅黑" w:hAnsi="微软雅黑" w:eastAsia="微软雅黑"/>
          <w:lang w:val="zh-CN"/>
        </w:rPr>
        <w:t>分左右生成；客户可以点击绑定IP按钮，将客户端的IP地址添加到IP白名单中，同时应注意避免泄露Token凭证；</w:t>
      </w:r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授权认证方式：</w:t>
      </w:r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默认模式，需要添加请求header</w:t>
      </w:r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HttpGet get = new HttpGet(url); get.setHeader(“Authorization”, token);</w:t>
      </w:r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请求方式：G</w:t>
      </w:r>
      <w:r>
        <w:rPr>
          <w:rFonts w:ascii="微软雅黑" w:hAnsi="微软雅黑" w:eastAsia="微软雅黑"/>
          <w:lang w:val="zh-CN"/>
        </w:rPr>
        <w:t>ET</w:t>
      </w:r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返回格式：J</w:t>
      </w:r>
      <w:r>
        <w:rPr>
          <w:rFonts w:ascii="微软雅黑" w:hAnsi="微软雅黑" w:eastAsia="微软雅黑"/>
          <w:lang w:val="zh-CN"/>
        </w:rPr>
        <w:t>SON</w:t>
      </w:r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请求参数（1</w:t>
      </w:r>
      <w:r>
        <w:rPr>
          <w:rFonts w:ascii="微软雅黑" w:hAnsi="微软雅黑" w:eastAsia="微软雅黑"/>
          <w:lang w:val="zh-CN"/>
        </w:rPr>
        <w:t>116</w:t>
      </w:r>
      <w:r>
        <w:rPr>
          <w:rFonts w:hint="eastAsia" w:ascii="微软雅黑" w:hAnsi="微软雅黑" w:eastAsia="微软雅黑"/>
          <w:lang w:val="zh-CN"/>
        </w:rPr>
        <w:t>企业基本信息示例）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4"/>
        <w:gridCol w:w="2614"/>
        <w:gridCol w:w="2614"/>
        <w:gridCol w:w="26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4" w:type="dxa"/>
          </w:tcPr>
          <w:p>
            <w:pPr>
              <w:jc w:val="left"/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参数</w:t>
            </w:r>
          </w:p>
        </w:tc>
        <w:tc>
          <w:tcPr>
            <w:tcW w:w="2614" w:type="dxa"/>
          </w:tcPr>
          <w:p>
            <w:pPr>
              <w:jc w:val="left"/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必选</w:t>
            </w:r>
          </w:p>
        </w:tc>
        <w:tc>
          <w:tcPr>
            <w:tcW w:w="2614" w:type="dxa"/>
          </w:tcPr>
          <w:p>
            <w:pPr>
              <w:jc w:val="left"/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类型及范围</w:t>
            </w:r>
          </w:p>
        </w:tc>
        <w:tc>
          <w:tcPr>
            <w:tcW w:w="2614" w:type="dxa"/>
          </w:tcPr>
          <w:p>
            <w:pPr>
              <w:jc w:val="left"/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14" w:type="dxa"/>
          </w:tcPr>
          <w:p>
            <w:pPr>
              <w:jc w:val="left"/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keyword</w:t>
            </w:r>
          </w:p>
        </w:tc>
        <w:tc>
          <w:tcPr>
            <w:tcW w:w="2614" w:type="dxa"/>
          </w:tcPr>
          <w:p>
            <w:pPr>
              <w:jc w:val="left"/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true</w:t>
            </w:r>
          </w:p>
        </w:tc>
        <w:tc>
          <w:tcPr>
            <w:tcW w:w="2614" w:type="dxa"/>
          </w:tcPr>
          <w:p>
            <w:pPr>
              <w:jc w:val="left"/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String</w:t>
            </w:r>
          </w:p>
        </w:tc>
        <w:tc>
          <w:tcPr>
            <w:tcW w:w="2614" w:type="dxa"/>
          </w:tcPr>
          <w:p>
            <w:pPr>
              <w:jc w:val="left"/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搜索关键字（公司名称。公司I</w:t>
            </w:r>
            <w: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  <w:t>D</w:t>
            </w: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、注册号或社会统一信用代码）</w:t>
            </w:r>
          </w:p>
        </w:tc>
      </w:tr>
    </w:tbl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注意 : 请求参数需要URLEncode</w:t>
      </w:r>
    </w:p>
    <w:p>
      <w:pPr>
        <w:pStyle w:val="4"/>
        <w:numPr>
          <w:ilvl w:val="2"/>
          <w:numId w:val="1"/>
        </w:numPr>
      </w:pPr>
      <w:bookmarkStart w:id="12" w:name="_Toc145430154"/>
      <w:r>
        <w:rPr>
          <w:rFonts w:hint="eastAsia"/>
        </w:rPr>
        <w:t>错误代码</w:t>
      </w:r>
      <w:bookmarkEnd w:id="12"/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天眼查API接口提供有以下错误代码：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28"/>
        <w:gridCol w:w="52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</w:tcPr>
          <w:p>
            <w:pP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代码</w:t>
            </w:r>
          </w:p>
        </w:tc>
        <w:tc>
          <w:tcPr>
            <w:tcW w:w="5228" w:type="dxa"/>
          </w:tcPr>
          <w:p>
            <w:pP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</w:tcPr>
          <w:p>
            <w:pP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0</w:t>
            </w:r>
          </w:p>
        </w:tc>
        <w:tc>
          <w:tcPr>
            <w:tcW w:w="5228" w:type="dxa"/>
          </w:tcPr>
          <w:p>
            <w:pP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请求成功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</w:tcPr>
          <w:p>
            <w:pP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3</w:t>
            </w:r>
            <w: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  <w:t>00000</w:t>
            </w:r>
          </w:p>
        </w:tc>
        <w:tc>
          <w:tcPr>
            <w:tcW w:w="5228" w:type="dxa"/>
          </w:tcPr>
          <w:p>
            <w:pP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无数据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</w:tcPr>
          <w:p>
            <w:pP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3</w:t>
            </w:r>
            <w: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  <w:t>00001</w:t>
            </w:r>
          </w:p>
        </w:tc>
        <w:tc>
          <w:tcPr>
            <w:tcW w:w="5228" w:type="dxa"/>
          </w:tcPr>
          <w:p>
            <w:pP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请求失败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</w:tcPr>
          <w:p>
            <w:pP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3</w:t>
            </w:r>
            <w: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  <w:t>00002</w:t>
            </w:r>
          </w:p>
        </w:tc>
        <w:tc>
          <w:tcPr>
            <w:tcW w:w="5228" w:type="dxa"/>
          </w:tcPr>
          <w:p>
            <w:pP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账号失效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</w:tcPr>
          <w:p>
            <w:pP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3</w:t>
            </w:r>
            <w: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  <w:t>00003</w:t>
            </w:r>
          </w:p>
        </w:tc>
        <w:tc>
          <w:tcPr>
            <w:tcW w:w="5228" w:type="dxa"/>
          </w:tcPr>
          <w:p>
            <w:pP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账号过期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</w:tcPr>
          <w:p>
            <w:pP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3</w:t>
            </w:r>
            <w: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  <w:t>00004</w:t>
            </w:r>
          </w:p>
        </w:tc>
        <w:tc>
          <w:tcPr>
            <w:tcW w:w="5228" w:type="dxa"/>
          </w:tcPr>
          <w:p>
            <w:pP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访问频率过快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</w:tcPr>
          <w:p>
            <w:pP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3</w:t>
            </w:r>
            <w: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  <w:t>00005</w:t>
            </w:r>
          </w:p>
        </w:tc>
        <w:tc>
          <w:tcPr>
            <w:tcW w:w="5228" w:type="dxa"/>
          </w:tcPr>
          <w:p>
            <w:pP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无权限访问此api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</w:tcPr>
          <w:p>
            <w:pP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3</w:t>
            </w:r>
            <w: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  <w:t>00006</w:t>
            </w:r>
          </w:p>
        </w:tc>
        <w:tc>
          <w:tcPr>
            <w:tcW w:w="5228" w:type="dxa"/>
          </w:tcPr>
          <w:p>
            <w:pP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余额不足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</w:tcPr>
          <w:p>
            <w:pP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3</w:t>
            </w:r>
            <w: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  <w:t>00007</w:t>
            </w:r>
          </w:p>
        </w:tc>
        <w:tc>
          <w:tcPr>
            <w:tcW w:w="5228" w:type="dxa"/>
          </w:tcPr>
          <w:p>
            <w:pP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剩余次数不足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</w:tcPr>
          <w:p>
            <w:pP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3</w:t>
            </w:r>
            <w: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  <w:t>00008</w:t>
            </w:r>
          </w:p>
        </w:tc>
        <w:tc>
          <w:tcPr>
            <w:tcW w:w="5228" w:type="dxa"/>
          </w:tcPr>
          <w:p>
            <w:pP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缺少必要参数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</w:tcPr>
          <w:p>
            <w:pP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3</w:t>
            </w:r>
            <w: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  <w:t>00009</w:t>
            </w:r>
          </w:p>
        </w:tc>
        <w:tc>
          <w:tcPr>
            <w:tcW w:w="5228" w:type="dxa"/>
          </w:tcPr>
          <w:p>
            <w:pP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账号信息有误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</w:tcPr>
          <w:p>
            <w:pP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3</w:t>
            </w:r>
            <w: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  <w:t>00010</w:t>
            </w:r>
          </w:p>
        </w:tc>
        <w:tc>
          <w:tcPr>
            <w:tcW w:w="5228" w:type="dxa"/>
          </w:tcPr>
          <w:p>
            <w:pP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URL不存在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</w:tcPr>
          <w:p>
            <w:pP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3</w:t>
            </w:r>
            <w: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  <w:t>00011</w:t>
            </w:r>
          </w:p>
        </w:tc>
        <w:tc>
          <w:tcPr>
            <w:tcW w:w="5228" w:type="dxa"/>
          </w:tcPr>
          <w:p>
            <w:pP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此IP无权限访问此api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</w:tcPr>
          <w:p>
            <w:pP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3</w:t>
            </w:r>
            <w: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  <w:t>00012</w:t>
            </w:r>
          </w:p>
        </w:tc>
        <w:tc>
          <w:tcPr>
            <w:tcW w:w="5228" w:type="dxa"/>
          </w:tcPr>
          <w:p>
            <w:pPr>
              <w:rPr>
                <w:rFonts w:ascii="微软雅黑" w:hAnsi="微软雅黑" w:eastAsia="微软雅黑"/>
                <w:kern w:val="0"/>
                <w:sz w:val="20"/>
                <w:szCs w:val="20"/>
                <w:lang w:val="zh-CN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0"/>
                <w:lang w:val="zh-CN"/>
              </w:rPr>
              <w:t>报告生成中</w:t>
            </w:r>
          </w:p>
        </w:tc>
      </w:tr>
    </w:tbl>
    <w:p>
      <w:pPr>
        <w:pStyle w:val="4"/>
        <w:numPr>
          <w:ilvl w:val="2"/>
          <w:numId w:val="1"/>
        </w:numPr>
      </w:pPr>
      <w:bookmarkStart w:id="13" w:name="_Toc145430155"/>
      <w:r>
        <w:rPr>
          <w:rFonts w:hint="eastAsia"/>
        </w:rPr>
        <w:t>个人中心</w:t>
      </w:r>
      <w:bookmarkEnd w:id="13"/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个人中心提供了一系列的账户管理功能，用户可以进行查看及修改账户基本资料，修改登录密码，换绑邮箱或者手机号等操作。</w:t>
      </w:r>
    </w:p>
    <w:p>
      <w:pPr>
        <w:pStyle w:val="2"/>
      </w:pPr>
      <w:bookmarkStart w:id="14" w:name="_Toc145430156"/>
      <w:bookmarkStart w:id="15" w:name="_Toc477967109"/>
      <w:r>
        <w:rPr>
          <w:rFonts w:hint="eastAsia"/>
          <w:lang w:eastAsia="zh-CN"/>
        </w:rPr>
        <w:t>接口</w:t>
      </w:r>
      <w:r>
        <w:t>详情</w:t>
      </w:r>
      <w:bookmarkEnd w:id="14"/>
    </w:p>
    <w:p>
      <w:pPr>
        <w:pStyle w:val="3"/>
        <w:numPr>
          <w:ilvl w:val="1"/>
          <w:numId w:val="5"/>
        </w:numPr>
      </w:pPr>
      <w:bookmarkStart w:id="16" w:name="_Toc145430157"/>
      <w:r>
        <w:rPr>
          <w:rFonts w:hint="eastAsia"/>
          <w:lang w:eastAsia="zh-CN"/>
        </w:rPr>
        <w:t>接口</w:t>
      </w:r>
      <w:r>
        <w:rPr>
          <w:rFonts w:hint="eastAsia"/>
        </w:rPr>
        <w:t>列表简介</w:t>
      </w:r>
      <w:bookmarkEnd w:id="16"/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当前API接口数据维度列表如下：</w:t>
      </w:r>
    </w:p>
    <w:tbl>
      <w:tblPr>
        <w:tblStyle w:val="25"/>
        <w:tblW w:w="8990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0"/>
        <w:gridCol w:w="2320"/>
        <w:gridCol w:w="3921"/>
        <w:gridCol w:w="204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BDD7EE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23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BDD7EE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  <w:t>接口分类</w:t>
            </w:r>
          </w:p>
        </w:tc>
        <w:tc>
          <w:tcPr>
            <w:tcW w:w="39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BDD7EE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  <w:t>接口名称</w:t>
            </w:r>
          </w:p>
        </w:tc>
        <w:tc>
          <w:tcPr>
            <w:tcW w:w="20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BDD7EE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  <w:t>接口ID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</w:t>
            </w:r>
          </w:p>
        </w:tc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  <w:t>工商信息</w:t>
            </w: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企业基本信息（含企业联系方式）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2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企业基本信息（含主要人员）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3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主要人员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4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企业股东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5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变更记录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6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对外投资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823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7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分支机构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8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企业年报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9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历史对外投资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876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10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历史股东信息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877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11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历史工商信息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878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12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总公司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13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公司公示-股东出资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997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14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公司公示-股权变更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998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15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工商快照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16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企业联系方式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17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企业类型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1047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18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历史主要人员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19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企业三要素验证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1074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20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企业基本信息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1116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21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特殊企业基本信息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1117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22</w:t>
            </w:r>
          </w:p>
        </w:tc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  <w:t>企业发展</w:t>
            </w: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投资动态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799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23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融资历史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24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核心团队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25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企业业务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26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投资事件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27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竞品信息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28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获取标签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831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29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搜索项目品牌&amp;投资机构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30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投资机构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944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31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私募基金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32</w:t>
            </w:r>
          </w:p>
        </w:tc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  <w:t>司法风险</w:t>
            </w: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司法协助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756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33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司法协助详情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757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34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被执行人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839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35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开庭公告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36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法院公告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841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37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失信人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843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38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历史被执行人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871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39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历史失信人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872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40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历史法院公告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873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41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历史开庭公告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42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立案信息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961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43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送达公告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44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终本案件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1013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45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限制消费令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46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历史司法协助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47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历史司法协助详情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48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破产重整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49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破产重整详情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50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司法解析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1041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51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法律诉讼详情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1073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52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法律诉讼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1114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53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历史法律诉讼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1115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54</w:t>
            </w:r>
          </w:p>
        </w:tc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  <w:t>经营风险</w:t>
            </w: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知识产权出质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795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55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公示催告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796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56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动产抵押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844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57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股权出质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58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严重违法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59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经营异常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60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清算信息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849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61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欠税公告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851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62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历史动产抵押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866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63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历史股权出质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868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64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土地抵押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65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土地抵押详情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66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税收违法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67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税收违法详情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958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68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简易注销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69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历史经营异常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70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质押走势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71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质押比例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72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重要股东质押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73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重要股东质押详情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74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质押明细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75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质押明细详情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76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询价评估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1023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77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司法拍卖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1120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78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历史行政处罚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1122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79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行政处罚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1124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80</w:t>
            </w:r>
          </w:p>
        </w:tc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  <w:t>经营信息</w:t>
            </w: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企业微信公众号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834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81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历史行政许可-工商局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867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82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历史行政许可-其他来源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869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83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资质证书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84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进出口信用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881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85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产品信息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86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税务评级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87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购地信息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885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88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债券信息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886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89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企业招投标信息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887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90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行政许可-工商局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91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行政许可-其他来源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889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92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供应商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93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客户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947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94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电信许可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95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地块公示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949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96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地块公示详情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97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土地转让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951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98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土地转让详情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99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双随机抽查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100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双随机抽查详情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101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企业微博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102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公告研报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103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一般纳税人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104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企业信用评级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1049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105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招投标信息垂搜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106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企业招聘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1118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107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抽查检查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1127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108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行政许可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1129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109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历史行政许可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1130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110</w:t>
            </w:r>
          </w:p>
        </w:tc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  <w:t>知识产权</w:t>
            </w: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作品著作权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111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软件著作权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112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企业商标信息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113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历史网站备案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114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历史商标信息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115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网站备案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116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商标信息详情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1051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117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商标信息垂搜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1061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118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企业专利信息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1137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119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专利信息垂搜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1138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120</w:t>
            </w:r>
          </w:p>
        </w:tc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  <w:t>上市信息</w:t>
            </w: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上市公司财务简析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798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121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上市公司企业简介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122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董监高信息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123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参股控股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124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上市公告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125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十大股东（十大流通股东）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859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126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发行相关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860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127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股本结构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861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128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股本变动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862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129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分红情况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130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配股情况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864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131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证券信息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964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132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重要人员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133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联系信息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966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134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主要指标-年度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967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135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主要指标-季度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968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136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对外担保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969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137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违规处理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970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138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利润表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971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139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资产负债表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972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140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现金流量表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973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141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招股书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142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上市公司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155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最短路径发现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1141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156</w:t>
            </w:r>
          </w:p>
        </w:tc>
        <w:tc>
          <w:tcPr>
            <w:tcW w:w="23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  <w:t>搜索</w:t>
            </w: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搜索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816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159</w:t>
            </w:r>
          </w:p>
        </w:tc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  <w:t>私募基金</w:t>
            </w: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机构信息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988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160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会员信息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989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161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法律意见书信息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162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高管信息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991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163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高管情况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164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诚信信息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994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165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产品信息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1144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166</w:t>
            </w:r>
          </w:p>
        </w:tc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  <w:t>投资机构</w:t>
            </w: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工商追踪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978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167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相关新闻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168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机构成员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980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169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公开投资事件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981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170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未公开投资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171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基金管理公司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983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172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对外投资基金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173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基金管理人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985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174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投资动态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986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175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统计分析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987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181</w:t>
            </w:r>
          </w:p>
        </w:tc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  <w:t>建筑资质</w:t>
            </w: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建筑资质-资质资格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182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建筑资质-资质资格详情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183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建筑资质-注册人员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184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建筑资质-注册人员详情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185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建筑资质-工程项目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186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建筑资质-工程项目详情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187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建筑资质-不良行为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188</w:t>
            </w:r>
          </w:p>
        </w:tc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  <w:t>增值服务</w:t>
            </w: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天眼风险详情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426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189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人员天眼风险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427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190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纳税人识别号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457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191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企业曾用名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458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192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天眼地图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630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193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企业无水印logo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632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194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验证企业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633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195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企业简介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755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196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企业经纬度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778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197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新闻舆情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943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198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企业天眼风险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1058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199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企业类型查询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1112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200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企业空壳洞察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1142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210</w:t>
            </w:r>
          </w:p>
        </w:tc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  <w:t>集团族群</w:t>
            </w: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所属集团查询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1105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211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集团详情信息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1106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212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集团成员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1107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213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集团对外投资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1108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214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集团内参与投资该企业的成员列表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1109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215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集团投资方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1110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454545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454545"/>
                <w:kern w:val="0"/>
                <w:sz w:val="24"/>
                <w:szCs w:val="24"/>
              </w:rPr>
              <w:t>216</w:t>
            </w:r>
          </w:p>
        </w:tc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9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集团内被该投资方投资的成员列表</w:t>
            </w:r>
          </w:p>
        </w:tc>
        <w:tc>
          <w:tcPr>
            <w:tcW w:w="20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24"/>
                <w:szCs w:val="24"/>
              </w:rPr>
              <w:t>1111</w:t>
            </w:r>
          </w:p>
        </w:tc>
      </w:tr>
    </w:tbl>
    <w:p>
      <w:pPr>
        <w:rPr>
          <w:rFonts w:ascii="微软雅黑" w:hAnsi="微软雅黑" w:eastAsia="微软雅黑"/>
          <w:lang w:val="zh-CN"/>
        </w:rPr>
      </w:pPr>
    </w:p>
    <w:p>
      <w:pPr>
        <w:pStyle w:val="3"/>
        <w:numPr>
          <w:ilvl w:val="1"/>
          <w:numId w:val="5"/>
        </w:numPr>
      </w:pPr>
      <w:bookmarkStart w:id="17" w:name="_Toc145430158"/>
      <w:r>
        <w:rPr>
          <w:rFonts w:hint="eastAsia"/>
          <w:lang w:eastAsia="zh-CN"/>
        </w:rPr>
        <w:t>接口</w:t>
      </w:r>
      <w:r>
        <w:rPr>
          <w:rFonts w:hint="eastAsia"/>
        </w:rPr>
        <w:t>详情</w:t>
      </w:r>
      <w:r>
        <w:rPr>
          <w:rFonts w:hint="eastAsia"/>
          <w:lang w:eastAsia="zh-CN"/>
        </w:rPr>
        <w:t>页示例</w:t>
      </w:r>
      <w:bookmarkEnd w:id="17"/>
    </w:p>
    <w:p>
      <w:pPr>
        <w:pStyle w:val="4"/>
      </w:pPr>
      <w:bookmarkStart w:id="18" w:name="_Toc145430159"/>
      <w:r>
        <w:rPr>
          <w:rFonts w:hint="eastAsia"/>
        </w:rPr>
        <w:t>企业基本信息</w:t>
      </w:r>
      <w:bookmarkEnd w:id="18"/>
    </w:p>
    <w:p>
      <w:pPr>
        <w:spacing w:line="360" w:lineRule="auto"/>
        <w:ind w:firstLine="422" w:firstLineChars="200"/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b/>
          <w:bCs/>
        </w:rPr>
        <w:t>116-</w:t>
      </w:r>
      <w:r>
        <w:rPr>
          <w:rFonts w:hint="eastAsia"/>
          <w:b/>
          <w:bCs/>
        </w:rPr>
        <w:t>企业基本信息返回字段说明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4"/>
        <w:gridCol w:w="2614"/>
        <w:gridCol w:w="2614"/>
        <w:gridCol w:w="26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返回值字段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字段类型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字段说明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error_code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Number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状态码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reason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错误信息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result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Object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staffNumRange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varchar(200)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人员规模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fromTime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Number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时间戳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经营开始时间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type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Number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int(1)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法人类型，1 人 2 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bondName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varchar(20)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股票名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id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Number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int(20)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企业id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isMicroEnt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Number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int(1)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是否是小微企业 0不是 1是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usedBondName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varchar(20)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股票曾用名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regNumber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varchar(31)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注册号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percentileScore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Number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万分制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企业评分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regCapital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varchar(50)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注册资本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name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varchar(255)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企业名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regInstitute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varchar(255)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登记机关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regLocation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varchar(255)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注册地址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industry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varchar(255)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行业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approvedTime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Number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时间戳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核准时间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socialStaffNum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Number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int(10)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参保人数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tags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varchar(255)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企业标签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taxNumber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varchar(255)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纳税人识别号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businessScope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varchar(4091)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经营范围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property3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varchar(255)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英文名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alias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varchar(255)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简称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orgNumber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varchar(31)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组织机构代码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regStatus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varchar(31)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企业状态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estiblishTime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Number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时间戳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成立日期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updateTimes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Number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时间戳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更新时间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bondType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varchar(31)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股票类型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legalPersonName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varchar(255)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法人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toTime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Number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时间戳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经营结束时间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actualCapital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varchar(50)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实收注册资金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companyOrgType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varchar(127)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企业类型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compForm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Number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int(1)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组成形式，1-个人经营、2-家庭经营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base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varchar(31)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省份简称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creditCode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varchar(255)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统一社会信用代码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historyNames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varchar(255)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曾用名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historyNameList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Array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曾用名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bondNum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varchar(20)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股票号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regCapitalCurrency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varchar(10)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注册资本币种 人民币 美元 欧元 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actualCapitalCurrency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varchar(10)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实收注册资本币种 人民币 美元 欧元 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revokeDate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Number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时间戳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吊销日期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revokeReason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varchar(500)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吊销原因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cancelDate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Number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时间戳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注销日期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cancelReason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varchar(500)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注销原因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city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varchar(20)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district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varchar(20)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industryAll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Object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国民经济行业分类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category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varchar(255)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国民经济行业分类门类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categoryBig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varchar(255)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国民经济行业分类大类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categoryMiddle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varchar(255)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国民经济行业分类中类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614" w:type="dxa"/>
            <w:noWrap/>
          </w:tcPr>
          <w:p>
            <w:pPr>
              <w:spacing w:line="360" w:lineRule="auto"/>
              <w:rPr>
                <w:b/>
                <w:bCs/>
                <w:kern w:val="0"/>
                <w:sz w:val="20"/>
                <w:szCs w:val="20"/>
              </w:rPr>
            </w:pPr>
            <w:r>
              <w:rPr>
                <w:rFonts w:hint="eastAsia"/>
                <w:b/>
                <w:bCs/>
                <w:kern w:val="0"/>
                <w:sz w:val="20"/>
                <w:szCs w:val="20"/>
              </w:rPr>
              <w:t>categorySmall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String</w:t>
            </w:r>
          </w:p>
        </w:tc>
        <w:tc>
          <w:tcPr>
            <w:tcW w:w="2614" w:type="dxa"/>
            <w:noWrap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varchar(255)</w:t>
            </w:r>
          </w:p>
        </w:tc>
        <w:tc>
          <w:tcPr>
            <w:tcW w:w="2614" w:type="dxa"/>
          </w:tcPr>
          <w:p>
            <w:pPr>
              <w:spacing w:line="36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国民经济行业分类小类</w:t>
            </w:r>
          </w:p>
        </w:tc>
      </w:tr>
    </w:tbl>
    <w:p>
      <w:pPr>
        <w:spacing w:line="360" w:lineRule="auto"/>
      </w:pPr>
    </w:p>
    <w:p>
      <w:pPr>
        <w:spacing w:line="360" w:lineRule="auto"/>
      </w:pPr>
      <w:r>
        <w:rPr>
          <w:rFonts w:hint="eastAsia"/>
          <w:b/>
          <w:bCs/>
        </w:rPr>
        <w:t>请求示例</w:t>
      </w:r>
      <w:r>
        <w:rPr>
          <w:rFonts w:hint="eastAsia"/>
        </w:rPr>
        <w:t>：http://open.api.tianyancha.com/services/open/ic/baseinfo/normal?keyword=中航重机股份有限公司</w:t>
      </w:r>
    </w:p>
    <w:p>
      <w:pPr>
        <w:spacing w:line="360" w:lineRule="auto"/>
      </w:pPr>
      <w:r>
        <w:rPr>
          <w:rFonts w:hint="eastAsia"/>
          <w:b/>
          <w:bCs/>
        </w:rPr>
        <w:t>返回JSON示例</w:t>
      </w:r>
      <w:r>
        <w:rPr>
          <w:rFonts w:hint="eastAsia"/>
        </w:rPr>
        <w:t>：</w:t>
      </w:r>
    </w:p>
    <w:p>
      <w:pPr>
        <w:spacing w:line="360" w:lineRule="auto"/>
      </w:pPr>
      <w:r>
        <w:t>{</w:t>
      </w:r>
    </w:p>
    <w:p>
      <w:pPr>
        <w:spacing w:line="360" w:lineRule="auto"/>
      </w:pPr>
      <w:r>
        <w:t>result: {</w:t>
      </w:r>
    </w:p>
    <w:p>
      <w:pPr>
        <w:spacing w:line="360" w:lineRule="auto"/>
      </w:pPr>
      <w:r>
        <w:rPr>
          <w:rFonts w:hint="eastAsia"/>
        </w:rPr>
        <w:t>historyNames: "贵州力源液压股份有限公司;",</w:t>
      </w:r>
    </w:p>
    <w:p>
      <w:pPr>
        <w:spacing w:line="360" w:lineRule="auto"/>
      </w:pPr>
      <w:r>
        <w:t>cancelDate: null,</w:t>
      </w:r>
    </w:p>
    <w:p>
      <w:pPr>
        <w:spacing w:line="360" w:lineRule="auto"/>
      </w:pPr>
      <w:r>
        <w:rPr>
          <w:rFonts w:hint="eastAsia"/>
        </w:rPr>
        <w:t>regStatus: "存续",</w:t>
      </w:r>
    </w:p>
    <w:p>
      <w:pPr>
        <w:spacing w:line="360" w:lineRule="auto"/>
      </w:pPr>
      <w:r>
        <w:rPr>
          <w:rFonts w:hint="eastAsia"/>
        </w:rPr>
        <w:t>regCapital: "147204.909万人民币",</w:t>
      </w:r>
    </w:p>
    <w:p>
      <w:pPr>
        <w:spacing w:line="360" w:lineRule="auto"/>
      </w:pPr>
      <w:r>
        <w:rPr>
          <w:rFonts w:hint="eastAsia"/>
        </w:rPr>
        <w:t>city: "贵阳市",</w:t>
      </w:r>
    </w:p>
    <w:p>
      <w:pPr>
        <w:spacing w:line="360" w:lineRule="auto"/>
      </w:pPr>
      <w:r>
        <w:t>compForm: null,</w:t>
      </w:r>
    </w:p>
    <w:p>
      <w:pPr>
        <w:spacing w:line="360" w:lineRule="auto"/>
      </w:pPr>
      <w:r>
        <w:rPr>
          <w:rFonts w:hint="eastAsia"/>
        </w:rPr>
        <w:t>staffNumRange: "5000-9999人",</w:t>
      </w:r>
    </w:p>
    <w:p>
      <w:pPr>
        <w:spacing w:line="360" w:lineRule="auto"/>
      </w:pPr>
      <w:r>
        <w:t>bondNum: "600765",</w:t>
      </w:r>
    </w:p>
    <w:p>
      <w:pPr>
        <w:spacing w:line="360" w:lineRule="auto"/>
      </w:pPr>
      <w:r>
        <w:t>historyNameList: [</w:t>
      </w:r>
    </w:p>
    <w:p>
      <w:pPr>
        <w:spacing w:line="360" w:lineRule="auto"/>
      </w:pPr>
      <w:r>
        <w:rPr>
          <w:rFonts w:hint="eastAsia"/>
        </w:rPr>
        <w:t>"贵州力源液压股份有限公司"</w:t>
      </w:r>
    </w:p>
    <w:p>
      <w:pPr>
        <w:spacing w:line="360" w:lineRule="auto"/>
      </w:pPr>
      <w:r>
        <w:t>],</w:t>
      </w:r>
    </w:p>
    <w:p>
      <w:pPr>
        <w:spacing w:line="360" w:lineRule="auto"/>
      </w:pPr>
      <w:r>
        <w:rPr>
          <w:rFonts w:hint="eastAsia"/>
        </w:rPr>
        <w:t>industry: "汽车制造业",</w:t>
      </w:r>
    </w:p>
    <w:p>
      <w:pPr>
        <w:spacing w:line="360" w:lineRule="auto"/>
      </w:pPr>
      <w:r>
        <w:rPr>
          <w:rFonts w:hint="eastAsia"/>
        </w:rPr>
        <w:t>bondName: "中航重机",</w:t>
      </w:r>
    </w:p>
    <w:p>
      <w:pPr>
        <w:spacing w:line="360" w:lineRule="auto"/>
      </w:pPr>
      <w:r>
        <w:t>revokeDate: null,</w:t>
      </w:r>
    </w:p>
    <w:p>
      <w:pPr>
        <w:spacing w:line="360" w:lineRule="auto"/>
      </w:pPr>
      <w:r>
        <w:t>type: 1,</w:t>
      </w:r>
    </w:p>
    <w:p>
      <w:pPr>
        <w:spacing w:line="360" w:lineRule="auto"/>
      </w:pPr>
      <w:r>
        <w:t>updateTimes: 1693975034000,</w:t>
      </w:r>
    </w:p>
    <w:p>
      <w:pPr>
        <w:spacing w:line="360" w:lineRule="auto"/>
      </w:pPr>
      <w:r>
        <w:rPr>
          <w:rFonts w:hint="eastAsia"/>
        </w:rPr>
        <w:t>legalPersonName: "冉兴",</w:t>
      </w:r>
    </w:p>
    <w:p>
      <w:pPr>
        <w:spacing w:line="360" w:lineRule="auto"/>
      </w:pPr>
      <w:r>
        <w:t>revokeReason: null,</w:t>
      </w:r>
    </w:p>
    <w:p>
      <w:pPr>
        <w:spacing w:line="360" w:lineRule="auto"/>
      </w:pPr>
      <w:r>
        <w:t>regNumber: "520000000005018",</w:t>
      </w:r>
    </w:p>
    <w:p>
      <w:pPr>
        <w:spacing w:line="360" w:lineRule="auto"/>
      </w:pPr>
      <w:r>
        <w:t>creditCode: "91520000214434146R",</w:t>
      </w:r>
    </w:p>
    <w:p>
      <w:pPr>
        <w:spacing w:line="360" w:lineRule="auto"/>
      </w:pPr>
      <w:r>
        <w:t>property3: "AVIC Heavy Machinery Co.,Ltd.",</w:t>
      </w:r>
    </w:p>
    <w:p>
      <w:pPr>
        <w:spacing w:line="360" w:lineRule="auto"/>
      </w:pPr>
      <w:r>
        <w:rPr>
          <w:rFonts w:hint="eastAsia"/>
        </w:rPr>
        <w:t>usedBondName: "力源液压-&gt;G力源-&gt;力源液压",</w:t>
      </w:r>
    </w:p>
    <w:p>
      <w:pPr>
        <w:spacing w:line="360" w:lineRule="auto"/>
      </w:pPr>
      <w:r>
        <w:t>approvedTime: 1687622400000,</w:t>
      </w:r>
    </w:p>
    <w:p>
      <w:pPr>
        <w:spacing w:line="360" w:lineRule="auto"/>
      </w:pPr>
      <w:r>
        <w:t>fromTime: 847900800000,</w:t>
      </w:r>
    </w:p>
    <w:p>
      <w:pPr>
        <w:spacing w:line="360" w:lineRule="auto"/>
      </w:pPr>
      <w:r>
        <w:t>socialStaffNum: 6652,</w:t>
      </w:r>
    </w:p>
    <w:p>
      <w:pPr>
        <w:spacing w:line="360" w:lineRule="auto"/>
      </w:pPr>
      <w:r>
        <w:rPr>
          <w:rFonts w:hint="eastAsia"/>
        </w:rPr>
        <w:t>actualCapitalCurrency: "人民币",</w:t>
      </w:r>
    </w:p>
    <w:p>
      <w:pPr>
        <w:spacing w:line="360" w:lineRule="auto"/>
      </w:pPr>
      <w:r>
        <w:rPr>
          <w:rFonts w:hint="eastAsia"/>
        </w:rPr>
        <w:t>alias: "中航重机",</w:t>
      </w:r>
    </w:p>
    <w:p>
      <w:pPr>
        <w:spacing w:line="360" w:lineRule="auto"/>
      </w:pPr>
      <w:r>
        <w:rPr>
          <w:rFonts w:hint="eastAsia"/>
        </w:rPr>
        <w:t>companyOrgType: "其他股份有限公司(上市)",</w:t>
      </w:r>
    </w:p>
    <w:p>
      <w:pPr>
        <w:spacing w:line="360" w:lineRule="auto"/>
      </w:pPr>
      <w:r>
        <w:t>id: 11684584,</w:t>
      </w:r>
    </w:p>
    <w:p>
      <w:pPr>
        <w:spacing w:line="360" w:lineRule="auto"/>
      </w:pPr>
      <w:r>
        <w:t>cancelReason: null,</w:t>
      </w:r>
    </w:p>
    <w:p>
      <w:pPr>
        <w:spacing w:line="360" w:lineRule="auto"/>
      </w:pPr>
      <w:r>
        <w:t>orgNumber: "21443414-6",</w:t>
      </w:r>
    </w:p>
    <w:p>
      <w:pPr>
        <w:spacing w:line="360" w:lineRule="auto"/>
      </w:pPr>
      <w:r>
        <w:t>toTime: null,</w:t>
      </w:r>
    </w:p>
    <w:p>
      <w:pPr>
        <w:spacing w:line="360" w:lineRule="auto"/>
      </w:pPr>
      <w:r>
        <w:rPr>
          <w:rFonts w:hint="eastAsia"/>
        </w:rPr>
        <w:t>actualCapital: "147204.909万人民币",</w:t>
      </w:r>
    </w:p>
    <w:p>
      <w:pPr>
        <w:spacing w:line="360" w:lineRule="auto"/>
      </w:pPr>
      <w:r>
        <w:t>estiblishTime: 847900800000,</w:t>
      </w:r>
    </w:p>
    <w:p>
      <w:pPr>
        <w:spacing w:line="360" w:lineRule="auto"/>
      </w:pPr>
      <w:r>
        <w:rPr>
          <w:rFonts w:hint="eastAsia"/>
        </w:rPr>
        <w:t>regInstitute: "贵阳市市场监督管理局双龙分局",</w:t>
      </w:r>
    </w:p>
    <w:p>
      <w:pPr>
        <w:spacing w:line="360" w:lineRule="auto"/>
      </w:pPr>
      <w:r>
        <w:rPr>
          <w:rFonts w:hint="eastAsia"/>
        </w:rPr>
        <w:t>businessScope: "法律、法规、国务院决定规定禁止的不得经营；法律、法规、国务院决定规定应当许可（审批）的，经审批机关批准后凭许可（审批）文件经营;法律、法规、国务院决定规定无需许可（审批）的，市场主体自主选择经营。（股权投资及经营管理；军民共用液压件、液压系统、锻件、铸件、换热器、飞机及航空发动机附件，汽车零备件的研制、开发、制造、修理及销售；经营本企业自产机电产品、成套设备及相关技术的出口业务；经营本企业生产、科研所需的原辅材料、机械设备、仪器仪表、备品备件、零配件及技术的进口业务；开展本企业进料加工和“三来一补”业务。液压、锻件、铸件、换热器技术开发、转让和咨询服务；物流；机械冷热加工、修理修配服务。）",</w:t>
      </w:r>
    </w:p>
    <w:p>
      <w:pPr>
        <w:spacing w:line="360" w:lineRule="auto"/>
      </w:pPr>
      <w:r>
        <w:t>taxNumber: "91520000214434146R",</w:t>
      </w:r>
    </w:p>
    <w:p>
      <w:pPr>
        <w:spacing w:line="360" w:lineRule="auto"/>
      </w:pPr>
      <w:r>
        <w:rPr>
          <w:rFonts w:hint="eastAsia"/>
        </w:rPr>
        <w:t>regLocation: "贵州省贵阳市贵州双龙航空港经济区航空总部基地1号楼5层",</w:t>
      </w:r>
    </w:p>
    <w:p>
      <w:pPr>
        <w:spacing w:line="360" w:lineRule="auto"/>
      </w:pPr>
      <w:r>
        <w:rPr>
          <w:rFonts w:hint="eastAsia"/>
        </w:rPr>
        <w:t>regCapitalCurrency: "人民币",</w:t>
      </w:r>
    </w:p>
    <w:p>
      <w:pPr>
        <w:spacing w:line="360" w:lineRule="auto"/>
      </w:pPr>
      <w:r>
        <w:rPr>
          <w:rFonts w:hint="eastAsia"/>
        </w:rPr>
        <w:t>tags: "存续;曾用名;定向增发;A股 | 中航重机 600765 | 正常上市;项目品牌:中航重机;投资机构:中航重机;企业集团",</w:t>
      </w:r>
    </w:p>
    <w:p>
      <w:pPr>
        <w:spacing w:line="360" w:lineRule="auto"/>
      </w:pPr>
      <w:r>
        <w:rPr>
          <w:rFonts w:hint="eastAsia"/>
        </w:rPr>
        <w:t>district: "南明区",</w:t>
      </w:r>
    </w:p>
    <w:p>
      <w:pPr>
        <w:spacing w:line="360" w:lineRule="auto"/>
      </w:pPr>
      <w:r>
        <w:rPr>
          <w:rFonts w:hint="eastAsia"/>
        </w:rPr>
        <w:t>bondType: "A股",</w:t>
      </w:r>
    </w:p>
    <w:p>
      <w:pPr>
        <w:spacing w:line="360" w:lineRule="auto"/>
      </w:pPr>
      <w:r>
        <w:rPr>
          <w:rFonts w:hint="eastAsia"/>
        </w:rPr>
        <w:t>name: "中航重机股份有限公司",</w:t>
      </w:r>
    </w:p>
    <w:p>
      <w:pPr>
        <w:spacing w:line="360" w:lineRule="auto"/>
      </w:pPr>
      <w:r>
        <w:t>percentileScore: 9827,</w:t>
      </w:r>
    </w:p>
    <w:p>
      <w:pPr>
        <w:spacing w:line="360" w:lineRule="auto"/>
      </w:pPr>
      <w:r>
        <w:t>industryAll: {</w:t>
      </w:r>
    </w:p>
    <w:p>
      <w:pPr>
        <w:spacing w:line="360" w:lineRule="auto"/>
      </w:pPr>
      <w:r>
        <w:rPr>
          <w:rFonts w:hint="eastAsia"/>
        </w:rPr>
        <w:t>categoryMiddle: "改装汽车制造",</w:t>
      </w:r>
    </w:p>
    <w:p>
      <w:pPr>
        <w:spacing w:line="360" w:lineRule="auto"/>
      </w:pPr>
      <w:r>
        <w:rPr>
          <w:rFonts w:hint="eastAsia"/>
        </w:rPr>
        <w:t>categoryBig: "汽车制造业",</w:t>
      </w:r>
    </w:p>
    <w:p>
      <w:pPr>
        <w:spacing w:line="360" w:lineRule="auto"/>
      </w:pPr>
      <w:r>
        <w:rPr>
          <w:rFonts w:hint="eastAsia"/>
        </w:rPr>
        <w:t>category: "制造业",</w:t>
      </w:r>
    </w:p>
    <w:p>
      <w:pPr>
        <w:spacing w:line="360" w:lineRule="auto"/>
      </w:pPr>
      <w:r>
        <w:t>categorySmall: ""</w:t>
      </w:r>
    </w:p>
    <w:p>
      <w:pPr>
        <w:spacing w:line="360" w:lineRule="auto"/>
      </w:pPr>
      <w:r>
        <w:t>},</w:t>
      </w:r>
    </w:p>
    <w:p>
      <w:pPr>
        <w:spacing w:line="360" w:lineRule="auto"/>
      </w:pPr>
      <w:r>
        <w:t>isMicroEnt: 0,</w:t>
      </w:r>
    </w:p>
    <w:p>
      <w:pPr>
        <w:spacing w:line="360" w:lineRule="auto"/>
      </w:pPr>
      <w:r>
        <w:t>base: "gz"</w:t>
      </w:r>
    </w:p>
    <w:p>
      <w:pPr>
        <w:spacing w:line="360" w:lineRule="auto"/>
      </w:pPr>
      <w:r>
        <w:t>},</w:t>
      </w:r>
    </w:p>
    <w:p>
      <w:pPr>
        <w:spacing w:line="360" w:lineRule="auto"/>
      </w:pPr>
      <w:r>
        <w:t>reason: "ok",</w:t>
      </w:r>
    </w:p>
    <w:p>
      <w:pPr>
        <w:spacing w:line="360" w:lineRule="auto"/>
      </w:pPr>
      <w:r>
        <w:t>error_code: 0</w:t>
      </w:r>
    </w:p>
    <w:p>
      <w:pPr>
        <w:spacing w:line="360" w:lineRule="auto"/>
      </w:pPr>
      <w:r>
        <w:t>}</w:t>
      </w:r>
    </w:p>
    <w:bookmarkEnd w:id="15"/>
    <w:p>
      <w:pPr>
        <w:pStyle w:val="2"/>
      </w:pPr>
      <w:bookmarkStart w:id="19" w:name="_Toc145430160"/>
      <w:r>
        <w:rPr>
          <w:rFonts w:hint="eastAsia"/>
        </w:rPr>
        <w:t>接口调试</w:t>
      </w:r>
      <w:r>
        <w:rPr>
          <w:rFonts w:hint="eastAsia"/>
          <w:lang w:eastAsia="zh-CN"/>
        </w:rPr>
        <w:t>与</w:t>
      </w:r>
      <w:r>
        <w:rPr>
          <w:rFonts w:hint="eastAsia"/>
        </w:rPr>
        <w:t>上线</w:t>
      </w:r>
      <w:bookmarkEnd w:id="19"/>
    </w:p>
    <w:p>
      <w:pPr>
        <w:pStyle w:val="3"/>
        <w:numPr>
          <w:ilvl w:val="1"/>
          <w:numId w:val="1"/>
        </w:numPr>
      </w:pPr>
      <w:bookmarkStart w:id="20" w:name="_Toc145430161"/>
      <w:r>
        <w:t>接口调试说明</w:t>
      </w:r>
      <w:bookmarkEnd w:id="20"/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API接口的调试是确保其正常运行的关键步骤，下面是一些调试说明，以帮助您进行有效的API接口调试。通过遵循这些指导，您可以更高效地进行API接口的调试，并确保它与您的应用程序或项目无缝集成。这有助于确保API在生产环境中的稳定性和可靠性。</w:t>
      </w:r>
    </w:p>
    <w:p>
      <w:pPr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b/>
          <w:bCs/>
          <w:lang w:val="zh-CN"/>
        </w:rPr>
        <w:t>获取API访问凭证</w:t>
      </w:r>
      <w:r>
        <w:rPr>
          <w:rFonts w:hint="eastAsia" w:ascii="微软雅黑" w:hAnsi="微软雅黑" w:eastAsia="微软雅黑"/>
          <w:lang w:val="zh-CN"/>
        </w:rPr>
        <w:t>：在开始调试API接口之前，您需要获得API访问凭证（</w:t>
      </w:r>
      <w:r>
        <w:rPr>
          <w:rFonts w:ascii="微软雅黑" w:hAnsi="微软雅黑" w:eastAsia="微软雅黑"/>
          <w:lang w:val="zh-CN"/>
        </w:rPr>
        <w:t>T</w:t>
      </w:r>
      <w:r>
        <w:rPr>
          <w:rFonts w:hint="eastAsia" w:ascii="微软雅黑" w:hAnsi="微软雅黑" w:eastAsia="微软雅黑"/>
          <w:lang w:val="zh-CN"/>
        </w:rPr>
        <w:t>oken），该凭证通常在您购买API服务后提供。确保您妥善保存这些凭证，并且不要将它们泄露给他人。</w:t>
      </w:r>
    </w:p>
    <w:p>
      <w:pPr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b/>
          <w:bCs/>
          <w:lang w:val="zh-CN"/>
        </w:rPr>
        <w:t>使用API测试工具</w:t>
      </w:r>
      <w:r>
        <w:rPr>
          <w:rFonts w:hint="eastAsia" w:ascii="微软雅黑" w:hAnsi="微软雅黑" w:eastAsia="微软雅黑"/>
          <w:lang w:val="zh-CN"/>
        </w:rPr>
        <w:t>：为了进行初步的API调试，您可以使用API测试工具，例如Postman或curl命令行工具。这些工具可帮助您构建和发送API请求，以及查看响应。</w:t>
      </w:r>
    </w:p>
    <w:p>
      <w:pPr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b/>
          <w:bCs/>
          <w:lang w:val="zh-CN"/>
        </w:rPr>
        <w:t>构建API请求</w:t>
      </w:r>
      <w:r>
        <w:rPr>
          <w:rFonts w:hint="eastAsia" w:ascii="微软雅黑" w:hAnsi="微软雅黑" w:eastAsia="微软雅黑"/>
          <w:lang w:val="zh-CN"/>
        </w:rPr>
        <w:t>：根据您的需求构建API请求。确保请求中包含必要的参数和凭证信息。API文档通常提供了请求的示例和参数说明，有助于您正确构建请求。</w:t>
      </w:r>
    </w:p>
    <w:p>
      <w:pPr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b/>
          <w:bCs/>
          <w:lang w:val="zh-CN"/>
        </w:rPr>
        <w:t>发送API请求</w:t>
      </w:r>
      <w:r>
        <w:rPr>
          <w:rFonts w:hint="eastAsia" w:ascii="微软雅黑" w:hAnsi="微软雅黑" w:eastAsia="微软雅黑"/>
          <w:lang w:val="zh-CN"/>
        </w:rPr>
        <w:t>：使用选定的工具发送API请求到相应的API端点。在发送请求之前，检查请求是否正确，并确保凭证信息已正确配置。</w:t>
      </w:r>
    </w:p>
    <w:p>
      <w:pPr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b/>
          <w:bCs/>
          <w:lang w:val="zh-CN"/>
        </w:rPr>
        <w:t>处理API响应</w:t>
      </w:r>
      <w:r>
        <w:rPr>
          <w:rFonts w:hint="eastAsia" w:ascii="微软雅黑" w:hAnsi="微软雅黑" w:eastAsia="微软雅黑"/>
          <w:lang w:val="zh-CN"/>
        </w:rPr>
        <w:t>：一旦您发送了API请求，您将会收到API的响应。处理响应以提取所需的数据，通常响应以JSON格式返回。确保您的代码可以正确解析响应。</w:t>
      </w:r>
    </w:p>
    <w:p>
      <w:pPr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b/>
          <w:bCs/>
          <w:lang w:val="zh-CN"/>
        </w:rPr>
        <w:t>错误处理</w:t>
      </w:r>
      <w:r>
        <w:rPr>
          <w:rFonts w:hint="eastAsia" w:ascii="微软雅黑" w:hAnsi="微软雅黑" w:eastAsia="微软雅黑"/>
          <w:lang w:val="zh-CN"/>
        </w:rPr>
        <w:t>：在调试期间，您可能会遇到错误响应或问题。根据API文档中提供的错误代码和信息来调查和解决问题。确保您的代码具备足够的错误处理机制。</w:t>
      </w:r>
    </w:p>
    <w:p>
      <w:pPr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b/>
          <w:bCs/>
          <w:lang w:val="zh-CN"/>
        </w:rPr>
        <w:t>监控和日志</w:t>
      </w:r>
      <w:r>
        <w:rPr>
          <w:rFonts w:hint="eastAsia" w:ascii="微软雅黑" w:hAnsi="微软雅黑" w:eastAsia="微软雅黑"/>
          <w:lang w:val="zh-CN"/>
        </w:rPr>
        <w:t>：设置监控和日志以跟踪API的使用情况和性能。这将帮助您在生产环境中监视和优化API的性能。</w:t>
      </w:r>
    </w:p>
    <w:p>
      <w:pPr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b/>
          <w:bCs/>
          <w:lang w:val="zh-CN"/>
        </w:rPr>
        <w:t>安全性考虑</w:t>
      </w:r>
      <w:r>
        <w:rPr>
          <w:rFonts w:hint="eastAsia" w:ascii="微软雅黑" w:hAnsi="微软雅黑" w:eastAsia="微软雅黑"/>
          <w:lang w:val="zh-CN"/>
        </w:rPr>
        <w:t>：确保在API调试和集成过程中考虑到安全性。不要在代码或配置中包含敏感凭证信息，以免泄露。</w:t>
      </w:r>
    </w:p>
    <w:p>
      <w:pPr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b/>
          <w:bCs/>
          <w:lang w:val="zh-CN"/>
        </w:rPr>
        <w:t>文档和支持</w:t>
      </w:r>
      <w:r>
        <w:rPr>
          <w:rFonts w:hint="eastAsia" w:ascii="微软雅黑" w:hAnsi="微软雅黑" w:eastAsia="微软雅黑"/>
          <w:lang w:val="zh-CN"/>
        </w:rPr>
        <w:t>：始终参考API文档，它包含了关于请求参数、端点、响应格式等重要信息。如果在调试过程中遇到问题，请及时联系API提供商的技术支持团队以获取帮助。</w:t>
      </w:r>
    </w:p>
    <w:p>
      <w:pPr>
        <w:rPr>
          <w:rFonts w:hint="eastAsia" w:ascii="微软雅黑" w:hAnsi="微软雅黑" w:eastAsia="微软雅黑"/>
          <w:lang w:val="zh-CN"/>
        </w:rPr>
      </w:pPr>
    </w:p>
    <w:p>
      <w:pPr>
        <w:pStyle w:val="3"/>
        <w:numPr>
          <w:ilvl w:val="1"/>
          <w:numId w:val="1"/>
        </w:numPr>
      </w:pPr>
      <w:bookmarkStart w:id="21" w:name="_Toc145430162"/>
      <w:r>
        <w:rPr>
          <w:rFonts w:hint="eastAsia"/>
        </w:rPr>
        <w:t>上线准备说明</w:t>
      </w:r>
      <w:bookmarkEnd w:id="21"/>
    </w:p>
    <w:p>
      <w:pPr>
        <w:spacing w:line="360" w:lineRule="auto"/>
        <w:ind w:firstLine="420" w:firstLineChars="200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以下准备步骤将有助于确保API接口在生产环境中的顺利上线和高效运行。在上线之后，持续监控和维护是保持API稳定性和可靠性的关键。</w:t>
      </w:r>
    </w:p>
    <w:p>
      <w:pPr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b/>
          <w:bCs/>
          <w:lang w:val="zh-CN"/>
        </w:rPr>
        <w:t>验证API凭证</w:t>
      </w:r>
      <w:r>
        <w:rPr>
          <w:rFonts w:hint="eastAsia" w:ascii="微软雅黑" w:hAnsi="微软雅黑" w:eastAsia="微软雅黑"/>
          <w:lang w:val="zh-CN"/>
        </w:rPr>
        <w:t>： 确保</w:t>
      </w:r>
      <w:r>
        <w:rPr>
          <w:rFonts w:ascii="微软雅黑" w:hAnsi="微软雅黑" w:eastAsia="微软雅黑"/>
          <w:lang w:val="zh-CN"/>
        </w:rPr>
        <w:t>T</w:t>
      </w:r>
      <w:r>
        <w:rPr>
          <w:rFonts w:hint="eastAsia" w:ascii="微软雅黑" w:hAnsi="微软雅黑" w:eastAsia="微软雅黑"/>
          <w:lang w:val="zh-CN"/>
        </w:rPr>
        <w:t>oken有效且未过期。</w:t>
      </w:r>
    </w:p>
    <w:p>
      <w:pPr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b/>
          <w:bCs/>
          <w:lang w:val="zh-CN"/>
        </w:rPr>
        <w:t>安全性审查</w:t>
      </w:r>
      <w:r>
        <w:rPr>
          <w:rFonts w:hint="eastAsia" w:ascii="微软雅黑" w:hAnsi="微软雅黑" w:eastAsia="微软雅黑"/>
          <w:lang w:val="zh-CN"/>
        </w:rPr>
        <w:t>： 审查API的安全性，包括身份验证和数据访问限制。</w:t>
      </w:r>
    </w:p>
    <w:p>
      <w:pPr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b/>
          <w:bCs/>
          <w:lang w:val="zh-CN"/>
        </w:rPr>
        <w:t>性能测试</w:t>
      </w:r>
      <w:r>
        <w:rPr>
          <w:rFonts w:hint="eastAsia" w:ascii="微软雅黑" w:hAnsi="微软雅黑" w:eastAsia="微软雅黑"/>
          <w:lang w:val="zh-CN"/>
        </w:rPr>
        <w:t>： 进行性能测试，确保API在生产环境下的响应速度和负载量。</w:t>
      </w:r>
    </w:p>
    <w:p>
      <w:pPr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b/>
          <w:bCs/>
          <w:lang w:val="zh-CN"/>
        </w:rPr>
        <w:t>监控设置</w:t>
      </w:r>
      <w:r>
        <w:rPr>
          <w:rFonts w:hint="eastAsia" w:ascii="微软雅黑" w:hAnsi="微软雅黑" w:eastAsia="微软雅黑"/>
          <w:lang w:val="zh-CN"/>
        </w:rPr>
        <w:t>： 配置监控系统以实时监测API性能和可用性。</w:t>
      </w:r>
    </w:p>
    <w:p>
      <w:pPr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b/>
          <w:bCs/>
          <w:lang w:val="zh-CN"/>
        </w:rPr>
        <w:t>日志记录和审计</w:t>
      </w:r>
      <w:r>
        <w:rPr>
          <w:rFonts w:hint="eastAsia" w:ascii="微软雅黑" w:hAnsi="微软雅黑" w:eastAsia="微软雅黑"/>
          <w:lang w:val="zh-CN"/>
        </w:rPr>
        <w:t>： 设置日志记录和审计，跟踪API使用和操作历史。</w:t>
      </w:r>
    </w:p>
    <w:p>
      <w:pPr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b/>
          <w:bCs/>
          <w:lang w:val="zh-CN"/>
        </w:rPr>
        <w:t>生产环境配置</w:t>
      </w:r>
      <w:r>
        <w:rPr>
          <w:rFonts w:hint="eastAsia" w:ascii="微软雅黑" w:hAnsi="微软雅黑" w:eastAsia="微软雅黑"/>
          <w:lang w:val="zh-CN"/>
        </w:rPr>
        <w:t>： 验证服务器和网络配置是否满足API需求。</w:t>
      </w:r>
    </w:p>
    <w:p>
      <w:pPr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b/>
          <w:bCs/>
          <w:lang w:val="zh-CN"/>
        </w:rPr>
        <w:t>文档更新</w:t>
      </w:r>
      <w:r>
        <w:rPr>
          <w:rFonts w:hint="eastAsia" w:ascii="微软雅黑" w:hAnsi="微软雅黑" w:eastAsia="微软雅黑"/>
          <w:lang w:val="zh-CN"/>
        </w:rPr>
        <w:t>： 更新API文档以反映生产环境的更改和配置。</w:t>
      </w:r>
    </w:p>
    <w:p>
      <w:pPr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b/>
          <w:bCs/>
          <w:lang w:val="zh-CN"/>
        </w:rPr>
        <w:t>技术支持准备</w:t>
      </w:r>
      <w:r>
        <w:rPr>
          <w:rFonts w:hint="eastAsia" w:ascii="微软雅黑" w:hAnsi="微软雅黑" w:eastAsia="微软雅黑"/>
          <w:lang w:val="zh-CN"/>
        </w:rPr>
        <w:t>： 搭建技术支持团队，以应对用户问题和需求。</w:t>
      </w:r>
    </w:p>
    <w:sectPr>
      <w:headerReference r:id="rId3" w:type="default"/>
      <w:footerReference r:id="rId4" w:type="default"/>
      <w:pgSz w:w="11906" w:h="16838"/>
      <w:pgMar w:top="720" w:right="720" w:bottom="720" w:left="720" w:header="283" w:footer="227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Lantinghei SC Demibold">
    <w:altName w:val="Microsoft JhengHei"/>
    <w:panose1 w:val="00000000000000000000"/>
    <w:charset w:val="88"/>
    <w:family w:val="auto"/>
    <w:pitch w:val="default"/>
    <w:sig w:usb0="00000000" w:usb1="00000000" w:usb2="00000010" w:usb3="00000000" w:csb0="00140000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bottom w:val="single" w:color="auto" w:sz="6" w:space="0"/>
      </w:pBdr>
      <w:wordWrap w:val="0"/>
      <w:ind w:right="840"/>
      <w:jc w:val="right"/>
      <w:rPr>
        <w:sz w:val="21"/>
        <w:szCs w:val="21"/>
        <w:lang w:eastAsia="zh-CN"/>
      </w:rPr>
    </w:pPr>
    <w:r>
      <w:rPr>
        <w:rFonts w:ascii="Lantinghei SC Demibold" w:eastAsia="Lantinghei SC Demibold"/>
        <w:sz w:val="21"/>
        <w:szCs w:val="21"/>
        <w:lang w:val="en-US" w:eastAsia="zh-CN"/>
      </w:rPr>
      <w:drawing>
        <wp:inline distT="0" distB="0" distL="0" distR="0">
          <wp:extent cx="621030" cy="250825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120" cy="250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Lantinghei SC Demibold" w:eastAsia="Lantinghei SC Demibold"/>
        <w:sz w:val="21"/>
        <w:szCs w:val="21"/>
      </w:rPr>
      <w:t xml:space="preserve">                                           </w:t>
    </w:r>
    <w:r>
      <w:rPr>
        <w:rFonts w:ascii="Lantinghei SC Demibold" w:eastAsia="Lantinghei SC Demibold"/>
        <w:sz w:val="21"/>
        <w:szCs w:val="21"/>
      </w:rPr>
      <w:t xml:space="preserve">            </w:t>
    </w:r>
    <w:r>
      <w:rPr>
        <w:rFonts w:ascii="微软雅黑" w:hAnsi="微软雅黑" w:eastAsia="微软雅黑"/>
        <w:sz w:val="21"/>
        <w:szCs w:val="21"/>
      </w:rPr>
      <w:t xml:space="preserve"> </w:t>
    </w:r>
    <w:r>
      <w:rPr>
        <w:rFonts w:hint="eastAsia" w:ascii="微软雅黑" w:hAnsi="微软雅黑" w:eastAsia="微软雅黑"/>
      </w:rPr>
      <w:t>北京金堤征信服务有限公司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A092C51"/>
    <w:multiLevelType w:val="multilevel"/>
    <w:tmpl w:val="3A092C51"/>
    <w:lvl w:ilvl="0" w:tentative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44DA1EA2"/>
    <w:multiLevelType w:val="multilevel"/>
    <w:tmpl w:val="44DA1EA2"/>
    <w:lvl w:ilvl="0" w:tentative="0">
      <w:start w:val="1"/>
      <w:numFmt w:val="decimal"/>
      <w:pStyle w:val="4"/>
      <w:lvlText w:val="3.2.%1"/>
      <w:lvlJc w:val="left"/>
      <w:pPr>
        <w:ind w:left="420" w:hanging="420"/>
      </w:pPr>
      <w:rPr>
        <w:rFonts w:hint="eastAsia"/>
        <w:sz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37D3708"/>
    <w:multiLevelType w:val="multilevel"/>
    <w:tmpl w:val="537D3708"/>
    <w:lvl w:ilvl="0" w:tentative="0">
      <w:start w:val="1"/>
      <w:numFmt w:val="decimal"/>
      <w:pStyle w:val="3"/>
      <w:lvlText w:val="1.%1"/>
      <w:lvlJc w:val="left"/>
      <w:pPr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B637B1A"/>
    <w:multiLevelType w:val="multilevel"/>
    <w:tmpl w:val="6B637B1A"/>
    <w:lvl w:ilvl="0" w:tentative="0">
      <w:start w:val="1"/>
      <w:numFmt w:val="decimal"/>
      <w:pStyle w:val="2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3"/>
    <w:lvlOverride w:ilvl="0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592"/>
    <w:rsid w:val="00001F2A"/>
    <w:rsid w:val="000069A1"/>
    <w:rsid w:val="00007766"/>
    <w:rsid w:val="000103C0"/>
    <w:rsid w:val="00014AD4"/>
    <w:rsid w:val="0001569A"/>
    <w:rsid w:val="00016669"/>
    <w:rsid w:val="000166C9"/>
    <w:rsid w:val="00016CA8"/>
    <w:rsid w:val="00017269"/>
    <w:rsid w:val="00020BB6"/>
    <w:rsid w:val="00020D5B"/>
    <w:rsid w:val="00021739"/>
    <w:rsid w:val="00021BBB"/>
    <w:rsid w:val="00025DFB"/>
    <w:rsid w:val="00025FD1"/>
    <w:rsid w:val="00030DFB"/>
    <w:rsid w:val="00031AFC"/>
    <w:rsid w:val="00032AB4"/>
    <w:rsid w:val="00034009"/>
    <w:rsid w:val="00034257"/>
    <w:rsid w:val="00034513"/>
    <w:rsid w:val="000345B1"/>
    <w:rsid w:val="00040C93"/>
    <w:rsid w:val="00041425"/>
    <w:rsid w:val="000431D3"/>
    <w:rsid w:val="000459A7"/>
    <w:rsid w:val="00046045"/>
    <w:rsid w:val="000464BE"/>
    <w:rsid w:val="00047981"/>
    <w:rsid w:val="00047FE3"/>
    <w:rsid w:val="00051A52"/>
    <w:rsid w:val="0005248A"/>
    <w:rsid w:val="00052F61"/>
    <w:rsid w:val="000532C2"/>
    <w:rsid w:val="00053C2C"/>
    <w:rsid w:val="0005458C"/>
    <w:rsid w:val="000569F6"/>
    <w:rsid w:val="00056AA4"/>
    <w:rsid w:val="00057460"/>
    <w:rsid w:val="000607D9"/>
    <w:rsid w:val="000624BA"/>
    <w:rsid w:val="00062B9E"/>
    <w:rsid w:val="0006312C"/>
    <w:rsid w:val="000638BA"/>
    <w:rsid w:val="000643BF"/>
    <w:rsid w:val="00065463"/>
    <w:rsid w:val="00065DBF"/>
    <w:rsid w:val="00065EAC"/>
    <w:rsid w:val="00066ED1"/>
    <w:rsid w:val="000674DD"/>
    <w:rsid w:val="00067871"/>
    <w:rsid w:val="00070EAA"/>
    <w:rsid w:val="00073C59"/>
    <w:rsid w:val="00075CAF"/>
    <w:rsid w:val="000775C7"/>
    <w:rsid w:val="00080589"/>
    <w:rsid w:val="0008194B"/>
    <w:rsid w:val="00081D17"/>
    <w:rsid w:val="000823BC"/>
    <w:rsid w:val="000847A9"/>
    <w:rsid w:val="00084BD7"/>
    <w:rsid w:val="00085EEA"/>
    <w:rsid w:val="00086E77"/>
    <w:rsid w:val="000876C8"/>
    <w:rsid w:val="0009331E"/>
    <w:rsid w:val="000948E1"/>
    <w:rsid w:val="00094946"/>
    <w:rsid w:val="00094D6E"/>
    <w:rsid w:val="000A0372"/>
    <w:rsid w:val="000A0933"/>
    <w:rsid w:val="000A1086"/>
    <w:rsid w:val="000A10E0"/>
    <w:rsid w:val="000A4CDD"/>
    <w:rsid w:val="000A507E"/>
    <w:rsid w:val="000A6E98"/>
    <w:rsid w:val="000A7A25"/>
    <w:rsid w:val="000B0C34"/>
    <w:rsid w:val="000B44DC"/>
    <w:rsid w:val="000B67D8"/>
    <w:rsid w:val="000B6D77"/>
    <w:rsid w:val="000C2423"/>
    <w:rsid w:val="000C337D"/>
    <w:rsid w:val="000C4251"/>
    <w:rsid w:val="000C565A"/>
    <w:rsid w:val="000C68F3"/>
    <w:rsid w:val="000C6B39"/>
    <w:rsid w:val="000D0479"/>
    <w:rsid w:val="000D29C5"/>
    <w:rsid w:val="000D3DCC"/>
    <w:rsid w:val="000D3F27"/>
    <w:rsid w:val="000D5A95"/>
    <w:rsid w:val="000D6275"/>
    <w:rsid w:val="000D689F"/>
    <w:rsid w:val="000D7AF7"/>
    <w:rsid w:val="000D7AFC"/>
    <w:rsid w:val="000E2659"/>
    <w:rsid w:val="000E3250"/>
    <w:rsid w:val="000E4C85"/>
    <w:rsid w:val="000E6D0E"/>
    <w:rsid w:val="000E6D86"/>
    <w:rsid w:val="000F3248"/>
    <w:rsid w:val="000F3471"/>
    <w:rsid w:val="000F4634"/>
    <w:rsid w:val="000F789A"/>
    <w:rsid w:val="00101852"/>
    <w:rsid w:val="00102BDE"/>
    <w:rsid w:val="00103053"/>
    <w:rsid w:val="00104F4C"/>
    <w:rsid w:val="00105F9D"/>
    <w:rsid w:val="0010620F"/>
    <w:rsid w:val="00110CED"/>
    <w:rsid w:val="00113823"/>
    <w:rsid w:val="00116445"/>
    <w:rsid w:val="00117AE8"/>
    <w:rsid w:val="00117EC4"/>
    <w:rsid w:val="00121545"/>
    <w:rsid w:val="001219F1"/>
    <w:rsid w:val="00121B2C"/>
    <w:rsid w:val="001226C6"/>
    <w:rsid w:val="001227ED"/>
    <w:rsid w:val="00122E43"/>
    <w:rsid w:val="00126513"/>
    <w:rsid w:val="00130A91"/>
    <w:rsid w:val="00132DC1"/>
    <w:rsid w:val="00132F54"/>
    <w:rsid w:val="0013623D"/>
    <w:rsid w:val="00136E10"/>
    <w:rsid w:val="001371E9"/>
    <w:rsid w:val="00143184"/>
    <w:rsid w:val="00143945"/>
    <w:rsid w:val="00143A9D"/>
    <w:rsid w:val="00143EA1"/>
    <w:rsid w:val="00146446"/>
    <w:rsid w:val="00147065"/>
    <w:rsid w:val="0015019C"/>
    <w:rsid w:val="001516B1"/>
    <w:rsid w:val="00153143"/>
    <w:rsid w:val="00153EB7"/>
    <w:rsid w:val="001556B1"/>
    <w:rsid w:val="00157C36"/>
    <w:rsid w:val="00162CD1"/>
    <w:rsid w:val="00163FCA"/>
    <w:rsid w:val="001707FE"/>
    <w:rsid w:val="00172B72"/>
    <w:rsid w:val="00174039"/>
    <w:rsid w:val="00176876"/>
    <w:rsid w:val="0017757D"/>
    <w:rsid w:val="00180AAB"/>
    <w:rsid w:val="001817D8"/>
    <w:rsid w:val="001833AC"/>
    <w:rsid w:val="0018534C"/>
    <w:rsid w:val="00186F05"/>
    <w:rsid w:val="00187638"/>
    <w:rsid w:val="00187B14"/>
    <w:rsid w:val="00187CE9"/>
    <w:rsid w:val="00187E12"/>
    <w:rsid w:val="00191689"/>
    <w:rsid w:val="00193398"/>
    <w:rsid w:val="00193DAD"/>
    <w:rsid w:val="00194A80"/>
    <w:rsid w:val="001A080A"/>
    <w:rsid w:val="001A0C6F"/>
    <w:rsid w:val="001A1497"/>
    <w:rsid w:val="001A14D6"/>
    <w:rsid w:val="001A5535"/>
    <w:rsid w:val="001A682E"/>
    <w:rsid w:val="001A709C"/>
    <w:rsid w:val="001B1092"/>
    <w:rsid w:val="001B2415"/>
    <w:rsid w:val="001B2C7F"/>
    <w:rsid w:val="001B3526"/>
    <w:rsid w:val="001B6FEC"/>
    <w:rsid w:val="001C2E71"/>
    <w:rsid w:val="001C4AD4"/>
    <w:rsid w:val="001D007A"/>
    <w:rsid w:val="001D1762"/>
    <w:rsid w:val="001D1A3B"/>
    <w:rsid w:val="001D23EA"/>
    <w:rsid w:val="001D2433"/>
    <w:rsid w:val="001D4F57"/>
    <w:rsid w:val="001D6BA6"/>
    <w:rsid w:val="001D7FAE"/>
    <w:rsid w:val="001E12E5"/>
    <w:rsid w:val="001E2D1A"/>
    <w:rsid w:val="001E510D"/>
    <w:rsid w:val="001E6DA0"/>
    <w:rsid w:val="001E7538"/>
    <w:rsid w:val="001F138A"/>
    <w:rsid w:val="001F297D"/>
    <w:rsid w:val="001F4DEA"/>
    <w:rsid w:val="001F4F14"/>
    <w:rsid w:val="001F61A0"/>
    <w:rsid w:val="001F6597"/>
    <w:rsid w:val="001F6C9E"/>
    <w:rsid w:val="001F7409"/>
    <w:rsid w:val="001F7904"/>
    <w:rsid w:val="00200536"/>
    <w:rsid w:val="00200BCA"/>
    <w:rsid w:val="00201B93"/>
    <w:rsid w:val="00201D07"/>
    <w:rsid w:val="00204757"/>
    <w:rsid w:val="002049D1"/>
    <w:rsid w:val="00204F1F"/>
    <w:rsid w:val="0020636F"/>
    <w:rsid w:val="0020735C"/>
    <w:rsid w:val="00211FB2"/>
    <w:rsid w:val="00213DAE"/>
    <w:rsid w:val="00220D41"/>
    <w:rsid w:val="002210C3"/>
    <w:rsid w:val="0022350F"/>
    <w:rsid w:val="00223C34"/>
    <w:rsid w:val="0022613E"/>
    <w:rsid w:val="00232721"/>
    <w:rsid w:val="00234238"/>
    <w:rsid w:val="00234A1A"/>
    <w:rsid w:val="00234B6B"/>
    <w:rsid w:val="00235BD1"/>
    <w:rsid w:val="0023604F"/>
    <w:rsid w:val="00236475"/>
    <w:rsid w:val="00237232"/>
    <w:rsid w:val="002408C1"/>
    <w:rsid w:val="00241420"/>
    <w:rsid w:val="002416FD"/>
    <w:rsid w:val="0024191F"/>
    <w:rsid w:val="00242C4D"/>
    <w:rsid w:val="00243271"/>
    <w:rsid w:val="0024331F"/>
    <w:rsid w:val="00243502"/>
    <w:rsid w:val="002439DC"/>
    <w:rsid w:val="00243AAE"/>
    <w:rsid w:val="002444FD"/>
    <w:rsid w:val="00244F73"/>
    <w:rsid w:val="002452D0"/>
    <w:rsid w:val="00245E3E"/>
    <w:rsid w:val="002470A4"/>
    <w:rsid w:val="0025099D"/>
    <w:rsid w:val="00250C45"/>
    <w:rsid w:val="0025297D"/>
    <w:rsid w:val="00252F4D"/>
    <w:rsid w:val="00254173"/>
    <w:rsid w:val="00257181"/>
    <w:rsid w:val="00260296"/>
    <w:rsid w:val="00262879"/>
    <w:rsid w:val="00263B01"/>
    <w:rsid w:val="00263D69"/>
    <w:rsid w:val="00263FA9"/>
    <w:rsid w:val="00266076"/>
    <w:rsid w:val="00266E19"/>
    <w:rsid w:val="00271180"/>
    <w:rsid w:val="002717CA"/>
    <w:rsid w:val="00272166"/>
    <w:rsid w:val="00272F52"/>
    <w:rsid w:val="00275CAC"/>
    <w:rsid w:val="002765F7"/>
    <w:rsid w:val="0028095E"/>
    <w:rsid w:val="00280974"/>
    <w:rsid w:val="00280986"/>
    <w:rsid w:val="00281332"/>
    <w:rsid w:val="00281BB0"/>
    <w:rsid w:val="00282CBF"/>
    <w:rsid w:val="002847CA"/>
    <w:rsid w:val="00284A16"/>
    <w:rsid w:val="002900C0"/>
    <w:rsid w:val="002901C8"/>
    <w:rsid w:val="00291FDB"/>
    <w:rsid w:val="002925B6"/>
    <w:rsid w:val="002940CE"/>
    <w:rsid w:val="00295234"/>
    <w:rsid w:val="00295B71"/>
    <w:rsid w:val="002A051D"/>
    <w:rsid w:val="002A20D7"/>
    <w:rsid w:val="002A27FF"/>
    <w:rsid w:val="002A2C5D"/>
    <w:rsid w:val="002A3E13"/>
    <w:rsid w:val="002A521F"/>
    <w:rsid w:val="002B2B1F"/>
    <w:rsid w:val="002B2E22"/>
    <w:rsid w:val="002B343D"/>
    <w:rsid w:val="002B4816"/>
    <w:rsid w:val="002B67D4"/>
    <w:rsid w:val="002C1B53"/>
    <w:rsid w:val="002C2032"/>
    <w:rsid w:val="002C4FAD"/>
    <w:rsid w:val="002C5C1D"/>
    <w:rsid w:val="002C6156"/>
    <w:rsid w:val="002C6F1D"/>
    <w:rsid w:val="002C7D66"/>
    <w:rsid w:val="002D1243"/>
    <w:rsid w:val="002D1FCE"/>
    <w:rsid w:val="002D22A9"/>
    <w:rsid w:val="002D27AA"/>
    <w:rsid w:val="002D3FFA"/>
    <w:rsid w:val="002D574C"/>
    <w:rsid w:val="002D7C48"/>
    <w:rsid w:val="002E09F7"/>
    <w:rsid w:val="002E0A1B"/>
    <w:rsid w:val="002E1A77"/>
    <w:rsid w:val="002E2E6B"/>
    <w:rsid w:val="002E5017"/>
    <w:rsid w:val="002E56F4"/>
    <w:rsid w:val="002E5ADB"/>
    <w:rsid w:val="002E6640"/>
    <w:rsid w:val="002E6757"/>
    <w:rsid w:val="002F0696"/>
    <w:rsid w:val="002F0E8A"/>
    <w:rsid w:val="002F154D"/>
    <w:rsid w:val="002F1E25"/>
    <w:rsid w:val="002F23C4"/>
    <w:rsid w:val="002F61F1"/>
    <w:rsid w:val="002F7A2A"/>
    <w:rsid w:val="002F7B38"/>
    <w:rsid w:val="003024F2"/>
    <w:rsid w:val="00302D30"/>
    <w:rsid w:val="00303C40"/>
    <w:rsid w:val="0030565C"/>
    <w:rsid w:val="00312638"/>
    <w:rsid w:val="0031524B"/>
    <w:rsid w:val="00315646"/>
    <w:rsid w:val="003163A3"/>
    <w:rsid w:val="003169AE"/>
    <w:rsid w:val="003203EB"/>
    <w:rsid w:val="00320E00"/>
    <w:rsid w:val="00321598"/>
    <w:rsid w:val="0032290D"/>
    <w:rsid w:val="00322D69"/>
    <w:rsid w:val="003230E7"/>
    <w:rsid w:val="00324B14"/>
    <w:rsid w:val="00325973"/>
    <w:rsid w:val="003259D7"/>
    <w:rsid w:val="0033244A"/>
    <w:rsid w:val="00335523"/>
    <w:rsid w:val="003365D1"/>
    <w:rsid w:val="00337283"/>
    <w:rsid w:val="003375FD"/>
    <w:rsid w:val="00341764"/>
    <w:rsid w:val="00342C4A"/>
    <w:rsid w:val="00342CBA"/>
    <w:rsid w:val="00342EE3"/>
    <w:rsid w:val="00345707"/>
    <w:rsid w:val="003459C7"/>
    <w:rsid w:val="00347258"/>
    <w:rsid w:val="00350D55"/>
    <w:rsid w:val="00350FB9"/>
    <w:rsid w:val="00352790"/>
    <w:rsid w:val="0035367B"/>
    <w:rsid w:val="00353E03"/>
    <w:rsid w:val="00354015"/>
    <w:rsid w:val="00354241"/>
    <w:rsid w:val="003547DE"/>
    <w:rsid w:val="0035510A"/>
    <w:rsid w:val="00355B2C"/>
    <w:rsid w:val="003576E5"/>
    <w:rsid w:val="0035788B"/>
    <w:rsid w:val="00357FC5"/>
    <w:rsid w:val="00360CBD"/>
    <w:rsid w:val="00361441"/>
    <w:rsid w:val="00362044"/>
    <w:rsid w:val="003621D7"/>
    <w:rsid w:val="0036226B"/>
    <w:rsid w:val="00362AF7"/>
    <w:rsid w:val="00362C6A"/>
    <w:rsid w:val="00363A3B"/>
    <w:rsid w:val="0036483C"/>
    <w:rsid w:val="00366630"/>
    <w:rsid w:val="00366DAB"/>
    <w:rsid w:val="00367281"/>
    <w:rsid w:val="0037078D"/>
    <w:rsid w:val="00370C24"/>
    <w:rsid w:val="00370FFA"/>
    <w:rsid w:val="00371283"/>
    <w:rsid w:val="003719D3"/>
    <w:rsid w:val="00372785"/>
    <w:rsid w:val="00373291"/>
    <w:rsid w:val="00373FAC"/>
    <w:rsid w:val="003757C1"/>
    <w:rsid w:val="00376A48"/>
    <w:rsid w:val="003770EE"/>
    <w:rsid w:val="0037745C"/>
    <w:rsid w:val="003774D7"/>
    <w:rsid w:val="00380D1B"/>
    <w:rsid w:val="00382081"/>
    <w:rsid w:val="003820C7"/>
    <w:rsid w:val="00385951"/>
    <w:rsid w:val="00386071"/>
    <w:rsid w:val="003864E1"/>
    <w:rsid w:val="0038723D"/>
    <w:rsid w:val="003946F9"/>
    <w:rsid w:val="00394982"/>
    <w:rsid w:val="00395287"/>
    <w:rsid w:val="003960E6"/>
    <w:rsid w:val="003A185E"/>
    <w:rsid w:val="003A1E21"/>
    <w:rsid w:val="003A1E84"/>
    <w:rsid w:val="003A23CF"/>
    <w:rsid w:val="003A2A9A"/>
    <w:rsid w:val="003A3005"/>
    <w:rsid w:val="003A3B62"/>
    <w:rsid w:val="003A5BD9"/>
    <w:rsid w:val="003A61FC"/>
    <w:rsid w:val="003A739F"/>
    <w:rsid w:val="003B01F0"/>
    <w:rsid w:val="003B29AF"/>
    <w:rsid w:val="003B44F9"/>
    <w:rsid w:val="003B457B"/>
    <w:rsid w:val="003B4C14"/>
    <w:rsid w:val="003B6446"/>
    <w:rsid w:val="003B79BF"/>
    <w:rsid w:val="003C1866"/>
    <w:rsid w:val="003C1ED3"/>
    <w:rsid w:val="003C24FD"/>
    <w:rsid w:val="003C32AF"/>
    <w:rsid w:val="003C3C43"/>
    <w:rsid w:val="003C44FD"/>
    <w:rsid w:val="003C52C1"/>
    <w:rsid w:val="003C56EE"/>
    <w:rsid w:val="003C5A27"/>
    <w:rsid w:val="003C6417"/>
    <w:rsid w:val="003C73F8"/>
    <w:rsid w:val="003D10E1"/>
    <w:rsid w:val="003D1298"/>
    <w:rsid w:val="003D1B5D"/>
    <w:rsid w:val="003D2CC5"/>
    <w:rsid w:val="003D30F6"/>
    <w:rsid w:val="003E0333"/>
    <w:rsid w:val="003E0A73"/>
    <w:rsid w:val="003E0DE2"/>
    <w:rsid w:val="003E1C3E"/>
    <w:rsid w:val="003E26BB"/>
    <w:rsid w:val="003E29F4"/>
    <w:rsid w:val="003E2A80"/>
    <w:rsid w:val="003E356A"/>
    <w:rsid w:val="003E541A"/>
    <w:rsid w:val="003E54E6"/>
    <w:rsid w:val="003E5E8D"/>
    <w:rsid w:val="003E6612"/>
    <w:rsid w:val="003F06B4"/>
    <w:rsid w:val="003F0DBB"/>
    <w:rsid w:val="003F2264"/>
    <w:rsid w:val="003F35AE"/>
    <w:rsid w:val="003F5DE6"/>
    <w:rsid w:val="003F624B"/>
    <w:rsid w:val="003F7CA7"/>
    <w:rsid w:val="00400AC2"/>
    <w:rsid w:val="00401625"/>
    <w:rsid w:val="0040195B"/>
    <w:rsid w:val="00402DC4"/>
    <w:rsid w:val="004041A3"/>
    <w:rsid w:val="004043BE"/>
    <w:rsid w:val="004076EC"/>
    <w:rsid w:val="004077E5"/>
    <w:rsid w:val="0041027D"/>
    <w:rsid w:val="00410486"/>
    <w:rsid w:val="00411042"/>
    <w:rsid w:val="004125C8"/>
    <w:rsid w:val="00412EAE"/>
    <w:rsid w:val="0041439B"/>
    <w:rsid w:val="00415390"/>
    <w:rsid w:val="00415592"/>
    <w:rsid w:val="0041793C"/>
    <w:rsid w:val="00417E4F"/>
    <w:rsid w:val="0042053F"/>
    <w:rsid w:val="00420A64"/>
    <w:rsid w:val="00420BAA"/>
    <w:rsid w:val="004214A0"/>
    <w:rsid w:val="00421FCB"/>
    <w:rsid w:val="00422052"/>
    <w:rsid w:val="00422479"/>
    <w:rsid w:val="00422BF5"/>
    <w:rsid w:val="00425216"/>
    <w:rsid w:val="0043088D"/>
    <w:rsid w:val="0043113E"/>
    <w:rsid w:val="00431C06"/>
    <w:rsid w:val="00432A5E"/>
    <w:rsid w:val="00433DA8"/>
    <w:rsid w:val="00436D7E"/>
    <w:rsid w:val="004370C3"/>
    <w:rsid w:val="00437B2F"/>
    <w:rsid w:val="00441F19"/>
    <w:rsid w:val="00443FE1"/>
    <w:rsid w:val="00452C66"/>
    <w:rsid w:val="00454B6D"/>
    <w:rsid w:val="004558D3"/>
    <w:rsid w:val="00456021"/>
    <w:rsid w:val="00456F8C"/>
    <w:rsid w:val="004576BA"/>
    <w:rsid w:val="00457D43"/>
    <w:rsid w:val="00460788"/>
    <w:rsid w:val="00460C7A"/>
    <w:rsid w:val="00462536"/>
    <w:rsid w:val="0046367D"/>
    <w:rsid w:val="0046655E"/>
    <w:rsid w:val="004670B9"/>
    <w:rsid w:val="00467169"/>
    <w:rsid w:val="00467B09"/>
    <w:rsid w:val="00471049"/>
    <w:rsid w:val="004722BF"/>
    <w:rsid w:val="00475B2B"/>
    <w:rsid w:val="0047740B"/>
    <w:rsid w:val="00482EDE"/>
    <w:rsid w:val="004834F7"/>
    <w:rsid w:val="004835BB"/>
    <w:rsid w:val="00484139"/>
    <w:rsid w:val="00484AFC"/>
    <w:rsid w:val="004865E5"/>
    <w:rsid w:val="00486992"/>
    <w:rsid w:val="0049023F"/>
    <w:rsid w:val="00491E40"/>
    <w:rsid w:val="0049305C"/>
    <w:rsid w:val="00493094"/>
    <w:rsid w:val="00493937"/>
    <w:rsid w:val="004957F2"/>
    <w:rsid w:val="004969B6"/>
    <w:rsid w:val="00496F8D"/>
    <w:rsid w:val="0049703A"/>
    <w:rsid w:val="004977F2"/>
    <w:rsid w:val="00497A45"/>
    <w:rsid w:val="00497D02"/>
    <w:rsid w:val="004A1554"/>
    <w:rsid w:val="004A17B0"/>
    <w:rsid w:val="004A42CE"/>
    <w:rsid w:val="004A4B89"/>
    <w:rsid w:val="004A533E"/>
    <w:rsid w:val="004A61A4"/>
    <w:rsid w:val="004B3177"/>
    <w:rsid w:val="004B34C8"/>
    <w:rsid w:val="004B4AF9"/>
    <w:rsid w:val="004B7EFE"/>
    <w:rsid w:val="004C051B"/>
    <w:rsid w:val="004C2602"/>
    <w:rsid w:val="004C284B"/>
    <w:rsid w:val="004C3774"/>
    <w:rsid w:val="004C522A"/>
    <w:rsid w:val="004C5477"/>
    <w:rsid w:val="004C636D"/>
    <w:rsid w:val="004C672D"/>
    <w:rsid w:val="004D0BF5"/>
    <w:rsid w:val="004D12EB"/>
    <w:rsid w:val="004D2ABA"/>
    <w:rsid w:val="004D397B"/>
    <w:rsid w:val="004D5D5E"/>
    <w:rsid w:val="004D73F5"/>
    <w:rsid w:val="004E07E9"/>
    <w:rsid w:val="004E4C33"/>
    <w:rsid w:val="004F162A"/>
    <w:rsid w:val="004F2C22"/>
    <w:rsid w:val="004F3AB3"/>
    <w:rsid w:val="004F6929"/>
    <w:rsid w:val="004F6D35"/>
    <w:rsid w:val="004F75DC"/>
    <w:rsid w:val="004F76CA"/>
    <w:rsid w:val="005001C1"/>
    <w:rsid w:val="00501575"/>
    <w:rsid w:val="00502CC3"/>
    <w:rsid w:val="0050394A"/>
    <w:rsid w:val="00503B24"/>
    <w:rsid w:val="00504715"/>
    <w:rsid w:val="0050644C"/>
    <w:rsid w:val="00507523"/>
    <w:rsid w:val="00510FC1"/>
    <w:rsid w:val="00514BBB"/>
    <w:rsid w:val="00517FAB"/>
    <w:rsid w:val="00520D76"/>
    <w:rsid w:val="00521051"/>
    <w:rsid w:val="00526AB3"/>
    <w:rsid w:val="005309C7"/>
    <w:rsid w:val="00531F31"/>
    <w:rsid w:val="00533DD6"/>
    <w:rsid w:val="00533FB5"/>
    <w:rsid w:val="0053451D"/>
    <w:rsid w:val="00534B19"/>
    <w:rsid w:val="00536F84"/>
    <w:rsid w:val="00537D49"/>
    <w:rsid w:val="00541B13"/>
    <w:rsid w:val="00542627"/>
    <w:rsid w:val="0054277B"/>
    <w:rsid w:val="00543E1C"/>
    <w:rsid w:val="00544870"/>
    <w:rsid w:val="005448B6"/>
    <w:rsid w:val="005448ED"/>
    <w:rsid w:val="005471D7"/>
    <w:rsid w:val="005501F8"/>
    <w:rsid w:val="005502F1"/>
    <w:rsid w:val="00551EC1"/>
    <w:rsid w:val="00553666"/>
    <w:rsid w:val="005552DE"/>
    <w:rsid w:val="0055551B"/>
    <w:rsid w:val="005555D5"/>
    <w:rsid w:val="0055577A"/>
    <w:rsid w:val="00555ECE"/>
    <w:rsid w:val="00556D34"/>
    <w:rsid w:val="00557EE0"/>
    <w:rsid w:val="0056009F"/>
    <w:rsid w:val="0056052B"/>
    <w:rsid w:val="00561F5B"/>
    <w:rsid w:val="00562809"/>
    <w:rsid w:val="005640CE"/>
    <w:rsid w:val="00564709"/>
    <w:rsid w:val="00564AAD"/>
    <w:rsid w:val="005652DA"/>
    <w:rsid w:val="0057145D"/>
    <w:rsid w:val="00575251"/>
    <w:rsid w:val="00576D97"/>
    <w:rsid w:val="005771CC"/>
    <w:rsid w:val="00577989"/>
    <w:rsid w:val="00577F52"/>
    <w:rsid w:val="00581BBE"/>
    <w:rsid w:val="005839EF"/>
    <w:rsid w:val="00584CDB"/>
    <w:rsid w:val="00585ADF"/>
    <w:rsid w:val="005860A4"/>
    <w:rsid w:val="00587B8E"/>
    <w:rsid w:val="00591D1C"/>
    <w:rsid w:val="005925B4"/>
    <w:rsid w:val="005940EF"/>
    <w:rsid w:val="00594449"/>
    <w:rsid w:val="00596198"/>
    <w:rsid w:val="005963B6"/>
    <w:rsid w:val="0059680D"/>
    <w:rsid w:val="00597FB5"/>
    <w:rsid w:val="005A556B"/>
    <w:rsid w:val="005A56C3"/>
    <w:rsid w:val="005A5FF4"/>
    <w:rsid w:val="005A6346"/>
    <w:rsid w:val="005A6515"/>
    <w:rsid w:val="005A6F63"/>
    <w:rsid w:val="005A7B69"/>
    <w:rsid w:val="005B4224"/>
    <w:rsid w:val="005B4DC9"/>
    <w:rsid w:val="005B4EAF"/>
    <w:rsid w:val="005B4FD4"/>
    <w:rsid w:val="005B5454"/>
    <w:rsid w:val="005B583B"/>
    <w:rsid w:val="005B6B26"/>
    <w:rsid w:val="005B7B76"/>
    <w:rsid w:val="005C0FA7"/>
    <w:rsid w:val="005C1324"/>
    <w:rsid w:val="005C4AA0"/>
    <w:rsid w:val="005C5A8A"/>
    <w:rsid w:val="005C7E67"/>
    <w:rsid w:val="005D18A8"/>
    <w:rsid w:val="005D3AC3"/>
    <w:rsid w:val="005D400F"/>
    <w:rsid w:val="005D408E"/>
    <w:rsid w:val="005D4A3B"/>
    <w:rsid w:val="005D4D77"/>
    <w:rsid w:val="005D5760"/>
    <w:rsid w:val="005D7B4F"/>
    <w:rsid w:val="005E3B52"/>
    <w:rsid w:val="005E4485"/>
    <w:rsid w:val="005E4ACC"/>
    <w:rsid w:val="005E503A"/>
    <w:rsid w:val="005E7F46"/>
    <w:rsid w:val="005F032A"/>
    <w:rsid w:val="005F3040"/>
    <w:rsid w:val="005F3721"/>
    <w:rsid w:val="005F3B05"/>
    <w:rsid w:val="005F6375"/>
    <w:rsid w:val="005F699D"/>
    <w:rsid w:val="006000C8"/>
    <w:rsid w:val="00600BE3"/>
    <w:rsid w:val="006014D0"/>
    <w:rsid w:val="00604C44"/>
    <w:rsid w:val="00604CEB"/>
    <w:rsid w:val="006057A6"/>
    <w:rsid w:val="0061061A"/>
    <w:rsid w:val="00610D10"/>
    <w:rsid w:val="006116ED"/>
    <w:rsid w:val="00613934"/>
    <w:rsid w:val="00615DBA"/>
    <w:rsid w:val="006239AF"/>
    <w:rsid w:val="00623AD9"/>
    <w:rsid w:val="0062426A"/>
    <w:rsid w:val="00624492"/>
    <w:rsid w:val="00626A1E"/>
    <w:rsid w:val="00627A29"/>
    <w:rsid w:val="00627E91"/>
    <w:rsid w:val="00630172"/>
    <w:rsid w:val="00630CA1"/>
    <w:rsid w:val="00631568"/>
    <w:rsid w:val="00631832"/>
    <w:rsid w:val="00631B74"/>
    <w:rsid w:val="00631EA1"/>
    <w:rsid w:val="00635D54"/>
    <w:rsid w:val="006371A9"/>
    <w:rsid w:val="0064007A"/>
    <w:rsid w:val="00641EAC"/>
    <w:rsid w:val="00646360"/>
    <w:rsid w:val="00647714"/>
    <w:rsid w:val="00647790"/>
    <w:rsid w:val="00654FE4"/>
    <w:rsid w:val="0065739E"/>
    <w:rsid w:val="00661654"/>
    <w:rsid w:val="0066193F"/>
    <w:rsid w:val="0066475B"/>
    <w:rsid w:val="00664A83"/>
    <w:rsid w:val="00665FF8"/>
    <w:rsid w:val="00666114"/>
    <w:rsid w:val="00666C25"/>
    <w:rsid w:val="00667AA4"/>
    <w:rsid w:val="00667B48"/>
    <w:rsid w:val="00671265"/>
    <w:rsid w:val="006720AB"/>
    <w:rsid w:val="00674786"/>
    <w:rsid w:val="0067532E"/>
    <w:rsid w:val="0067573F"/>
    <w:rsid w:val="00681055"/>
    <w:rsid w:val="0068154A"/>
    <w:rsid w:val="006829B8"/>
    <w:rsid w:val="00683AAA"/>
    <w:rsid w:val="00684D46"/>
    <w:rsid w:val="00685518"/>
    <w:rsid w:val="006856B5"/>
    <w:rsid w:val="00685890"/>
    <w:rsid w:val="006864BC"/>
    <w:rsid w:val="006873AF"/>
    <w:rsid w:val="0068782B"/>
    <w:rsid w:val="0069181A"/>
    <w:rsid w:val="00691C65"/>
    <w:rsid w:val="0069646A"/>
    <w:rsid w:val="0069660B"/>
    <w:rsid w:val="00696B26"/>
    <w:rsid w:val="00696B85"/>
    <w:rsid w:val="00697EB8"/>
    <w:rsid w:val="006A2322"/>
    <w:rsid w:val="006A32FA"/>
    <w:rsid w:val="006A38EB"/>
    <w:rsid w:val="006A44C9"/>
    <w:rsid w:val="006A5A22"/>
    <w:rsid w:val="006B0C38"/>
    <w:rsid w:val="006B32F9"/>
    <w:rsid w:val="006B3B35"/>
    <w:rsid w:val="006B5ADC"/>
    <w:rsid w:val="006B75C0"/>
    <w:rsid w:val="006C04BB"/>
    <w:rsid w:val="006C0EA0"/>
    <w:rsid w:val="006C1B95"/>
    <w:rsid w:val="006C268F"/>
    <w:rsid w:val="006C5C3E"/>
    <w:rsid w:val="006C619D"/>
    <w:rsid w:val="006C63A5"/>
    <w:rsid w:val="006C69A1"/>
    <w:rsid w:val="006D41E5"/>
    <w:rsid w:val="006D4361"/>
    <w:rsid w:val="006D6904"/>
    <w:rsid w:val="006D6DE2"/>
    <w:rsid w:val="006D7BF9"/>
    <w:rsid w:val="006E0D1C"/>
    <w:rsid w:val="006E0D77"/>
    <w:rsid w:val="006E126F"/>
    <w:rsid w:val="006E38A9"/>
    <w:rsid w:val="006E3B59"/>
    <w:rsid w:val="006E5778"/>
    <w:rsid w:val="006E606D"/>
    <w:rsid w:val="006F09E3"/>
    <w:rsid w:val="006F1C73"/>
    <w:rsid w:val="006F2586"/>
    <w:rsid w:val="006F396E"/>
    <w:rsid w:val="006F3A84"/>
    <w:rsid w:val="006F6DB1"/>
    <w:rsid w:val="006F7782"/>
    <w:rsid w:val="00700EB5"/>
    <w:rsid w:val="00700FAE"/>
    <w:rsid w:val="00701214"/>
    <w:rsid w:val="00702D64"/>
    <w:rsid w:val="00704675"/>
    <w:rsid w:val="00704ABD"/>
    <w:rsid w:val="00704B32"/>
    <w:rsid w:val="00705B92"/>
    <w:rsid w:val="007060A6"/>
    <w:rsid w:val="007060CA"/>
    <w:rsid w:val="007101C3"/>
    <w:rsid w:val="0071198A"/>
    <w:rsid w:val="00711B3D"/>
    <w:rsid w:val="00712FE2"/>
    <w:rsid w:val="00716622"/>
    <w:rsid w:val="00717717"/>
    <w:rsid w:val="0072434F"/>
    <w:rsid w:val="0072574A"/>
    <w:rsid w:val="0072659F"/>
    <w:rsid w:val="00726906"/>
    <w:rsid w:val="0072791C"/>
    <w:rsid w:val="00727B72"/>
    <w:rsid w:val="00730FD9"/>
    <w:rsid w:val="00731777"/>
    <w:rsid w:val="00733851"/>
    <w:rsid w:val="00733B72"/>
    <w:rsid w:val="00735CD3"/>
    <w:rsid w:val="00735DC7"/>
    <w:rsid w:val="00740B33"/>
    <w:rsid w:val="007426BC"/>
    <w:rsid w:val="00743110"/>
    <w:rsid w:val="0074443D"/>
    <w:rsid w:val="00747DF2"/>
    <w:rsid w:val="00750AFB"/>
    <w:rsid w:val="00752E15"/>
    <w:rsid w:val="00753135"/>
    <w:rsid w:val="00753E04"/>
    <w:rsid w:val="00754273"/>
    <w:rsid w:val="007554E7"/>
    <w:rsid w:val="00757828"/>
    <w:rsid w:val="00760C05"/>
    <w:rsid w:val="00760E89"/>
    <w:rsid w:val="007632D9"/>
    <w:rsid w:val="00763415"/>
    <w:rsid w:val="00764A96"/>
    <w:rsid w:val="00765F4C"/>
    <w:rsid w:val="00766A19"/>
    <w:rsid w:val="007706DB"/>
    <w:rsid w:val="00776836"/>
    <w:rsid w:val="00780154"/>
    <w:rsid w:val="0078124E"/>
    <w:rsid w:val="007816AE"/>
    <w:rsid w:val="00781F21"/>
    <w:rsid w:val="007835FB"/>
    <w:rsid w:val="0078377C"/>
    <w:rsid w:val="00783883"/>
    <w:rsid w:val="00783B79"/>
    <w:rsid w:val="0078545C"/>
    <w:rsid w:val="007859A5"/>
    <w:rsid w:val="00786586"/>
    <w:rsid w:val="00790C61"/>
    <w:rsid w:val="0079103F"/>
    <w:rsid w:val="00794F06"/>
    <w:rsid w:val="007A0257"/>
    <w:rsid w:val="007A03C5"/>
    <w:rsid w:val="007A0E36"/>
    <w:rsid w:val="007A1AEB"/>
    <w:rsid w:val="007A4E61"/>
    <w:rsid w:val="007A6143"/>
    <w:rsid w:val="007B0E6D"/>
    <w:rsid w:val="007B2FCA"/>
    <w:rsid w:val="007B33AF"/>
    <w:rsid w:val="007B5777"/>
    <w:rsid w:val="007B7AD0"/>
    <w:rsid w:val="007C0D22"/>
    <w:rsid w:val="007C3C31"/>
    <w:rsid w:val="007C5A75"/>
    <w:rsid w:val="007C5D67"/>
    <w:rsid w:val="007C7153"/>
    <w:rsid w:val="007C7D1D"/>
    <w:rsid w:val="007C7EE7"/>
    <w:rsid w:val="007D0A00"/>
    <w:rsid w:val="007D107A"/>
    <w:rsid w:val="007D3BD8"/>
    <w:rsid w:val="007D6102"/>
    <w:rsid w:val="007E0B21"/>
    <w:rsid w:val="007E12A8"/>
    <w:rsid w:val="007E1541"/>
    <w:rsid w:val="007E4CCE"/>
    <w:rsid w:val="007E67AE"/>
    <w:rsid w:val="007E6BA5"/>
    <w:rsid w:val="007E6F27"/>
    <w:rsid w:val="007F0B0E"/>
    <w:rsid w:val="007F0E73"/>
    <w:rsid w:val="007F1943"/>
    <w:rsid w:val="007F1BBC"/>
    <w:rsid w:val="007F347A"/>
    <w:rsid w:val="007F366C"/>
    <w:rsid w:val="007F3C48"/>
    <w:rsid w:val="007F55A4"/>
    <w:rsid w:val="007F5B41"/>
    <w:rsid w:val="008006BD"/>
    <w:rsid w:val="008009EC"/>
    <w:rsid w:val="00800AC8"/>
    <w:rsid w:val="0080186B"/>
    <w:rsid w:val="00802A66"/>
    <w:rsid w:val="00803272"/>
    <w:rsid w:val="00811F39"/>
    <w:rsid w:val="0081203B"/>
    <w:rsid w:val="00812AB4"/>
    <w:rsid w:val="00812FB7"/>
    <w:rsid w:val="00822C30"/>
    <w:rsid w:val="00823223"/>
    <w:rsid w:val="0082558C"/>
    <w:rsid w:val="008275AE"/>
    <w:rsid w:val="00831FB0"/>
    <w:rsid w:val="00832D33"/>
    <w:rsid w:val="00834B9D"/>
    <w:rsid w:val="00834CAF"/>
    <w:rsid w:val="0083574E"/>
    <w:rsid w:val="0083644F"/>
    <w:rsid w:val="00836834"/>
    <w:rsid w:val="00837D09"/>
    <w:rsid w:val="008403B8"/>
    <w:rsid w:val="00841F34"/>
    <w:rsid w:val="00842D8D"/>
    <w:rsid w:val="00844B10"/>
    <w:rsid w:val="008505A7"/>
    <w:rsid w:val="00850951"/>
    <w:rsid w:val="00851D07"/>
    <w:rsid w:val="00852EE6"/>
    <w:rsid w:val="0086101C"/>
    <w:rsid w:val="00862BD5"/>
    <w:rsid w:val="00862D01"/>
    <w:rsid w:val="00863999"/>
    <w:rsid w:val="0086436E"/>
    <w:rsid w:val="008650CC"/>
    <w:rsid w:val="00865D79"/>
    <w:rsid w:val="00866022"/>
    <w:rsid w:val="00866133"/>
    <w:rsid w:val="00871B14"/>
    <w:rsid w:val="00871BB6"/>
    <w:rsid w:val="008724B3"/>
    <w:rsid w:val="00872B32"/>
    <w:rsid w:val="0087417C"/>
    <w:rsid w:val="008752A8"/>
    <w:rsid w:val="00875E44"/>
    <w:rsid w:val="00877158"/>
    <w:rsid w:val="008777FE"/>
    <w:rsid w:val="00880797"/>
    <w:rsid w:val="0088101F"/>
    <w:rsid w:val="0088226A"/>
    <w:rsid w:val="008823C9"/>
    <w:rsid w:val="00885C25"/>
    <w:rsid w:val="00885DC8"/>
    <w:rsid w:val="0088683E"/>
    <w:rsid w:val="00887275"/>
    <w:rsid w:val="008912D4"/>
    <w:rsid w:val="008942B8"/>
    <w:rsid w:val="00896E36"/>
    <w:rsid w:val="008A1C6F"/>
    <w:rsid w:val="008A32DD"/>
    <w:rsid w:val="008A34F1"/>
    <w:rsid w:val="008A3972"/>
    <w:rsid w:val="008A3AF3"/>
    <w:rsid w:val="008A3B6D"/>
    <w:rsid w:val="008A64B1"/>
    <w:rsid w:val="008B2D65"/>
    <w:rsid w:val="008B4451"/>
    <w:rsid w:val="008B4C08"/>
    <w:rsid w:val="008B5507"/>
    <w:rsid w:val="008B593B"/>
    <w:rsid w:val="008B5C0A"/>
    <w:rsid w:val="008B729A"/>
    <w:rsid w:val="008C1320"/>
    <w:rsid w:val="008C21D8"/>
    <w:rsid w:val="008C47F8"/>
    <w:rsid w:val="008C61AA"/>
    <w:rsid w:val="008C6C28"/>
    <w:rsid w:val="008D1D35"/>
    <w:rsid w:val="008D21B0"/>
    <w:rsid w:val="008D21CB"/>
    <w:rsid w:val="008D4E88"/>
    <w:rsid w:val="008D5CD6"/>
    <w:rsid w:val="008D75C7"/>
    <w:rsid w:val="008E0C9C"/>
    <w:rsid w:val="008E1803"/>
    <w:rsid w:val="008E202C"/>
    <w:rsid w:val="008E276E"/>
    <w:rsid w:val="008E3238"/>
    <w:rsid w:val="008E37D1"/>
    <w:rsid w:val="008E6398"/>
    <w:rsid w:val="008E74ED"/>
    <w:rsid w:val="008F1766"/>
    <w:rsid w:val="008F397F"/>
    <w:rsid w:val="008F7217"/>
    <w:rsid w:val="0090162E"/>
    <w:rsid w:val="0090306F"/>
    <w:rsid w:val="00903228"/>
    <w:rsid w:val="00903DF8"/>
    <w:rsid w:val="009112B0"/>
    <w:rsid w:val="00912033"/>
    <w:rsid w:val="00912719"/>
    <w:rsid w:val="0091282B"/>
    <w:rsid w:val="00912B7B"/>
    <w:rsid w:val="0091399B"/>
    <w:rsid w:val="00914BC7"/>
    <w:rsid w:val="0091703D"/>
    <w:rsid w:val="009175F4"/>
    <w:rsid w:val="00920EB6"/>
    <w:rsid w:val="00921215"/>
    <w:rsid w:val="00921E55"/>
    <w:rsid w:val="00923820"/>
    <w:rsid w:val="00924CE7"/>
    <w:rsid w:val="00930AFC"/>
    <w:rsid w:val="009312CF"/>
    <w:rsid w:val="00931DB3"/>
    <w:rsid w:val="00933B84"/>
    <w:rsid w:val="00933F51"/>
    <w:rsid w:val="00935840"/>
    <w:rsid w:val="00935995"/>
    <w:rsid w:val="00935ADB"/>
    <w:rsid w:val="0093650A"/>
    <w:rsid w:val="0093738B"/>
    <w:rsid w:val="009377D2"/>
    <w:rsid w:val="00937EA8"/>
    <w:rsid w:val="00942BCA"/>
    <w:rsid w:val="00943CF2"/>
    <w:rsid w:val="00944142"/>
    <w:rsid w:val="009452C1"/>
    <w:rsid w:val="009456D9"/>
    <w:rsid w:val="00945984"/>
    <w:rsid w:val="00946032"/>
    <w:rsid w:val="00947EF3"/>
    <w:rsid w:val="00947F36"/>
    <w:rsid w:val="0095087A"/>
    <w:rsid w:val="009512F7"/>
    <w:rsid w:val="009541DC"/>
    <w:rsid w:val="0095472C"/>
    <w:rsid w:val="00955121"/>
    <w:rsid w:val="0095576E"/>
    <w:rsid w:val="00956071"/>
    <w:rsid w:val="00956611"/>
    <w:rsid w:val="00956A7A"/>
    <w:rsid w:val="009573DD"/>
    <w:rsid w:val="00960224"/>
    <w:rsid w:val="00961325"/>
    <w:rsid w:val="009631AB"/>
    <w:rsid w:val="00964A74"/>
    <w:rsid w:val="00967951"/>
    <w:rsid w:val="0097008C"/>
    <w:rsid w:val="0097042C"/>
    <w:rsid w:val="00971F92"/>
    <w:rsid w:val="009728E3"/>
    <w:rsid w:val="00972F64"/>
    <w:rsid w:val="00973E9A"/>
    <w:rsid w:val="00973F6A"/>
    <w:rsid w:val="00974499"/>
    <w:rsid w:val="009748AF"/>
    <w:rsid w:val="0097588B"/>
    <w:rsid w:val="009764C5"/>
    <w:rsid w:val="00977D70"/>
    <w:rsid w:val="00981486"/>
    <w:rsid w:val="00983583"/>
    <w:rsid w:val="00987E23"/>
    <w:rsid w:val="009900AB"/>
    <w:rsid w:val="00990101"/>
    <w:rsid w:val="009920A1"/>
    <w:rsid w:val="00992EE8"/>
    <w:rsid w:val="0099344C"/>
    <w:rsid w:val="0099389E"/>
    <w:rsid w:val="00997707"/>
    <w:rsid w:val="009A01EE"/>
    <w:rsid w:val="009A0D63"/>
    <w:rsid w:val="009A1690"/>
    <w:rsid w:val="009A32AA"/>
    <w:rsid w:val="009A4CDC"/>
    <w:rsid w:val="009A5980"/>
    <w:rsid w:val="009A61F9"/>
    <w:rsid w:val="009A6847"/>
    <w:rsid w:val="009B0A27"/>
    <w:rsid w:val="009B0A82"/>
    <w:rsid w:val="009B1633"/>
    <w:rsid w:val="009B196A"/>
    <w:rsid w:val="009B338E"/>
    <w:rsid w:val="009B458C"/>
    <w:rsid w:val="009B4B17"/>
    <w:rsid w:val="009B58F9"/>
    <w:rsid w:val="009B59BE"/>
    <w:rsid w:val="009C22B1"/>
    <w:rsid w:val="009C3229"/>
    <w:rsid w:val="009C57EE"/>
    <w:rsid w:val="009C5DE2"/>
    <w:rsid w:val="009C5F15"/>
    <w:rsid w:val="009C7047"/>
    <w:rsid w:val="009C73C7"/>
    <w:rsid w:val="009C7AF7"/>
    <w:rsid w:val="009D1200"/>
    <w:rsid w:val="009D1E78"/>
    <w:rsid w:val="009D37C4"/>
    <w:rsid w:val="009D383D"/>
    <w:rsid w:val="009D7769"/>
    <w:rsid w:val="009D7833"/>
    <w:rsid w:val="009D7E1B"/>
    <w:rsid w:val="009E649E"/>
    <w:rsid w:val="009E6C28"/>
    <w:rsid w:val="009E71DA"/>
    <w:rsid w:val="009E799E"/>
    <w:rsid w:val="009F1104"/>
    <w:rsid w:val="009F141F"/>
    <w:rsid w:val="009F4692"/>
    <w:rsid w:val="009F5957"/>
    <w:rsid w:val="009F64D0"/>
    <w:rsid w:val="00A02231"/>
    <w:rsid w:val="00A027FD"/>
    <w:rsid w:val="00A03724"/>
    <w:rsid w:val="00A05AFE"/>
    <w:rsid w:val="00A06325"/>
    <w:rsid w:val="00A06A0E"/>
    <w:rsid w:val="00A11EAC"/>
    <w:rsid w:val="00A11F76"/>
    <w:rsid w:val="00A128B2"/>
    <w:rsid w:val="00A12E15"/>
    <w:rsid w:val="00A16A46"/>
    <w:rsid w:val="00A20876"/>
    <w:rsid w:val="00A2363A"/>
    <w:rsid w:val="00A244A6"/>
    <w:rsid w:val="00A27A23"/>
    <w:rsid w:val="00A27E0A"/>
    <w:rsid w:val="00A310CC"/>
    <w:rsid w:val="00A31AC2"/>
    <w:rsid w:val="00A322B7"/>
    <w:rsid w:val="00A37948"/>
    <w:rsid w:val="00A37B3B"/>
    <w:rsid w:val="00A40321"/>
    <w:rsid w:val="00A411C5"/>
    <w:rsid w:val="00A41A3B"/>
    <w:rsid w:val="00A41BD6"/>
    <w:rsid w:val="00A43787"/>
    <w:rsid w:val="00A4497E"/>
    <w:rsid w:val="00A44AB6"/>
    <w:rsid w:val="00A50373"/>
    <w:rsid w:val="00A50488"/>
    <w:rsid w:val="00A56080"/>
    <w:rsid w:val="00A56FE5"/>
    <w:rsid w:val="00A616EF"/>
    <w:rsid w:val="00A62E28"/>
    <w:rsid w:val="00A66BF4"/>
    <w:rsid w:val="00A66C71"/>
    <w:rsid w:val="00A70284"/>
    <w:rsid w:val="00A702CF"/>
    <w:rsid w:val="00A703A6"/>
    <w:rsid w:val="00A71EE1"/>
    <w:rsid w:val="00A737E0"/>
    <w:rsid w:val="00A7479B"/>
    <w:rsid w:val="00A74EC8"/>
    <w:rsid w:val="00A7636F"/>
    <w:rsid w:val="00A764B8"/>
    <w:rsid w:val="00A81564"/>
    <w:rsid w:val="00A81761"/>
    <w:rsid w:val="00A82991"/>
    <w:rsid w:val="00A843DD"/>
    <w:rsid w:val="00A843F7"/>
    <w:rsid w:val="00A85623"/>
    <w:rsid w:val="00A85D89"/>
    <w:rsid w:val="00A86161"/>
    <w:rsid w:val="00A8731A"/>
    <w:rsid w:val="00A91129"/>
    <w:rsid w:val="00A925CC"/>
    <w:rsid w:val="00A93FA9"/>
    <w:rsid w:val="00A95C07"/>
    <w:rsid w:val="00AA21E4"/>
    <w:rsid w:val="00AA3DBD"/>
    <w:rsid w:val="00AA47EC"/>
    <w:rsid w:val="00AA5CFB"/>
    <w:rsid w:val="00AA77AB"/>
    <w:rsid w:val="00AB237A"/>
    <w:rsid w:val="00AB277E"/>
    <w:rsid w:val="00AB5CAB"/>
    <w:rsid w:val="00AB738A"/>
    <w:rsid w:val="00AB7D87"/>
    <w:rsid w:val="00AC35AE"/>
    <w:rsid w:val="00AC35B4"/>
    <w:rsid w:val="00AC41D1"/>
    <w:rsid w:val="00AC4764"/>
    <w:rsid w:val="00AC7420"/>
    <w:rsid w:val="00AC7664"/>
    <w:rsid w:val="00AC785E"/>
    <w:rsid w:val="00AD0A50"/>
    <w:rsid w:val="00AD0D25"/>
    <w:rsid w:val="00AD25FD"/>
    <w:rsid w:val="00AD3BD8"/>
    <w:rsid w:val="00AD3D78"/>
    <w:rsid w:val="00AD51F8"/>
    <w:rsid w:val="00AD5740"/>
    <w:rsid w:val="00AD6FFC"/>
    <w:rsid w:val="00AE0295"/>
    <w:rsid w:val="00AE1DB1"/>
    <w:rsid w:val="00AE2475"/>
    <w:rsid w:val="00AE3FA2"/>
    <w:rsid w:val="00AE78F1"/>
    <w:rsid w:val="00AF009A"/>
    <w:rsid w:val="00AF327E"/>
    <w:rsid w:val="00AF3B12"/>
    <w:rsid w:val="00AF5AFD"/>
    <w:rsid w:val="00AF60B7"/>
    <w:rsid w:val="00AF69AA"/>
    <w:rsid w:val="00AF6A68"/>
    <w:rsid w:val="00AF77A5"/>
    <w:rsid w:val="00AF7DF9"/>
    <w:rsid w:val="00B00698"/>
    <w:rsid w:val="00B012BA"/>
    <w:rsid w:val="00B0244F"/>
    <w:rsid w:val="00B02450"/>
    <w:rsid w:val="00B05DF8"/>
    <w:rsid w:val="00B06B55"/>
    <w:rsid w:val="00B06E1B"/>
    <w:rsid w:val="00B102EC"/>
    <w:rsid w:val="00B13610"/>
    <w:rsid w:val="00B162E0"/>
    <w:rsid w:val="00B174A3"/>
    <w:rsid w:val="00B21665"/>
    <w:rsid w:val="00B2192B"/>
    <w:rsid w:val="00B21D89"/>
    <w:rsid w:val="00B2279B"/>
    <w:rsid w:val="00B23004"/>
    <w:rsid w:val="00B23229"/>
    <w:rsid w:val="00B241BA"/>
    <w:rsid w:val="00B2484A"/>
    <w:rsid w:val="00B24C5C"/>
    <w:rsid w:val="00B24DA8"/>
    <w:rsid w:val="00B25933"/>
    <w:rsid w:val="00B25B63"/>
    <w:rsid w:val="00B25BE6"/>
    <w:rsid w:val="00B25CAC"/>
    <w:rsid w:val="00B26757"/>
    <w:rsid w:val="00B31290"/>
    <w:rsid w:val="00B31FBA"/>
    <w:rsid w:val="00B32CDF"/>
    <w:rsid w:val="00B330D9"/>
    <w:rsid w:val="00B33D98"/>
    <w:rsid w:val="00B350D5"/>
    <w:rsid w:val="00B36CD2"/>
    <w:rsid w:val="00B37531"/>
    <w:rsid w:val="00B408FC"/>
    <w:rsid w:val="00B4265B"/>
    <w:rsid w:val="00B43BC5"/>
    <w:rsid w:val="00B43EA1"/>
    <w:rsid w:val="00B44C69"/>
    <w:rsid w:val="00B47FB2"/>
    <w:rsid w:val="00B554ED"/>
    <w:rsid w:val="00B57DAA"/>
    <w:rsid w:val="00B62365"/>
    <w:rsid w:val="00B631BA"/>
    <w:rsid w:val="00B63B9E"/>
    <w:rsid w:val="00B66C7C"/>
    <w:rsid w:val="00B67173"/>
    <w:rsid w:val="00B70D53"/>
    <w:rsid w:val="00B7131C"/>
    <w:rsid w:val="00B71924"/>
    <w:rsid w:val="00B71A99"/>
    <w:rsid w:val="00B72409"/>
    <w:rsid w:val="00B742DF"/>
    <w:rsid w:val="00B74883"/>
    <w:rsid w:val="00B750CD"/>
    <w:rsid w:val="00B7620D"/>
    <w:rsid w:val="00B765A3"/>
    <w:rsid w:val="00B76734"/>
    <w:rsid w:val="00B76DE2"/>
    <w:rsid w:val="00B7721B"/>
    <w:rsid w:val="00B80B75"/>
    <w:rsid w:val="00B81935"/>
    <w:rsid w:val="00B81B41"/>
    <w:rsid w:val="00B81B60"/>
    <w:rsid w:val="00B834E0"/>
    <w:rsid w:val="00B84A05"/>
    <w:rsid w:val="00B86326"/>
    <w:rsid w:val="00B86F95"/>
    <w:rsid w:val="00B874E5"/>
    <w:rsid w:val="00B877A2"/>
    <w:rsid w:val="00B90B09"/>
    <w:rsid w:val="00B917A0"/>
    <w:rsid w:val="00B917B0"/>
    <w:rsid w:val="00B929EA"/>
    <w:rsid w:val="00B938E9"/>
    <w:rsid w:val="00B95599"/>
    <w:rsid w:val="00BA0A47"/>
    <w:rsid w:val="00BA0BAA"/>
    <w:rsid w:val="00BA1673"/>
    <w:rsid w:val="00BA283A"/>
    <w:rsid w:val="00BA3E2A"/>
    <w:rsid w:val="00BA61AA"/>
    <w:rsid w:val="00BA69EB"/>
    <w:rsid w:val="00BA761E"/>
    <w:rsid w:val="00BB02B1"/>
    <w:rsid w:val="00BB1EA9"/>
    <w:rsid w:val="00BB23BC"/>
    <w:rsid w:val="00BB62D2"/>
    <w:rsid w:val="00BB6891"/>
    <w:rsid w:val="00BB6958"/>
    <w:rsid w:val="00BB7D90"/>
    <w:rsid w:val="00BC24A5"/>
    <w:rsid w:val="00BC3EA7"/>
    <w:rsid w:val="00BC4DA4"/>
    <w:rsid w:val="00BC4DE0"/>
    <w:rsid w:val="00BC5089"/>
    <w:rsid w:val="00BC67F6"/>
    <w:rsid w:val="00BC76EE"/>
    <w:rsid w:val="00BD2C4C"/>
    <w:rsid w:val="00BD32DB"/>
    <w:rsid w:val="00BD3EC9"/>
    <w:rsid w:val="00BD71D7"/>
    <w:rsid w:val="00BD7D6B"/>
    <w:rsid w:val="00BE33FF"/>
    <w:rsid w:val="00BE3539"/>
    <w:rsid w:val="00BE3FC2"/>
    <w:rsid w:val="00BE556E"/>
    <w:rsid w:val="00BE6528"/>
    <w:rsid w:val="00BE75B5"/>
    <w:rsid w:val="00BF0B04"/>
    <w:rsid w:val="00BF2C54"/>
    <w:rsid w:val="00BF3692"/>
    <w:rsid w:val="00BF3906"/>
    <w:rsid w:val="00BF3FF8"/>
    <w:rsid w:val="00BF56E4"/>
    <w:rsid w:val="00BF7CBD"/>
    <w:rsid w:val="00C00984"/>
    <w:rsid w:val="00C01263"/>
    <w:rsid w:val="00C015FA"/>
    <w:rsid w:val="00C02A58"/>
    <w:rsid w:val="00C0314C"/>
    <w:rsid w:val="00C032BD"/>
    <w:rsid w:val="00C03478"/>
    <w:rsid w:val="00C04BFE"/>
    <w:rsid w:val="00C0624C"/>
    <w:rsid w:val="00C06401"/>
    <w:rsid w:val="00C064D8"/>
    <w:rsid w:val="00C07481"/>
    <w:rsid w:val="00C10304"/>
    <w:rsid w:val="00C105B1"/>
    <w:rsid w:val="00C125CB"/>
    <w:rsid w:val="00C13BCF"/>
    <w:rsid w:val="00C13D61"/>
    <w:rsid w:val="00C14F51"/>
    <w:rsid w:val="00C153AD"/>
    <w:rsid w:val="00C1670B"/>
    <w:rsid w:val="00C17B52"/>
    <w:rsid w:val="00C225CA"/>
    <w:rsid w:val="00C22E88"/>
    <w:rsid w:val="00C242FE"/>
    <w:rsid w:val="00C24464"/>
    <w:rsid w:val="00C24E4B"/>
    <w:rsid w:val="00C2604D"/>
    <w:rsid w:val="00C26387"/>
    <w:rsid w:val="00C2645F"/>
    <w:rsid w:val="00C2696E"/>
    <w:rsid w:val="00C307C3"/>
    <w:rsid w:val="00C323FA"/>
    <w:rsid w:val="00C349D1"/>
    <w:rsid w:val="00C356A8"/>
    <w:rsid w:val="00C410B4"/>
    <w:rsid w:val="00C43D4C"/>
    <w:rsid w:val="00C44670"/>
    <w:rsid w:val="00C45920"/>
    <w:rsid w:val="00C46741"/>
    <w:rsid w:val="00C476DF"/>
    <w:rsid w:val="00C47B76"/>
    <w:rsid w:val="00C47EF0"/>
    <w:rsid w:val="00C51274"/>
    <w:rsid w:val="00C51658"/>
    <w:rsid w:val="00C517CA"/>
    <w:rsid w:val="00C5393A"/>
    <w:rsid w:val="00C543A4"/>
    <w:rsid w:val="00C548A7"/>
    <w:rsid w:val="00C557B5"/>
    <w:rsid w:val="00C55F67"/>
    <w:rsid w:val="00C56173"/>
    <w:rsid w:val="00C56642"/>
    <w:rsid w:val="00C573F3"/>
    <w:rsid w:val="00C6076D"/>
    <w:rsid w:val="00C62F59"/>
    <w:rsid w:val="00C63C1F"/>
    <w:rsid w:val="00C67003"/>
    <w:rsid w:val="00C679DB"/>
    <w:rsid w:val="00C67D9F"/>
    <w:rsid w:val="00C72683"/>
    <w:rsid w:val="00C729DC"/>
    <w:rsid w:val="00C73346"/>
    <w:rsid w:val="00C7469E"/>
    <w:rsid w:val="00C74E37"/>
    <w:rsid w:val="00C77AB7"/>
    <w:rsid w:val="00C837D3"/>
    <w:rsid w:val="00C837EF"/>
    <w:rsid w:val="00C841E3"/>
    <w:rsid w:val="00C845BE"/>
    <w:rsid w:val="00C84A60"/>
    <w:rsid w:val="00C919C4"/>
    <w:rsid w:val="00C91F21"/>
    <w:rsid w:val="00C94C72"/>
    <w:rsid w:val="00C94FB1"/>
    <w:rsid w:val="00CA050D"/>
    <w:rsid w:val="00CA1356"/>
    <w:rsid w:val="00CA2133"/>
    <w:rsid w:val="00CA22B0"/>
    <w:rsid w:val="00CA3705"/>
    <w:rsid w:val="00CA41C2"/>
    <w:rsid w:val="00CA5776"/>
    <w:rsid w:val="00CA592C"/>
    <w:rsid w:val="00CA7179"/>
    <w:rsid w:val="00CB243E"/>
    <w:rsid w:val="00CB30E7"/>
    <w:rsid w:val="00CB3994"/>
    <w:rsid w:val="00CB3DF4"/>
    <w:rsid w:val="00CB7B3E"/>
    <w:rsid w:val="00CB7E44"/>
    <w:rsid w:val="00CC0C19"/>
    <w:rsid w:val="00CC106D"/>
    <w:rsid w:val="00CC1676"/>
    <w:rsid w:val="00CC474F"/>
    <w:rsid w:val="00CC504D"/>
    <w:rsid w:val="00CC5215"/>
    <w:rsid w:val="00CC70C8"/>
    <w:rsid w:val="00CC72E5"/>
    <w:rsid w:val="00CC7ADE"/>
    <w:rsid w:val="00CD2306"/>
    <w:rsid w:val="00CD380A"/>
    <w:rsid w:val="00CD38A0"/>
    <w:rsid w:val="00CD4292"/>
    <w:rsid w:val="00CD4B5F"/>
    <w:rsid w:val="00CD6362"/>
    <w:rsid w:val="00CD6852"/>
    <w:rsid w:val="00CD72B5"/>
    <w:rsid w:val="00CD7D36"/>
    <w:rsid w:val="00CE1639"/>
    <w:rsid w:val="00CE24F7"/>
    <w:rsid w:val="00CE33DD"/>
    <w:rsid w:val="00CE4EA8"/>
    <w:rsid w:val="00CE798E"/>
    <w:rsid w:val="00CE7ADF"/>
    <w:rsid w:val="00CF00F2"/>
    <w:rsid w:val="00CF05B5"/>
    <w:rsid w:val="00CF1B90"/>
    <w:rsid w:val="00CF2674"/>
    <w:rsid w:val="00CF29B2"/>
    <w:rsid w:val="00CF4DE4"/>
    <w:rsid w:val="00CF54A2"/>
    <w:rsid w:val="00CF5591"/>
    <w:rsid w:val="00CF5DCE"/>
    <w:rsid w:val="00D004AC"/>
    <w:rsid w:val="00D00CEE"/>
    <w:rsid w:val="00D00E6A"/>
    <w:rsid w:val="00D03CD9"/>
    <w:rsid w:val="00D03D1F"/>
    <w:rsid w:val="00D05109"/>
    <w:rsid w:val="00D0552C"/>
    <w:rsid w:val="00D05FF4"/>
    <w:rsid w:val="00D072D1"/>
    <w:rsid w:val="00D10FFF"/>
    <w:rsid w:val="00D117A7"/>
    <w:rsid w:val="00D12A2E"/>
    <w:rsid w:val="00D14AF7"/>
    <w:rsid w:val="00D15CAD"/>
    <w:rsid w:val="00D15EB5"/>
    <w:rsid w:val="00D1636D"/>
    <w:rsid w:val="00D165D2"/>
    <w:rsid w:val="00D172B8"/>
    <w:rsid w:val="00D22C12"/>
    <w:rsid w:val="00D24A8D"/>
    <w:rsid w:val="00D260E8"/>
    <w:rsid w:val="00D30998"/>
    <w:rsid w:val="00D339A5"/>
    <w:rsid w:val="00D3576E"/>
    <w:rsid w:val="00D35F1C"/>
    <w:rsid w:val="00D35FD6"/>
    <w:rsid w:val="00D36CBD"/>
    <w:rsid w:val="00D3700A"/>
    <w:rsid w:val="00D371E9"/>
    <w:rsid w:val="00D40315"/>
    <w:rsid w:val="00D4212A"/>
    <w:rsid w:val="00D42793"/>
    <w:rsid w:val="00D42BFC"/>
    <w:rsid w:val="00D43C5E"/>
    <w:rsid w:val="00D44D0B"/>
    <w:rsid w:val="00D46195"/>
    <w:rsid w:val="00D46FA3"/>
    <w:rsid w:val="00D47237"/>
    <w:rsid w:val="00D47265"/>
    <w:rsid w:val="00D50740"/>
    <w:rsid w:val="00D51F27"/>
    <w:rsid w:val="00D52503"/>
    <w:rsid w:val="00D53E94"/>
    <w:rsid w:val="00D55814"/>
    <w:rsid w:val="00D56528"/>
    <w:rsid w:val="00D57849"/>
    <w:rsid w:val="00D61BE3"/>
    <w:rsid w:val="00D61DC6"/>
    <w:rsid w:val="00D63FF3"/>
    <w:rsid w:val="00D6448D"/>
    <w:rsid w:val="00D65390"/>
    <w:rsid w:val="00D65583"/>
    <w:rsid w:val="00D65A6E"/>
    <w:rsid w:val="00D7050C"/>
    <w:rsid w:val="00D756A7"/>
    <w:rsid w:val="00D764D3"/>
    <w:rsid w:val="00D76F31"/>
    <w:rsid w:val="00D80BA4"/>
    <w:rsid w:val="00D8531B"/>
    <w:rsid w:val="00D867DC"/>
    <w:rsid w:val="00D8721C"/>
    <w:rsid w:val="00D87C53"/>
    <w:rsid w:val="00D91699"/>
    <w:rsid w:val="00D92A21"/>
    <w:rsid w:val="00D92B15"/>
    <w:rsid w:val="00D92D06"/>
    <w:rsid w:val="00D93425"/>
    <w:rsid w:val="00D94BDD"/>
    <w:rsid w:val="00D95299"/>
    <w:rsid w:val="00D95423"/>
    <w:rsid w:val="00D966A4"/>
    <w:rsid w:val="00DA18F0"/>
    <w:rsid w:val="00DA1A29"/>
    <w:rsid w:val="00DA6020"/>
    <w:rsid w:val="00DA61D1"/>
    <w:rsid w:val="00DA7A6F"/>
    <w:rsid w:val="00DB12BF"/>
    <w:rsid w:val="00DB1D7A"/>
    <w:rsid w:val="00DB2269"/>
    <w:rsid w:val="00DB3B86"/>
    <w:rsid w:val="00DB3F97"/>
    <w:rsid w:val="00DB7EAA"/>
    <w:rsid w:val="00DC0802"/>
    <w:rsid w:val="00DC2024"/>
    <w:rsid w:val="00DC4B9E"/>
    <w:rsid w:val="00DC53BF"/>
    <w:rsid w:val="00DC5FA5"/>
    <w:rsid w:val="00DC6326"/>
    <w:rsid w:val="00DC6810"/>
    <w:rsid w:val="00DC7C85"/>
    <w:rsid w:val="00DC7E48"/>
    <w:rsid w:val="00DD3254"/>
    <w:rsid w:val="00DD61C5"/>
    <w:rsid w:val="00DD7077"/>
    <w:rsid w:val="00DD7BF7"/>
    <w:rsid w:val="00DE0118"/>
    <w:rsid w:val="00DE0D6D"/>
    <w:rsid w:val="00DE2F14"/>
    <w:rsid w:val="00DE318A"/>
    <w:rsid w:val="00DE5D9B"/>
    <w:rsid w:val="00DE609C"/>
    <w:rsid w:val="00DE63E8"/>
    <w:rsid w:val="00DE75D0"/>
    <w:rsid w:val="00DF434C"/>
    <w:rsid w:val="00DF6AB4"/>
    <w:rsid w:val="00E00099"/>
    <w:rsid w:val="00E00730"/>
    <w:rsid w:val="00E02307"/>
    <w:rsid w:val="00E04CA1"/>
    <w:rsid w:val="00E06AD2"/>
    <w:rsid w:val="00E07907"/>
    <w:rsid w:val="00E13A98"/>
    <w:rsid w:val="00E13D3E"/>
    <w:rsid w:val="00E151B7"/>
    <w:rsid w:val="00E15476"/>
    <w:rsid w:val="00E16CA1"/>
    <w:rsid w:val="00E22171"/>
    <w:rsid w:val="00E242C6"/>
    <w:rsid w:val="00E246BE"/>
    <w:rsid w:val="00E26D34"/>
    <w:rsid w:val="00E27141"/>
    <w:rsid w:val="00E278DF"/>
    <w:rsid w:val="00E279E4"/>
    <w:rsid w:val="00E27C3E"/>
    <w:rsid w:val="00E27D10"/>
    <w:rsid w:val="00E27E89"/>
    <w:rsid w:val="00E30F1F"/>
    <w:rsid w:val="00E31627"/>
    <w:rsid w:val="00E34A29"/>
    <w:rsid w:val="00E35667"/>
    <w:rsid w:val="00E3627D"/>
    <w:rsid w:val="00E37E58"/>
    <w:rsid w:val="00E404F6"/>
    <w:rsid w:val="00E40FB9"/>
    <w:rsid w:val="00E43F61"/>
    <w:rsid w:val="00E44526"/>
    <w:rsid w:val="00E4703E"/>
    <w:rsid w:val="00E47353"/>
    <w:rsid w:val="00E47653"/>
    <w:rsid w:val="00E52D03"/>
    <w:rsid w:val="00E53E8F"/>
    <w:rsid w:val="00E54490"/>
    <w:rsid w:val="00E54BAE"/>
    <w:rsid w:val="00E553CD"/>
    <w:rsid w:val="00E557ED"/>
    <w:rsid w:val="00E55FC1"/>
    <w:rsid w:val="00E561B7"/>
    <w:rsid w:val="00E56209"/>
    <w:rsid w:val="00E56391"/>
    <w:rsid w:val="00E5655F"/>
    <w:rsid w:val="00E56B77"/>
    <w:rsid w:val="00E57214"/>
    <w:rsid w:val="00E6028A"/>
    <w:rsid w:val="00E608CD"/>
    <w:rsid w:val="00E62225"/>
    <w:rsid w:val="00E6634C"/>
    <w:rsid w:val="00E7105B"/>
    <w:rsid w:val="00E71A01"/>
    <w:rsid w:val="00E72199"/>
    <w:rsid w:val="00E726E2"/>
    <w:rsid w:val="00E730F6"/>
    <w:rsid w:val="00E737FA"/>
    <w:rsid w:val="00E771AB"/>
    <w:rsid w:val="00E7776E"/>
    <w:rsid w:val="00E8216A"/>
    <w:rsid w:val="00E8327D"/>
    <w:rsid w:val="00E83281"/>
    <w:rsid w:val="00E83CA9"/>
    <w:rsid w:val="00E83EEE"/>
    <w:rsid w:val="00E84197"/>
    <w:rsid w:val="00E85C22"/>
    <w:rsid w:val="00E8678E"/>
    <w:rsid w:val="00E86C98"/>
    <w:rsid w:val="00E936D9"/>
    <w:rsid w:val="00E936DC"/>
    <w:rsid w:val="00E93B27"/>
    <w:rsid w:val="00E9453B"/>
    <w:rsid w:val="00E94A36"/>
    <w:rsid w:val="00E95090"/>
    <w:rsid w:val="00E95186"/>
    <w:rsid w:val="00E953BD"/>
    <w:rsid w:val="00E97489"/>
    <w:rsid w:val="00EA05F9"/>
    <w:rsid w:val="00EA1935"/>
    <w:rsid w:val="00EA1DD2"/>
    <w:rsid w:val="00EA24B7"/>
    <w:rsid w:val="00EA2FB2"/>
    <w:rsid w:val="00EA497F"/>
    <w:rsid w:val="00EA59B0"/>
    <w:rsid w:val="00EA6563"/>
    <w:rsid w:val="00EA660B"/>
    <w:rsid w:val="00EA6D0E"/>
    <w:rsid w:val="00EB0F7B"/>
    <w:rsid w:val="00EB10F6"/>
    <w:rsid w:val="00EB1AD5"/>
    <w:rsid w:val="00EB418B"/>
    <w:rsid w:val="00EB42F5"/>
    <w:rsid w:val="00EB4D01"/>
    <w:rsid w:val="00EB51EB"/>
    <w:rsid w:val="00EB5BE2"/>
    <w:rsid w:val="00EC0540"/>
    <w:rsid w:val="00EC1BAD"/>
    <w:rsid w:val="00EC2C48"/>
    <w:rsid w:val="00EC2E32"/>
    <w:rsid w:val="00EC434C"/>
    <w:rsid w:val="00EC43EB"/>
    <w:rsid w:val="00EC6938"/>
    <w:rsid w:val="00ED0432"/>
    <w:rsid w:val="00ED0D04"/>
    <w:rsid w:val="00ED1072"/>
    <w:rsid w:val="00ED135E"/>
    <w:rsid w:val="00ED1649"/>
    <w:rsid w:val="00ED33E9"/>
    <w:rsid w:val="00ED44DC"/>
    <w:rsid w:val="00ED549F"/>
    <w:rsid w:val="00ED6520"/>
    <w:rsid w:val="00ED6A66"/>
    <w:rsid w:val="00ED6BD3"/>
    <w:rsid w:val="00ED76E6"/>
    <w:rsid w:val="00EE050B"/>
    <w:rsid w:val="00EE063D"/>
    <w:rsid w:val="00EE3E12"/>
    <w:rsid w:val="00EE3F96"/>
    <w:rsid w:val="00EE4013"/>
    <w:rsid w:val="00EE6D3C"/>
    <w:rsid w:val="00EE79B8"/>
    <w:rsid w:val="00EE7AC4"/>
    <w:rsid w:val="00EF780F"/>
    <w:rsid w:val="00F0299C"/>
    <w:rsid w:val="00F047D9"/>
    <w:rsid w:val="00F05174"/>
    <w:rsid w:val="00F0518A"/>
    <w:rsid w:val="00F054E9"/>
    <w:rsid w:val="00F055AB"/>
    <w:rsid w:val="00F05F95"/>
    <w:rsid w:val="00F060AF"/>
    <w:rsid w:val="00F1119E"/>
    <w:rsid w:val="00F113C8"/>
    <w:rsid w:val="00F145AB"/>
    <w:rsid w:val="00F14787"/>
    <w:rsid w:val="00F206BB"/>
    <w:rsid w:val="00F207FD"/>
    <w:rsid w:val="00F22E0A"/>
    <w:rsid w:val="00F25118"/>
    <w:rsid w:val="00F25482"/>
    <w:rsid w:val="00F255FF"/>
    <w:rsid w:val="00F25E8B"/>
    <w:rsid w:val="00F25FF7"/>
    <w:rsid w:val="00F27007"/>
    <w:rsid w:val="00F30096"/>
    <w:rsid w:val="00F3108D"/>
    <w:rsid w:val="00F31630"/>
    <w:rsid w:val="00F322BE"/>
    <w:rsid w:val="00F3672C"/>
    <w:rsid w:val="00F4160C"/>
    <w:rsid w:val="00F41BCB"/>
    <w:rsid w:val="00F42C75"/>
    <w:rsid w:val="00F437E2"/>
    <w:rsid w:val="00F43A7A"/>
    <w:rsid w:val="00F43F13"/>
    <w:rsid w:val="00F44C9C"/>
    <w:rsid w:val="00F45C9D"/>
    <w:rsid w:val="00F460D0"/>
    <w:rsid w:val="00F50EBC"/>
    <w:rsid w:val="00F50EDE"/>
    <w:rsid w:val="00F51AA5"/>
    <w:rsid w:val="00F52E14"/>
    <w:rsid w:val="00F54226"/>
    <w:rsid w:val="00F5504A"/>
    <w:rsid w:val="00F57A3B"/>
    <w:rsid w:val="00F608F7"/>
    <w:rsid w:val="00F60CEA"/>
    <w:rsid w:val="00F61097"/>
    <w:rsid w:val="00F613CA"/>
    <w:rsid w:val="00F63FD6"/>
    <w:rsid w:val="00F6404F"/>
    <w:rsid w:val="00F640D7"/>
    <w:rsid w:val="00F67453"/>
    <w:rsid w:val="00F71211"/>
    <w:rsid w:val="00F714A8"/>
    <w:rsid w:val="00F71982"/>
    <w:rsid w:val="00F731ED"/>
    <w:rsid w:val="00F73ED9"/>
    <w:rsid w:val="00F75289"/>
    <w:rsid w:val="00F75508"/>
    <w:rsid w:val="00F75FE8"/>
    <w:rsid w:val="00F76654"/>
    <w:rsid w:val="00F76E2E"/>
    <w:rsid w:val="00F779D0"/>
    <w:rsid w:val="00F82836"/>
    <w:rsid w:val="00F8328C"/>
    <w:rsid w:val="00F83D00"/>
    <w:rsid w:val="00F84389"/>
    <w:rsid w:val="00F85272"/>
    <w:rsid w:val="00F86323"/>
    <w:rsid w:val="00F86931"/>
    <w:rsid w:val="00F9061D"/>
    <w:rsid w:val="00F90937"/>
    <w:rsid w:val="00F913B0"/>
    <w:rsid w:val="00F9277D"/>
    <w:rsid w:val="00F92A58"/>
    <w:rsid w:val="00F935DD"/>
    <w:rsid w:val="00F958ED"/>
    <w:rsid w:val="00F969A2"/>
    <w:rsid w:val="00F97F73"/>
    <w:rsid w:val="00FA381A"/>
    <w:rsid w:val="00FA5CD0"/>
    <w:rsid w:val="00FA6704"/>
    <w:rsid w:val="00FA7B89"/>
    <w:rsid w:val="00FA7F8D"/>
    <w:rsid w:val="00FB0606"/>
    <w:rsid w:val="00FB5E68"/>
    <w:rsid w:val="00FB74C7"/>
    <w:rsid w:val="00FC06B0"/>
    <w:rsid w:val="00FC0E2A"/>
    <w:rsid w:val="00FC42C5"/>
    <w:rsid w:val="00FD16DF"/>
    <w:rsid w:val="00FD2565"/>
    <w:rsid w:val="00FD3AE5"/>
    <w:rsid w:val="00FD4315"/>
    <w:rsid w:val="00FD6428"/>
    <w:rsid w:val="00FD7109"/>
    <w:rsid w:val="00FE06F3"/>
    <w:rsid w:val="00FE0D5C"/>
    <w:rsid w:val="00FE3AE5"/>
    <w:rsid w:val="00FE43B8"/>
    <w:rsid w:val="00FE46A8"/>
    <w:rsid w:val="00FE4D4A"/>
    <w:rsid w:val="00FF0DF0"/>
    <w:rsid w:val="00FF1467"/>
    <w:rsid w:val="00FF1EB8"/>
    <w:rsid w:val="00FF2266"/>
    <w:rsid w:val="00FF34C1"/>
    <w:rsid w:val="00FF3602"/>
    <w:rsid w:val="00FF48F4"/>
    <w:rsid w:val="00FF5135"/>
    <w:rsid w:val="00FF540D"/>
    <w:rsid w:val="00FF5E96"/>
    <w:rsid w:val="00FF7968"/>
    <w:rsid w:val="0FBB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name="toc 4"/>
    <w:lsdException w:qFormat="1" w:uiPriority="39" w:name="toc 5"/>
    <w:lsdException w:qFormat="1" w:uiPriority="39" w:name="toc 6"/>
    <w:lsdException w:qFormat="1" w:uiPriority="39" w:name="toc 7"/>
    <w:lsdException w:qFormat="1" w:uiPriority="39" w:name="toc 8"/>
    <w:lsdException w:qFormat="1"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qFormat="1" w:uiPriority="62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qFormat="1" w:uiPriority="66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qFormat="1" w:uiPriority="7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6"/>
    <w:qFormat/>
    <w:uiPriority w:val="9"/>
    <w:pPr>
      <w:keepNext/>
      <w:keepLines/>
      <w:pageBreakBefore/>
      <w:numPr>
        <w:ilvl w:val="0"/>
        <w:numId w:val="1"/>
      </w:numPr>
      <w:spacing w:before="340" w:after="330"/>
      <w:outlineLvl w:val="0"/>
    </w:pPr>
    <w:rPr>
      <w:rFonts w:eastAsia="微软雅黑" w:cs="宋体"/>
      <w:b/>
      <w:bCs/>
      <w:kern w:val="44"/>
      <w:sz w:val="32"/>
      <w:szCs w:val="44"/>
      <w:lang w:val="zh-CN" w:eastAsia="zh-CN"/>
    </w:rPr>
  </w:style>
  <w:style w:type="paragraph" w:styleId="3">
    <w:name w:val="heading 2"/>
    <w:basedOn w:val="1"/>
    <w:next w:val="1"/>
    <w:link w:val="37"/>
    <w:unhideWhenUsed/>
    <w:qFormat/>
    <w:uiPriority w:val="9"/>
    <w:pPr>
      <w:keepNext/>
      <w:keepLines/>
      <w:numPr>
        <w:ilvl w:val="0"/>
        <w:numId w:val="2"/>
      </w:numPr>
      <w:spacing w:before="260" w:after="260"/>
      <w:outlineLvl w:val="1"/>
    </w:pPr>
    <w:rPr>
      <w:rFonts w:ascii="微软雅黑" w:hAnsi="微软雅黑" w:eastAsia="微软雅黑" w:cs="宋体"/>
      <w:b/>
      <w:bCs/>
      <w:kern w:val="0"/>
      <w:sz w:val="24"/>
      <w:szCs w:val="32"/>
      <w:lang w:val="zh-CN" w:eastAsia="zh-CN"/>
    </w:rPr>
  </w:style>
  <w:style w:type="paragraph" w:styleId="4">
    <w:name w:val="heading 3"/>
    <w:basedOn w:val="1"/>
    <w:next w:val="1"/>
    <w:link w:val="51"/>
    <w:unhideWhenUsed/>
    <w:qFormat/>
    <w:uiPriority w:val="9"/>
    <w:pPr>
      <w:keepNext/>
      <w:keepLines/>
      <w:numPr>
        <w:ilvl w:val="0"/>
        <w:numId w:val="3"/>
      </w:numPr>
      <w:spacing w:before="260" w:after="260"/>
      <w:outlineLvl w:val="2"/>
    </w:pPr>
    <w:rPr>
      <w:rFonts w:ascii="微软雅黑" w:hAnsi="微软雅黑" w:eastAsia="微软雅黑"/>
      <w:b/>
      <w:bCs/>
      <w:sz w:val="24"/>
      <w:szCs w:val="32"/>
    </w:rPr>
  </w:style>
  <w:style w:type="paragraph" w:styleId="5">
    <w:name w:val="heading 4"/>
    <w:basedOn w:val="1"/>
    <w:next w:val="1"/>
    <w:link w:val="57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30">
    <w:name w:val="Default Paragraph Font"/>
    <w:semiHidden/>
    <w:unhideWhenUsed/>
    <w:uiPriority w:val="1"/>
  </w:style>
  <w:style w:type="table" w:default="1" w:styleId="2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semiHidden/>
    <w:unhideWhenUsed/>
    <w:qFormat/>
    <w:uiPriority w:val="39"/>
    <w:pPr>
      <w:ind w:left="2520" w:leftChars="1200"/>
    </w:pPr>
  </w:style>
  <w:style w:type="paragraph" w:styleId="7">
    <w:name w:val="Document Map"/>
    <w:basedOn w:val="1"/>
    <w:link w:val="41"/>
    <w:unhideWhenUsed/>
    <w:qFormat/>
    <w:uiPriority w:val="99"/>
    <w:rPr>
      <w:rFonts w:ascii="宋体"/>
      <w:sz w:val="18"/>
      <w:szCs w:val="18"/>
      <w:lang w:val="zh-CN" w:eastAsia="zh-CN"/>
    </w:rPr>
  </w:style>
  <w:style w:type="paragraph" w:styleId="8">
    <w:name w:val="annotation text"/>
    <w:basedOn w:val="1"/>
    <w:link w:val="65"/>
    <w:semiHidden/>
    <w:unhideWhenUsed/>
    <w:qFormat/>
    <w:uiPriority w:val="99"/>
    <w:pPr>
      <w:jc w:val="left"/>
    </w:pPr>
  </w:style>
  <w:style w:type="paragraph" w:styleId="9">
    <w:name w:val="toc 5"/>
    <w:basedOn w:val="1"/>
    <w:next w:val="1"/>
    <w:semiHidden/>
    <w:unhideWhenUsed/>
    <w:qFormat/>
    <w:uiPriority w:val="39"/>
    <w:pPr>
      <w:ind w:left="1680" w:leftChars="800"/>
    </w:pPr>
  </w:style>
  <w:style w:type="paragraph" w:styleId="10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1">
    <w:name w:val="toc 8"/>
    <w:basedOn w:val="1"/>
    <w:next w:val="1"/>
    <w:semiHidden/>
    <w:unhideWhenUsed/>
    <w:qFormat/>
    <w:uiPriority w:val="39"/>
    <w:pPr>
      <w:ind w:left="2940" w:leftChars="1400"/>
    </w:pPr>
  </w:style>
  <w:style w:type="paragraph" w:styleId="12">
    <w:name w:val="Date"/>
    <w:basedOn w:val="1"/>
    <w:next w:val="1"/>
    <w:link w:val="56"/>
    <w:semiHidden/>
    <w:unhideWhenUsed/>
    <w:qFormat/>
    <w:uiPriority w:val="99"/>
    <w:pPr>
      <w:ind w:left="100" w:leftChars="2500"/>
    </w:pPr>
    <w:rPr>
      <w:rFonts w:asciiTheme="minorHAnsi" w:hAnsiTheme="minorHAnsi" w:eastAsiaTheme="minorEastAsia" w:cstheme="minorBidi"/>
    </w:rPr>
  </w:style>
  <w:style w:type="paragraph" w:styleId="13">
    <w:name w:val="Balloon Text"/>
    <w:basedOn w:val="1"/>
    <w:link w:val="42"/>
    <w:semiHidden/>
    <w:unhideWhenUsed/>
    <w:qFormat/>
    <w:uiPriority w:val="99"/>
    <w:rPr>
      <w:kern w:val="0"/>
      <w:sz w:val="18"/>
      <w:szCs w:val="18"/>
      <w:lang w:val="zh-CN" w:eastAsia="zh-CN"/>
    </w:rPr>
  </w:style>
  <w:style w:type="paragraph" w:styleId="14">
    <w:name w:val="footer"/>
    <w:basedOn w:val="1"/>
    <w:link w:val="4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  <w:lang w:val="zh-CN" w:eastAsia="zh-CN"/>
    </w:rPr>
  </w:style>
  <w:style w:type="paragraph" w:styleId="15">
    <w:name w:val="header"/>
    <w:basedOn w:val="1"/>
    <w:link w:val="3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  <w:lang w:val="zh-CN" w:eastAsia="zh-CN"/>
    </w:rPr>
  </w:style>
  <w:style w:type="paragraph" w:styleId="16">
    <w:name w:val="toc 1"/>
    <w:basedOn w:val="1"/>
    <w:next w:val="1"/>
    <w:unhideWhenUsed/>
    <w:qFormat/>
    <w:uiPriority w:val="39"/>
  </w:style>
  <w:style w:type="paragraph" w:styleId="17">
    <w:name w:val="toc 4"/>
    <w:basedOn w:val="1"/>
    <w:next w:val="1"/>
    <w:semiHidden/>
    <w:unhideWhenUsed/>
    <w:qFormat/>
    <w:uiPriority w:val="39"/>
    <w:pPr>
      <w:ind w:left="1260" w:leftChars="600"/>
    </w:pPr>
  </w:style>
  <w:style w:type="paragraph" w:styleId="18">
    <w:name w:val="Subtitle"/>
    <w:basedOn w:val="1"/>
    <w:next w:val="1"/>
    <w:link w:val="50"/>
    <w:qFormat/>
    <w:uiPriority w:val="11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19">
    <w:name w:val="toc 6"/>
    <w:basedOn w:val="1"/>
    <w:next w:val="1"/>
    <w:semiHidden/>
    <w:unhideWhenUsed/>
    <w:qFormat/>
    <w:uiPriority w:val="39"/>
    <w:pPr>
      <w:ind w:left="2100" w:leftChars="1000"/>
    </w:pPr>
  </w:style>
  <w:style w:type="paragraph" w:styleId="2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1">
    <w:name w:val="toc 9"/>
    <w:basedOn w:val="1"/>
    <w:next w:val="1"/>
    <w:semiHidden/>
    <w:unhideWhenUsed/>
    <w:qFormat/>
    <w:uiPriority w:val="39"/>
    <w:pPr>
      <w:ind w:left="3360" w:leftChars="1600"/>
    </w:pPr>
  </w:style>
  <w:style w:type="paragraph" w:styleId="22">
    <w:name w:val="HTML Preformatted"/>
    <w:basedOn w:val="1"/>
    <w:link w:val="38"/>
    <w:semiHidden/>
    <w:unhideWhenUsed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eastAsia="Times New Roman" w:cs="Courier New"/>
      <w:kern w:val="0"/>
      <w:sz w:val="20"/>
      <w:szCs w:val="20"/>
    </w:rPr>
  </w:style>
  <w:style w:type="paragraph" w:styleId="23">
    <w:name w:val="Title"/>
    <w:basedOn w:val="1"/>
    <w:next w:val="1"/>
    <w:link w:val="49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24">
    <w:name w:val="annotation subject"/>
    <w:basedOn w:val="8"/>
    <w:next w:val="8"/>
    <w:link w:val="66"/>
    <w:semiHidden/>
    <w:unhideWhenUsed/>
    <w:qFormat/>
    <w:uiPriority w:val="99"/>
    <w:rPr>
      <w:b/>
      <w:bCs/>
    </w:rPr>
  </w:style>
  <w:style w:type="table" w:styleId="26">
    <w:name w:val="Table Grid"/>
    <w:basedOn w:val="25"/>
    <w:qFormat/>
    <w:uiPriority w:val="39"/>
    <w:rPr>
      <w:rFonts w:ascii="Calibri" w:hAnsi="Calibri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27">
    <w:name w:val="Light Grid Accent 4"/>
    <w:basedOn w:val="25"/>
    <w:semiHidden/>
    <w:unhideWhenUsed/>
    <w:qFormat/>
    <w:uiPriority w:val="62"/>
    <w:rPr>
      <w:rFonts w:ascii="Calibri" w:hAnsi="Calibri" w:eastAsia="宋体" w:cs="Times New Roman"/>
      <w:kern w:val="0"/>
      <w:sz w:val="20"/>
      <w:szCs w:val="20"/>
    </w:rPr>
    <w:tblPr>
      <w:tblBorders>
        <w:top w:val="single" w:color="FFC000" w:sz="8" w:space="0"/>
        <w:left w:val="single" w:color="FFC000" w:sz="8" w:space="0"/>
        <w:bottom w:val="single" w:color="FFC000" w:sz="8" w:space="0"/>
        <w:right w:val="single" w:color="FFC000" w:sz="8" w:space="0"/>
        <w:insideH w:val="single" w:color="FFC000" w:sz="8" w:space="0"/>
        <w:insideV w:val="single" w:color="FFC000" w:sz="8" w:space="0"/>
      </w:tblBorders>
    </w:tblPr>
    <w:tblStylePr w:type="firstRow">
      <w:pPr>
        <w:spacing w:before="0" w:beforeLines="0" w:beforeAutospacing="0" w:after="0" w:afterLines="0" w:afterAutospacing="0" w:line="240" w:lineRule="auto"/>
      </w:pPr>
      <w:rPr>
        <w:rFonts w:hint="default" w:ascii="Calibri Light" w:hAnsi="Calibri Light" w:eastAsia="宋体" w:cs="Times New Roman"/>
        <w:b/>
        <w:bCs/>
      </w:rPr>
      <w:tblPr/>
      <w:tcPr>
        <w:tcBorders>
          <w:top w:val="single" w:color="FFC000" w:sz="8" w:space="0"/>
          <w:left w:val="single" w:color="FFC000" w:sz="8" w:space="0"/>
          <w:bottom w:val="single" w:color="FFC000" w:sz="18" w:space="0"/>
          <w:right w:val="single" w:color="FFC000" w:sz="8" w:space="0"/>
          <w:insideH w:val="nil"/>
          <w:insideV w:val="single" w:sz="8" w:space="0"/>
        </w:tcBorders>
      </w:tcPr>
    </w:tblStylePr>
    <w:tblStylePr w:type="lastRow">
      <w:pPr>
        <w:spacing w:before="0" w:beforeLines="0" w:beforeAutospacing="0" w:after="0" w:afterLines="0" w:afterAutospacing="0" w:line="240" w:lineRule="auto"/>
      </w:pPr>
      <w:rPr>
        <w:rFonts w:hint="default" w:ascii="Calibri Light" w:hAnsi="Calibri Light" w:eastAsia="宋体" w:cs="Times New Roman"/>
        <w:b/>
        <w:bCs/>
      </w:rPr>
      <w:tblPr/>
      <w:tcPr>
        <w:tcBorders>
          <w:top w:val="double" w:color="FFC000" w:sz="6" w:space="0"/>
          <w:left w:val="single" w:color="FFC000" w:sz="8" w:space="0"/>
          <w:bottom w:val="single" w:color="FFC000" w:sz="8" w:space="0"/>
          <w:right w:val="single" w:color="FFC000" w:sz="8" w:space="0"/>
          <w:insideH w:val="nil"/>
          <w:insideV w:val="single" w:sz="8" w:space="0"/>
        </w:tcBorders>
      </w:tcPr>
    </w:tblStylePr>
    <w:tblStylePr w:type="firstCol">
      <w:rPr>
        <w:rFonts w:hint="default" w:ascii="Calibri Light" w:hAnsi="Calibri Light" w:eastAsia="宋体" w:cs="Times New Roman"/>
        <w:b/>
        <w:bCs/>
      </w:rPr>
    </w:tblStylePr>
    <w:tblStylePr w:type="lastCol">
      <w:rPr>
        <w:rFonts w:hint="default" w:ascii="Calibri Light" w:hAnsi="Calibri Light" w:eastAsia="宋体" w:cs="Times New Roman"/>
        <w:b/>
        <w:bCs/>
      </w:rPr>
      <w:tblPr/>
      <w:tcPr>
        <w:tcBorders>
          <w:top w:val="single" w:color="FFC000" w:sz="8" w:space="0"/>
          <w:left w:val="single" w:color="FFC000" w:sz="8" w:space="0"/>
          <w:bottom w:val="single" w:color="FFC000" w:sz="8" w:space="0"/>
          <w:right w:val="single" w:color="FFC000" w:sz="8" w:space="0"/>
        </w:tcBorders>
      </w:tcPr>
    </w:tblStylePr>
    <w:tblStylePr w:type="band1Vert">
      <w:tblPr/>
      <w:tcPr>
        <w:tcBorders>
          <w:top w:val="single" w:color="FFC000" w:sz="8" w:space="0"/>
          <w:left w:val="single" w:color="FFC000" w:sz="8" w:space="0"/>
          <w:bottom w:val="single" w:color="FFC000" w:sz="8" w:space="0"/>
          <w:right w:val="single" w:color="FFC000" w:sz="8" w:space="0"/>
        </w:tcBorders>
        <w:shd w:val="clear" w:color="auto" w:fill="FFEFC0"/>
      </w:tcPr>
    </w:tblStylePr>
    <w:tblStylePr w:type="band1Horz">
      <w:tblPr/>
      <w:tcPr>
        <w:tcBorders>
          <w:top w:val="single" w:color="FFC000" w:sz="8" w:space="0"/>
          <w:left w:val="single" w:color="FFC000" w:sz="8" w:space="0"/>
          <w:bottom w:val="single" w:color="FFC000" w:sz="8" w:space="0"/>
          <w:right w:val="single" w:color="FFC000" w:sz="8" w:space="0"/>
          <w:insideV w:val="single" w:sz="8" w:space="0"/>
        </w:tcBorders>
        <w:shd w:val="clear" w:color="auto" w:fill="FFEFC0"/>
      </w:tcPr>
    </w:tblStylePr>
    <w:tblStylePr w:type="band2Horz">
      <w:tblPr/>
      <w:tcPr>
        <w:tcBorders>
          <w:top w:val="single" w:color="FFC000" w:sz="8" w:space="0"/>
          <w:left w:val="single" w:color="FFC000" w:sz="8" w:space="0"/>
          <w:bottom w:val="single" w:color="FFC000" w:sz="8" w:space="0"/>
          <w:right w:val="single" w:color="FFC000" w:sz="8" w:space="0"/>
          <w:insideV w:val="single" w:sz="8" w:space="0"/>
        </w:tcBorders>
      </w:tcPr>
    </w:tblStylePr>
  </w:style>
  <w:style w:type="table" w:styleId="28">
    <w:name w:val="Medium List 2 Accent 4"/>
    <w:basedOn w:val="25"/>
    <w:semiHidden/>
    <w:unhideWhenUsed/>
    <w:qFormat/>
    <w:uiPriority w:val="66"/>
    <w:rPr>
      <w:rFonts w:ascii="Calibri Light" w:hAnsi="Calibri Light" w:eastAsia="宋体" w:cs="Times New Roman"/>
      <w:color w:val="000000"/>
      <w:kern w:val="0"/>
      <w:sz w:val="20"/>
      <w:szCs w:val="20"/>
    </w:rPr>
    <w:tblPr>
      <w:tblStyleRowBandSize w:val="1"/>
      <w:tblStyleColBandSize w:val="1"/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FC000" w:sz="24" w:space="0"/>
          <w:right w:val="nil"/>
          <w:insideH w:val="nil"/>
          <w:insideV w:val="nil"/>
        </w:tcBorders>
        <w:shd w:val="clear" w:color="auto" w:fill="CCE8CF"/>
      </w:tcPr>
    </w:tblStylePr>
    <w:tblStylePr w:type="lastRow">
      <w:tblPr/>
      <w:tcPr>
        <w:tcBorders>
          <w:top w:val="single" w:color="FFC000" w:sz="8" w:space="0"/>
          <w:left w:val="nil"/>
          <w:bottom w:val="nil"/>
          <w:right w:val="nil"/>
          <w:insideH w:val="nil"/>
          <w:insideV w:val="nil"/>
        </w:tcBorders>
        <w:shd w:val="clear" w:color="auto" w:fill="CCE8CF"/>
      </w:tcPr>
    </w:tblStylePr>
    <w:tblStylePr w:type="firstCol">
      <w:tblPr/>
      <w:tcPr>
        <w:tcBorders>
          <w:top w:val="nil"/>
          <w:left w:val="nil"/>
          <w:bottom w:val="nil"/>
          <w:right w:val="single" w:color="FFC000" w:sz="8" w:space="0"/>
          <w:insideH w:val="nil"/>
          <w:insideV w:val="nil"/>
        </w:tcBorders>
        <w:shd w:val="clear" w:color="auto" w:fill="CCE8CF"/>
      </w:tcPr>
    </w:tblStylePr>
    <w:tblStylePr w:type="lastCol">
      <w:tblPr/>
      <w:tcPr>
        <w:tcBorders>
          <w:top w:val="nil"/>
          <w:left w:val="single" w:color="FFC000" w:sz="8" w:space="0"/>
          <w:bottom w:val="nil"/>
          <w:right w:val="nil"/>
          <w:insideH w:val="nil"/>
          <w:insideV w:val="nil"/>
        </w:tcBorders>
        <w:shd w:val="clear" w:color="auto" w:fill="CCE8C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/>
      </w:tcPr>
    </w:tblStylePr>
    <w:tblStylePr w:type="nwCell">
      <w:tblPr/>
      <w:tcPr>
        <w:shd w:val="clear" w:color="auto" w:fill="CCE8CF"/>
      </w:tcPr>
    </w:tblStylePr>
    <w:tblStylePr w:type="swCell">
      <w:tblPr/>
      <w:tcPr>
        <w:tcBorders>
          <w:top w:val="nil"/>
        </w:tcBorders>
      </w:tcPr>
    </w:tblStylePr>
  </w:style>
  <w:style w:type="table" w:styleId="29">
    <w:name w:val="Dark List Accent 4"/>
    <w:basedOn w:val="25"/>
    <w:semiHidden/>
    <w:unhideWhenUsed/>
    <w:qFormat/>
    <w:uiPriority w:val="70"/>
    <w:rPr>
      <w:rFonts w:ascii="Calibri" w:hAnsi="Calibri" w:eastAsia="宋体" w:cs="Times New Roman"/>
      <w:color w:val="CCE8CF"/>
      <w:kern w:val="0"/>
      <w:sz w:val="20"/>
      <w:szCs w:val="20"/>
    </w:rPr>
    <w:tblPr>
      <w:tblBorders>
        <w:top w:val="single" w:color="auto" w:sz="2" w:space="0"/>
        <w:left w:val="single" w:color="auto" w:sz="2" w:space="0"/>
        <w:bottom w:val="single" w:color="auto" w:sz="2" w:space="0"/>
        <w:right w:val="single" w:color="auto" w:sz="2" w:space="0"/>
        <w:insideH w:val="single" w:color="auto" w:sz="2" w:space="0"/>
        <w:insideV w:val="single" w:color="auto" w:sz="2" w:space="0"/>
      </w:tblBorders>
    </w:tblPr>
    <w:tcPr>
      <w:shd w:val="clear" w:color="auto" w:fill="FFC000"/>
    </w:tcPr>
    <w:tblStylePr w:type="firstRow">
      <w:rPr>
        <w:b/>
        <w:bCs/>
      </w:rPr>
      <w:tblPr/>
      <w:tcPr>
        <w:tcBorders>
          <w:top w:val="nil"/>
          <w:left w:val="nil"/>
          <w:bottom w:val="single" w:color="CCE8CF" w:sz="18" w:space="0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CCE8CF" w:sz="18" w:space="0"/>
          <w:left w:val="nil"/>
          <w:bottom w:val="nil"/>
          <w:right w:val="nil"/>
          <w:insideH w:val="nil"/>
          <w:insideV w:val="nil"/>
        </w:tcBorders>
        <w:shd w:val="clear" w:color="auto" w:fill="7F5F00"/>
      </w:tcPr>
    </w:tblStylePr>
    <w:tblStylePr w:type="firstCol">
      <w:tblPr/>
      <w:tcPr>
        <w:tcBorders>
          <w:top w:val="nil"/>
          <w:left w:val="nil"/>
          <w:bottom w:val="nil"/>
          <w:right w:val="single" w:color="CCE8CF" w:sz="18" w:space="0"/>
          <w:insideH w:val="nil"/>
          <w:insideV w:val="nil"/>
        </w:tcBorders>
        <w:shd w:val="clear" w:color="auto" w:fill="BF8F00"/>
      </w:tcPr>
    </w:tblStylePr>
    <w:tblStylePr w:type="lastCol">
      <w:tblPr/>
      <w:tcPr>
        <w:tcBorders>
          <w:top w:val="nil"/>
          <w:left w:val="single" w:color="CCE8CF" w:sz="18" w:space="0"/>
          <w:bottom w:val="nil"/>
          <w:right w:val="nil"/>
          <w:insideH w:val="nil"/>
          <w:insideV w:val="nil"/>
        </w:tcBorders>
        <w:shd w:val="clear" w:color="auto" w:fill="BF8F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/>
      </w:tcPr>
    </w:tblStylePr>
  </w:style>
  <w:style w:type="character" w:styleId="31">
    <w:name w:val="Strong"/>
    <w:basedOn w:val="30"/>
    <w:qFormat/>
    <w:uiPriority w:val="22"/>
    <w:rPr>
      <w:b/>
      <w:bCs/>
    </w:rPr>
  </w:style>
  <w:style w:type="character" w:styleId="32">
    <w:name w:val="FollowedHyperlink"/>
    <w:semiHidden/>
    <w:unhideWhenUsed/>
    <w:qFormat/>
    <w:uiPriority w:val="99"/>
    <w:rPr>
      <w:color w:val="954F72"/>
      <w:u w:val="single"/>
    </w:rPr>
  </w:style>
  <w:style w:type="character" w:styleId="33">
    <w:name w:val="Emphasis"/>
    <w:basedOn w:val="30"/>
    <w:qFormat/>
    <w:uiPriority w:val="20"/>
    <w:rPr>
      <w:i/>
      <w:iCs/>
    </w:rPr>
  </w:style>
  <w:style w:type="character" w:styleId="34">
    <w:name w:val="Hyperlink"/>
    <w:unhideWhenUsed/>
    <w:qFormat/>
    <w:uiPriority w:val="99"/>
    <w:rPr>
      <w:color w:val="0563C1"/>
      <w:u w:val="single"/>
    </w:rPr>
  </w:style>
  <w:style w:type="character" w:styleId="35">
    <w:name w:val="annotation reference"/>
    <w:basedOn w:val="30"/>
    <w:semiHidden/>
    <w:unhideWhenUsed/>
    <w:qFormat/>
    <w:uiPriority w:val="99"/>
    <w:rPr>
      <w:sz w:val="21"/>
      <w:szCs w:val="21"/>
    </w:rPr>
  </w:style>
  <w:style w:type="character" w:customStyle="1" w:styleId="36">
    <w:name w:val="标题 1 字符"/>
    <w:basedOn w:val="30"/>
    <w:link w:val="2"/>
    <w:qFormat/>
    <w:uiPriority w:val="9"/>
    <w:rPr>
      <w:rFonts w:ascii="Calibri" w:hAnsi="Calibri" w:eastAsia="微软雅黑" w:cs="宋体"/>
      <w:b/>
      <w:bCs/>
      <w:kern w:val="44"/>
      <w:sz w:val="32"/>
      <w:szCs w:val="44"/>
      <w:lang w:val="zh-CN" w:eastAsia="zh-CN"/>
    </w:rPr>
  </w:style>
  <w:style w:type="character" w:customStyle="1" w:styleId="37">
    <w:name w:val="标题 2 字符"/>
    <w:basedOn w:val="30"/>
    <w:link w:val="3"/>
    <w:uiPriority w:val="9"/>
    <w:rPr>
      <w:rFonts w:ascii="微软雅黑" w:hAnsi="微软雅黑" w:eastAsia="微软雅黑" w:cs="宋体"/>
      <w:b/>
      <w:bCs/>
      <w:kern w:val="0"/>
      <w:sz w:val="24"/>
      <w:szCs w:val="32"/>
      <w:lang w:val="zh-CN" w:eastAsia="zh-CN"/>
    </w:rPr>
  </w:style>
  <w:style w:type="character" w:customStyle="1" w:styleId="38">
    <w:name w:val="HTML 预设格式 字符"/>
    <w:basedOn w:val="30"/>
    <w:link w:val="22"/>
    <w:semiHidden/>
    <w:qFormat/>
    <w:uiPriority w:val="99"/>
    <w:rPr>
      <w:rFonts w:ascii="Courier New" w:hAnsi="Courier New" w:eastAsia="Times New Roman" w:cs="Courier New"/>
      <w:kern w:val="0"/>
      <w:sz w:val="20"/>
      <w:szCs w:val="20"/>
    </w:rPr>
  </w:style>
  <w:style w:type="character" w:customStyle="1" w:styleId="39">
    <w:name w:val="页眉 字符"/>
    <w:basedOn w:val="30"/>
    <w:link w:val="15"/>
    <w:uiPriority w:val="99"/>
    <w:rPr>
      <w:rFonts w:ascii="Calibri" w:hAnsi="Calibri" w:eastAsia="宋体" w:cs="Times New Roman"/>
      <w:kern w:val="0"/>
      <w:sz w:val="18"/>
      <w:szCs w:val="18"/>
      <w:lang w:val="zh-CN" w:eastAsia="zh-CN"/>
    </w:rPr>
  </w:style>
  <w:style w:type="character" w:customStyle="1" w:styleId="40">
    <w:name w:val="页脚 字符"/>
    <w:basedOn w:val="30"/>
    <w:link w:val="14"/>
    <w:uiPriority w:val="99"/>
    <w:rPr>
      <w:rFonts w:ascii="Calibri" w:hAnsi="Calibri" w:eastAsia="宋体" w:cs="Times New Roman"/>
      <w:kern w:val="0"/>
      <w:sz w:val="18"/>
      <w:szCs w:val="18"/>
      <w:lang w:val="zh-CN" w:eastAsia="zh-CN"/>
    </w:rPr>
  </w:style>
  <w:style w:type="character" w:customStyle="1" w:styleId="41">
    <w:name w:val="文档结构图 字符"/>
    <w:basedOn w:val="30"/>
    <w:link w:val="7"/>
    <w:qFormat/>
    <w:uiPriority w:val="99"/>
    <w:rPr>
      <w:rFonts w:ascii="宋体" w:hAnsi="Calibri" w:eastAsia="宋体" w:cs="Times New Roman"/>
      <w:sz w:val="18"/>
      <w:szCs w:val="18"/>
      <w:lang w:val="zh-CN" w:eastAsia="zh-CN"/>
    </w:rPr>
  </w:style>
  <w:style w:type="character" w:customStyle="1" w:styleId="42">
    <w:name w:val="批注框文本 字符"/>
    <w:basedOn w:val="30"/>
    <w:link w:val="13"/>
    <w:semiHidden/>
    <w:qFormat/>
    <w:uiPriority w:val="99"/>
    <w:rPr>
      <w:rFonts w:ascii="Calibri" w:hAnsi="Calibri" w:eastAsia="宋体" w:cs="Times New Roman"/>
      <w:kern w:val="0"/>
      <w:sz w:val="18"/>
      <w:szCs w:val="18"/>
      <w:lang w:val="zh-CN" w:eastAsia="zh-CN"/>
    </w:rPr>
  </w:style>
  <w:style w:type="character" w:customStyle="1" w:styleId="43">
    <w:name w:val="无间隔 字符"/>
    <w:link w:val="44"/>
    <w:qFormat/>
    <w:locked/>
    <w:uiPriority w:val="1"/>
    <w:rPr>
      <w:sz w:val="22"/>
    </w:rPr>
  </w:style>
  <w:style w:type="paragraph" w:styleId="44">
    <w:name w:val="No Spacing"/>
    <w:link w:val="43"/>
    <w:qFormat/>
    <w:uiPriority w:val="1"/>
    <w:rPr>
      <w:rFonts w:asciiTheme="minorHAnsi" w:hAnsiTheme="minorHAnsi" w:eastAsiaTheme="minorEastAsia" w:cstheme="minorBidi"/>
      <w:kern w:val="2"/>
      <w:sz w:val="22"/>
      <w:szCs w:val="22"/>
      <w:lang w:val="en-US" w:eastAsia="zh-CN" w:bidi="ar-SA"/>
    </w:rPr>
  </w:style>
  <w:style w:type="paragraph" w:styleId="45">
    <w:name w:val="List Paragraph"/>
    <w:basedOn w:val="1"/>
    <w:qFormat/>
    <w:uiPriority w:val="34"/>
    <w:pPr>
      <w:ind w:firstLine="420" w:firstLineChars="200"/>
    </w:pPr>
  </w:style>
  <w:style w:type="paragraph" w:customStyle="1" w:styleId="46">
    <w:name w:val="TOC Heading"/>
    <w:basedOn w:val="2"/>
    <w:next w:val="1"/>
    <w:unhideWhenUsed/>
    <w:qFormat/>
    <w:uiPriority w:val="39"/>
    <w:pPr>
      <w:widowControl/>
      <w:spacing w:before="240" w:after="0" w:line="256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kern w:val="0"/>
      <w:szCs w:val="32"/>
    </w:rPr>
  </w:style>
  <w:style w:type="character" w:customStyle="1" w:styleId="47">
    <w:name w:val="HTML 预设格式 Char1"/>
    <w:basedOn w:val="30"/>
    <w:semiHidden/>
    <w:qFormat/>
    <w:uiPriority w:val="99"/>
    <w:rPr>
      <w:rFonts w:hint="default" w:ascii="Courier New" w:hAnsi="Courier New" w:cs="Courier New"/>
      <w:kern w:val="2"/>
    </w:rPr>
  </w:style>
  <w:style w:type="character" w:customStyle="1" w:styleId="48">
    <w:name w:val="apple-converted-space"/>
    <w:basedOn w:val="30"/>
    <w:qFormat/>
    <w:uiPriority w:val="0"/>
  </w:style>
  <w:style w:type="character" w:customStyle="1" w:styleId="49">
    <w:name w:val="标题 字符"/>
    <w:basedOn w:val="30"/>
    <w:link w:val="23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50">
    <w:name w:val="副标题 字符"/>
    <w:basedOn w:val="30"/>
    <w:link w:val="18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51">
    <w:name w:val="标题 3 字符"/>
    <w:basedOn w:val="30"/>
    <w:link w:val="4"/>
    <w:qFormat/>
    <w:uiPriority w:val="9"/>
    <w:rPr>
      <w:rFonts w:ascii="微软雅黑" w:hAnsi="微软雅黑" w:eastAsia="微软雅黑" w:cs="Times New Roman"/>
      <w:b/>
      <w:bCs/>
      <w:sz w:val="24"/>
      <w:szCs w:val="32"/>
    </w:rPr>
  </w:style>
  <w:style w:type="paragraph" w:customStyle="1" w:styleId="52">
    <w:name w:val="Default"/>
    <w:qFormat/>
    <w:uiPriority w:val="0"/>
    <w:pPr>
      <w:widowControl w:val="0"/>
      <w:autoSpaceDE w:val="0"/>
      <w:autoSpaceDN w:val="0"/>
      <w:adjustRightInd w:val="0"/>
    </w:pPr>
    <w:rPr>
      <w:rFonts w:ascii="等线" w:eastAsia="等线" w:cs="等线" w:hAnsiTheme="minorHAnsi"/>
      <w:color w:val="000000"/>
      <w:kern w:val="0"/>
      <w:sz w:val="24"/>
      <w:szCs w:val="24"/>
      <w:lang w:val="en-US" w:eastAsia="zh-CN" w:bidi="ar-SA"/>
    </w:rPr>
  </w:style>
  <w:style w:type="character" w:customStyle="1" w:styleId="53">
    <w:name w:val="Subtle Emphasis"/>
    <w:basedOn w:val="30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54">
    <w:name w:val="Quote"/>
    <w:basedOn w:val="1"/>
    <w:next w:val="1"/>
    <w:link w:val="55"/>
    <w:qFormat/>
    <w:uiPriority w:val="29"/>
    <w:pPr>
      <w:spacing w:before="200" w:after="160"/>
      <w:ind w:left="864" w:right="864"/>
      <w:jc w:val="center"/>
    </w:pPr>
    <w:rPr>
      <w:rFonts w:asciiTheme="minorHAnsi" w:hAnsiTheme="minorHAnsi" w:eastAsiaTheme="minorEastAsia" w:cstheme="min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5">
    <w:name w:val="引用 字符"/>
    <w:basedOn w:val="30"/>
    <w:link w:val="54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6">
    <w:name w:val="日期 字符"/>
    <w:basedOn w:val="30"/>
    <w:link w:val="12"/>
    <w:semiHidden/>
    <w:qFormat/>
    <w:uiPriority w:val="99"/>
  </w:style>
  <w:style w:type="character" w:customStyle="1" w:styleId="57">
    <w:name w:val="标题 4 字符"/>
    <w:basedOn w:val="30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table" w:customStyle="1" w:styleId="58">
    <w:name w:val="Grid Table Light"/>
    <w:basedOn w:val="2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9">
    <w:name w:val="Plain Table 1"/>
    <w:basedOn w:val="25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0">
    <w:name w:val="Grid Table 4 Accent 3"/>
    <w:basedOn w:val="25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character" w:customStyle="1" w:styleId="61">
    <w:name w:val="sc0"/>
    <w:basedOn w:val="30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62">
    <w:name w:val="json_key"/>
    <w:basedOn w:val="30"/>
    <w:qFormat/>
    <w:uiPriority w:val="0"/>
  </w:style>
  <w:style w:type="character" w:customStyle="1" w:styleId="63">
    <w:name w:val="json_string"/>
    <w:basedOn w:val="30"/>
    <w:qFormat/>
    <w:uiPriority w:val="0"/>
  </w:style>
  <w:style w:type="character" w:customStyle="1" w:styleId="64">
    <w:name w:val="未处理的提及1"/>
    <w:basedOn w:val="3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65">
    <w:name w:val="批注文字 字符"/>
    <w:basedOn w:val="30"/>
    <w:link w:val="8"/>
    <w:semiHidden/>
    <w:qFormat/>
    <w:uiPriority w:val="99"/>
    <w:rPr>
      <w:rFonts w:ascii="Calibri" w:hAnsi="Calibri" w:eastAsia="宋体" w:cs="Times New Roman"/>
    </w:rPr>
  </w:style>
  <w:style w:type="character" w:customStyle="1" w:styleId="66">
    <w:name w:val="批注主题 字符"/>
    <w:basedOn w:val="65"/>
    <w:link w:val="24"/>
    <w:semiHidden/>
    <w:qFormat/>
    <w:uiPriority w:val="99"/>
    <w:rPr>
      <w:rFonts w:ascii="Calibri" w:hAnsi="Calibri" w:eastAsia="宋体" w:cs="Times New Roman"/>
      <w:b/>
      <w:bCs/>
    </w:rPr>
  </w:style>
  <w:style w:type="character" w:customStyle="1" w:styleId="67">
    <w:name w:val="Unresolved Mention"/>
    <w:basedOn w:val="3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68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69">
    <w:name w:val="xl6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微软雅黑" w:hAnsi="微软雅黑" w:eastAsia="微软雅黑" w:cs="宋体"/>
      <w:kern w:val="0"/>
      <w:sz w:val="24"/>
      <w:szCs w:val="24"/>
    </w:rPr>
  </w:style>
  <w:style w:type="paragraph" w:customStyle="1" w:styleId="70">
    <w:name w:val="xl6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微软雅黑" w:hAnsi="微软雅黑" w:eastAsia="微软雅黑" w:cs="宋体"/>
      <w:b/>
      <w:bCs/>
      <w:kern w:val="0"/>
      <w:sz w:val="24"/>
      <w:szCs w:val="24"/>
    </w:rPr>
  </w:style>
  <w:style w:type="paragraph" w:customStyle="1" w:styleId="71">
    <w:name w:val="xl6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BDD7EE"/>
      <w:spacing w:before="100" w:beforeAutospacing="1" w:after="100" w:afterAutospacing="1"/>
      <w:jc w:val="center"/>
    </w:pPr>
    <w:rPr>
      <w:rFonts w:ascii="微软雅黑" w:hAnsi="微软雅黑" w:eastAsia="微软雅黑" w:cs="宋体"/>
      <w:b/>
      <w:bCs/>
      <w:kern w:val="0"/>
      <w:sz w:val="24"/>
      <w:szCs w:val="24"/>
    </w:rPr>
  </w:style>
  <w:style w:type="paragraph" w:customStyle="1" w:styleId="72">
    <w:name w:val="xl6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微软雅黑" w:hAnsi="微软雅黑" w:eastAsia="微软雅黑" w:cs="宋体"/>
      <w:color w:val="454545"/>
      <w:kern w:val="0"/>
      <w:sz w:val="24"/>
      <w:szCs w:val="24"/>
    </w:rPr>
  </w:style>
  <w:style w:type="paragraph" w:customStyle="1" w:styleId="73">
    <w:name w:val="xl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微软雅黑" w:hAnsi="微软雅黑" w:eastAsia="微软雅黑" w:cs="宋体"/>
      <w:kern w:val="0"/>
      <w:sz w:val="24"/>
      <w:szCs w:val="24"/>
    </w:rPr>
  </w:style>
  <w:style w:type="paragraph" w:customStyle="1" w:styleId="74">
    <w:name w:val="xl70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微软雅黑" w:hAnsi="微软雅黑" w:eastAsia="微软雅黑" w:cs="宋体"/>
      <w:b/>
      <w:bCs/>
      <w:kern w:val="0"/>
      <w:sz w:val="24"/>
      <w:szCs w:val="24"/>
    </w:rPr>
  </w:style>
  <w:style w:type="paragraph" w:customStyle="1" w:styleId="75">
    <w:name w:val="xl7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微软雅黑" w:hAnsi="微软雅黑" w:eastAsia="微软雅黑" w:cs="宋体"/>
      <w:b/>
      <w:bCs/>
      <w:kern w:val="0"/>
      <w:sz w:val="24"/>
      <w:szCs w:val="24"/>
    </w:rPr>
  </w:style>
  <w:style w:type="paragraph" w:customStyle="1" w:styleId="76">
    <w:name w:val="xl72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微软雅黑" w:hAnsi="微软雅黑" w:eastAsia="微软雅黑" w:cs="宋体"/>
      <w:b/>
      <w:bCs/>
      <w:kern w:val="0"/>
      <w:sz w:val="24"/>
      <w:szCs w:val="24"/>
    </w:rPr>
  </w:style>
  <w:style w:type="paragraph" w:customStyle="1" w:styleId="77">
    <w:name w:val="xl73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微软雅黑" w:hAnsi="微软雅黑" w:eastAsia="微软雅黑" w:cs="宋体"/>
      <w:b/>
      <w:bCs/>
      <w:kern w:val="0"/>
      <w:sz w:val="24"/>
      <w:szCs w:val="24"/>
    </w:rPr>
  </w:style>
  <w:style w:type="character" w:customStyle="1" w:styleId="78">
    <w:name w:val="_3sxisbd1javupalxk2yskv"/>
    <w:basedOn w:val="30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sv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93A3788-3494-4A8A-968C-64F21B0F68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25</Pages>
  <Words>5460</Words>
  <Characters>8632</Characters>
  <Lines>81</Lines>
  <Paragraphs>22</Paragraphs>
  <TotalTime>1381</TotalTime>
  <ScaleCrop>false</ScaleCrop>
  <LinksUpToDate>false</LinksUpToDate>
  <CharactersWithSpaces>8786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2023-09-11T01:37:00Z</dcterms:created>
  <dc:creator>Microsoft</dc:creator>
  <cp:lastModifiedBy>Liamnas、</cp:lastModifiedBy>
  <cp:lastPrinted>2017-12-19T03:08:00Z</cp:lastPrinted>
  <dcterms:modified xsi:type="dcterms:W3CDTF">2023-09-12T10:12:14Z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82F3B0197DBF471CBA18CF6C103DDEF3_13</vt:lpwstr>
  </property>
</Properties>
</file>