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bdr w:val="none" w:color="auto" w:sz="0" w:space="0"/>
        </w:rPr>
        <w:t>一、办理条件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1.公司注册资金100w以上（EDI外资占比可100%）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2.公司名下3名人员近期1个月社保证明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3.有可行性研究报告和相关技术方案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4.网站域名备案必须在公司名下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5.服务器托管要求在本省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rFonts w:hint="eastAsia" w:eastAsia="宋体"/>
          <w:spacing w:val="15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6.网站搭建必须符合办理许可证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15"/>
          <w:bdr w:val="none" w:color="auto" w:sz="0" w:space="0"/>
          <w:lang w:val="en-US" w:eastAsia="zh-CN"/>
        </w:rPr>
        <w:t>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15"/>
          <w:bdr w:val="none" w:color="auto" w:sz="0" w:space="0"/>
        </w:rPr>
        <w:t>二、需要准备什么材料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1、公司营业执照副本复印件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2、公司章程原件（在公司注册地所在的工商局调取盖有工商查询章的章程）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3、股权结构图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4、法人身份证复印件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5、股东身份证复印件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6、专线接入/虚拟空间/主机托管的接入协议及接入商资质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7、管理人员、技术人员的身份证、学历证复印件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8、公司人员社保证明原件（按照各省管局要求而定）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9、域名注册证书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10、域名备案信息（工信部备案网站公共查询打印页和所接入服务商企业侧查询完整页）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rPr>
          <w:spacing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15"/>
          <w:bdr w:val="none" w:color="auto" w:sz="0" w:space="0"/>
        </w:rPr>
        <w:t>11、相应的前置审批文件（涉及新闻、出版、教育、医疗保健、药品、医疗器械、其他按法 律、法规规定需前置审批或专项审批的服务项目需提供本文）复印件【注：若无，则不需提供】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jQyOWJmMjBjNmExY2UzOTJkYTQ1ZmZkMGVjN2EifQ=="/>
  </w:docVars>
  <w:rsids>
    <w:rsidRoot w:val="00000000"/>
    <w:rsid w:val="0F9E6C19"/>
    <w:rsid w:val="38E452E6"/>
    <w:rsid w:val="6E8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1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570</Characters>
  <Lines>0</Lines>
  <Paragraphs>0</Paragraphs>
  <TotalTime>1</TotalTime>
  <ScaleCrop>false</ScaleCrop>
  <LinksUpToDate>false</LinksUpToDate>
  <CharactersWithSpaces>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mayn</dc:creator>
  <cp:lastModifiedBy>许方鹏</cp:lastModifiedBy>
  <dcterms:modified xsi:type="dcterms:W3CDTF">2023-07-12T05:47:04Z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C155BEEA347648048AF7069932FC35F8</vt:lpwstr>
  </property>
</Properties>
</file>