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3"/>
        <w:tblW w:w="0" w:type="auto"/>
        <w:tblInd w:w="0" w:type="dxa"/>
        <w:tblLayout w:type="autofit"/>
        <w:tblCellMar>
          <w:top w:w="0" w:type="dxa"/>
          <w:left w:w="0" w:type="dxa"/>
          <w:bottom w:w="0" w:type="dxa"/>
          <w:right w:w="0" w:type="dxa"/>
        </w:tblCellMar>
      </w:tblPr>
      <w:tblGrid>
        <w:gridCol w:w="1361"/>
        <w:gridCol w:w="1361"/>
        <w:gridCol w:w="1061"/>
        <w:gridCol w:w="4739"/>
      </w:tblGrid>
      <w:tr>
        <w:tblPrEx>
          <w:tblCellMar>
            <w:top w:w="0" w:type="dxa"/>
            <w:left w:w="0" w:type="dxa"/>
            <w:bottom w:w="0" w:type="dxa"/>
            <w:right w:w="0" w:type="dxa"/>
          </w:tblCellMar>
        </w:tblPrEx>
        <w:tc>
          <w:tcPr>
            <w:tcW w:w="12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2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511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2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hint="eastAsia" w:ascii="Calibri" w:hAnsi="Calibri"/>
                <w:color w:val="002060"/>
                <w:sz w:val="24"/>
                <w:szCs w:val="24"/>
              </w:rPr>
              <w:t>Open CASCADE</w:t>
            </w:r>
          </w:p>
        </w:tc>
        <w:tc>
          <w:tcPr>
            <w:tcW w:w="122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7.4.0</w:t>
            </w:r>
          </w:p>
        </w:tc>
        <w:tc>
          <w:tcPr>
            <w:tcW w:w="960"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LGPL</w:t>
            </w:r>
          </w:p>
        </w:tc>
        <w:tc>
          <w:tcPr>
            <w:tcW w:w="5113"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https://dev.opencascade.org/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bookmarkStart w:id="0" w:name="_GoBack"/>
      <w:bookmarkEnd w:id="0"/>
    </w:p>
    <w:p>
      <w:pPr>
        <w:rPr>
          <w:rFonts w:hint="eastAsia"/>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val="0"/>
          <w:iCs/>
          <w:color w:val="auto"/>
        </w:rPr>
      </w:pPr>
      <w:r>
        <w:rPr>
          <w:rFonts w:hint="eastAsia"/>
          <w:i w:val="0"/>
          <w:iCs/>
          <w:color w:val="auto"/>
        </w:rPr>
        <w:t>3DCC基于三维数模的公差仿真 V3.2</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rFonts w:hint="eastAsia"/>
          <w:i/>
          <w:color w:val="auto"/>
        </w:rPr>
      </w:pPr>
      <w:r>
        <w:rPr>
          <w:rFonts w:hint="eastAsia"/>
          <w:i/>
          <w:color w:val="auto"/>
        </w:rPr>
        <w:t>// Created on: 1990-12-13</w:t>
      </w:r>
    </w:p>
    <w:p>
      <w:pPr>
        <w:rPr>
          <w:rFonts w:hint="eastAsia"/>
          <w:i/>
          <w:color w:val="auto"/>
        </w:rPr>
      </w:pPr>
      <w:r>
        <w:rPr>
          <w:rFonts w:hint="eastAsia"/>
          <w:i/>
          <w:color w:val="auto"/>
        </w:rPr>
        <w:t>// Created by: Remi Lequette</w:t>
      </w:r>
    </w:p>
    <w:p>
      <w:pPr>
        <w:rPr>
          <w:rFonts w:hint="eastAsia"/>
          <w:i/>
          <w:color w:val="auto"/>
        </w:rPr>
      </w:pPr>
      <w:r>
        <w:rPr>
          <w:rFonts w:hint="eastAsia"/>
          <w:i/>
          <w:color w:val="auto"/>
        </w:rPr>
        <w:t>// Copyright (c) 1990-1999 Matra Datavision</w:t>
      </w:r>
    </w:p>
    <w:p>
      <w:pPr>
        <w:rPr>
          <w:rFonts w:hint="eastAsia"/>
          <w:i/>
          <w:color w:val="auto"/>
        </w:rPr>
      </w:pPr>
      <w:r>
        <w:rPr>
          <w:rFonts w:hint="eastAsia"/>
          <w:i/>
          <w:color w:val="auto"/>
        </w:rPr>
        <w:t>// Copyright (c) 1999-2014 OPEN CASCADE SAS</w:t>
      </w:r>
    </w:p>
    <w:p>
      <w:pPr>
        <w:rPr>
          <w:rFonts w:hint="eastAsia"/>
          <w:i/>
          <w:color w:val="auto"/>
        </w:rPr>
      </w:pPr>
      <w:r>
        <w:rPr>
          <w:rFonts w:hint="eastAsia"/>
          <w:i/>
          <w:color w:val="auto"/>
        </w:rPr>
        <w:t>//</w:t>
      </w:r>
    </w:p>
    <w:p>
      <w:pPr>
        <w:rPr>
          <w:rFonts w:hint="eastAsia"/>
          <w:i/>
          <w:color w:val="auto"/>
        </w:rPr>
      </w:pPr>
      <w:r>
        <w:rPr>
          <w:rFonts w:hint="eastAsia"/>
          <w:i/>
          <w:color w:val="auto"/>
        </w:rPr>
        <w:t>// This file is part of Open CASCADE Technology software library.</w:t>
      </w:r>
    </w:p>
    <w:p>
      <w:pPr>
        <w:rPr>
          <w:rFonts w:hint="eastAsia"/>
          <w:i/>
          <w:color w:val="auto"/>
        </w:rPr>
      </w:pPr>
      <w:r>
        <w:rPr>
          <w:rFonts w:hint="eastAsia"/>
          <w:i/>
          <w:color w:val="auto"/>
        </w:rPr>
        <w:t>//</w:t>
      </w:r>
    </w:p>
    <w:p>
      <w:pPr>
        <w:rPr>
          <w:rFonts w:hint="eastAsia"/>
          <w:i/>
          <w:color w:val="auto"/>
        </w:rPr>
      </w:pPr>
      <w:r>
        <w:rPr>
          <w:rFonts w:hint="eastAsia"/>
          <w:i/>
          <w:color w:val="auto"/>
        </w:rPr>
        <w:t>// This library is free software; you can redistribute it and/or modify it under</w:t>
      </w:r>
    </w:p>
    <w:p>
      <w:pPr>
        <w:rPr>
          <w:rFonts w:hint="eastAsia"/>
          <w:i/>
          <w:color w:val="auto"/>
        </w:rPr>
      </w:pPr>
      <w:r>
        <w:rPr>
          <w:rFonts w:hint="eastAsia"/>
          <w:i/>
          <w:color w:val="auto"/>
        </w:rPr>
        <w:t>// the terms of the GNU Lesser General Public License version 2.1 as published</w:t>
      </w:r>
    </w:p>
    <w:p>
      <w:pPr>
        <w:rPr>
          <w:rFonts w:hint="eastAsia"/>
          <w:i/>
          <w:color w:val="auto"/>
        </w:rPr>
      </w:pPr>
      <w:r>
        <w:rPr>
          <w:rFonts w:hint="eastAsia"/>
          <w:i/>
          <w:color w:val="auto"/>
        </w:rPr>
        <w:t>// by the Free Software Foundation, with special exception defined in the file</w:t>
      </w:r>
    </w:p>
    <w:p>
      <w:pPr>
        <w:rPr>
          <w:rFonts w:hint="eastAsia"/>
          <w:i/>
          <w:color w:val="auto"/>
        </w:rPr>
      </w:pPr>
      <w:r>
        <w:rPr>
          <w:rFonts w:hint="eastAsia"/>
          <w:i/>
          <w:color w:val="auto"/>
        </w:rPr>
        <w:t>// OCCT_LGPL_EXCEPTION.txt. Consult the file LICENSE_LGPL_21.txt included in OCCT</w:t>
      </w:r>
    </w:p>
    <w:p>
      <w:pPr>
        <w:rPr>
          <w:rFonts w:hint="eastAsia"/>
          <w:i/>
          <w:color w:val="auto"/>
        </w:rPr>
      </w:pPr>
      <w:r>
        <w:rPr>
          <w:rFonts w:hint="eastAsia"/>
          <w:i/>
          <w:color w:val="auto"/>
        </w:rPr>
        <w:t>// distribution for complete text of the license and disclaimer of any warranty.</w:t>
      </w:r>
    </w:p>
    <w:p>
      <w:pPr>
        <w:rPr>
          <w:rFonts w:hint="eastAsia"/>
          <w:i/>
          <w:color w:val="auto"/>
        </w:rPr>
      </w:pPr>
      <w:r>
        <w:rPr>
          <w:rFonts w:hint="eastAsia"/>
          <w:i/>
          <w:color w:val="auto"/>
        </w:rPr>
        <w:t>//</w:t>
      </w:r>
    </w:p>
    <w:p>
      <w:pPr>
        <w:rPr>
          <w:rFonts w:hint="eastAsia"/>
          <w:i/>
          <w:color w:val="auto"/>
        </w:rPr>
      </w:pPr>
      <w:r>
        <w:rPr>
          <w:rFonts w:hint="eastAsia"/>
          <w:i/>
          <w:color w:val="auto"/>
        </w:rPr>
        <w:t>// Alternatively, this file may be used under the terms of Open CASCADE</w:t>
      </w:r>
    </w:p>
    <w:p>
      <w:pPr>
        <w:rPr>
          <w:rFonts w:hint="eastAsia"/>
          <w:i/>
          <w:color w:val="auto"/>
        </w:rPr>
      </w:pPr>
      <w:r>
        <w:rPr>
          <w:rFonts w:hint="eastAsia"/>
          <w:i/>
          <w:color w:val="auto"/>
        </w:rPr>
        <w:t>// commercial license or contractual agreement.</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5"/>
        <w:keepNext w:val="0"/>
        <w:keepLines w:val="0"/>
        <w:widowControl/>
        <w:suppressLineNumbers w:val="0"/>
        <w:ind w:lef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GNU LESSER GENERAL PUBLIC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Version 2.1, February 1999</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Copyright (C) 1991, 1999 Free Software Foundation, Inc. 51 Franklin Street, Fifth Floor, Boston, MA 02110-1301 USA. Everyone is permitted to copy and distribute verbatim copies of this license document, but changing it is not allowed.</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[This is the first released version of the Lesser GPL. It also counts as the successor of the GNU Library Public License, version 2, hence the version number 2.1.]</w:t>
      </w:r>
    </w:p>
    <w:p>
      <w:pPr>
        <w:pStyle w:val="5"/>
        <w:keepNext w:val="0"/>
        <w:keepLines w:val="0"/>
        <w:widowControl/>
        <w:suppressLineNumbers w:val="0"/>
        <w:ind w:lef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PREAMBLE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We protect your rights with a two-step method: (1) we copyright the library, and (2) we offer you this license, which gives you legal permission to copy, distribute and/or modify the library. 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Although the Lesser General Public License is Less protective of the users' freedom, it does ensure that the user of a program that is linked with the Library has the freedom and the wherewithal to run that program using a modified version of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pPr>
        <w:pStyle w:val="5"/>
        <w:keepNext w:val="0"/>
        <w:keepLines w:val="0"/>
        <w:widowControl/>
        <w:suppressLineNumbers w:val="0"/>
        <w:ind w:lef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TERMS AND CONDITIONS FOR COPYING, DISTRIBUTION AND MODIFICATION</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0.</w:t>
      </w:r>
      <w:r>
        <w:rPr>
          <w:rFonts w:hint="default" w:ascii="Verdana" w:hAnsi="Verdana" w:cs="Verdana"/>
          <w:i w:val="0"/>
          <w:iCs w:val="0"/>
          <w:caps w:val="0"/>
          <w:color w:val="000000"/>
          <w:spacing w:val="0"/>
          <w:sz w:val="22"/>
          <w:szCs w:val="22"/>
        </w:rPr>
        <w:t>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A "library" means a collection of software functions and/or data prepared so as to be conveniently linked with application programs (which use some of those functions and data) to form executables.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w:t>
      </w:r>
      <w:r>
        <w:rPr>
          <w:rFonts w:hint="default" w:ascii="Verdana" w:hAnsi="Verdana" w:cs="Verdana"/>
          <w:i w:val="0"/>
          <w:iCs w:val="0"/>
          <w:caps w:val="0"/>
          <w:color w:val="000000"/>
          <w:spacing w:val="0"/>
          <w:sz w:val="22"/>
          <w:szCs w:val="22"/>
        </w:rPr>
        <w:t>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You may charge a fee for the physical act of transferring a copy, and you may at your option offer warranty protection in exchange for a fee.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2.</w:t>
      </w:r>
      <w:r>
        <w:rPr>
          <w:rFonts w:hint="default" w:ascii="Verdana" w:hAnsi="Verdana" w:cs="Verdana"/>
          <w:i w:val="0"/>
          <w:iCs w:val="0"/>
          <w:caps w:val="0"/>
          <w:color w:val="000000"/>
          <w:spacing w:val="0"/>
          <w:sz w:val="22"/>
          <w:szCs w:val="22"/>
        </w:rPr>
        <w:t> You may modify your copy or copies of the Library or any portion of it, thus forming a work based on the Library, and copy and distribute such modifications or work under the terms of Section 1 above, provided that you also meet all of these conditions: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a)</w:t>
      </w:r>
      <w:r>
        <w:rPr>
          <w:rFonts w:hint="default" w:ascii="Verdana" w:hAnsi="Verdana" w:cs="Verdana"/>
          <w:i w:val="0"/>
          <w:iCs w:val="0"/>
          <w:caps w:val="0"/>
          <w:color w:val="000000"/>
          <w:spacing w:val="0"/>
          <w:sz w:val="22"/>
          <w:szCs w:val="22"/>
        </w:rPr>
        <w:t> The modified work must itself be a software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b)</w:t>
      </w:r>
      <w:r>
        <w:rPr>
          <w:rFonts w:hint="default" w:ascii="Verdana" w:hAnsi="Verdana" w:cs="Verdana"/>
          <w:i w:val="0"/>
          <w:iCs w:val="0"/>
          <w:caps w:val="0"/>
          <w:color w:val="000000"/>
          <w:spacing w:val="0"/>
          <w:sz w:val="22"/>
          <w:szCs w:val="22"/>
        </w:rPr>
        <w:t> You must cause the files modified to carry prominent notices stating that you changed the files and the date of any change.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c)</w:t>
      </w:r>
      <w:r>
        <w:rPr>
          <w:rFonts w:hint="default" w:ascii="Verdana" w:hAnsi="Verdana" w:cs="Verdana"/>
          <w:i w:val="0"/>
          <w:iCs w:val="0"/>
          <w:caps w:val="0"/>
          <w:color w:val="000000"/>
          <w:spacing w:val="0"/>
          <w:sz w:val="22"/>
          <w:szCs w:val="22"/>
        </w:rPr>
        <w:t> You must cause the whole of the work to be licensed at no charge to all third parties under the terms of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d)</w:t>
      </w:r>
      <w:r>
        <w:rPr>
          <w:rFonts w:hint="default" w:ascii="Verdana" w:hAnsi="Verdana" w:cs="Verdana"/>
          <w:i w:val="0"/>
          <w:iCs w:val="0"/>
          <w:caps w:val="0"/>
          <w:color w:val="000000"/>
          <w:spacing w:val="0"/>
          <w:sz w:val="22"/>
          <w:szCs w:val="22"/>
        </w:rPr>
        <w:t>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Thus, it is not the intent of this section to claim rights or contest your rights to work written entirely by you; rather, the intent is to exercise the right to control the distribution of derivative or collective works based on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In addition, mere aggregation of another work not based on the Library with the Library (or with a work based on the Library) on a volume of a storage or distribution medium does not bring the other work under the scope of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3.</w:t>
      </w:r>
      <w:r>
        <w:rPr>
          <w:rFonts w:hint="default" w:ascii="Verdana" w:hAnsi="Verdana" w:cs="Verdana"/>
          <w:i w:val="0"/>
          <w:iCs w:val="0"/>
          <w:caps w:val="0"/>
          <w:color w:val="000000"/>
          <w:spacing w:val="0"/>
          <w:sz w:val="22"/>
          <w:szCs w:val="22"/>
        </w:rPr>
        <w:t>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Once this change is made in a given copy, it is irreversible for that copy, so the ordinary GNU General Public License applies to all subsequent copies and derivative works made from that copy.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This option is useful when you wish to copy part of the code of the Library into a program that is not a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4.</w:t>
      </w:r>
      <w:r>
        <w:rPr>
          <w:rFonts w:hint="default" w:ascii="Verdana" w:hAnsi="Verdana" w:cs="Verdana"/>
          <w:i w:val="0"/>
          <w:iCs w:val="0"/>
          <w:caps w:val="0"/>
          <w:color w:val="000000"/>
          <w:spacing w:val="0"/>
          <w:sz w:val="22"/>
          <w:szCs w:val="22"/>
        </w:rPr>
        <w:t>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5.</w:t>
      </w:r>
      <w:r>
        <w:rPr>
          <w:rFonts w:hint="default" w:ascii="Verdana" w:hAnsi="Verdana" w:cs="Verdana"/>
          <w:i w:val="0"/>
          <w:iCs w:val="0"/>
          <w:caps w:val="0"/>
          <w:color w:val="000000"/>
          <w:spacing w:val="0"/>
          <w:sz w:val="22"/>
          <w:szCs w:val="22"/>
        </w:rPr>
        <w:t>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6.</w:t>
      </w:r>
      <w:r>
        <w:rPr>
          <w:rFonts w:hint="default" w:ascii="Verdana" w:hAnsi="Verdana" w:cs="Verdana"/>
          <w:i w:val="0"/>
          <w:iCs w:val="0"/>
          <w:caps w:val="0"/>
          <w:color w:val="000000"/>
          <w:spacing w:val="0"/>
          <w:sz w:val="22"/>
          <w:szCs w:val="22"/>
        </w:rPr>
        <w:t>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a)</w:t>
      </w:r>
      <w:r>
        <w:rPr>
          <w:rFonts w:hint="default" w:ascii="Verdana" w:hAnsi="Verdana" w:cs="Verdana"/>
          <w:i w:val="0"/>
          <w:iCs w:val="0"/>
          <w:caps w:val="0"/>
          <w:color w:val="000000"/>
          <w:spacing w:val="0"/>
          <w:sz w:val="22"/>
          <w:szCs w:val="22"/>
        </w:rPr>
        <w:t>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b)</w:t>
      </w:r>
      <w:r>
        <w:rPr>
          <w:rFonts w:hint="default" w:ascii="Verdana" w:hAnsi="Verdana" w:cs="Verdana"/>
          <w:i w:val="0"/>
          <w:iCs w:val="0"/>
          <w:caps w:val="0"/>
          <w:color w:val="000000"/>
          <w:spacing w:val="0"/>
          <w:sz w:val="22"/>
          <w:szCs w:val="22"/>
        </w:rPr>
        <w:t>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c)</w:t>
      </w:r>
      <w:r>
        <w:rPr>
          <w:rFonts w:hint="default" w:ascii="Verdana" w:hAnsi="Verdana" w:cs="Verdana"/>
          <w:i w:val="0"/>
          <w:iCs w:val="0"/>
          <w:caps w:val="0"/>
          <w:color w:val="000000"/>
          <w:spacing w:val="0"/>
          <w:sz w:val="22"/>
          <w:szCs w:val="22"/>
        </w:rPr>
        <w:t> Accompany the work with a written offer, valid for at least three years, to give the same user the materials specified in Subsection 6a, above, for a charge no more than the cost of performing this distribution.</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d)</w:t>
      </w:r>
      <w:r>
        <w:rPr>
          <w:rFonts w:hint="default" w:ascii="Verdana" w:hAnsi="Verdana" w:cs="Verdana"/>
          <w:i w:val="0"/>
          <w:iCs w:val="0"/>
          <w:caps w:val="0"/>
          <w:color w:val="000000"/>
          <w:spacing w:val="0"/>
          <w:sz w:val="22"/>
          <w:szCs w:val="22"/>
        </w:rPr>
        <w:t> If distribution of the work is made by offering access to copy from a designated place, offer equivalent access to copy the above specified materials from the same place.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e)</w:t>
      </w:r>
      <w:r>
        <w:rPr>
          <w:rFonts w:hint="default" w:ascii="Verdana" w:hAnsi="Verdana" w:cs="Verdana"/>
          <w:i w:val="0"/>
          <w:iCs w:val="0"/>
          <w:caps w:val="0"/>
          <w:color w:val="000000"/>
          <w:spacing w:val="0"/>
          <w:sz w:val="22"/>
          <w:szCs w:val="22"/>
        </w:rPr>
        <w:t> Verify that the user has already received a copy of these materials or that you have already sent this user a copy.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7.</w:t>
      </w:r>
      <w:r>
        <w:rPr>
          <w:rFonts w:hint="default" w:ascii="Verdana" w:hAnsi="Verdana" w:cs="Verdana"/>
          <w:i w:val="0"/>
          <w:iCs w:val="0"/>
          <w:caps w:val="0"/>
          <w:color w:val="000000"/>
          <w:spacing w:val="0"/>
          <w:sz w:val="22"/>
          <w:szCs w:val="22"/>
        </w:rPr>
        <w:t>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a)</w:t>
      </w:r>
      <w:r>
        <w:rPr>
          <w:rFonts w:hint="default" w:ascii="Verdana" w:hAnsi="Verdana" w:cs="Verdana"/>
          <w:i w:val="0"/>
          <w:iCs w:val="0"/>
          <w:caps w:val="0"/>
          <w:color w:val="000000"/>
          <w:spacing w:val="0"/>
          <w:sz w:val="22"/>
          <w:szCs w:val="22"/>
        </w:rPr>
        <w:t> Accompany the combined library with a copy of the same work based on the Library, uncombined with any other library facilities. This must be distributed under the terms of the Sections above.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b)</w:t>
      </w:r>
      <w:r>
        <w:rPr>
          <w:rFonts w:hint="default" w:ascii="Verdana" w:hAnsi="Verdana" w:cs="Verdana"/>
          <w:i w:val="0"/>
          <w:iCs w:val="0"/>
          <w:caps w:val="0"/>
          <w:color w:val="000000"/>
          <w:spacing w:val="0"/>
          <w:sz w:val="22"/>
          <w:szCs w:val="22"/>
        </w:rPr>
        <w:t> Give prominent notice with the combined library of the fact that part of it is a work based on the Library, and explaining where to find the accompanying uncombined form of the same work.</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8.</w:t>
      </w:r>
      <w:r>
        <w:rPr>
          <w:rFonts w:hint="default" w:ascii="Verdana" w:hAnsi="Verdana" w:cs="Verdana"/>
          <w:i w:val="0"/>
          <w:iCs w:val="0"/>
          <w:caps w:val="0"/>
          <w:color w:val="000000"/>
          <w:spacing w:val="0"/>
          <w:sz w:val="22"/>
          <w:szCs w:val="22"/>
        </w:rPr>
        <w:t>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9.</w:t>
      </w:r>
      <w:r>
        <w:rPr>
          <w:rFonts w:hint="default" w:ascii="Verdana" w:hAnsi="Verdana" w:cs="Verdana"/>
          <w:i w:val="0"/>
          <w:iCs w:val="0"/>
          <w:caps w:val="0"/>
          <w:color w:val="000000"/>
          <w:spacing w:val="0"/>
          <w:sz w:val="22"/>
          <w:szCs w:val="22"/>
        </w:rPr>
        <w:t>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10.</w:t>
      </w:r>
      <w:r>
        <w:rPr>
          <w:rFonts w:hint="default" w:ascii="Verdana" w:hAnsi="Verdana" w:cs="Verdana"/>
          <w:i w:val="0"/>
          <w:iCs w:val="0"/>
          <w:caps w:val="0"/>
          <w:color w:val="000000"/>
          <w:spacing w:val="0"/>
          <w:sz w:val="22"/>
          <w:szCs w:val="22"/>
        </w:rPr>
        <w:t>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11.</w:t>
      </w:r>
      <w:r>
        <w:rPr>
          <w:rFonts w:hint="default" w:ascii="Verdana" w:hAnsi="Verdana" w:cs="Verdana"/>
          <w:i w:val="0"/>
          <w:iCs w:val="0"/>
          <w:caps w:val="0"/>
          <w:color w:val="000000"/>
          <w:spacing w:val="0"/>
          <w:sz w:val="22"/>
          <w:szCs w:val="22"/>
        </w:rPr>
        <w:t>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If any portion of this section is held invalid or unenforceable under any particular circumstance, the balance of the section is intended to apply, and the section as a whole is intended to apply in other circumstances.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This section is intended to make thoroughly clear what is believed to be a consequence of the rest of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12.</w:t>
      </w:r>
      <w:r>
        <w:rPr>
          <w:rFonts w:hint="default" w:ascii="Verdana" w:hAnsi="Verdana" w:cs="Verdana"/>
          <w:i w:val="0"/>
          <w:iCs w:val="0"/>
          <w:caps w:val="0"/>
          <w:color w:val="000000"/>
          <w:spacing w:val="0"/>
          <w:sz w:val="22"/>
          <w:szCs w:val="22"/>
        </w:rPr>
        <w:t>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13.</w:t>
      </w:r>
      <w:r>
        <w:rPr>
          <w:rFonts w:hint="default" w:ascii="Verdana" w:hAnsi="Verdana" w:cs="Verdana"/>
          <w:i w:val="0"/>
          <w:iCs w:val="0"/>
          <w:caps w:val="0"/>
          <w:color w:val="000000"/>
          <w:spacing w:val="0"/>
          <w:sz w:val="22"/>
          <w:szCs w:val="22"/>
        </w:rPr>
        <w:t> The Free Software Foundation may publish revised and/or new versions of the Lesser General Public License from time to time. Such new versions will be similar in spirit to the present version, but may differ in detail to address new problems or concerns.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rPr>
        <w:t>14.</w:t>
      </w:r>
      <w:r>
        <w:rPr>
          <w:rFonts w:hint="default" w:ascii="Verdana" w:hAnsi="Verdana" w:cs="Verdana"/>
          <w:i w:val="0"/>
          <w:iCs w:val="0"/>
          <w:caps w:val="0"/>
          <w:color w:val="000000"/>
          <w:spacing w:val="0"/>
          <w:sz w:val="22"/>
          <w:szCs w:val="22"/>
        </w:rPr>
        <w:t>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pStyle w:val="4"/>
        <w:keepNext w:val="0"/>
        <w:keepLines w:val="0"/>
        <w:widowControl/>
        <w:suppressLineNumbers w:val="0"/>
        <w:spacing w:before="450" w:beforeAutospacing="0" w:after="300" w:afterAutospacing="0"/>
        <w:ind w:left="0" w:firstLine="0"/>
        <w:rPr>
          <w:rFonts w:hint="default" w:ascii="Verdana" w:hAnsi="Verdana" w:cs="Verdana"/>
          <w:b/>
          <w:bCs/>
          <w:i w:val="0"/>
          <w:iCs w:val="0"/>
          <w:caps w:val="0"/>
          <w:color w:val="000000"/>
          <w:spacing w:val="0"/>
          <w:sz w:val="21"/>
          <w:szCs w:val="24"/>
        </w:rPr>
      </w:pPr>
      <w:r>
        <w:rPr>
          <w:rFonts w:hint="default" w:ascii="Verdana" w:hAnsi="Verdana" w:cs="Verdana"/>
          <w:b/>
          <w:bCs/>
          <w:i w:val="0"/>
          <w:iCs w:val="0"/>
          <w:caps w:val="0"/>
          <w:color w:val="000000"/>
          <w:spacing w:val="0"/>
          <w:sz w:val="21"/>
          <w:szCs w:val="24"/>
        </w:rPr>
        <w:t>NO WARRANTY</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shd w:val="clear" w:fill="ECF0F1"/>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Style w:val="16"/>
          <w:rFonts w:hint="default" w:ascii="Verdana" w:hAnsi="Verdana" w:cs="Verdana"/>
          <w:i w:val="0"/>
          <w:iCs w:val="0"/>
          <w:caps w:val="0"/>
          <w:color w:val="000000"/>
          <w:spacing w:val="0"/>
          <w:sz w:val="22"/>
          <w:szCs w:val="22"/>
          <w:shd w:val="clear" w:fill="ECF0F1"/>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END OF TERMS AND CONDITIONS</w:t>
      </w:r>
    </w:p>
    <w:p>
      <w:pPr>
        <w:pStyle w:val="4"/>
        <w:keepNext w:val="0"/>
        <w:keepLines w:val="0"/>
        <w:widowControl/>
        <w:suppressLineNumbers w:val="0"/>
        <w:spacing w:before="450" w:beforeAutospacing="0" w:after="300" w:afterAutospacing="0"/>
        <w:ind w:left="0" w:firstLine="0"/>
        <w:rPr>
          <w:rFonts w:hint="default" w:ascii="Verdana" w:hAnsi="Verdana" w:cs="Verdana"/>
          <w:b/>
          <w:bCs/>
          <w:i w:val="0"/>
          <w:iCs w:val="0"/>
          <w:caps w:val="0"/>
          <w:color w:val="000000"/>
          <w:spacing w:val="0"/>
          <w:sz w:val="21"/>
          <w:szCs w:val="24"/>
        </w:rPr>
      </w:pPr>
      <w:r>
        <w:rPr>
          <w:rFonts w:hint="default" w:ascii="Verdana" w:hAnsi="Verdana" w:cs="Verdana"/>
          <w:b/>
          <w:bCs/>
          <w:i w:val="0"/>
          <w:iCs w:val="0"/>
          <w:caps w:val="0"/>
          <w:color w:val="000000"/>
          <w:spacing w:val="0"/>
          <w:sz w:val="21"/>
          <w:szCs w:val="24"/>
        </w:rPr>
        <w:t>Open CASCADE Exception (version 1.0) to GNU LGPL version 2.1.</w:t>
      </w:r>
    </w:p>
    <w:p>
      <w:pPr>
        <w:pStyle w:val="10"/>
        <w:keepNext w:val="0"/>
        <w:keepLines w:val="0"/>
        <w:widowControl/>
        <w:suppressLineNumbers w:val="0"/>
        <w:spacing w:before="0" w:beforeAutospacing="0" w:after="300" w:afterAutospacing="0"/>
        <w:ind w:left="0" w:right="0" w:firstLine="0"/>
        <w:rPr>
          <w:rFonts w:hint="default" w:ascii="Verdana" w:hAnsi="Verdana" w:cs="Verdana"/>
          <w:i w:val="0"/>
          <w:iCs w:val="0"/>
          <w:caps w:val="0"/>
          <w:color w:val="000000"/>
          <w:spacing w:val="0"/>
          <w:sz w:val="22"/>
          <w:szCs w:val="22"/>
        </w:rPr>
      </w:pPr>
      <w:r>
        <w:rPr>
          <w:rFonts w:hint="default" w:ascii="Verdana" w:hAnsi="Verdana" w:cs="Verdana"/>
          <w:i w:val="0"/>
          <w:iCs w:val="0"/>
          <w:caps w:val="0"/>
          <w:color w:val="000000"/>
          <w:spacing w:val="0"/>
          <w:sz w:val="22"/>
          <w:szCs w:val="22"/>
        </w:rPr>
        <w:t>The object code (i.e. not a source) form of a "work that uses the Library" can incorporate material from a header file that is part of the Library. As a special exception to the GNU Lesser General Public License version 2.1, you may distribute such object code incorporating material from header files provided with the Open CASCADE Technology libraries (including code of CDL generic classes) under terms of your choice, provided that you give prominent notice in supporting documentation to this code that it makes use of or is based on facilities provided by the Open CASCADE Technology software.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3"/>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widowControl/>
        <w:shd w:val="clear" w:color="auto" w:fill="FFFFFF"/>
        <w:autoSpaceDE/>
        <w:autoSpaceDN/>
        <w:adjustRightInd/>
        <w:spacing w:line="180" w:lineRule="atLeast"/>
        <w:rPr>
          <w:rFonts w:ascii="微软雅黑" w:hAnsi="微软雅黑" w:eastAsia="微软雅黑"/>
          <w:b w:val="0"/>
          <w:bCs w:val="0"/>
          <w:i w:val="0"/>
          <w:iCs/>
          <w:strike/>
          <w:sz w:val="21"/>
          <w:szCs w:val="21"/>
        </w:rPr>
      </w:pPr>
      <w:r>
        <w:rPr>
          <w:rFonts w:hint="eastAsia"/>
          <w:b w:val="0"/>
          <w:bCs w:val="0"/>
          <w:i w:val="0"/>
          <w:iCs/>
          <w:color w:val="auto"/>
          <w:lang w:val="en-US" w:eastAsia="zh-CN"/>
        </w:rPr>
        <w:t>本软件使用未涉及</w:t>
      </w:r>
      <w:r>
        <w:rPr>
          <w:b w:val="0"/>
          <w:bCs w:val="0"/>
          <w:i w:val="0"/>
          <w:iCs/>
          <w:color w:val="auto"/>
        </w:rPr>
        <w:t xml:space="preserve"> </w:t>
      </w: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9"/>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NDNlN2U0MWU4NDcwZmI1OTc0Mjg0MjUwMjE3MjM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6594888"/>
    <w:rsid w:val="3C05034C"/>
    <w:rsid w:val="62392B6C"/>
    <w:rsid w:val="62AD7C47"/>
    <w:rsid w:val="6A9746F9"/>
    <w:rsid w:val="6FB8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6"/>
    <w:semiHidden/>
    <w:unhideWhenUsed/>
    <w:uiPriority w:val="0"/>
  </w:style>
  <w:style w:type="paragraph" w:styleId="7">
    <w:name w:val="Balloon Text"/>
    <w:basedOn w:val="1"/>
    <w:link w:val="32"/>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34"/>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37"/>
    <w:semiHidden/>
    <w:unhideWhenUsed/>
    <w:uiPriority w:val="0"/>
    <w:rPr>
      <w:b/>
      <w:bCs/>
    </w:rPr>
  </w:style>
  <w:style w:type="table" w:styleId="14">
    <w:name w:val="Table Grid"/>
    <w:basedOn w:val="13"/>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iPriority w:val="0"/>
    <w:rPr>
      <w:color w:val="0000FF"/>
      <w:u w:val="single"/>
    </w:rPr>
  </w:style>
  <w:style w:type="character" w:styleId="18">
    <w:name w:val="annotation reference"/>
    <w:basedOn w:val="15"/>
    <w:semiHidden/>
    <w:unhideWhenUsed/>
    <w:uiPriority w:val="0"/>
    <w:rPr>
      <w:sz w:val="21"/>
      <w:szCs w:val="21"/>
    </w:rPr>
  </w:style>
  <w:style w:type="paragraph" w:customStyle="1" w:styleId="19">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0">
    <w:name w:val="表格文本"/>
    <w:uiPriority w:val="0"/>
    <w:pPr>
      <w:tabs>
        <w:tab w:val="decimal" w:pos="0"/>
      </w:tabs>
    </w:pPr>
    <w:rPr>
      <w:rFonts w:ascii="Arial" w:hAnsi="Arial" w:eastAsia="宋体" w:cs="Times New Roman"/>
      <w:sz w:val="21"/>
      <w:szCs w:val="21"/>
      <w:lang w:val="en-US" w:eastAsia="zh-CN" w:bidi="ar-SA"/>
    </w:rPr>
  </w:style>
  <w:style w:type="paragraph" w:customStyle="1" w:styleId="21">
    <w:name w:val="表头文本"/>
    <w:uiPriority w:val="0"/>
    <w:pPr>
      <w:jc w:val="center"/>
    </w:pPr>
    <w:rPr>
      <w:rFonts w:ascii="Arial" w:hAnsi="Arial" w:eastAsia="宋体" w:cs="Times New Roman"/>
      <w:b/>
      <w:sz w:val="21"/>
      <w:szCs w:val="21"/>
      <w:lang w:val="en-US" w:eastAsia="zh-CN" w:bidi="ar-SA"/>
    </w:rPr>
  </w:style>
  <w:style w:type="table" w:customStyle="1" w:styleId="22">
    <w:name w:val="表样式"/>
    <w:basedOn w:val="13"/>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3">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4">
    <w:name w:val="图样式"/>
    <w:basedOn w:val="1"/>
    <w:uiPriority w:val="0"/>
    <w:pPr>
      <w:keepNext/>
      <w:widowControl/>
      <w:spacing w:before="80" w:after="80"/>
      <w:jc w:val="center"/>
    </w:pPr>
  </w:style>
  <w:style w:type="paragraph" w:customStyle="1" w:styleId="25">
    <w:name w:val="文档标题"/>
    <w:basedOn w:val="1"/>
    <w:uiPriority w:val="0"/>
    <w:pPr>
      <w:tabs>
        <w:tab w:val="left" w:pos="0"/>
      </w:tabs>
      <w:spacing w:before="300" w:after="300"/>
      <w:jc w:val="center"/>
    </w:pPr>
    <w:rPr>
      <w:rFonts w:ascii="Arial" w:hAnsi="Arial" w:eastAsia="黑体"/>
      <w:sz w:val="36"/>
      <w:szCs w:val="36"/>
    </w:rPr>
  </w:style>
  <w:style w:type="paragraph" w:customStyle="1" w:styleId="26">
    <w:name w:val="正文（首行不缩进）"/>
    <w:basedOn w:val="1"/>
    <w:uiPriority w:val="0"/>
  </w:style>
  <w:style w:type="paragraph" w:customStyle="1" w:styleId="27">
    <w:name w:val="注示头"/>
    <w:basedOn w:val="1"/>
    <w:uiPriority w:val="0"/>
    <w:pPr>
      <w:pBdr>
        <w:top w:val="single" w:color="000000" w:sz="4" w:space="1"/>
      </w:pBdr>
      <w:jc w:val="both"/>
    </w:pPr>
    <w:rPr>
      <w:rFonts w:ascii="Arial" w:hAnsi="Arial" w:eastAsia="黑体"/>
      <w:sz w:val="18"/>
    </w:rPr>
  </w:style>
  <w:style w:type="paragraph" w:customStyle="1" w:styleId="28">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9">
    <w:name w:val="编写建议"/>
    <w:basedOn w:val="1"/>
    <w:uiPriority w:val="0"/>
    <w:pPr>
      <w:ind w:firstLine="420"/>
    </w:pPr>
    <w:rPr>
      <w:rFonts w:ascii="Arial" w:hAnsi="Arial" w:cs="Arial"/>
      <w:i/>
      <w:color w:val="0000FF"/>
    </w:rPr>
  </w:style>
  <w:style w:type="character" w:customStyle="1" w:styleId="30">
    <w:name w:val="样式一"/>
    <w:basedOn w:val="15"/>
    <w:uiPriority w:val="0"/>
    <w:rPr>
      <w:rFonts w:ascii="宋体" w:hAnsi="宋体"/>
      <w:b/>
      <w:bCs/>
      <w:color w:val="000000"/>
      <w:sz w:val="36"/>
    </w:rPr>
  </w:style>
  <w:style w:type="character" w:customStyle="1" w:styleId="31">
    <w:name w:val="样式二"/>
    <w:basedOn w:val="30"/>
    <w:uiPriority w:val="0"/>
    <w:rPr>
      <w:rFonts w:ascii="宋体" w:hAnsi="宋体"/>
      <w:color w:val="000000"/>
      <w:sz w:val="36"/>
    </w:rPr>
  </w:style>
  <w:style w:type="character" w:customStyle="1" w:styleId="32">
    <w:name w:val="Balloon Text Char"/>
    <w:basedOn w:val="15"/>
    <w:link w:val="7"/>
    <w:uiPriority w:val="0"/>
    <w:rPr>
      <w:snapToGrid w:val="0"/>
      <w:sz w:val="18"/>
      <w:szCs w:val="18"/>
    </w:rPr>
  </w:style>
  <w:style w:type="paragraph" w:customStyle="1" w:styleId="33">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4">
    <w:name w:val="Title Char"/>
    <w:basedOn w:val="15"/>
    <w:link w:val="11"/>
    <w:uiPriority w:val="0"/>
    <w:rPr>
      <w:rFonts w:ascii="Cambria" w:hAnsi="Cambria"/>
      <w:b/>
      <w:bCs/>
      <w:snapToGrid w:val="0"/>
      <w:sz w:val="32"/>
      <w:szCs w:val="32"/>
    </w:rPr>
  </w:style>
  <w:style w:type="paragraph" w:styleId="35">
    <w:name w:val="List Paragraph"/>
    <w:basedOn w:val="1"/>
    <w:qFormat/>
    <w:uiPriority w:val="34"/>
    <w:pPr>
      <w:ind w:firstLine="420" w:firstLineChars="200"/>
    </w:pPr>
  </w:style>
  <w:style w:type="character" w:customStyle="1" w:styleId="36">
    <w:name w:val="Comment Text Char"/>
    <w:basedOn w:val="15"/>
    <w:link w:val="6"/>
    <w:semiHidden/>
    <w:uiPriority w:val="0"/>
    <w:rPr>
      <w:snapToGrid w:val="0"/>
      <w:sz w:val="21"/>
      <w:szCs w:val="21"/>
    </w:rPr>
  </w:style>
  <w:style w:type="character" w:customStyle="1" w:styleId="37">
    <w:name w:val="Comment Subject Char"/>
    <w:basedOn w:val="36"/>
    <w:link w:val="12"/>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37</TotalTime>
  <ScaleCrop>false</ScaleCrop>
  <LinksUpToDate>false</LinksUpToDate>
  <CharactersWithSpaces>21193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gnaixoman</cp:lastModifiedBy>
  <dcterms:modified xsi:type="dcterms:W3CDTF">2022-08-17T02:16:19Z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2052-11.1.0.12302</vt:lpwstr>
  </property>
  <property fmtid="{D5CDD505-2E9C-101B-9397-08002B2CF9AE}" pid="10" name="ICV">
    <vt:lpwstr>E8DF38C1441E480994FF59CE88ED0582</vt:lpwstr>
  </property>
</Properties>
</file>