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黑体" w:hAnsi="黑体" w:eastAsia="黑体"/>
          <w:sz w:val="32"/>
          <w:szCs w:val="32"/>
        </w:rPr>
      </w:pPr>
      <w:bookmarkStart w:id="0" w:name="_Hlk103677603"/>
      <w:bookmarkEnd w:id="0"/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jc w:val="center"/>
        <w:rPr>
          <w:rFonts w:ascii="黑体" w:hAnsi="黑体" w:eastAsia="黑体"/>
          <w:b/>
          <w:bCs/>
          <w:sz w:val="72"/>
          <w:szCs w:val="72"/>
        </w:rPr>
      </w:pPr>
      <w:r>
        <w:rPr>
          <w:rFonts w:hint="eastAsia" w:ascii="黑体" w:hAnsi="黑体" w:eastAsia="黑体"/>
          <w:b/>
          <w:bCs/>
          <w:sz w:val="72"/>
          <w:szCs w:val="72"/>
        </w:rPr>
        <w:t>供电服务指挥可视化软件</w:t>
      </w:r>
    </w:p>
    <w:p>
      <w:pPr>
        <w:jc w:val="right"/>
        <w:rPr>
          <w:rFonts w:ascii="黑体" w:hAnsi="黑体" w:eastAsia="黑体"/>
          <w:b/>
          <w:bCs/>
          <w:sz w:val="48"/>
          <w:szCs w:val="48"/>
        </w:rPr>
      </w:pPr>
      <w:r>
        <w:rPr>
          <w:rFonts w:hint="eastAsia" w:ascii="黑体" w:hAnsi="黑体" w:eastAsia="黑体"/>
          <w:b/>
          <w:bCs/>
          <w:sz w:val="48"/>
          <w:szCs w:val="48"/>
        </w:rPr>
        <w:t>——V1.0</w:t>
      </w:r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jc w:val="center"/>
        <w:rPr>
          <w:rFonts w:ascii="黑体" w:hAnsi="黑体" w:eastAsia="黑体"/>
          <w:sz w:val="48"/>
          <w:szCs w:val="48"/>
        </w:rPr>
      </w:pPr>
      <w:r>
        <w:rPr>
          <w:rFonts w:hint="eastAsia" w:ascii="黑体" w:hAnsi="黑体" w:eastAsia="黑体"/>
          <w:sz w:val="48"/>
          <w:szCs w:val="48"/>
        </w:rPr>
        <w:t>操</w:t>
      </w:r>
    </w:p>
    <w:p>
      <w:pPr>
        <w:jc w:val="center"/>
        <w:rPr>
          <w:rFonts w:ascii="黑体" w:hAnsi="黑体" w:eastAsia="黑体"/>
          <w:sz w:val="48"/>
          <w:szCs w:val="48"/>
        </w:rPr>
      </w:pPr>
      <w:r>
        <w:rPr>
          <w:rFonts w:hint="eastAsia" w:ascii="黑体" w:hAnsi="黑体" w:eastAsia="黑体"/>
          <w:sz w:val="48"/>
          <w:szCs w:val="48"/>
        </w:rPr>
        <w:t>作</w:t>
      </w:r>
    </w:p>
    <w:p>
      <w:pPr>
        <w:jc w:val="center"/>
        <w:rPr>
          <w:rFonts w:ascii="黑体" w:hAnsi="黑体" w:eastAsia="黑体"/>
          <w:sz w:val="48"/>
          <w:szCs w:val="48"/>
        </w:rPr>
      </w:pPr>
      <w:r>
        <w:rPr>
          <w:rFonts w:hint="eastAsia" w:ascii="黑体" w:hAnsi="黑体" w:eastAsia="黑体"/>
          <w:sz w:val="48"/>
          <w:szCs w:val="48"/>
        </w:rPr>
        <w:t>手</w:t>
      </w:r>
    </w:p>
    <w:p>
      <w:pPr>
        <w:jc w:val="center"/>
        <w:rPr>
          <w:rFonts w:ascii="黑体" w:hAnsi="黑体" w:eastAsia="黑体"/>
          <w:sz w:val="48"/>
          <w:szCs w:val="48"/>
        </w:rPr>
      </w:pPr>
      <w:r>
        <w:rPr>
          <w:rFonts w:hint="eastAsia" w:ascii="黑体" w:hAnsi="黑体" w:eastAsia="黑体"/>
          <w:sz w:val="48"/>
          <w:szCs w:val="48"/>
        </w:rPr>
        <w:t>册</w:t>
      </w:r>
    </w:p>
    <w:p>
      <w:pPr>
        <w:jc w:val="center"/>
        <w:rPr>
          <w:rFonts w:ascii="黑体" w:hAnsi="黑体" w:eastAsia="黑体"/>
          <w:szCs w:val="21"/>
        </w:rPr>
      </w:pPr>
    </w:p>
    <w:p>
      <w:pPr>
        <w:jc w:val="center"/>
        <w:rPr>
          <w:rFonts w:ascii="黑体" w:hAnsi="黑体" w:eastAsia="黑体"/>
          <w:szCs w:val="21"/>
        </w:rPr>
      </w:pPr>
    </w:p>
    <w:p>
      <w:pPr>
        <w:jc w:val="center"/>
        <w:rPr>
          <w:rFonts w:ascii="黑体" w:hAnsi="黑体" w:eastAsia="黑体"/>
          <w:szCs w:val="21"/>
        </w:rPr>
      </w:pPr>
    </w:p>
    <w:p>
      <w:pPr>
        <w:jc w:val="center"/>
        <w:rPr>
          <w:rFonts w:ascii="黑体" w:hAnsi="黑体" w:eastAsia="黑体"/>
          <w:szCs w:val="21"/>
        </w:rPr>
      </w:pPr>
    </w:p>
    <w:p>
      <w:pPr>
        <w:jc w:val="center"/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rPr>
          <w:rFonts w:ascii="黑体" w:hAnsi="黑体" w:eastAsia="黑体"/>
          <w:szCs w:val="21"/>
        </w:rPr>
      </w:pPr>
    </w:p>
    <w:p>
      <w:pPr>
        <w:pStyle w:val="2"/>
        <w:rPr>
          <w:b w:val="0"/>
          <w:bCs w:val="0"/>
          <w:kern w:val="2"/>
          <w:sz w:val="21"/>
          <w:szCs w:val="22"/>
          <w:lang w:val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b w:val="0"/>
          <w:bCs w:val="0"/>
          <w:kern w:val="2"/>
          <w:sz w:val="21"/>
          <w:szCs w:val="22"/>
          <w:lang w:val="zh-CN"/>
        </w:rPr>
        <w:id w:val="-1645500441"/>
        <w:docPartObj>
          <w:docPartGallery w:val="Table of Contents"/>
          <w:docPartUnique/>
        </w:docPartObj>
      </w:sdtPr>
      <w:sdtEndPr>
        <w:rPr>
          <w:b w:val="0"/>
          <w:bCs w:val="0"/>
          <w:kern w:val="2"/>
          <w:sz w:val="21"/>
          <w:szCs w:val="22"/>
          <w:lang w:val="zh-CN"/>
        </w:rPr>
      </w:sdtEndPr>
      <w:sdtContent>
        <w:p>
          <w:pPr>
            <w:pStyle w:val="2"/>
          </w:pPr>
          <w:bookmarkStart w:id="1" w:name="_Toc144218866"/>
          <w:r>
            <w:rPr>
              <w:lang w:val="zh-CN"/>
            </w:rPr>
            <w:t>目录</w:t>
          </w:r>
          <w:bookmarkEnd w:id="1"/>
        </w:p>
        <w:p>
          <w:pPr>
            <w:pStyle w:val="13"/>
            <w:tabs>
              <w:tab w:val="right" w:leader="dot" w:pos="8296"/>
            </w:tabs>
            <w:rPr>
              <w:rFonts w:asciiTheme="minorHAnsi" w:eastAsiaTheme="minorEastAsia"/>
              <w:b w:val="0"/>
              <w:bCs w:val="0"/>
              <w:cap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TOC \o "1-4"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"_Toc144218866" </w:instrText>
          </w:r>
          <w:r>
            <w:fldChar w:fldCharType="separate"/>
          </w:r>
          <w:r>
            <w:rPr>
              <w:rStyle w:val="22"/>
              <w:lang w:val="zh-CN"/>
            </w:rPr>
            <w:t>目录</w:t>
          </w:r>
          <w:r>
            <w:tab/>
          </w:r>
          <w:r>
            <w:fldChar w:fldCharType="begin"/>
          </w:r>
          <w:r>
            <w:instrText xml:space="preserve"> PAGEREF _Toc144218866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asciiTheme="minorHAnsi" w:eastAsiaTheme="minorEastAsia"/>
              <w:b w:val="0"/>
              <w:bCs w:val="0"/>
              <w:cap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"_Toc144218867" </w:instrText>
          </w:r>
          <w:r>
            <w:fldChar w:fldCharType="separate"/>
          </w:r>
          <w:r>
            <w:rPr>
              <w:rStyle w:val="22"/>
            </w:rPr>
            <w:t>手册说明</w:t>
          </w:r>
          <w:r>
            <w:tab/>
          </w:r>
          <w:r>
            <w:fldChar w:fldCharType="begin"/>
          </w:r>
          <w:r>
            <w:instrText xml:space="preserve"> PAGEREF _Toc144218867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"_Toc144218868" </w:instrText>
          </w:r>
          <w:r>
            <w:fldChar w:fldCharType="separate"/>
          </w:r>
          <w:r>
            <w:rPr>
              <w:rStyle w:val="22"/>
            </w:rPr>
            <w:t>版本记录</w:t>
          </w:r>
          <w:r>
            <w:tab/>
          </w:r>
          <w:r>
            <w:fldChar w:fldCharType="begin"/>
          </w:r>
          <w:r>
            <w:instrText xml:space="preserve"> PAGEREF _Toc144218868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"_Toc144218869" </w:instrText>
          </w:r>
          <w:r>
            <w:fldChar w:fldCharType="separate"/>
          </w:r>
          <w:r>
            <w:rPr>
              <w:rStyle w:val="22"/>
            </w:rPr>
            <w:t>版权信息</w:t>
          </w:r>
          <w:r>
            <w:tab/>
          </w:r>
          <w:r>
            <w:fldChar w:fldCharType="begin"/>
          </w:r>
          <w:r>
            <w:instrText xml:space="preserve"> PAGEREF _Toc144218869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"_Toc144218870" </w:instrText>
          </w:r>
          <w:r>
            <w:fldChar w:fldCharType="separate"/>
          </w:r>
          <w:r>
            <w:rPr>
              <w:rStyle w:val="22"/>
            </w:rPr>
            <w:t>文档修订记录</w:t>
          </w:r>
          <w:r>
            <w:tab/>
          </w:r>
          <w:r>
            <w:fldChar w:fldCharType="begin"/>
          </w:r>
          <w:r>
            <w:instrText xml:space="preserve"> PAGEREF _Toc144218870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"_Toc144218871" </w:instrText>
          </w:r>
          <w:r>
            <w:fldChar w:fldCharType="separate"/>
          </w:r>
          <w:r>
            <w:rPr>
              <w:rStyle w:val="22"/>
            </w:rPr>
            <w:t>操作方式</w:t>
          </w:r>
          <w:r>
            <w:tab/>
          </w:r>
          <w:r>
            <w:fldChar w:fldCharType="begin"/>
          </w:r>
          <w:r>
            <w:instrText xml:space="preserve"> PAGEREF _Toc144218871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asciiTheme="minorHAnsi" w:eastAsiaTheme="minorEastAsia"/>
              <w:b w:val="0"/>
              <w:bCs w:val="0"/>
              <w:cap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"_Toc144218872" </w:instrText>
          </w:r>
          <w:r>
            <w:fldChar w:fldCharType="separate"/>
          </w:r>
          <w:r>
            <w:rPr>
              <w:rStyle w:val="22"/>
            </w:rPr>
            <w:t>功能及操作流程</w:t>
          </w:r>
          <w:r>
            <w:tab/>
          </w:r>
          <w:r>
            <w:fldChar w:fldCharType="begin"/>
          </w:r>
          <w:r>
            <w:instrText xml:space="preserve"> PAGEREF _Toc144218872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"_Toc144218873" </w:instrText>
          </w:r>
          <w:r>
            <w:fldChar w:fldCharType="separate"/>
          </w:r>
          <w:r>
            <w:rPr>
              <w:rStyle w:val="22"/>
            </w:rPr>
            <w:t>1 首页展示</w:t>
          </w:r>
          <w:r>
            <w:tab/>
          </w:r>
          <w:r>
            <w:fldChar w:fldCharType="begin"/>
          </w:r>
          <w:r>
            <w:instrText xml:space="preserve"> PAGEREF _Toc144218873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"_Toc144218874" </w:instrText>
          </w:r>
          <w:r>
            <w:fldChar w:fldCharType="separate"/>
          </w:r>
          <w:r>
            <w:rPr>
              <w:rStyle w:val="22"/>
            </w:rPr>
            <w:t>2 线路展示</w:t>
          </w:r>
          <w:r>
            <w:tab/>
          </w:r>
          <w:r>
            <w:fldChar w:fldCharType="begin"/>
          </w:r>
          <w:r>
            <w:instrText xml:space="preserve"> PAGEREF _Toc144218874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"_Toc144218875" </w:instrText>
          </w:r>
          <w:r>
            <w:fldChar w:fldCharType="separate"/>
          </w:r>
          <w:r>
            <w:rPr>
              <w:rStyle w:val="22"/>
            </w:rPr>
            <w:t>3 数据展示</w:t>
          </w:r>
          <w:r>
            <w:tab/>
          </w:r>
          <w:r>
            <w:fldChar w:fldCharType="begin"/>
          </w:r>
          <w:r>
            <w:instrText xml:space="preserve"> PAGEREF _Toc144218875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"_Toc144218876" </w:instrText>
          </w:r>
          <w:r>
            <w:fldChar w:fldCharType="separate"/>
          </w:r>
          <w:r>
            <w:rPr>
              <w:rStyle w:val="22"/>
            </w:rPr>
            <w:t>4 状态展示</w:t>
          </w:r>
          <w:r>
            <w:tab/>
          </w:r>
          <w:r>
            <w:fldChar w:fldCharType="begin"/>
          </w:r>
          <w:r>
            <w:instrText xml:space="preserve"> PAGEREF _Toc144218876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"_Toc144218877" </w:instrText>
          </w:r>
          <w:r>
            <w:fldChar w:fldCharType="separate"/>
          </w:r>
          <w:r>
            <w:rPr>
              <w:rStyle w:val="22"/>
            </w:rPr>
            <w:t>5 区域展示</w:t>
          </w:r>
          <w:r>
            <w:tab/>
          </w:r>
          <w:r>
            <w:fldChar w:fldCharType="begin"/>
          </w:r>
          <w:r>
            <w:instrText xml:space="preserve"> PAGEREF _Toc144218877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"_Toc144218878" </w:instrText>
          </w:r>
          <w:r>
            <w:fldChar w:fldCharType="separate"/>
          </w:r>
          <w:r>
            <w:rPr>
              <w:rStyle w:val="22"/>
            </w:rPr>
            <w:t>6 资源展示</w:t>
          </w:r>
          <w:r>
            <w:tab/>
          </w:r>
          <w:r>
            <w:fldChar w:fldCharType="begin"/>
          </w:r>
          <w:r>
            <w:instrText xml:space="preserve"> PAGEREF _Toc144218878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6"/>
            <w:tabs>
              <w:tab w:val="right" w:leader="dot" w:pos="8296"/>
            </w:tabs>
            <w:rPr>
              <w:rFonts w:eastAsiaTheme="minorEastAsia"/>
              <w:b w:val="0"/>
              <w:bCs w:val="0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"_Toc144218879" </w:instrText>
          </w:r>
          <w:r>
            <w:fldChar w:fldCharType="separate"/>
          </w:r>
          <w:r>
            <w:rPr>
              <w:rStyle w:val="22"/>
              <w:rFonts w:ascii="黑体" w:hAnsi="黑体" w:eastAsia="黑体"/>
            </w:rPr>
            <w:t>7 供电服务区域</w:t>
          </w:r>
          <w:r>
            <w:tab/>
          </w:r>
          <w:r>
            <w:fldChar w:fldCharType="begin"/>
          </w:r>
          <w:r>
            <w:instrText xml:space="preserve"> PAGEREF _Toc144218879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"_Toc144218880" </w:instrText>
          </w:r>
          <w:r>
            <w:fldChar w:fldCharType="separate"/>
          </w:r>
          <w:r>
            <w:rPr>
              <w:rStyle w:val="22"/>
            </w:rPr>
            <w:t xml:space="preserve">7.1 </w:t>
          </w:r>
          <w:r>
            <w:rPr>
              <w:rStyle w:val="22"/>
              <w:rFonts w:hint="eastAsia"/>
              <w:lang w:val="en-US" w:eastAsia="zh-CN"/>
            </w:rPr>
            <w:t>某市</w:t>
          </w:r>
          <w:r>
            <w:rPr>
              <w:rStyle w:val="22"/>
            </w:rPr>
            <w:t>体育公园</w:t>
          </w:r>
          <w:r>
            <w:tab/>
          </w:r>
          <w:r>
            <w:fldChar w:fldCharType="begin"/>
          </w:r>
          <w:r>
            <w:instrText xml:space="preserve"> PAGEREF _Toc144218880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"_Toc144218881" </w:instrText>
          </w:r>
          <w:r>
            <w:fldChar w:fldCharType="separate"/>
          </w:r>
          <w:r>
            <w:rPr>
              <w:rStyle w:val="22"/>
            </w:rPr>
            <w:t>7.2 变电站</w:t>
          </w:r>
          <w:r>
            <w:tab/>
          </w:r>
          <w:r>
            <w:fldChar w:fldCharType="begin"/>
          </w:r>
          <w:r>
            <w:instrText xml:space="preserve"> PAGEREF _Toc144218881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r>
            <w:rPr>
              <w:rFonts w:asciiTheme="majorHAnsi" w:eastAsiaTheme="majorHAnsi"/>
              <w:szCs w:val="24"/>
            </w:rPr>
            <w:fldChar w:fldCharType="end"/>
          </w:r>
        </w:p>
      </w:sdtContent>
    </w:sdt>
    <w:p/>
    <w:p/>
    <w:p/>
    <w:p/>
    <w:p/>
    <w:p/>
    <w:p/>
    <w:p/>
    <w:p>
      <w:pPr>
        <w:pStyle w:val="2"/>
        <w:rPr>
          <w:rFonts w:hint="eastAsia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start="1"/>
          <w:cols w:space="425" w:num="1"/>
          <w:docGrid w:type="lines" w:linePitch="312" w:charSpace="0"/>
        </w:sectPr>
      </w:pPr>
      <w:bookmarkStart w:id="2" w:name="_Toc144218867"/>
    </w:p>
    <w:p>
      <w:pPr>
        <w:rPr>
          <w:rFonts w:hint="eastAsia"/>
        </w:rPr>
      </w:pPr>
    </w:p>
    <w:p>
      <w:pPr>
        <w:pStyle w:val="2"/>
      </w:pPr>
      <w:r>
        <w:rPr>
          <w:rFonts w:hint="eastAsia"/>
        </w:rPr>
        <w:t>手册说明</w:t>
      </w:r>
      <w:bookmarkEnd w:id="2"/>
    </w:p>
    <w:p>
      <w:pPr>
        <w:pStyle w:val="3"/>
      </w:pPr>
      <w:bookmarkStart w:id="3" w:name="_Toc144218868"/>
      <w:r>
        <w:rPr>
          <w:rFonts w:hint="eastAsia"/>
        </w:rPr>
        <w:t>版本记录</w:t>
      </w:r>
      <w:bookmarkEnd w:id="3"/>
    </w:p>
    <w:tbl>
      <w:tblPr>
        <w:tblStyle w:val="19"/>
        <w:tblW w:w="82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5"/>
        <w:gridCol w:w="1080"/>
        <w:gridCol w:w="3601"/>
        <w:gridCol w:w="1267"/>
        <w:gridCol w:w="12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1075" w:type="dxa"/>
            <w:shd w:val="clear" w:color="auto" w:fill="E7E6E6" w:themeFill="background2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版本号</w:t>
            </w:r>
          </w:p>
        </w:tc>
        <w:tc>
          <w:tcPr>
            <w:tcW w:w="1080" w:type="dxa"/>
            <w:shd w:val="clear" w:color="auto" w:fill="E7E6E6" w:themeFill="background2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修订人</w:t>
            </w:r>
          </w:p>
        </w:tc>
        <w:tc>
          <w:tcPr>
            <w:tcW w:w="3601" w:type="dxa"/>
            <w:shd w:val="clear" w:color="auto" w:fill="E7E6E6" w:themeFill="background2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文档密级</w:t>
            </w:r>
          </w:p>
        </w:tc>
        <w:tc>
          <w:tcPr>
            <w:tcW w:w="1267" w:type="dxa"/>
            <w:shd w:val="clear" w:color="auto" w:fill="E7E6E6" w:themeFill="background2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审批人</w:t>
            </w:r>
          </w:p>
        </w:tc>
        <w:tc>
          <w:tcPr>
            <w:tcW w:w="1267" w:type="dxa"/>
            <w:shd w:val="clear" w:color="auto" w:fill="E7E6E6" w:themeFill="background2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日期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1075" w:type="dxa"/>
          </w:tcPr>
          <w:p>
            <w:pPr>
              <w:jc w:val="center"/>
              <w:rPr>
                <w:rFonts w:ascii="微软雅黑" w:hAnsi="微软雅黑" w:eastAsia="微软雅黑" w:cs="微软雅黑"/>
                <w:bCs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bCs/>
                <w:color w:val="000000"/>
                <w:szCs w:val="21"/>
              </w:rPr>
              <w:t>v1.0</w:t>
            </w:r>
          </w:p>
        </w:tc>
        <w:tc>
          <w:tcPr>
            <w:tcW w:w="1080" w:type="dxa"/>
          </w:tcPr>
          <w:p>
            <w:pPr>
              <w:jc w:val="center"/>
              <w:rPr>
                <w:rFonts w:ascii="微软雅黑" w:hAnsi="微软雅黑" w:eastAsia="微软雅黑" w:cs="微软雅黑"/>
                <w:bCs/>
                <w:color w:val="000000"/>
                <w:szCs w:val="21"/>
              </w:rPr>
            </w:pPr>
          </w:p>
        </w:tc>
        <w:tc>
          <w:tcPr>
            <w:tcW w:w="3601" w:type="dxa"/>
          </w:tcPr>
          <w:p>
            <w:pPr>
              <w:jc w:val="center"/>
              <w:rPr>
                <w:rFonts w:ascii="微软雅黑" w:hAnsi="微软雅黑" w:eastAsia="微软雅黑" w:cs="微软雅黑"/>
                <w:bCs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/>
                <w:szCs w:val="21"/>
              </w:rPr>
              <w:t>普通</w:t>
            </w: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10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08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360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10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08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360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67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</w:tbl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pStyle w:val="3"/>
      </w:pPr>
      <w:bookmarkStart w:id="4" w:name="_Toc144218869"/>
      <w:r>
        <w:rPr>
          <w:rFonts w:hint="eastAsia"/>
        </w:rPr>
        <w:t>版权信息</w:t>
      </w:r>
      <w:bookmarkEnd w:id="4"/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本操作手册所涉及相关信息，属深圳集所向科技有限公司所有。</w:t>
      </w: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未经深圳集所向科技有限公司允许，文件中的任何部分都不能以任何形式向第三方散发。</w:t>
      </w: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网址：</w:t>
      </w:r>
      <w:r>
        <w:fldChar w:fldCharType="begin"/>
      </w:r>
      <w:r>
        <w:instrText xml:space="preserve"> HYPERLINK "https://www.udirections.com/" </w:instrText>
      </w:r>
      <w:r>
        <w:fldChar w:fldCharType="separate"/>
      </w:r>
      <w:r>
        <w:rPr>
          <w:rStyle w:val="22"/>
          <w:rFonts w:ascii="黑体" w:hAnsi="黑体" w:eastAsia="黑体"/>
          <w:sz w:val="24"/>
          <w:szCs w:val="24"/>
        </w:rPr>
        <w:t>https://www.udirections.com/</w:t>
      </w:r>
      <w:r>
        <w:rPr>
          <w:rStyle w:val="22"/>
          <w:rFonts w:ascii="黑体" w:hAnsi="黑体" w:eastAsia="黑体"/>
          <w:sz w:val="24"/>
          <w:szCs w:val="24"/>
        </w:rPr>
        <w:fldChar w:fldCharType="end"/>
      </w: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spacing w:line="360" w:lineRule="auto"/>
        <w:jc w:val="center"/>
        <w:rPr>
          <w:rFonts w:ascii="黑体" w:hAnsi="黑体" w:eastAsia="黑体"/>
          <w:sz w:val="24"/>
          <w:szCs w:val="24"/>
        </w:rPr>
      </w:pPr>
    </w:p>
    <w:p>
      <w:pPr>
        <w:pStyle w:val="3"/>
      </w:pPr>
      <w:bookmarkStart w:id="5" w:name="_Toc26454"/>
      <w:bookmarkStart w:id="6" w:name="_Toc2793"/>
      <w:bookmarkStart w:id="7" w:name="_Toc6641"/>
      <w:bookmarkStart w:id="8" w:name="_Toc111102617"/>
      <w:bookmarkStart w:id="9" w:name="_Toc10036"/>
      <w:bookmarkStart w:id="10" w:name="_Toc111102481"/>
      <w:bookmarkStart w:id="11" w:name="_Toc2476"/>
      <w:bookmarkStart w:id="12" w:name="_Toc17009"/>
      <w:bookmarkStart w:id="13" w:name="_Toc27368"/>
      <w:bookmarkStart w:id="14" w:name="_Toc18315"/>
      <w:bookmarkStart w:id="15" w:name="_Toc7778"/>
      <w:bookmarkStart w:id="16" w:name="_Toc27883"/>
      <w:bookmarkStart w:id="17" w:name="_Toc7221"/>
      <w:bookmarkStart w:id="18" w:name="_Toc111102517"/>
      <w:bookmarkStart w:id="19" w:name="_Toc144218870"/>
      <w:bookmarkStart w:id="20" w:name="_Toc15870"/>
      <w:r>
        <w:rPr>
          <w:rFonts w:hint="eastAsia"/>
        </w:rPr>
        <w:t>文档修订记录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tbl>
      <w:tblPr>
        <w:tblStyle w:val="18"/>
        <w:tblW w:w="90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2"/>
        <w:gridCol w:w="1418"/>
        <w:gridCol w:w="850"/>
        <w:gridCol w:w="1271"/>
        <w:gridCol w:w="1365"/>
        <w:gridCol w:w="1276"/>
        <w:gridCol w:w="951"/>
        <w:gridCol w:w="9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  <w:jc w:val="center"/>
        </w:trPr>
        <w:tc>
          <w:tcPr>
            <w:tcW w:w="992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版本号</w:t>
            </w:r>
          </w:p>
        </w:tc>
        <w:tc>
          <w:tcPr>
            <w:tcW w:w="1418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修订日期</w:t>
            </w:r>
          </w:p>
        </w:tc>
        <w:tc>
          <w:tcPr>
            <w:tcW w:w="850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修订人</w:t>
            </w:r>
          </w:p>
        </w:tc>
        <w:tc>
          <w:tcPr>
            <w:tcW w:w="1271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修订说明</w:t>
            </w:r>
          </w:p>
        </w:tc>
        <w:tc>
          <w:tcPr>
            <w:tcW w:w="1365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修订状态</w:t>
            </w:r>
          </w:p>
        </w:tc>
        <w:tc>
          <w:tcPr>
            <w:tcW w:w="1276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审核日期</w:t>
            </w:r>
          </w:p>
        </w:tc>
        <w:tc>
          <w:tcPr>
            <w:tcW w:w="951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审核人</w:t>
            </w:r>
          </w:p>
        </w:tc>
        <w:tc>
          <w:tcPr>
            <w:tcW w:w="975" w:type="dxa"/>
            <w:shd w:val="pct10" w:color="auto" w:fill="auto"/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Cs w:val="21"/>
              </w:rPr>
              <w:t>批准人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V1.0</w:t>
            </w: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新增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Cs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992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418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850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365" w:type="dxa"/>
          </w:tcPr>
          <w:p>
            <w:pPr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51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  <w:tc>
          <w:tcPr>
            <w:tcW w:w="975" w:type="dxa"/>
          </w:tcPr>
          <w:p>
            <w:pPr>
              <w:jc w:val="center"/>
              <w:rPr>
                <w:rFonts w:ascii="微软雅黑" w:hAnsi="微软雅黑" w:eastAsia="微软雅黑" w:cs="微软雅黑"/>
                <w:b/>
                <w:color w:val="000000"/>
                <w:szCs w:val="21"/>
              </w:rPr>
            </w:pPr>
          </w:p>
        </w:tc>
      </w:tr>
    </w:tbl>
    <w:p/>
    <w:p/>
    <w:p/>
    <w:p/>
    <w:p/>
    <w:p/>
    <w:p/>
    <w:p/>
    <w:p/>
    <w:p/>
    <w:p/>
    <w:p/>
    <w:p/>
    <w:p/>
    <w:p/>
    <w:p/>
    <w:p/>
    <w:p/>
    <w:p/>
    <w:p/>
    <w:p/>
    <w:p>
      <w:pPr>
        <w:pStyle w:val="3"/>
        <w:rPr>
          <w:rFonts w:hint="eastAsia"/>
        </w:rPr>
      </w:pPr>
      <w:bookmarkStart w:id="21" w:name="_Toc144218871"/>
    </w:p>
    <w:p>
      <w:pPr>
        <w:pStyle w:val="3"/>
      </w:pPr>
      <w:r>
        <w:rPr>
          <w:rFonts w:hint="eastAsia"/>
        </w:rPr>
        <w:t>操作方式</w:t>
      </w:r>
      <w:bookmarkEnd w:id="21"/>
    </w:p>
    <w:p>
      <w:pPr>
        <w:spacing w:line="360" w:lineRule="auto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鼠标左键单击交互</w:t>
      </w:r>
    </w:p>
    <w:p>
      <w:pPr>
        <w:spacing w:line="360" w:lineRule="auto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鼠标中键滚轮缩放场景</w:t>
      </w:r>
    </w:p>
    <w:p>
      <w:pPr>
        <w:spacing w:line="360" w:lineRule="auto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鼠标左键按住拖动调整三维场景视角</w:t>
      </w:r>
    </w:p>
    <w:p>
      <w:pPr>
        <w:spacing w:line="360" w:lineRule="auto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鼠标</w:t>
      </w: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右键</w:t>
      </w:r>
      <w: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+</w:t>
      </w: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左键顺序按下</w:t>
      </w:r>
      <w:r>
        <w:rPr>
          <w:rFonts w:hint="eastAsia" w:ascii="黑体" w:hAnsi="黑体" w:eastAsia="黑体"/>
          <w:sz w:val="24"/>
          <w:szCs w:val="24"/>
        </w:rPr>
        <w:t>按住拖动调整三维场景位置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pStyle w:val="2"/>
      </w:pPr>
      <w:bookmarkStart w:id="22" w:name="_Toc144218872"/>
      <w:r>
        <w:rPr>
          <w:rFonts w:hint="eastAsia"/>
        </w:rPr>
        <w:t>功能及操作流程</w:t>
      </w:r>
      <w:bookmarkEnd w:id="22"/>
    </w:p>
    <w:p>
      <w:pPr>
        <w:pStyle w:val="3"/>
      </w:pPr>
      <w:bookmarkStart w:id="23" w:name="_Toc144218873"/>
      <w:r>
        <w:rPr>
          <w:rFonts w:hint="eastAsia"/>
        </w:rPr>
        <w:t>1</w:t>
      </w:r>
      <w:r>
        <w:t xml:space="preserve"> </w:t>
      </w:r>
      <w:r>
        <w:rPr>
          <w:rFonts w:hint="eastAsia"/>
        </w:rPr>
        <w:t>首页展示</w:t>
      </w:r>
      <w:bookmarkEnd w:id="23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首页界面，主要展示关键区域地图轮廓以及相关水域的流向，通过图表对相关设备的数据进行统计、分析。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帮助用户直观了解当前的设备的工作情况以及相关的工作信息。</w:t>
      </w:r>
    </w:p>
    <w:p>
      <w:pPr>
        <w:pStyle w:val="7"/>
        <w:ind w:right="-197" w:rightChars="-94"/>
        <w:rPr>
          <w:rFonts w:ascii="黑体" w:hAnsi="黑体" w:eastAsia="黑体"/>
          <w:szCs w:val="24"/>
        </w:rPr>
      </w:pPr>
      <w:r>
        <w:rPr>
          <w:rFonts w:hint="eastAsia" w:ascii="黑体" w:hAnsi="黑体" w:eastAsia="黑体"/>
          <w:szCs w:val="24"/>
        </w:rPr>
        <w:t>可通过点击后查看设备详细的工作状态信息。下图是平台首页的界面：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87195"/>
            <wp:effectExtent l="0" t="0" r="1270" b="4445"/>
            <wp:docPr id="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4" w:name="_Toc144218874"/>
      <w:r>
        <w:t xml:space="preserve">2 </w:t>
      </w:r>
      <w:r>
        <w:rPr>
          <w:rFonts w:hint="eastAsia"/>
        </w:rPr>
        <w:t>线路展示</w:t>
      </w:r>
      <w:bookmarkEnd w:id="24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线路展示页面，主要展示多条输电线路的走势信息，通过可视化图表实时监测输电线路的状态数据信息。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通过点击事件，使用渲染技术来对单一线路进行个性化展示。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5" w:name="_Toc144218875"/>
      <w:r>
        <w:t xml:space="preserve">3 </w:t>
      </w:r>
      <w:r>
        <w:rPr>
          <w:rFonts w:hint="eastAsia"/>
        </w:rPr>
        <w:t>数据展示</w:t>
      </w:r>
      <w:bookmarkEnd w:id="25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数据展示页面，主要展示重点区域的地形范围，通过动态图表的方式对输电、配电和变电的线路统计数据进行综合性展示。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通过点击事件可查看不同类型的电力基础设施在地图上展示。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通过点击事件，地图上的电力基础设施可显示其详细信息窗口。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7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6" w:name="_Toc144218876"/>
      <w:r>
        <w:t xml:space="preserve">4 </w:t>
      </w:r>
      <w:r>
        <w:rPr>
          <w:rFonts w:hint="eastAsia"/>
        </w:rPr>
        <w:t>状态展示</w:t>
      </w:r>
      <w:bookmarkEnd w:id="26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运行状态界面，展示不同电网线路的运行状态信息，通过动态图表的方式展示实时监测数据、电力基础设施运行状态和线路运行状态的数据。并可通过菜单的点击方式切换不同场景的运行状态。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7" w:name="_Toc144218877"/>
      <w:r>
        <w:t xml:space="preserve">5 </w:t>
      </w:r>
      <w:r>
        <w:rPr>
          <w:rFonts w:hint="eastAsia"/>
        </w:rPr>
        <w:t>区域展示</w:t>
      </w:r>
      <w:bookmarkEnd w:id="27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区域展示，展示不同保电区域在地图上的分布，通过图表的方式对于保电区域内的相关数据信息进行动态展示，可查看不同区域详细情况。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通过点击菜单可切换不同区域在地图上显示，并相关详情图表联动。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8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点击左侧区域详情图表，可在地图上高亮查看对应区域位置。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7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t>点击 供电路径 可查看重要区域的供电路径。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8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8" w:name="_2.4_保电资源"/>
      <w:bookmarkEnd w:id="28"/>
      <w:bookmarkStart w:id="29" w:name="_Toc144218878"/>
      <w:r>
        <w:t xml:space="preserve">6 </w:t>
      </w:r>
      <w:r>
        <w:rPr>
          <w:rFonts w:hint="eastAsia"/>
        </w:rPr>
        <w:t>资源展示</w:t>
      </w:r>
      <w:bookmarkEnd w:id="29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资源展示页面，主要展示供电服务的物资存储资源，通过动态图表的方式对于后勤保障工作信息资源数据统计分析。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通过点击菜单可查看物资存储资源的数量，获取其地图分布情况。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8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单击不同资源按钮可在地图上显示其位置信息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8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黑体" w:hAnsi="黑体" w:eastAsia="黑体"/>
        </w:rPr>
      </w:pPr>
      <w:bookmarkStart w:id="30" w:name="_Toc144218879"/>
      <w:r>
        <w:rPr>
          <w:rFonts w:ascii="黑体" w:hAnsi="黑体" w:eastAsia="黑体"/>
        </w:rPr>
        <w:t xml:space="preserve">7 </w:t>
      </w:r>
      <w:r>
        <w:rPr>
          <w:rFonts w:hint="eastAsia" w:ascii="黑体" w:hAnsi="黑体" w:eastAsia="黑体"/>
        </w:rPr>
        <w:t>供电服务区域</w:t>
      </w:r>
      <w:bookmarkEnd w:id="30"/>
    </w:p>
    <w:p>
      <w:pPr>
        <w:pStyle w:val="4"/>
      </w:pPr>
      <w:bookmarkStart w:id="31" w:name="_Toc144218880"/>
      <w:r>
        <w:t xml:space="preserve">7.1 </w:t>
      </w:r>
      <w:r>
        <w:rPr>
          <w:rFonts w:hint="eastAsia"/>
          <w:lang w:val="en-US" w:eastAsia="zh-CN"/>
        </w:rPr>
        <w:t>某市</w:t>
      </w:r>
      <w:r>
        <w:rPr>
          <w:rFonts w:hint="eastAsia"/>
        </w:rPr>
        <w:t>体育公园</w:t>
      </w:r>
      <w:bookmarkEnd w:id="31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通过建模对体育公园场馆进行建模，通过图表对场馆后勤保障信息进行展示，可切换昼夜场景。</w:t>
      </w:r>
    </w:p>
    <w:p>
      <w:pPr>
        <w:rPr>
          <w:rFonts w:ascii="黑体" w:hAnsi="黑体" w:eastAsia="黑体"/>
          <w:sz w:val="24"/>
          <w:szCs w:val="24"/>
        </w:rPr>
      </w:pPr>
      <w:r>
        <w:drawing>
          <wp:inline distT="0" distB="0" distL="114300" distR="114300">
            <wp:extent cx="5256530" cy="1691005"/>
            <wp:effectExtent l="0" t="0" r="1270" b="635"/>
            <wp:docPr id="8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夜景场景可展示体育公园场馆的供电路线。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8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t>夜景场景下，通过点击线路名称按钮可显示对应线路信息。</w:t>
      </w:r>
    </w:p>
    <w:p>
      <w:pPr>
        <w:rPr>
          <w:rFonts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drawing>
          <wp:inline distT="0" distB="0" distL="114300" distR="114300">
            <wp:extent cx="5256530" cy="1691005"/>
            <wp:effectExtent l="0" t="0" r="1270" b="635"/>
            <wp:docPr id="9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t>日间场景下，点击主建筑上方的 场馆解构 按钮可查看场馆拆分效果。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9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6530" cy="1691005"/>
            <wp:effectExtent l="0" t="0" r="1270" b="635"/>
            <wp:docPr id="9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2" w:name="_Toc144218881"/>
      <w:r>
        <w:t>7</w:t>
      </w:r>
      <w:r>
        <w:rPr>
          <w:rFonts w:hint="eastAsia"/>
        </w:rPr>
        <w:t>.2</w:t>
      </w:r>
      <w:r>
        <w:t xml:space="preserve"> </w:t>
      </w:r>
      <w:r>
        <w:rPr>
          <w:rFonts w:hint="eastAsia"/>
        </w:rPr>
        <w:t>变电站</w:t>
      </w:r>
      <w:bookmarkEnd w:id="32"/>
    </w:p>
    <w:p>
      <w:pPr>
        <w:spacing w:line="360" w:lineRule="auto"/>
        <w:ind w:firstLine="480" w:firstLineChars="20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通过动态图表的方式展示变电站基本信息、运行数据监测、监控状态信息。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9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 w:ascii="黑体" w:hAnsi="黑体" w:eastAsia="黑体" w:cs="黑体"/>
          <w:sz w:val="24"/>
          <w:szCs w:val="24"/>
        </w:rPr>
        <w:t>通过点击解构拆分切换菜单，可以查看对应场景的拆分效果。</w:t>
      </w:r>
      <w:r>
        <w:drawing>
          <wp:inline distT="0" distB="0" distL="114300" distR="114300">
            <wp:extent cx="5256530" cy="1691005"/>
            <wp:effectExtent l="0" t="0" r="1270" b="635"/>
            <wp:docPr id="10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t>通过点击事件可查看具体对应柜体数据信息窗口。</w:t>
      </w:r>
    </w:p>
    <w:p>
      <w:r>
        <w:drawing>
          <wp:inline distT="0" distB="0" distL="114300" distR="114300">
            <wp:extent cx="5256530" cy="1691005"/>
            <wp:effectExtent l="0" t="0" r="1270" b="635"/>
            <wp:docPr id="10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6" w:type="default"/>
      <w:pgSz w:w="11906" w:h="16838"/>
      <w:pgMar w:top="1440" w:right="1800" w:bottom="1440" w:left="1800" w:header="851" w:footer="992" w:gutter="0"/>
      <w:pgNumType w:start="3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  <w:bookmarkStart w:id="33" w:name="_GoBack"/>
    <w:bookmarkEnd w:id="33"/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qMOCsyAgAAY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uow4Kz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Y3YWE1OTYyY2Y4MGMwZjFmODBmM2IwMzBjMjMzYzYifQ=="/>
  </w:docVars>
  <w:rsids>
    <w:rsidRoot w:val="004C6E12"/>
    <w:rsid w:val="0002767F"/>
    <w:rsid w:val="00055D79"/>
    <w:rsid w:val="000C2E81"/>
    <w:rsid w:val="000E1534"/>
    <w:rsid w:val="000E1A69"/>
    <w:rsid w:val="00100A9A"/>
    <w:rsid w:val="0011366A"/>
    <w:rsid w:val="001274A6"/>
    <w:rsid w:val="00141195"/>
    <w:rsid w:val="001414C4"/>
    <w:rsid w:val="001900B8"/>
    <w:rsid w:val="001B3356"/>
    <w:rsid w:val="001C338D"/>
    <w:rsid w:val="001D4AED"/>
    <w:rsid w:val="001F0E2C"/>
    <w:rsid w:val="001F7FBC"/>
    <w:rsid w:val="00280F59"/>
    <w:rsid w:val="002828B7"/>
    <w:rsid w:val="002A20A5"/>
    <w:rsid w:val="002B630D"/>
    <w:rsid w:val="002C0695"/>
    <w:rsid w:val="002C5204"/>
    <w:rsid w:val="003A7B04"/>
    <w:rsid w:val="003E10D1"/>
    <w:rsid w:val="003E1434"/>
    <w:rsid w:val="00482B4F"/>
    <w:rsid w:val="004C4E3C"/>
    <w:rsid w:val="004C6E12"/>
    <w:rsid w:val="004E7236"/>
    <w:rsid w:val="005264AA"/>
    <w:rsid w:val="00533E73"/>
    <w:rsid w:val="00534F4D"/>
    <w:rsid w:val="00551A55"/>
    <w:rsid w:val="005658D1"/>
    <w:rsid w:val="00576656"/>
    <w:rsid w:val="00595546"/>
    <w:rsid w:val="006176CE"/>
    <w:rsid w:val="00624027"/>
    <w:rsid w:val="00640C2C"/>
    <w:rsid w:val="00654E13"/>
    <w:rsid w:val="006673A5"/>
    <w:rsid w:val="00680595"/>
    <w:rsid w:val="00683B5A"/>
    <w:rsid w:val="006925B4"/>
    <w:rsid w:val="006B0522"/>
    <w:rsid w:val="006C7FF2"/>
    <w:rsid w:val="006F0F75"/>
    <w:rsid w:val="007004D8"/>
    <w:rsid w:val="00703979"/>
    <w:rsid w:val="007150C7"/>
    <w:rsid w:val="007C4F27"/>
    <w:rsid w:val="007F13F7"/>
    <w:rsid w:val="007F3222"/>
    <w:rsid w:val="00833D06"/>
    <w:rsid w:val="00842B85"/>
    <w:rsid w:val="0084784B"/>
    <w:rsid w:val="00851E08"/>
    <w:rsid w:val="00875ECA"/>
    <w:rsid w:val="00883134"/>
    <w:rsid w:val="008B0F9F"/>
    <w:rsid w:val="008C56AF"/>
    <w:rsid w:val="008C71DC"/>
    <w:rsid w:val="00931B4A"/>
    <w:rsid w:val="00943BC0"/>
    <w:rsid w:val="009B1C5D"/>
    <w:rsid w:val="009D48D6"/>
    <w:rsid w:val="009E34FC"/>
    <w:rsid w:val="00A070D1"/>
    <w:rsid w:val="00A943E4"/>
    <w:rsid w:val="00AA6637"/>
    <w:rsid w:val="00AD1F8D"/>
    <w:rsid w:val="00AF5BF5"/>
    <w:rsid w:val="00B6534F"/>
    <w:rsid w:val="00BA5569"/>
    <w:rsid w:val="00C01E6A"/>
    <w:rsid w:val="00C038B2"/>
    <w:rsid w:val="00C1192B"/>
    <w:rsid w:val="00C163B0"/>
    <w:rsid w:val="00C80219"/>
    <w:rsid w:val="00C86401"/>
    <w:rsid w:val="00CB3881"/>
    <w:rsid w:val="00CF42C1"/>
    <w:rsid w:val="00CF4645"/>
    <w:rsid w:val="00D44D88"/>
    <w:rsid w:val="00D60EDC"/>
    <w:rsid w:val="00DA1C36"/>
    <w:rsid w:val="00DC4D63"/>
    <w:rsid w:val="00DF62AF"/>
    <w:rsid w:val="00E06E95"/>
    <w:rsid w:val="00E17405"/>
    <w:rsid w:val="00E225A8"/>
    <w:rsid w:val="00E400D1"/>
    <w:rsid w:val="00E728D2"/>
    <w:rsid w:val="00E97046"/>
    <w:rsid w:val="00EA45FB"/>
    <w:rsid w:val="00ED4945"/>
    <w:rsid w:val="00EE2F5B"/>
    <w:rsid w:val="00F05974"/>
    <w:rsid w:val="00F15F4E"/>
    <w:rsid w:val="00F2128D"/>
    <w:rsid w:val="00F26E63"/>
    <w:rsid w:val="00F4284E"/>
    <w:rsid w:val="00F65DB9"/>
    <w:rsid w:val="00F71F5C"/>
    <w:rsid w:val="00F8716F"/>
    <w:rsid w:val="00FA12B6"/>
    <w:rsid w:val="00FE7F45"/>
    <w:rsid w:val="016373D0"/>
    <w:rsid w:val="08576366"/>
    <w:rsid w:val="0E0B0EDB"/>
    <w:rsid w:val="39AC5406"/>
    <w:rsid w:val="3D962F85"/>
    <w:rsid w:val="40270EDD"/>
    <w:rsid w:val="4574514F"/>
    <w:rsid w:val="50C36407"/>
    <w:rsid w:val="56437577"/>
    <w:rsid w:val="5F1F648C"/>
    <w:rsid w:val="5F9B184C"/>
    <w:rsid w:val="60DC457F"/>
    <w:rsid w:val="680D1E67"/>
    <w:rsid w:val="69FB42F3"/>
    <w:rsid w:val="6FAF30EC"/>
    <w:rsid w:val="700D30D8"/>
    <w:rsid w:val="78847696"/>
    <w:rsid w:val="7D875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semiHidden="0" w:name="toc 2"/>
    <w:lsdException w:qFormat="1" w:uiPriority="39" w:semiHidden="0" w:name="toc 3"/>
    <w:lsdException w:uiPriority="39" w:semiHidden="0" w:name="toc 4"/>
    <w:lsdException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5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6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8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character" w:default="1" w:styleId="20">
    <w:name w:val="Default Paragraph Font"/>
    <w:semiHidden/>
    <w:unhideWhenUsed/>
    <w:uiPriority w:val="1"/>
  </w:style>
  <w:style w:type="table" w:default="1" w:styleId="1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7"/>
    <w:basedOn w:val="1"/>
    <w:next w:val="1"/>
    <w:unhideWhenUsed/>
    <w:qFormat/>
    <w:uiPriority w:val="39"/>
    <w:pPr>
      <w:ind w:left="1050"/>
      <w:jc w:val="left"/>
    </w:pPr>
    <w:rPr>
      <w:rFonts w:eastAsiaTheme="minorHAnsi"/>
      <w:sz w:val="20"/>
      <w:szCs w:val="20"/>
    </w:rPr>
  </w:style>
  <w:style w:type="paragraph" w:styleId="7">
    <w:name w:val="Normal Indent"/>
    <w:basedOn w:val="1"/>
    <w:qFormat/>
    <w:uiPriority w:val="0"/>
    <w:pPr>
      <w:widowControl/>
      <w:spacing w:line="360" w:lineRule="auto"/>
      <w:ind w:firstLine="420"/>
      <w:jc w:val="left"/>
    </w:pPr>
    <w:rPr>
      <w:rFonts w:ascii="宋体" w:hAnsi="宋体" w:eastAsia="宋体" w:cs="Times New Roman"/>
      <w:kern w:val="0"/>
      <w:sz w:val="24"/>
      <w:szCs w:val="20"/>
    </w:rPr>
  </w:style>
  <w:style w:type="paragraph" w:styleId="8">
    <w:name w:val="toc 5"/>
    <w:basedOn w:val="1"/>
    <w:next w:val="1"/>
    <w:unhideWhenUsed/>
    <w:uiPriority w:val="39"/>
    <w:pPr>
      <w:ind w:left="630"/>
      <w:jc w:val="left"/>
    </w:pPr>
    <w:rPr>
      <w:rFonts w:eastAsiaTheme="minorHAnsi"/>
      <w:sz w:val="20"/>
      <w:szCs w:val="20"/>
    </w:rPr>
  </w:style>
  <w:style w:type="paragraph" w:styleId="9">
    <w:name w:val="toc 3"/>
    <w:basedOn w:val="1"/>
    <w:next w:val="1"/>
    <w:unhideWhenUsed/>
    <w:qFormat/>
    <w:uiPriority w:val="39"/>
    <w:pPr>
      <w:ind w:left="210"/>
      <w:jc w:val="left"/>
    </w:pPr>
    <w:rPr>
      <w:rFonts w:eastAsiaTheme="minorHAnsi"/>
      <w:sz w:val="20"/>
      <w:szCs w:val="20"/>
    </w:rPr>
  </w:style>
  <w:style w:type="paragraph" w:styleId="10">
    <w:name w:val="toc 8"/>
    <w:basedOn w:val="1"/>
    <w:next w:val="1"/>
    <w:unhideWhenUsed/>
    <w:qFormat/>
    <w:uiPriority w:val="39"/>
    <w:pPr>
      <w:ind w:left="1260"/>
      <w:jc w:val="left"/>
    </w:pPr>
    <w:rPr>
      <w:rFonts w:eastAsiaTheme="minorHAnsi"/>
      <w:sz w:val="20"/>
      <w:szCs w:val="20"/>
    </w:rPr>
  </w:style>
  <w:style w:type="paragraph" w:styleId="11">
    <w:name w:val="footer"/>
    <w:basedOn w:val="1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2">
    <w:name w:val="header"/>
    <w:basedOn w:val="1"/>
    <w:semiHidden/>
    <w:unhideWhenUsed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3">
    <w:name w:val="toc 1"/>
    <w:basedOn w:val="1"/>
    <w:next w:val="1"/>
    <w:unhideWhenUsed/>
    <w:qFormat/>
    <w:uiPriority w:val="39"/>
    <w:pPr>
      <w:spacing w:before="360"/>
      <w:jc w:val="left"/>
    </w:pPr>
    <w:rPr>
      <w:rFonts w:asciiTheme="majorHAnsi" w:eastAsiaTheme="majorHAnsi"/>
      <w:b/>
      <w:bCs/>
      <w:caps/>
      <w:sz w:val="24"/>
      <w:szCs w:val="24"/>
    </w:rPr>
  </w:style>
  <w:style w:type="paragraph" w:styleId="14">
    <w:name w:val="toc 4"/>
    <w:basedOn w:val="1"/>
    <w:next w:val="1"/>
    <w:unhideWhenUsed/>
    <w:uiPriority w:val="39"/>
    <w:pPr>
      <w:ind w:left="420"/>
      <w:jc w:val="left"/>
    </w:pPr>
    <w:rPr>
      <w:rFonts w:eastAsiaTheme="minorHAnsi"/>
      <w:sz w:val="20"/>
      <w:szCs w:val="20"/>
    </w:rPr>
  </w:style>
  <w:style w:type="paragraph" w:styleId="15">
    <w:name w:val="toc 6"/>
    <w:basedOn w:val="1"/>
    <w:next w:val="1"/>
    <w:unhideWhenUsed/>
    <w:qFormat/>
    <w:uiPriority w:val="39"/>
    <w:pPr>
      <w:ind w:left="840"/>
      <w:jc w:val="left"/>
    </w:pPr>
    <w:rPr>
      <w:rFonts w:eastAsiaTheme="minorHAnsi"/>
      <w:sz w:val="20"/>
      <w:szCs w:val="20"/>
    </w:rPr>
  </w:style>
  <w:style w:type="paragraph" w:styleId="16">
    <w:name w:val="toc 2"/>
    <w:basedOn w:val="1"/>
    <w:next w:val="1"/>
    <w:unhideWhenUsed/>
    <w:uiPriority w:val="39"/>
    <w:pPr>
      <w:spacing w:before="240"/>
      <w:jc w:val="left"/>
    </w:pPr>
    <w:rPr>
      <w:rFonts w:eastAsiaTheme="minorHAnsi"/>
      <w:b/>
      <w:bCs/>
      <w:sz w:val="20"/>
      <w:szCs w:val="20"/>
    </w:rPr>
  </w:style>
  <w:style w:type="paragraph" w:styleId="17">
    <w:name w:val="toc 9"/>
    <w:basedOn w:val="1"/>
    <w:next w:val="1"/>
    <w:unhideWhenUsed/>
    <w:qFormat/>
    <w:uiPriority w:val="39"/>
    <w:pPr>
      <w:ind w:left="1470"/>
      <w:jc w:val="left"/>
    </w:pPr>
    <w:rPr>
      <w:rFonts w:eastAsiaTheme="minorHAnsi"/>
      <w:sz w:val="20"/>
      <w:szCs w:val="20"/>
    </w:rPr>
  </w:style>
  <w:style w:type="table" w:styleId="19">
    <w:name w:val="Table Grid"/>
    <w:basedOn w:val="18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1">
    <w:name w:val="FollowedHyperlink"/>
    <w:basedOn w:val="20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22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3">
    <w:name w:val="标题 1 字符"/>
    <w:basedOn w:val="20"/>
    <w:link w:val="2"/>
    <w:qFormat/>
    <w:uiPriority w:val="9"/>
    <w:rPr>
      <w:b/>
      <w:bCs/>
      <w:kern w:val="44"/>
      <w:sz w:val="44"/>
      <w:szCs w:val="44"/>
    </w:rPr>
  </w:style>
  <w:style w:type="paragraph" w:styleId="24">
    <w:name w:val="List Paragraph"/>
    <w:basedOn w:val="1"/>
    <w:qFormat/>
    <w:uiPriority w:val="34"/>
    <w:pPr>
      <w:ind w:firstLine="420" w:firstLineChars="200"/>
    </w:pPr>
  </w:style>
  <w:style w:type="character" w:customStyle="1" w:styleId="25">
    <w:name w:val="标题 2 字符"/>
    <w:basedOn w:val="20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6">
    <w:name w:val="标题 3 字符"/>
    <w:basedOn w:val="20"/>
    <w:link w:val="4"/>
    <w:qFormat/>
    <w:uiPriority w:val="9"/>
    <w:rPr>
      <w:b/>
      <w:bCs/>
      <w:sz w:val="32"/>
      <w:szCs w:val="32"/>
    </w:rPr>
  </w:style>
  <w:style w:type="character" w:customStyle="1" w:styleId="27">
    <w:name w:val="未处理的提及1"/>
    <w:basedOn w:val="20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8">
    <w:name w:val="标题 4 字符"/>
    <w:basedOn w:val="20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paragraph" w:customStyle="1" w:styleId="29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30">
    <w:name w:val="Unresolved Mention"/>
    <w:basedOn w:val="20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3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customXml" Target="../customXml/item1.xml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3F4EB31-E7A4-4335-B41A-83D9FDDF866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402</Words>
  <Characters>2294</Characters>
  <Lines>19</Lines>
  <Paragraphs>5</Paragraphs>
  <TotalTime>3</TotalTime>
  <ScaleCrop>false</ScaleCrop>
  <LinksUpToDate>false</LinksUpToDate>
  <CharactersWithSpaces>2691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2023-08-29T08:26:00Z</dcterms:created>
  <dc:creator>Administrator</dc:creator>
  <cp:lastModifiedBy>@xin</cp:lastModifiedBy>
  <dcterms:modified xsi:type="dcterms:W3CDTF">2023-08-30T01:17:00Z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2A0E27E22C32459B9F99E6D27FB60E7E_13</vt:lpwstr>
  </property>
</Properties>
</file>