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4"/>
        <w:gridCol w:w="1292"/>
        <w:gridCol w:w="1577"/>
        <w:gridCol w:w="38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target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原始地址，必须在国内已备案的地址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domain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自有域名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maxAccessCount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最大访问次数，最大访问次数和过期时间至少传入一个。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expire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过期时间，单位：d(天)、h(小时)、m(分钟)。例：传1d表示1天，传30m表示30分钟，不传默认360天。最大访问次数和过期时间至少传入一个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"code": 200,//成功为200，其他为失败返回码（非http返回状态码）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"msg": "成功",//code对应的描述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"taskNo": "41020892700032664129",//唯一业务号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"data":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"target ":"", //原始链接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"link":"", //短链地址,带https://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"simpleLink":"", //短链地址,不带https://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  <w:bookmarkStart w:id="0" w:name="_GoBack"/>
      <w:bookmarkEnd w:id="0"/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2F3A6245"/>
    <w:rsid w:val="495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2023-10-20T08:07:38Z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BEEC8FF52C9B409F92812D96A111F164_12</vt:lpwstr>
  </property>
</Properties>
</file>