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gif" ContentType="image/gi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34"/>
        <w:spacing w:before="2119" w:beforeLines="650"/>
        <w:ind w:firstLine="1040"/>
        <w:jc w:val="center"/>
        <w:rPr>
          <w:rFonts w:ascii="黑体" w:hAnsi="黑体" w:eastAsia="黑体"/>
          <w:sz w:val="52"/>
          <w:szCs w:val="52"/>
        </w:rPr>
      </w:pPr>
      <w:bookmarkStart w:id="0" w:name="第一章__欢迎使用及综述"/>
      <w:r>
        <w:rPr>
          <w:rFonts w:ascii="黑体" w:hAnsi="黑体" w:eastAsia="黑体"/>
          <w:sz w:val="52"/>
          <w:szCs w:val="52"/>
        </w:rPr>
        <w:t>金融终端普及版功能介绍</w:t>
      </w:r>
    </w:p>
    <w:p>
      <w:pPr>
        <w:pStyle w:val="34"/>
        <w:ind w:firstLine="0" w:firstLineChars="0"/>
      </w:pPr>
    </w:p>
    <w:p>
      <w:pPr>
        <w:pStyle w:val="34"/>
        <w:ind w:firstLine="0" w:firstLineChars="0"/>
      </w:pPr>
    </w:p>
    <w:p>
      <w:pPr>
        <w:pStyle w:val="34"/>
        <w:ind w:firstLine="0" w:firstLineChars="0"/>
      </w:pPr>
    </w:p>
    <w:p>
      <w:pPr>
        <w:pStyle w:val="34"/>
        <w:ind w:firstLine="0" w:firstLineChars="0"/>
      </w:pPr>
    </w:p>
    <w:p>
      <w:pPr>
        <w:pStyle w:val="34"/>
        <w:ind w:firstLine="0" w:firstLineChars="0"/>
      </w:pPr>
    </w:p>
    <w:p>
      <w:pPr>
        <w:pStyle w:val="34"/>
        <w:ind w:firstLine="0" w:firstLineChars="0"/>
      </w:pPr>
    </w:p>
    <w:p>
      <w:pPr>
        <w:pStyle w:val="34"/>
        <w:ind w:firstLine="0" w:firstLineChars="0"/>
      </w:pPr>
    </w:p>
    <w:p>
      <w:pPr>
        <w:pStyle w:val="34"/>
        <w:ind w:firstLine="0" w:firstLineChars="0"/>
      </w:pPr>
    </w:p>
    <w:p>
      <w:pPr>
        <w:pStyle w:val="34"/>
        <w:ind w:firstLine="0" w:firstLineChars="0"/>
      </w:pPr>
    </w:p>
    <w:p>
      <w:pPr>
        <w:pStyle w:val="34"/>
        <w:ind w:firstLine="0" w:firstLineChars="0"/>
      </w:pPr>
    </w:p>
    <w:p>
      <w:pPr>
        <w:pStyle w:val="34"/>
        <w:ind w:firstLine="0" w:firstLineChars="0"/>
      </w:pPr>
    </w:p>
    <w:p>
      <w:pPr>
        <w:pStyle w:val="34"/>
        <w:ind w:firstLine="0" w:firstLineChars="0"/>
      </w:pPr>
    </w:p>
    <w:p>
      <w:pPr>
        <w:pStyle w:val="34"/>
        <w:ind w:firstLine="0" w:firstLineChars="0"/>
      </w:pPr>
    </w:p>
    <w:p>
      <w:pPr>
        <w:pStyle w:val="34"/>
        <w:ind w:firstLine="0" w:firstLineChars="0"/>
      </w:pPr>
    </w:p>
    <w:p>
      <w:pPr>
        <w:pStyle w:val="34"/>
        <w:ind w:firstLine="0" w:firstLineChars="0"/>
      </w:pPr>
    </w:p>
    <w:p>
      <w:pPr>
        <w:pStyle w:val="2"/>
      </w:pPr>
      <w:r>
        <w:fldChar w:fldCharType="begin"/>
      </w:r>
      <w:r>
        <w:instrText xml:space="preserve"> HYPERLINK "javascript:void(0);" \t "mainFrm" </w:instrText>
      </w:r>
      <w:r>
        <w:fldChar w:fldCharType="separate"/>
      </w:r>
      <w:bookmarkStart w:id="1" w:name="_Toc90646120"/>
      <w:r>
        <w:rPr>
          <w:rStyle w:val="30"/>
          <w:rFonts w:hint="eastAsia"/>
          <w:color w:val="auto"/>
          <w:szCs w:val="21"/>
          <w:u w:val="none"/>
          <w:shd w:val="clear" w:color="auto" w:fill="FFFFFF"/>
        </w:rPr>
        <w:t>欢迎使用及综述</w:t>
      </w:r>
      <w:bookmarkEnd w:id="1"/>
      <w:r>
        <w:rPr>
          <w:rStyle w:val="30"/>
          <w:rFonts w:hint="eastAsia"/>
          <w:color w:val="auto"/>
          <w:szCs w:val="21"/>
          <w:u w:val="none"/>
          <w:shd w:val="clear" w:color="auto" w:fill="FFFFFF"/>
        </w:rPr>
        <w:fldChar w:fldCharType="end"/>
      </w:r>
      <w:bookmarkEnd w:id="0"/>
    </w:p>
    <w:p>
      <w:pPr>
        <w:pStyle w:val="3"/>
      </w:pPr>
      <w:bookmarkStart w:id="2" w:name="_Toc90646121"/>
      <w:r>
        <w:t>安装环境</w:t>
      </w:r>
      <w:bookmarkEnd w:id="2"/>
    </w:p>
    <w:p>
      <w:pPr>
        <w:pStyle w:val="34"/>
      </w:pPr>
      <w:r>
        <w:rPr>
          <w:rFonts w:hint="eastAsia"/>
        </w:rPr>
        <w:t>1.</w:t>
      </w:r>
      <w:r>
        <w:t>硬件配置</w:t>
      </w:r>
    </w:p>
    <w:p>
      <w:pPr>
        <w:pStyle w:val="34"/>
      </w:pPr>
      <w:r>
        <w:t>〖CPU〗Intel赛扬 G4930 /AMD速龙 200GE 以上</w:t>
      </w:r>
    </w:p>
    <w:p>
      <w:pPr>
        <w:pStyle w:val="34"/>
      </w:pPr>
      <w:r>
        <w:t>〖硬盘〗 高于10G可用硬盘空间</w:t>
      </w:r>
    </w:p>
    <w:p>
      <w:pPr>
        <w:pStyle w:val="34"/>
      </w:pPr>
      <w:r>
        <w:t>〖内存〗 2G以上</w:t>
      </w:r>
    </w:p>
    <w:p>
      <w:pPr>
        <w:pStyle w:val="34"/>
      </w:pPr>
      <w:r>
        <w:t>〖显示适配器〗 1024×768以上分辨率</w:t>
      </w:r>
    </w:p>
    <w:p>
      <w:pPr>
        <w:pStyle w:val="34"/>
      </w:pPr>
      <w:r>
        <w:t>2.软件配置</w:t>
      </w:r>
    </w:p>
    <w:p>
      <w:pPr>
        <w:pStyle w:val="34"/>
      </w:pPr>
      <w:r>
        <w:t>〖简体中文版〗 Win7/Win8/Win10/Win11</w:t>
      </w:r>
    </w:p>
    <w:p>
      <w:pPr>
        <w:pStyle w:val="3"/>
      </w:pPr>
      <w:bookmarkStart w:id="3" w:name="_Toc90646122"/>
      <w:r>
        <w:rPr>
          <w:rFonts w:hint="eastAsia"/>
        </w:rPr>
        <w:t>软件的安装</w:t>
      </w:r>
      <w:bookmarkEnd w:id="3"/>
    </w:p>
    <w:p>
      <w:pPr>
        <w:pStyle w:val="34"/>
      </w:pPr>
      <w:r>
        <w:rPr>
          <w:rFonts w:hint="eastAsia"/>
        </w:rPr>
        <w:t>通达信用户可以去通达信网站注册会员并下载（</w:t>
      </w:r>
      <w:r>
        <w:fldChar w:fldCharType="begin"/>
      </w:r>
      <w:r>
        <w:instrText xml:space="preserve"> HYPERLINK "http://www.tdx.com.cn/soft/vip" </w:instrText>
      </w:r>
      <w:r>
        <w:fldChar w:fldCharType="separate"/>
      </w:r>
      <w:r>
        <w:rPr>
          <w:rStyle w:val="30"/>
          <w:rFonts w:hint="eastAsia" w:ascii="微软雅黑" w:hAnsi="微软雅黑" w:eastAsia="微软雅黑"/>
          <w:sz w:val="18"/>
          <w:szCs w:val="18"/>
        </w:rPr>
        <w:t>http://www.tdx.com.cn/soft/vip </w:t>
      </w:r>
      <w:r>
        <w:rPr>
          <w:rStyle w:val="30"/>
          <w:rFonts w:hint="eastAsia" w:ascii="微软雅黑" w:hAnsi="微软雅黑" w:eastAsia="微软雅黑"/>
          <w:sz w:val="18"/>
          <w:szCs w:val="18"/>
        </w:rPr>
        <w:fldChar w:fldCharType="end"/>
      </w:r>
      <w:r>
        <w:rPr>
          <w:rFonts w:hint="eastAsia"/>
        </w:rPr>
        <w:t>）最新版的通达信金融终端安装程序。安装步骤如下：</w:t>
      </w:r>
    </w:p>
    <w:p>
      <w:pPr>
        <w:pStyle w:val="34"/>
      </w:pPr>
      <w:r>
        <w:rPr>
          <w:rFonts w:hint="eastAsia"/>
        </w:rPr>
        <w:t>1.双击new_tdx.exe进入通达信金融终端的安装界面。</w:t>
      </w:r>
    </w:p>
    <w:p>
      <w:pPr>
        <w:pStyle w:val="34"/>
      </w:pPr>
      <w:r>
        <w:fldChar w:fldCharType="begin"/>
      </w:r>
      <w:r>
        <w:instrText xml:space="preserve"> INCLUDEPICTURE  "https://www.tdx.com.cn/products/helpfile/tdxw/chm/%E7%AC%AC%E4%B8%80%E7%AB%A0   %E6%AC%A2%E8%BF%8E%E4%BD%BF%E7%94%A8/1-2/1.png" \* MERGEFORMATINET </w:instrText>
      </w:r>
      <w:r>
        <w:fldChar w:fldCharType="separate"/>
      </w:r>
      <w:r>
        <w:fldChar w:fldCharType="begin"/>
      </w:r>
      <w:r>
        <w:instrText xml:space="preserve"> INCLUDEPICTURE  "https://www.tdx.com.cn/products/helpfile/tdxw/chm/%E7%AC%AC%E4%B8%80%E7%AB%A0   %E6%AC%A2%E8%BF%8E%E4%BD%BF%E7%94%A8/1-2/1.png" \* MERGEFORMATINET </w:instrText>
      </w:r>
      <w:r>
        <w:fldChar w:fldCharType="separate"/>
      </w:r>
      <w:r>
        <w:fldChar w:fldCharType="begin"/>
      </w:r>
      <w:r>
        <w:instrText xml:space="preserve"> INCLUDEPICTURE  "https://www.tdx.com.cn/products/helpfile/tdxw/chm/%E7%AC%AC%E4%B8%80%E7%AB%A0   %E6%AC%A2%E8%BF%8E%E4%BD%BF%E7%94%A8/1-2/1.png" \* MERGEFORMATINET </w:instrText>
      </w:r>
      <w:r>
        <w:fldChar w:fldCharType="separate"/>
      </w:r>
      <w:r>
        <w:fldChar w:fldCharType="begin"/>
      </w:r>
      <w:r>
        <w:instrText xml:space="preserve"> INCLUDEPICTURE  "https://www.tdx.com.cn/products/helpfile/tdxw/chm/%E7%AC%AC%E4%B8%80%E7%AB%A0   %E6%AC%A2%E8%BF%8E%E4%BD%BF%E7%94%A8/1-2/1.png" \* MERGEFORMATINET </w:instrText>
      </w:r>
      <w:r>
        <w:fldChar w:fldCharType="separate"/>
      </w:r>
      <w:r>
        <w:drawing>
          <wp:inline distT="0" distB="0" distL="114300" distR="114300">
            <wp:extent cx="5715000" cy="396240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8" r:link="rId9"/>
                    <a:stretch>
                      <a:fillRect/>
                    </a:stretch>
                  </pic:blipFill>
                  <pic:spPr>
                    <a:xfrm>
                      <a:off x="0" y="0"/>
                      <a:ext cx="5715000" cy="3962400"/>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2.点击“我已阅读并同意软件许可协议”——下一步</w:t>
      </w:r>
    </w:p>
    <w:p>
      <w:pPr>
        <w:pStyle w:val="34"/>
      </w:pPr>
      <w:r>
        <w:rPr>
          <w:rFonts w:hint="eastAsia"/>
        </w:rPr>
        <w:t> </w:t>
      </w:r>
      <w:r>
        <w:drawing>
          <wp:inline distT="0" distB="0" distL="114300" distR="114300">
            <wp:extent cx="5715000" cy="396240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0"/>
                    <a:stretch>
                      <a:fillRect/>
                    </a:stretch>
                  </pic:blipFill>
                  <pic:spPr>
                    <a:xfrm>
                      <a:off x="0" y="0"/>
                      <a:ext cx="5715000" cy="3962400"/>
                    </a:xfrm>
                    <a:prstGeom prst="rect">
                      <a:avLst/>
                    </a:prstGeom>
                    <a:noFill/>
                    <a:ln>
                      <a:noFill/>
                    </a:ln>
                  </pic:spPr>
                </pic:pic>
              </a:graphicData>
            </a:graphic>
          </wp:inline>
        </w:drawing>
      </w:r>
    </w:p>
    <w:p>
      <w:pPr>
        <w:pStyle w:val="34"/>
      </w:pPr>
      <w:r>
        <w:rPr>
          <w:rFonts w:hint="eastAsia"/>
        </w:rPr>
        <w:t xml:space="preserve"> 3. </w:t>
      </w:r>
      <w:r>
        <w:t>点击“确定安装”，安装完成后会有提示“运行”。</w:t>
      </w:r>
    </w:p>
    <w:p>
      <w:pPr>
        <w:pStyle w:val="3"/>
      </w:pPr>
      <w:bookmarkStart w:id="4" w:name="_Toc90646123"/>
      <w:r>
        <w:rPr>
          <w:rFonts w:hint="eastAsia"/>
        </w:rPr>
        <w:t>版权声明</w:t>
      </w:r>
      <w:bookmarkEnd w:id="4"/>
    </w:p>
    <w:p>
      <w:pPr>
        <w:pStyle w:val="34"/>
      </w:pPr>
      <w:r>
        <w:rPr>
          <w:rFonts w:hint="eastAsia"/>
        </w:rPr>
        <w:t>受《伯尔尼公约》、《世界版权公约》和 TRIPS 协议保护，本使用说明和高速行情 Level2 版股票分析系统，及其作为计算机软件核心的计算机程序在没有调入计算机之前，以文字、数码等信息符号作为表现形式的相关存在，深圳市财富趋势科技股份有限公司版权所有，并保留所有相关权利。未经深圳市财富趋势科技股份有限公司明确的书面许可，任何单位和个人不得以任何手段和方式进行复制、抄袭、转载。违者，深圳市财富趋势科技股份有限公司保留追究其法律责任的权利。</w:t>
      </w:r>
    </w:p>
    <w:p>
      <w:pPr>
        <w:pStyle w:val="34"/>
      </w:pPr>
      <w:r>
        <w:rPr>
          <w:rFonts w:hint="eastAsia"/>
        </w:rPr>
        <w:t>高速行情股票分析系统仅对您的投资决策提供参考意见，对您的股市决策所带来的任何风险，依法不承担任何责任。</w:t>
      </w:r>
    </w:p>
    <w:p>
      <w:pPr>
        <w:pStyle w:val="34"/>
      </w:pPr>
      <w:r>
        <w:rPr>
          <w:rFonts w:hint="eastAsia"/>
        </w:rPr>
        <w:t>由于高速行情分析系统依赖于电子通讯传送数据，因而对于任何由于通讯中断所造成的数据问题，依法免责。</w:t>
      </w:r>
    </w:p>
    <w:p>
      <w:pPr>
        <w:pStyle w:val="34"/>
      </w:pPr>
      <w:r>
        <w:rPr>
          <w:rFonts w:hint="eastAsia"/>
        </w:rPr>
        <w:t>我公司不对本软件作任何形式的保证，尤其不对其用于特殊目的的绝对合宜性作任何明确或隐含的肯定保证。</w:t>
      </w:r>
    </w:p>
    <w:p>
      <w:pPr>
        <w:pStyle w:val="34"/>
      </w:pPr>
      <w:r>
        <w:rPr>
          <w:rFonts w:hint="eastAsia"/>
        </w:rPr>
        <w:t>我公司保留在任何时间不必通知用户而修改本软件及相关资料的权利。</w:t>
      </w:r>
    </w:p>
    <w:p>
      <w:pPr>
        <w:pStyle w:val="3"/>
      </w:pPr>
      <w:bookmarkStart w:id="5" w:name="_Toc90646124"/>
      <w:r>
        <w:rPr>
          <w:rFonts w:hint="eastAsia"/>
        </w:rPr>
        <w:t>免责声明</w:t>
      </w:r>
      <w:bookmarkEnd w:id="5"/>
    </w:p>
    <w:p>
      <w:pPr>
        <w:pStyle w:val="34"/>
      </w:pPr>
      <w:r>
        <w:rPr>
          <w:rFonts w:hint="eastAsia"/>
        </w:rPr>
        <w:t>下载和使用本公司软件前，请仔细阅读此文档。如因以下问题产生纠纷，本公司不承担其相应责任。</w:t>
      </w:r>
    </w:p>
    <w:p>
      <w:pPr>
        <w:pStyle w:val="34"/>
      </w:pPr>
      <w:r>
        <w:rPr>
          <w:rFonts w:hint="eastAsia"/>
        </w:rPr>
        <w:t>1.通达信软件是由深圳财富趋势科技股份有限公司（以下简称“财富趋势”）开发。"软件"的一切版权等知识产权，以及与"软件"相关的所有信息内容，包括但不限于：文字表述及其组合、图标、图饰、图表、色彩、界面设计、版面框架、有关数据、印刷材料、或电子文档等均受著作权法和国际著作权条约以及其他知识产权法律法规的保护。</w:t>
      </w:r>
    </w:p>
    <w:p>
      <w:pPr>
        <w:pStyle w:val="34"/>
      </w:pPr>
      <w:r>
        <w:rPr>
          <w:rFonts w:hint="eastAsia"/>
        </w:rPr>
        <w:t>2.软件”针对指定系统进行开发，提供不同的版本，并经过测试和技术验证，使用时必须注意系统的对应。若软件使用在不正确的系统版本，所造成使用上的一切问题，财富趋势不予负责，且不提供客服支持。</w:t>
      </w:r>
    </w:p>
    <w:p>
      <w:pPr>
        <w:pStyle w:val="34"/>
      </w:pPr>
      <w:r>
        <w:rPr>
          <w:rFonts w:hint="eastAsia"/>
        </w:rPr>
        <w:t>3.不得对“软件”进行反向工程、反向汇编、反向编译等修改行为，非经财富趋势或财富趋势授权开发并正式发布的其它任何由"软件"衍生的软件均属非法，下载、安装、使用此类软件，将可能导致不可预知的风险，由此产生的一切法律责任与纠纷一概与财富趋势无关，财富趋势不对非官方版本软件提供客服支持。</w:t>
      </w:r>
    </w:p>
    <w:p>
      <w:pPr>
        <w:pStyle w:val="34"/>
      </w:pPr>
      <w:r>
        <w:rPr>
          <w:rFonts w:hint="eastAsia"/>
        </w:rPr>
        <w:t>4.不得利用“软件”发表、传送、传播、储存违反国家法律、危害国家安全、祖国统一、社会稳定的内容，或任何不当的、侮辱诽谤的、淫秽的、暴力的及任何违反国家法律法规政策的内容。</w:t>
      </w:r>
    </w:p>
    <w:p>
      <w:pPr>
        <w:pStyle w:val="34"/>
      </w:pPr>
      <w:r>
        <w:rPr>
          <w:rFonts w:hint="eastAsia"/>
        </w:rPr>
        <w:t>5.使用“软件”涉及到互联网服务和移动通信服务，可能会受到各个环节不稳定因素的影响，存在因不可抗力、计算机病毒、黑客攻击、系统不稳定、用户所在位置、用户关机以及其他任何网络、技术、通信线路等原因造成的服务中断或不能满足用户要求的风险，用户须明白并自行承担以上风险，用户因此不能正常使用软件，财富趋势及合作单位不承担任何责任。</w:t>
      </w:r>
    </w:p>
    <w:p>
      <w:pPr>
        <w:pStyle w:val="34"/>
      </w:pPr>
      <w:r>
        <w:rPr>
          <w:rFonts w:hint="eastAsia"/>
        </w:rPr>
        <w:t>6.财富趋势有限公司将尽力确保所提供资料之准确性及可靠性，但并不担保该等资料之准确性及可靠性，且概不会就因有关资料之任何不正确或遗漏而引致之任何损失或损害承担任何责任（不论是否与侵权行为、订立契约或其他方面有关）。</w:t>
      </w:r>
    </w:p>
    <w:p>
      <w:pPr>
        <w:pStyle w:val="34"/>
      </w:pPr>
      <w:r>
        <w:rPr>
          <w:rFonts w:hint="eastAsia"/>
        </w:rPr>
        <w:t>7.用户因第三方如电信部门的通讯线路故障、技术问题、网络、电脑故障、系统不稳定性及其他各种不可抗力原因而遭受的经济损失，财富趋势及合作单位不承担责任。</w:t>
      </w:r>
    </w:p>
    <w:p>
      <w:pPr>
        <w:pStyle w:val="34"/>
      </w:pPr>
      <w:r>
        <w:rPr>
          <w:rFonts w:hint="eastAsia"/>
        </w:rPr>
        <w:t>8.因技术故障等不可抗事件影响到服务的正常运行的，财富趋势承诺在第一时间内与相关单位配合，及时处理进行修复，但用户因此而遭受的经济损失，财富趋势不承担责任。</w:t>
      </w:r>
    </w:p>
    <w:p>
      <w:pPr>
        <w:pStyle w:val="34"/>
      </w:pPr>
      <w:r>
        <w:rPr>
          <w:rFonts w:hint="eastAsia"/>
        </w:rPr>
        <w:t>9.通过本软件进行信息发布的，因受误导或欺骗而导致或可能导致的任何心理、生理上的伤害以及经济上的损失，由过错方依法承担所有责任，一概与财富趋势无关。</w:t>
      </w:r>
    </w:p>
    <w:p>
      <w:pPr>
        <w:pStyle w:val="34"/>
      </w:pPr>
      <w:r>
        <w:rPr>
          <w:rFonts w:hint="eastAsia"/>
        </w:rPr>
        <w:t>10.通达信软件作为金融分析工具，其分析结果仅供投资者参考，并不构成投资建议。投资者据此操作，风险自担。</w:t>
      </w:r>
    </w:p>
    <w:p>
      <w:pPr>
        <w:pStyle w:val="34"/>
      </w:pPr>
      <w:r>
        <w:rPr>
          <w:rStyle w:val="51"/>
          <w:rFonts w:hint="eastAsia"/>
          <w:szCs w:val="18"/>
        </w:rPr>
        <w:t>11.因客户端软件升级，对应帮助文件中的图片及文字可能存在未同步更新的情况， 由此产生的损失我们将不负任何责任，请大家以最新版本的客户端软件为准。</w:t>
      </w:r>
    </w:p>
    <w:p>
      <w:pPr>
        <w:pStyle w:val="3"/>
      </w:pPr>
      <w:bookmarkStart w:id="6" w:name="_Toc90646125"/>
      <w:r>
        <w:rPr>
          <w:rFonts w:hint="eastAsia"/>
        </w:rPr>
        <w:t>防盗版声明</w:t>
      </w:r>
      <w:bookmarkEnd w:id="6"/>
    </w:p>
    <w:p>
      <w:pPr>
        <w:pStyle w:val="34"/>
      </w:pPr>
      <w:r>
        <w:rPr>
          <w:rFonts w:hint="eastAsia"/>
        </w:rPr>
        <w:t>通达信软件致力于为广大投资者提供更好更完备的投资工具。但 2008 年以来，互联网上发现多起针对通达信系列软件的破解、外挂程序以及恶意修改程序、造成一号多用等侵权事件。不仅损害了我公司的合法权益同时也影响了其他通达信正版客户的正常使用。损害了通达信软件在广大消费者中的良好口碑。作为一款金融类软件，盗版存在极大的安全隐患。通达信软件不保证盗版软件正常使用，近期对恶意登录（包括一号多用）相关的帐号予以封号处理。若出现此类情况，风险自担。对于正版用户请及时到用户管理中心修改密码，申请密码保护。请登录通达信网站和证券公司网站下载软件。在其他网站下载的软件，您的帐号有可能会被不法者利用。</w:t>
      </w:r>
    </w:p>
    <w:p>
      <w:pPr>
        <w:pStyle w:val="34"/>
      </w:pPr>
      <w:r>
        <w:rPr>
          <w:rFonts w:hint="eastAsia"/>
        </w:rPr>
        <w:t>通达信版本所有程序概不推荐股票。</w:t>
      </w:r>
    </w:p>
    <w:p>
      <w:pPr>
        <w:pStyle w:val="3"/>
      </w:pPr>
      <w:bookmarkStart w:id="7" w:name="_Toc90646126"/>
      <w:r>
        <w:rPr>
          <w:rFonts w:hint="eastAsia"/>
        </w:rPr>
        <w:t>系统特点</w:t>
      </w:r>
      <w:bookmarkEnd w:id="7"/>
    </w:p>
    <w:p>
      <w:pPr>
        <w:pStyle w:val="34"/>
      </w:pPr>
      <w:r>
        <w:rPr>
          <w:rFonts w:hint="eastAsia"/>
          <w:szCs w:val="18"/>
        </w:rPr>
        <w:t>通达信金融终端提供前所未有的分析工具，让用户在技术分析的天地里尽情地展示个人的智慧。</w:t>
      </w:r>
    </w:p>
    <w:p>
      <w:pPr>
        <w:pStyle w:val="34"/>
        <w:ind w:firstLineChars="0"/>
        <w:rPr>
          <w:szCs w:val="18"/>
        </w:rPr>
      </w:pPr>
      <w:r>
        <w:rPr>
          <w:rFonts w:hint="eastAsia"/>
          <w:szCs w:val="18"/>
        </w:rPr>
        <w:t>1.版面定制，展现个性——</w:t>
      </w:r>
      <w:r>
        <w:rPr>
          <w:rFonts w:hint="eastAsia"/>
        </w:rPr>
        <w:t>版面定制可以让用户按照自己的需要将软件的分析界面任性设置成多个分析窗口，让用户可以在同一个版面上查看到更多的信息。用户也可以将定制好的版面保存、导出或导入，和其它的用户交流定制的版面。</w:t>
      </w:r>
    </w:p>
    <w:p>
      <w:pPr>
        <w:pStyle w:val="34"/>
        <w:rPr>
          <w:szCs w:val="18"/>
        </w:rPr>
      </w:pPr>
      <w:r>
        <w:rPr>
          <w:rFonts w:hint="eastAsia"/>
          <w:szCs w:val="18"/>
        </w:rPr>
        <w:t>2.ETF分析，捕捉更多套利机会——通过指数与ETF的叠加对比，把握折价、溢价关系变化，捕捉更多套利机会。</w:t>
      </w:r>
    </w:p>
    <w:p>
      <w:pPr>
        <w:pStyle w:val="34"/>
      </w:pPr>
      <w:r>
        <w:rPr>
          <w:rFonts w:hint="eastAsia"/>
        </w:rPr>
        <w:t>3.交易系统，五彩K线——通过交易系统指示，本系统可以帮助您在K线图上标出醒目的买入卖出信号，您可以更好地分析某只股票的历史规律，以预测未来。自动识别各种典型的Ｋ线组合！特定的K线模式往往有非常准确的指示作用，系统提供许多种常用五彩K线公式，当选中某一模式后，系统自动在K线图上将属于该模式的K线标识出来，一目了然。另外，系统还支持最高最低点指示。</w:t>
      </w:r>
    </w:p>
    <w:p>
      <w:pPr>
        <w:pStyle w:val="34"/>
        <w:rPr>
          <w:szCs w:val="18"/>
        </w:rPr>
      </w:pPr>
      <w:r>
        <w:rPr>
          <w:rFonts w:hint="eastAsia"/>
          <w:szCs w:val="18"/>
        </w:rPr>
        <w:t>4.精确复权，功能强大——独一无二的精确自动复权处理，保证技术分析绝对的连续！除权时精确考虑送股、配股和分红对股价的影响，使技术指标分析更准确、更完整。支持所有周期的复权，支持前复权，后复权，而且支持权息数据库的维护和显示，进一步消除除权对走势的影响。</w:t>
      </w:r>
    </w:p>
    <w:p>
      <w:pPr>
        <w:pStyle w:val="34"/>
        <w:rPr>
          <w:szCs w:val="18"/>
        </w:rPr>
      </w:pPr>
      <w:r>
        <w:rPr>
          <w:rFonts w:hint="eastAsia"/>
          <w:szCs w:val="18"/>
        </w:rPr>
        <w:t>5.条件选股——选股器为您提供条件选股、定制选股、模式选股、插件选股和综合选股五种选股模式，无论从技术面还是基本面，您都能快速的选出自己心仪的股票。您还可以将不同分析周期的多个条件组合起来进行组合条件选股，并将选股结果保存到板块中。</w:t>
      </w:r>
    </w:p>
    <w:p>
      <w:pPr>
        <w:pStyle w:val="34"/>
        <w:rPr>
          <w:szCs w:val="18"/>
        </w:rPr>
      </w:pPr>
      <w:r>
        <w:rPr>
          <w:rFonts w:hint="eastAsia"/>
          <w:szCs w:val="18"/>
        </w:rPr>
        <w:t>6.指标全面，妙用无穷——高速行情软件囊括了各种经典和流行的技术分析指标、工具和方法，且不乏独创性的分析技术金融成果。各种分析方法极其灵活、方便，可让您恣意发挥、痛快使用。同时能动态调整任一分析指标的技术参数，在调整过程中，可预览画面变化，真正的所见即所得。</w:t>
      </w:r>
    </w:p>
    <w:p>
      <w:pPr>
        <w:pStyle w:val="34"/>
        <w:rPr>
          <w:szCs w:val="18"/>
        </w:rPr>
      </w:pPr>
      <w:r>
        <w:rPr>
          <w:rFonts w:hint="eastAsia"/>
          <w:szCs w:val="18"/>
        </w:rPr>
        <w:t>7.数据维护，简单快捷——取补数据、整理清理数据等操作。当天数据的盘后转档可以方便地进行收盘。选股和测试等时数据不够时，系统会自动提示。</w:t>
      </w:r>
    </w:p>
    <w:p>
      <w:pPr>
        <w:pStyle w:val="34"/>
        <w:rPr>
          <w:szCs w:val="18"/>
        </w:rPr>
      </w:pPr>
      <w:r>
        <w:rPr>
          <w:rFonts w:hint="eastAsia"/>
          <w:szCs w:val="18"/>
        </w:rPr>
        <w:t>8.时空隧道，风云再现——分时重播可以重现盘中交易时的动态效果。它将从开盘到当前盘中时间的分时走势图快速回放，回放的过程完全吻合实际的走势变化。用户能够快速地浏览重绘的走势图，股票的涨跌，分笔成交，盘口异动，成交量，买卖金额的变化等。</w:t>
      </w:r>
    </w:p>
    <w:p>
      <w:pPr>
        <w:pStyle w:val="34"/>
        <w:rPr>
          <w:szCs w:val="18"/>
        </w:rPr>
      </w:pPr>
      <w:r>
        <w:rPr>
          <w:rFonts w:hint="eastAsia"/>
          <w:szCs w:val="18"/>
        </w:rPr>
        <w:t>9.全面资讯，把握战机——资讯工具让您在客户端发表个人观点，及时了解市场重要信息。您还可以收藏要有价值的资讯，并通过资询检索迅速找出需要的信息。</w:t>
      </w:r>
    </w:p>
    <w:p>
      <w:pPr>
        <w:pStyle w:val="34"/>
        <w:rPr>
          <w:szCs w:val="18"/>
        </w:rPr>
      </w:pPr>
      <w:r>
        <w:rPr>
          <w:rFonts w:hint="eastAsia"/>
          <w:szCs w:val="18"/>
        </w:rPr>
        <w:t>10.多股同列，纵观全局——将屏幕等分成小窗，每个小窗显示一只股票的价量走势，方便您同时观察多只股票（最多可同时观察十六只股票）。支持多个股票的走势图同列和分析图同列。多走势图同列与多分析图同列的可用F5一键切换。</w:t>
      </w:r>
    </w:p>
    <w:p>
      <w:pPr>
        <w:pStyle w:val="34"/>
        <w:rPr>
          <w:szCs w:val="18"/>
        </w:rPr>
      </w:pPr>
      <w:r>
        <w:rPr>
          <w:rFonts w:hint="eastAsia"/>
          <w:szCs w:val="18"/>
        </w:rPr>
        <w:t>11.键盘精灵，快速操作——快速选股、选指标功能，首创拼音代码查询技术（键盘精灵），使用股票名称拼音首字母编码，可以方便地查找到股票；使用指标的英文缩写名，可方便地找到所要指标；同时还支持拼音选板块和拼音选功能，如WT即委托，FXT即进入分析图。</w:t>
      </w:r>
    </w:p>
    <w:p>
      <w:pPr>
        <w:pStyle w:val="34"/>
        <w:rPr>
          <w:szCs w:val="18"/>
        </w:rPr>
      </w:pPr>
      <w:r>
        <w:rPr>
          <w:rFonts w:hint="eastAsia"/>
          <w:szCs w:val="18"/>
        </w:rPr>
        <w:t>12.自编公式，随心所欲——用户可通过公式管理器自定义指标公式、条件选股公式、交易系统公式和五彩K线公式，把自己的想法变成公式，充分发挥您的聪明才智。通过自定义指标公式，您可以用自己的指标来分析历史数据；通过自定义条件选股公式，您可以选出您想找的股票；通过专家系统公式，您可以自己作专家，确定买卖时机；通过自定义五彩K线公式，您可以在K线图上搜寻特殊的Ｋ线形态。此时的您已由一名普通股民晋级为一名高级投资者了。</w:t>
      </w:r>
    </w:p>
    <w:p>
      <w:pPr>
        <w:pStyle w:val="34"/>
        <w:rPr>
          <w:szCs w:val="18"/>
        </w:rPr>
      </w:pPr>
      <w:r>
        <w:rPr>
          <w:rFonts w:hint="eastAsia"/>
          <w:szCs w:val="18"/>
        </w:rPr>
        <w:t>13.在线人气，洞察先机——行情主站采集所有客户端的人气，按照一定算法统计出个股的关注度和共鸣度，告诉您近期市场关注的热点可能在哪里出现。</w:t>
      </w:r>
    </w:p>
    <w:p>
      <w:pPr>
        <w:pStyle w:val="34"/>
        <w:rPr>
          <w:szCs w:val="18"/>
        </w:rPr>
      </w:pPr>
      <w:r>
        <w:rPr>
          <w:rFonts w:hint="eastAsia"/>
          <w:szCs w:val="18"/>
        </w:rPr>
        <w:t>14.鼠标伴侣，跟踪提示——无论是鼠标停靠在指标或是指示上都有详细的注解提示，充分体现高速行情软件的人性化设计。如果有多只股票出现，鼠标跟踪提示框还会分辨股票信息，智能显示股票名称。如果出现多种类型的指标与指示，鼠标跟踪提示会智能的对类型加以详细的区分。如果是股本变迁指示，鼠标跟踪提示还会区分除权、配股、送股等不同情况，并且以不同的格式显示，指出具体时间及精确数据。</w:t>
      </w:r>
    </w:p>
    <w:p>
      <w:pPr>
        <w:pStyle w:val="34"/>
        <w:rPr>
          <w:szCs w:val="18"/>
        </w:rPr>
      </w:pPr>
      <w:r>
        <w:rPr>
          <w:rFonts w:hint="eastAsia"/>
          <w:szCs w:val="18"/>
        </w:rPr>
        <w:t>15.高度自动化——智能化自动添加新股，自动补充日线、基本资料、除权数据、公告新闻、股改数据和评论等，自动换页，激活此功能，使行情窗口、即时窗口、分析窗口按一定时间刷新。</w:t>
      </w:r>
    </w:p>
    <w:p>
      <w:pPr>
        <w:pStyle w:val="34"/>
        <w:rPr>
          <w:szCs w:val="18"/>
        </w:rPr>
      </w:pPr>
      <w:r>
        <w:rPr>
          <w:rFonts w:hint="eastAsia"/>
          <w:szCs w:val="18"/>
        </w:rPr>
        <w:t>16.指标画线，快捷方便——为用户提供仿AutoCAD式的画线功能，不仅能够画线，还能将已经画的线平移、旋转、压缩、拉伸和删除。支持趋势线、线段、直线、百分比线、黄金分割线、波段线、线性回归、线性回归带、回归信道、周期线、费波拉契线、阻速线、甘氏线、箭头标记、文字标记、抛物线等画线工具，多达数十种的特殊画线功能，如等量图，压缩图，宝塔线等，画线方便快捷。画完线后可以方便地调整画线位置及角度。放大缩小画面不会对画线产生影响，画线永久记忆，除非用户强制删除。画线的颜色可自行选择和定义。</w:t>
      </w:r>
    </w:p>
    <w:p>
      <w:pPr>
        <w:pStyle w:val="34"/>
        <w:rPr>
          <w:szCs w:val="18"/>
        </w:rPr>
      </w:pPr>
      <w:r>
        <w:rPr>
          <w:rFonts w:hint="eastAsia"/>
          <w:szCs w:val="18"/>
        </w:rPr>
        <w:t>17.个人理财，精打细算——全新的智能化投资管理器，提供多类报表。可以设置密码。 本系统特地设置了备忘录功能，以方便股民们用该记事本随时记录一些重要消息和事件，以及灵光突现的炒股感悟和心得。 投资盈亏计算，在进行买卖股票之前，可方便快捷计算出自己的盈亏价位、手续费、资金额。</w:t>
      </w:r>
    </w:p>
    <w:p>
      <w:pPr>
        <w:pStyle w:val="34"/>
        <w:rPr>
          <w:szCs w:val="18"/>
        </w:rPr>
      </w:pPr>
      <w:r>
        <w:rPr>
          <w:rFonts w:hint="eastAsia"/>
          <w:szCs w:val="18"/>
        </w:rPr>
        <w:t>18.预警系统，耳听八方——市场雷达：根据投资者设定的条件监控整个股票市场的动向，帮助投资者发现可能忽略或者不能注意到的风吹草动！自定义涨跌幅度、量比、绝对价位、成交量异动、指标突破价位、封停和打开停板等一系列的预警条件，系统将在条件满足时提醒投资者有异动的股票及其异动的特征，投资者可以在分析的同时把握住市场异常变化的瞬间，抓住每一个买卖的时机。系统预警：用户可选择一些自己感兴趣的股票进行预警，可以设定价位突破的上下限值。如果这些股票的行情变动异常，则弹出对话框进行预警。</w:t>
      </w:r>
    </w:p>
    <w:p>
      <w:pPr>
        <w:pStyle w:val="3"/>
      </w:pPr>
      <w:bookmarkStart w:id="8" w:name="_Toc90646127"/>
      <w:r>
        <w:rPr>
          <w:rFonts w:hint="eastAsia"/>
        </w:rPr>
        <w:t>登入/退出系统</w:t>
      </w:r>
      <w:bookmarkEnd w:id="8"/>
    </w:p>
    <w:p>
      <w:pPr>
        <w:pStyle w:val="34"/>
      </w:pPr>
      <w:r>
        <w:rPr>
          <w:rFonts w:hint="eastAsia"/>
        </w:rPr>
        <w:t>登入系统</w:t>
      </w:r>
    </w:p>
    <w:p>
      <w:pPr>
        <w:pStyle w:val="34"/>
      </w:pPr>
      <w:r>
        <w:rPr>
          <w:rFonts w:hint="eastAsia"/>
        </w:rPr>
        <w:t>1.对于通达信沪深收费标准版的用户，收费用户双击桌面上的“通达信金融终端”图标，可直接打开本系统的登录界面。</w:t>
      </w:r>
    </w:p>
    <w:p>
      <w:pPr>
        <w:pStyle w:val="34"/>
      </w:pPr>
      <w:r>
        <w:rPr>
          <w:rFonts w:hint="eastAsia"/>
        </w:rPr>
        <w:t>2.在开始菜单的程序中，沿着“开始”→“所有程序”→“通达信金融终端”，也可打开本系统的登录界面。首先会提示选择网络区域，用户根据自己实际情况进行选择。</w:t>
      </w:r>
    </w:p>
    <w:p>
      <w:pPr>
        <w:pStyle w:val="34"/>
      </w:pPr>
      <w:r>
        <w:fldChar w:fldCharType="begin"/>
      </w:r>
      <w:r>
        <w:instrText xml:space="preserve"> INCLUDEPICTURE  "https://www.tdx.com.cn/products/helpfile/tdxw/chm/%E7%AC%AC%E4%B8%80%E7%AB%A0   %E6%AC%A2%E8%BF%8E%E4%BD%BF%E7%94%A8/1-7/1.png" \* MERGEFORMATINET </w:instrText>
      </w:r>
      <w:r>
        <w:fldChar w:fldCharType="separate"/>
      </w:r>
      <w:r>
        <w:fldChar w:fldCharType="begin"/>
      </w:r>
      <w:r>
        <w:instrText xml:space="preserve"> INCLUDEPICTURE  "https://www.tdx.com.cn/products/helpfile/tdxw/chm/%E7%AC%AC%E4%B8%80%E7%AB%A0   %E6%AC%A2%E8%BF%8E%E4%BD%BF%E7%94%A8/1-7/1.png" \* MERGEFORMATINET </w:instrText>
      </w:r>
      <w:r>
        <w:fldChar w:fldCharType="separate"/>
      </w:r>
      <w:r>
        <w:fldChar w:fldCharType="begin"/>
      </w:r>
      <w:r>
        <w:instrText xml:space="preserve"> INCLUDEPICTURE  "https://www.tdx.com.cn/products/helpfile/tdxw/chm/%E7%AC%AC%E4%B8%80%E7%AB%A0   %E6%AC%A2%E8%BF%8E%E4%BD%BF%E7%94%A8/1-7/1.png" \* MERGEFORMATINET </w:instrText>
      </w:r>
      <w:r>
        <w:fldChar w:fldCharType="separate"/>
      </w:r>
      <w:r>
        <w:fldChar w:fldCharType="begin"/>
      </w:r>
      <w:r>
        <w:instrText xml:space="preserve"> INCLUDEPICTURE  "https://www.tdx.com.cn/products/helpfile/tdxw/chm/%E7%AC%AC%E4%B8%80%E7%AB%A0   %E6%AC%A2%E8%BF%8E%E4%BD%BF%E7%94%A8/1-7/1.png" \* MERGEFORMATINET </w:instrText>
      </w:r>
      <w:r>
        <w:fldChar w:fldCharType="separate"/>
      </w:r>
      <w:r>
        <w:drawing>
          <wp:inline distT="0" distB="0" distL="114300" distR="114300">
            <wp:extent cx="3295650" cy="3095625"/>
            <wp:effectExtent l="0" t="0" r="0" b="952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1" r:link="rId12"/>
                    <a:stretch>
                      <a:fillRect/>
                    </a:stretch>
                  </pic:blipFill>
                  <pic:spPr>
                    <a:xfrm>
                      <a:off x="0" y="0"/>
                      <a:ext cx="3295650" cy="3095625"/>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3.点击“确定”，如果是首次使用系统，提示</w:t>
      </w:r>
    </w:p>
    <w:p>
      <w:pPr>
        <w:pStyle w:val="34"/>
      </w:pPr>
      <w:r>
        <w:fldChar w:fldCharType="begin"/>
      </w:r>
      <w:r>
        <w:instrText xml:space="preserve"> INCLUDEPICTURE  "https://www.tdx.com.cn/products/helpfile/tdxw/chm/%E7%AC%AC%E4%B8%80%E7%AB%A0   %E6%AC%A2%E8%BF%8E%E4%BD%BF%E7%94%A8/1-7/2.png" \* MERGEFORMATINET </w:instrText>
      </w:r>
      <w:r>
        <w:fldChar w:fldCharType="separate"/>
      </w:r>
      <w:r>
        <w:fldChar w:fldCharType="begin"/>
      </w:r>
      <w:r>
        <w:instrText xml:space="preserve"> INCLUDEPICTURE  "https://www.tdx.com.cn/products/helpfile/tdxw/chm/%E7%AC%AC%E4%B8%80%E7%AB%A0   %E6%AC%A2%E8%BF%8E%E4%BD%BF%E7%94%A8/1-7/2.png" \* MERGEFORMATINET </w:instrText>
      </w:r>
      <w:r>
        <w:fldChar w:fldCharType="separate"/>
      </w:r>
      <w:r>
        <w:fldChar w:fldCharType="begin"/>
      </w:r>
      <w:r>
        <w:instrText xml:space="preserve"> INCLUDEPICTURE  "https://www.tdx.com.cn/products/helpfile/tdxw/chm/%E7%AC%AC%E4%B8%80%E7%AB%A0   %E6%AC%A2%E8%BF%8E%E4%BD%BF%E7%94%A8/1-7/2.png" \* MERGEFORMATINET </w:instrText>
      </w:r>
      <w:r>
        <w:fldChar w:fldCharType="separate"/>
      </w:r>
      <w:r>
        <w:fldChar w:fldCharType="begin"/>
      </w:r>
      <w:r>
        <w:instrText xml:space="preserve"> INCLUDEPICTURE  "https://www.tdx.com.cn/products/helpfile/tdxw/chm/%E7%AC%AC%E4%B8%80%E7%AB%A0   %E6%AC%A2%E8%BF%8E%E4%BD%BF%E7%94%A8/1-7/2.png" \* MERGEFORMATINET </w:instrText>
      </w:r>
      <w:r>
        <w:fldChar w:fldCharType="separate"/>
      </w:r>
      <w:r>
        <w:drawing>
          <wp:inline distT="0" distB="0" distL="114300" distR="114300">
            <wp:extent cx="3724275" cy="2009775"/>
            <wp:effectExtent l="0" t="0" r="9525" b="952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13" r:link="rId14"/>
                    <a:stretch>
                      <a:fillRect/>
                    </a:stretch>
                  </pic:blipFill>
                  <pic:spPr>
                    <a:xfrm>
                      <a:off x="0" y="0"/>
                      <a:ext cx="3724275" cy="2009775"/>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4.点击“确定”进入登录界面，填入信息，登录。</w:t>
      </w:r>
    </w:p>
    <w:p>
      <w:pPr>
        <w:pStyle w:val="34"/>
      </w:pPr>
      <w:r>
        <w:fldChar w:fldCharType="begin"/>
      </w:r>
      <w:r>
        <w:instrText xml:space="preserve"> INCLUDEPICTURE  "https://www.tdx.com.cn/products/helpfile/tdxw/chm/%E7%AC%AC%E4%B8%80%E7%AB%A0   %E6%AC%A2%E8%BF%8E%E4%BD%BF%E7%94%A8/1-7/3.png" \* MERGEFORMATINET </w:instrText>
      </w:r>
      <w:r>
        <w:fldChar w:fldCharType="separate"/>
      </w:r>
      <w:r>
        <w:fldChar w:fldCharType="begin"/>
      </w:r>
      <w:r>
        <w:instrText xml:space="preserve"> INCLUDEPICTURE  "https://www.tdx.com.cn/products/helpfile/tdxw/chm/%E7%AC%AC%E4%B8%80%E7%AB%A0   %E6%AC%A2%E8%BF%8E%E4%BD%BF%E7%94%A8/1-7/3.png" \* MERGEFORMATINET </w:instrText>
      </w:r>
      <w:r>
        <w:fldChar w:fldCharType="separate"/>
      </w:r>
      <w:r>
        <w:fldChar w:fldCharType="begin"/>
      </w:r>
      <w:r>
        <w:instrText xml:space="preserve"> INCLUDEPICTURE  "https://www.tdx.com.cn/products/helpfile/tdxw/chm/%E7%AC%AC%E4%B8%80%E7%AB%A0   %E6%AC%A2%E8%BF%8E%E4%BD%BF%E7%94%A8/1-7/3.png" \* MERGEFORMATINET </w:instrText>
      </w:r>
      <w:r>
        <w:fldChar w:fldCharType="separate"/>
      </w:r>
      <w:r>
        <w:fldChar w:fldCharType="begin"/>
      </w:r>
      <w:r>
        <w:instrText xml:space="preserve"> INCLUDEPICTURE  "https://www.tdx.com.cn/products/helpfile/tdxw/chm/%E7%AC%AC%E4%B8%80%E7%AB%A0   %E6%AC%A2%E8%BF%8E%E4%BD%BF%E7%94%A8/1-7/3.png" \* MERGEFORMATINET </w:instrText>
      </w:r>
      <w:r>
        <w:fldChar w:fldCharType="separate"/>
      </w:r>
      <w:r>
        <w:drawing>
          <wp:inline distT="0" distB="0" distL="114300" distR="114300">
            <wp:extent cx="5391150" cy="403860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5" r:link="rId16"/>
                    <a:stretch>
                      <a:fillRect/>
                    </a:stretch>
                  </pic:blipFill>
                  <pic:spPr>
                    <a:xfrm>
                      <a:off x="0" y="0"/>
                      <a:ext cx="5391150" cy="4038600"/>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退出系统</w:t>
      </w:r>
    </w:p>
    <w:p>
      <w:pPr>
        <w:pStyle w:val="34"/>
      </w:pPr>
      <w:r>
        <w:rPr>
          <w:rFonts w:hint="eastAsia"/>
        </w:rPr>
        <w:t>1.按Alt+F4组合键退出系统；</w:t>
      </w:r>
    </w:p>
    <w:p>
      <w:pPr>
        <w:pStyle w:val="34"/>
      </w:pPr>
      <w:r>
        <w:rPr>
          <w:rFonts w:hint="eastAsia"/>
        </w:rPr>
        <w:t>2.点击系统栏中退出系统；</w:t>
      </w:r>
    </w:p>
    <w:p>
      <w:pPr>
        <w:pStyle w:val="34"/>
      </w:pPr>
      <w:r>
        <w:rPr>
          <w:rFonts w:hint="eastAsia"/>
        </w:rPr>
        <w:t>3.用鼠标点击窗口右上角蓝色"×"退出系统。</w:t>
      </w:r>
    </w:p>
    <w:p>
      <w:pPr>
        <w:pStyle w:val="2"/>
      </w:pPr>
      <w:bookmarkStart w:id="9" w:name="_Toc90646128"/>
      <w:r>
        <w:rPr>
          <w:rFonts w:hint="eastAsia"/>
        </w:rPr>
        <w:t>功能</w:t>
      </w:r>
      <w:bookmarkEnd w:id="9"/>
    </w:p>
    <w:p>
      <w:pPr>
        <w:pStyle w:val="3"/>
      </w:pPr>
      <w:bookmarkStart w:id="10" w:name="_Toc90646129"/>
      <w:r>
        <w:rPr>
          <w:rFonts w:hint="eastAsia"/>
        </w:rPr>
        <w:t>行情报价</w:t>
      </w:r>
      <w:bookmarkEnd w:id="10"/>
    </w:p>
    <w:p>
      <w:pPr>
        <w:pStyle w:val="34"/>
        <w:rPr>
          <w:kern w:val="0"/>
        </w:rPr>
      </w:pPr>
      <w:r>
        <w:rPr>
          <w:rFonts w:hint="eastAsia"/>
          <w:kern w:val="0"/>
        </w:rPr>
        <w:t>功能—行情报价，系统进入时是行情窗口（该窗口在运行期间不能关闭），在行情窗口中可显示行情报价和行情排名。</w:t>
      </w:r>
    </w:p>
    <w:p>
      <w:pPr>
        <w:pStyle w:val="34"/>
        <w:rPr>
          <w:kern w:val="0"/>
        </w:rPr>
      </w:pPr>
      <w:r>
        <w:drawing>
          <wp:inline distT="0" distB="0" distL="114300" distR="114300">
            <wp:extent cx="6677025" cy="4886325"/>
            <wp:effectExtent l="0" t="0" r="9525" b="952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7"/>
                    <a:stretch>
                      <a:fillRect/>
                    </a:stretch>
                  </pic:blipFill>
                  <pic:spPr>
                    <a:xfrm>
                      <a:off x="0" y="0"/>
                      <a:ext cx="6677025" cy="4886325"/>
                    </a:xfrm>
                    <a:prstGeom prst="rect">
                      <a:avLst/>
                    </a:prstGeom>
                    <a:noFill/>
                    <a:ln>
                      <a:noFill/>
                    </a:ln>
                  </pic:spPr>
                </pic:pic>
              </a:graphicData>
            </a:graphic>
          </wp:inline>
        </w:drawing>
      </w:r>
    </w:p>
    <w:p>
      <w:pPr>
        <w:pStyle w:val="34"/>
        <w:rPr>
          <w:kern w:val="0"/>
        </w:rPr>
      </w:pPr>
      <w:r>
        <w:rPr>
          <w:rFonts w:hint="eastAsia"/>
          <w:kern w:val="0"/>
        </w:rPr>
        <w:t>快捷方式： </w:t>
      </w:r>
    </w:p>
    <w:p>
      <w:pPr>
        <w:pStyle w:val="34"/>
        <w:rPr>
          <w:kern w:val="0"/>
        </w:rPr>
      </w:pPr>
      <w:r>
        <w:rPr>
          <w:rFonts w:hint="eastAsia"/>
          <w:kern w:val="0"/>
        </w:rPr>
        <w:t>▲ 点击工具栏主功能图标按钮 </w:t>
      </w:r>
      <w:r>
        <w:rPr>
          <w:kern w:val="0"/>
        </w:rPr>
        <w:fldChar w:fldCharType="begin"/>
      </w:r>
      <w:r>
        <w:rPr>
          <w:kern w:val="0"/>
        </w:rPr>
        <w:instrText xml:space="preserve"> INCLUDEPICTURE  "https://www.tdx.com.cn/products/helpfile/tdxw/chm/%E7%AC%AC%E4%BA%8C%E7%AB%A0 %E5%8A%9F%E8%83%BD/2-1/0.6.png"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"https://www.tdx.com.cn/products/helpfile/tdxw/chm/%E7%AC%AC%E4%BA%8C%E7%AB%A0 %E5%8A%9F%E8%83%BD/2-1/0.6.png"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"https://www.tdx.com.cn/products/helpfile/tdxw/chm/%E7%AC%AC%E4%BA%8C%E7%AB%A0 %E5%8A%9F%E8%83%BD/2-1/0.6.png"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"https://www.tdx.com.cn/products/helpfile/tdxw/chm/%E7%AC%AC%E4%BA%8C%E7%AB%A0 %E5%8A%9F%E8%83%BD/2-1/0.6.png" \* MERGEFORMATINET </w:instrText>
      </w:r>
      <w:r>
        <w:rPr>
          <w:kern w:val="0"/>
        </w:rPr>
        <w:fldChar w:fldCharType="separate"/>
      </w:r>
      <w:r>
        <w:rPr>
          <w:kern w:val="0"/>
        </w:rPr>
        <w:drawing>
          <wp:inline distT="0" distB="0" distL="114300" distR="114300">
            <wp:extent cx="219075" cy="219075"/>
            <wp:effectExtent l="0" t="0" r="9525" b="952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18" r:link="rId19"/>
                    <a:stretch>
                      <a:fillRect/>
                    </a:stretch>
                  </pic:blipFill>
                  <pic:spPr>
                    <a:xfrm>
                      <a:off x="0" y="0"/>
                      <a:ext cx="219075" cy="219075"/>
                    </a:xfrm>
                    <a:prstGeom prst="rect">
                      <a:avLst/>
                    </a:prstGeom>
                    <a:noFill/>
                    <a:ln>
                      <a:noFill/>
                    </a:ln>
                  </pic:spPr>
                </pic:pic>
              </a:graphicData>
            </a:graphic>
          </wp:inline>
        </w:drawing>
      </w:r>
      <w:r>
        <w:rPr>
          <w:kern w:val="0"/>
        </w:rPr>
        <w:fldChar w:fldCharType="end"/>
      </w:r>
      <w:r>
        <w:rPr>
          <w:kern w:val="0"/>
        </w:rPr>
        <w:fldChar w:fldCharType="end"/>
      </w:r>
      <w:r>
        <w:rPr>
          <w:kern w:val="0"/>
        </w:rPr>
        <w:fldChar w:fldCharType="end"/>
      </w:r>
      <w:r>
        <w:rPr>
          <w:kern w:val="0"/>
        </w:rPr>
        <w:fldChar w:fldCharType="end"/>
      </w:r>
    </w:p>
    <w:p>
      <w:pPr>
        <w:pStyle w:val="34"/>
        <w:rPr>
          <w:kern w:val="0"/>
        </w:rPr>
      </w:pPr>
      <w:r>
        <w:rPr>
          <w:rFonts w:hint="eastAsia"/>
          <w:kern w:val="0"/>
        </w:rPr>
        <w:t>▲ 点击功能--行情报价，选择不同股票集合</w:t>
      </w:r>
    </w:p>
    <w:p>
      <w:pPr>
        <w:pStyle w:val="34"/>
        <w:ind w:firstLine="542"/>
        <w:rPr>
          <w:b/>
          <w:bCs/>
          <w:color w:val="FF0000"/>
          <w:kern w:val="0"/>
          <w:sz w:val="27"/>
          <w:szCs w:val="27"/>
        </w:rPr>
      </w:pPr>
      <w:r>
        <w:rPr>
          <w:rFonts w:hint="eastAsia"/>
          <w:b/>
          <w:bCs/>
          <w:color w:val="FF0000"/>
          <w:kern w:val="0"/>
          <w:sz w:val="27"/>
          <w:szCs w:val="27"/>
        </w:rPr>
        <w:t>系统界面简介：</w:t>
      </w:r>
    </w:p>
    <w:p>
      <w:pPr>
        <w:pStyle w:val="34"/>
        <w:rPr>
          <w:kern w:val="0"/>
        </w:rPr>
      </w:pPr>
      <w:r>
        <w:rPr>
          <w:rFonts w:hint="eastAsia"/>
          <w:kern w:val="0"/>
        </w:rPr>
        <w:t>〖菜单栏〗位于系统画面右上方，包括功能，版面，公式，选项等栏目。用鼠标点击栏目或同时按下Alt和栏目旁的字母即可打开相应栏目的下拉列表。</w:t>
      </w:r>
    </w:p>
    <w:p>
      <w:pPr>
        <w:pStyle w:val="34"/>
        <w:rPr>
          <w:kern w:val="0"/>
        </w:rPr>
      </w:pPr>
      <w:r>
        <w:rPr>
          <w:rFonts w:hint="eastAsia"/>
          <w:kern w:val="0"/>
        </w:rPr>
        <w:t>〖状态栏〗位于系统画面的下方，从左到右依次为不同指数、买卖多空和当前系统所连接的行情主站，在状态栏的最右边显示的四个图标依次为消息中心，主力监控精灵、市场雷达、条件预警和系统状态。</w:t>
      </w:r>
    </w:p>
    <w:p>
      <w:pPr>
        <w:pStyle w:val="34"/>
        <w:rPr>
          <w:kern w:val="0"/>
        </w:rPr>
      </w:pPr>
      <w:r>
        <w:rPr>
          <w:rFonts w:hint="eastAsia"/>
          <w:kern w:val="0"/>
        </w:rPr>
        <w:t>〖工具栏〗系统默认显示在画面最右端，可随意拖放到任何位置，分为主功能图标按钮（前十项）和动态图标按钮（第十项以后，不同窗口下对应不同的图标按钮）。</w:t>
      </w:r>
    </w:p>
    <w:p>
      <w:pPr>
        <w:pStyle w:val="34"/>
        <w:rPr>
          <w:kern w:val="0"/>
        </w:rPr>
      </w:pPr>
      <w:r>
        <w:rPr>
          <w:rFonts w:hint="eastAsia"/>
          <w:kern w:val="0"/>
        </w:rPr>
        <w:t>〖窗口〗显示在画面中间，供用户浏览和分析的界面，分为主窗口和子窗口。</w:t>
      </w:r>
    </w:p>
    <w:p>
      <w:pPr>
        <w:pStyle w:val="34"/>
        <w:rPr>
          <w:kern w:val="0"/>
        </w:rPr>
      </w:pPr>
      <w:r>
        <w:rPr>
          <w:rFonts w:hint="eastAsia"/>
          <w:kern w:val="0"/>
        </w:rPr>
        <w:t>〖主窗口〗指系统默认的行情窗口。</w:t>
      </w:r>
    </w:p>
    <w:p>
      <w:pPr>
        <w:pStyle w:val="34"/>
        <w:rPr>
          <w:kern w:val="0"/>
        </w:rPr>
      </w:pPr>
      <w:r>
        <w:rPr>
          <w:rFonts w:hint="eastAsia"/>
          <w:kern w:val="0"/>
        </w:rPr>
        <w:t>〖子窗口〗包括组合窗口（包括分析图、分时图和多种图形的组合）、报表分析窗口、个股资料窗口、公告信息窗口。</w:t>
      </w:r>
    </w:p>
    <w:p>
      <w:pPr>
        <w:pStyle w:val="34"/>
        <w:rPr>
          <w:kern w:val="0"/>
        </w:rPr>
      </w:pPr>
      <w:r>
        <w:rPr>
          <w:rFonts w:hint="eastAsia"/>
          <w:kern w:val="0"/>
        </w:rPr>
        <w:t>〖右边信息栏〗组合窗口下位于右端（可隐藏），显示价位、数量等信息。</w:t>
      </w:r>
    </w:p>
    <w:p>
      <w:pPr>
        <w:pStyle w:val="34"/>
        <w:rPr>
          <w:kern w:val="0"/>
        </w:rPr>
      </w:pPr>
      <w:r>
        <w:rPr>
          <w:rFonts w:hint="eastAsia"/>
          <w:kern w:val="0"/>
        </w:rPr>
        <w:t>〖功能切换区〗右边信息栏最下方，分为笔、价、细、势、联、值、主、筹，对应不同的信息栏小窗口显示内容。</w:t>
      </w:r>
    </w:p>
    <w:p>
      <w:pPr>
        <w:pStyle w:val="34"/>
        <w:rPr>
          <w:kern w:val="0"/>
        </w:rPr>
      </w:pPr>
      <w:r>
        <w:rPr>
          <w:rFonts w:hint="eastAsia"/>
          <w:kern w:val="0"/>
        </w:rPr>
        <w:t>〖十字光标〗组合窗口中，鼠标或光标移动时对应Y轴及时间轴的变化，用蓝底白字显示。</w:t>
      </w:r>
    </w:p>
    <w:p>
      <w:pPr>
        <w:pStyle w:val="34"/>
        <w:rPr>
          <w:kern w:val="0"/>
        </w:rPr>
      </w:pPr>
      <w:r>
        <w:rPr>
          <w:rFonts w:hint="eastAsia"/>
          <w:kern w:val="0"/>
        </w:rPr>
        <w:t>〖鼠标伴侣〗鼠标停放在K线、指标、工具栏图标按钮或各种指示上时显示的黄色背景信息框。</w:t>
      </w:r>
    </w:p>
    <w:p>
      <w:pPr>
        <w:pStyle w:val="34"/>
        <w:rPr>
          <w:kern w:val="0"/>
        </w:rPr>
      </w:pPr>
      <w:r>
        <w:rPr>
          <w:rFonts w:hint="eastAsia"/>
          <w:kern w:val="0"/>
        </w:rPr>
        <w:t>〖分析图信息对话框〗分析图中左右箭头调出的随着光标移动，价格、数量等信息相应发生改变的对话框。</w:t>
      </w:r>
    </w:p>
    <w:p>
      <w:pPr>
        <w:pStyle w:val="34"/>
        <w:rPr>
          <w:kern w:val="0"/>
        </w:rPr>
      </w:pPr>
      <w:r>
        <w:rPr>
          <w:rFonts w:hint="eastAsia"/>
          <w:kern w:val="0"/>
        </w:rPr>
        <w:t> </w:t>
      </w:r>
    </w:p>
    <w:p>
      <w:pPr>
        <w:pStyle w:val="34"/>
        <w:rPr>
          <w:kern w:val="0"/>
        </w:rPr>
      </w:pPr>
      <w:r>
        <w:rPr>
          <w:kern w:val="0"/>
        </w:rPr>
        <w:t>常规行情栏目帮助说明：</w:t>
      </w:r>
    </w:p>
    <w:p>
      <w:pPr>
        <w:pStyle w:val="34"/>
        <w:rPr>
          <w:lang w:val="zh-CN"/>
        </w:rPr>
      </w:pPr>
      <w:r>
        <w:rPr>
          <w:rFonts w:hint="eastAsia"/>
          <w:lang w:val="zh-CN"/>
        </w:rPr>
        <w:t>涨幅：</w:t>
      </w:r>
      <w:r>
        <w:rPr>
          <w:lang w:val="zh-CN"/>
        </w:rPr>
        <w:t>(</w:t>
      </w:r>
      <w:r>
        <w:rPr>
          <w:rFonts w:hint="eastAsia"/>
          <w:lang w:val="zh-CN"/>
        </w:rPr>
        <w:t>现价</w:t>
      </w:r>
      <w:r>
        <w:rPr>
          <w:lang w:val="zh-CN"/>
        </w:rPr>
        <w:t>-</w:t>
      </w:r>
      <w:r>
        <w:rPr>
          <w:rFonts w:hint="eastAsia"/>
          <w:lang w:val="zh-CN"/>
        </w:rPr>
        <w:t>昨收</w:t>
      </w:r>
      <w:r>
        <w:rPr>
          <w:lang w:val="zh-CN"/>
        </w:rPr>
        <w:t>)/</w:t>
      </w:r>
      <w:r>
        <w:rPr>
          <w:rFonts w:hint="eastAsia"/>
          <w:lang w:val="zh-CN"/>
        </w:rPr>
        <w:t>昨收</w:t>
      </w:r>
      <w:r>
        <w:rPr>
          <w:lang w:val="zh-CN"/>
        </w:rPr>
        <w:t>*100</w:t>
      </w:r>
      <w:r>
        <w:rPr>
          <w:lang w:val="zh-CN"/>
        </w:rPr>
        <w:tab/>
      </w:r>
    </w:p>
    <w:p>
      <w:pPr>
        <w:pStyle w:val="34"/>
        <w:rPr>
          <w:lang w:val="zh-CN"/>
        </w:rPr>
      </w:pPr>
      <w:r>
        <w:rPr>
          <w:rFonts w:hint="eastAsia"/>
          <w:lang w:val="zh-CN"/>
        </w:rPr>
        <w:t>涨跌：现价</w:t>
      </w:r>
      <w:r>
        <w:rPr>
          <w:lang w:val="zh-CN"/>
        </w:rPr>
        <w:t>-</w:t>
      </w:r>
      <w:r>
        <w:rPr>
          <w:rFonts w:hint="eastAsia"/>
          <w:lang w:val="zh-CN"/>
        </w:rPr>
        <w:t>昨收</w:t>
      </w:r>
      <w:r>
        <w:rPr>
          <w:lang w:val="zh-CN"/>
        </w:rPr>
        <w:tab/>
      </w:r>
    </w:p>
    <w:p>
      <w:pPr>
        <w:pStyle w:val="34"/>
        <w:rPr>
          <w:lang w:val="zh-CN"/>
        </w:rPr>
      </w:pPr>
      <w:r>
        <w:rPr>
          <w:rFonts w:hint="eastAsia"/>
          <w:lang w:val="zh-CN"/>
        </w:rPr>
        <w:t>现量：最近一次分笔成交量</w:t>
      </w:r>
      <w:r>
        <w:rPr>
          <w:lang w:val="zh-CN"/>
        </w:rPr>
        <w:tab/>
      </w:r>
    </w:p>
    <w:p>
      <w:pPr>
        <w:pStyle w:val="34"/>
        <w:rPr>
          <w:lang w:val="zh-CN"/>
        </w:rPr>
      </w:pPr>
      <w:r>
        <w:rPr>
          <w:rFonts w:hint="eastAsia"/>
          <w:lang w:val="zh-CN"/>
        </w:rPr>
        <w:t>涨速：</w:t>
      </w:r>
      <w:r>
        <w:rPr>
          <w:lang w:val="zh-CN"/>
        </w:rPr>
        <w:t>(</w:t>
      </w:r>
      <w:r>
        <w:rPr>
          <w:rFonts w:hint="eastAsia"/>
          <w:lang w:val="zh-CN"/>
        </w:rPr>
        <w:t>现价</w:t>
      </w:r>
      <w:r>
        <w:rPr>
          <w:lang w:val="zh-CN"/>
        </w:rPr>
        <w:t>-N</w:t>
      </w:r>
      <w:r>
        <w:rPr>
          <w:rFonts w:hint="eastAsia"/>
          <w:lang w:val="zh-CN"/>
        </w:rPr>
        <w:t>分钟前的价格</w:t>
      </w:r>
      <w:r>
        <w:rPr>
          <w:lang w:val="zh-CN"/>
        </w:rPr>
        <w:t>)*100/N</w:t>
      </w:r>
      <w:r>
        <w:rPr>
          <w:rFonts w:hint="eastAsia"/>
          <w:lang w:val="zh-CN"/>
        </w:rPr>
        <w:t>分钟前的价格</w:t>
      </w:r>
      <w:r>
        <w:rPr>
          <w:lang w:val="zh-CN"/>
        </w:rPr>
        <w:t>,</w:t>
      </w:r>
      <w:r>
        <w:rPr>
          <w:rFonts w:hint="eastAsia"/>
          <w:lang w:val="zh-CN"/>
        </w:rPr>
        <w:t>涨速的</w:t>
      </w:r>
      <w:r>
        <w:rPr>
          <w:lang w:val="zh-CN"/>
        </w:rPr>
        <w:t>N</w:t>
      </w:r>
      <w:r>
        <w:rPr>
          <w:rFonts w:hint="eastAsia"/>
          <w:lang w:val="zh-CN"/>
        </w:rPr>
        <w:t>值可在系统设置</w:t>
      </w:r>
      <w:r>
        <w:rPr>
          <w:lang w:val="zh-CN"/>
        </w:rPr>
        <w:t>1</w:t>
      </w:r>
      <w:r>
        <w:rPr>
          <w:rFonts w:hint="eastAsia"/>
          <w:lang w:val="zh-CN"/>
        </w:rPr>
        <w:t>涨速周期分钟数地方设置</w:t>
      </w:r>
    </w:p>
    <w:p>
      <w:pPr>
        <w:pStyle w:val="34"/>
        <w:rPr>
          <w:lang w:val="zh-CN"/>
        </w:rPr>
      </w:pPr>
      <w:r>
        <w:rPr>
          <w:rFonts w:hint="eastAsia"/>
          <w:lang w:val="zh-CN"/>
        </w:rPr>
        <w:t>换手：成交量</w:t>
      </w:r>
      <w:r>
        <w:rPr>
          <w:lang w:val="zh-CN"/>
        </w:rPr>
        <w:t>/</w:t>
      </w:r>
      <w:r>
        <w:rPr>
          <w:rFonts w:hint="eastAsia"/>
          <w:lang w:val="zh-CN"/>
        </w:rPr>
        <w:t>流通股本</w:t>
      </w:r>
      <w:r>
        <w:rPr>
          <w:lang w:val="zh-CN"/>
        </w:rPr>
        <w:t>*100</w:t>
      </w:r>
      <w:r>
        <w:rPr>
          <w:lang w:val="zh-CN"/>
        </w:rPr>
        <w:tab/>
      </w:r>
    </w:p>
    <w:p>
      <w:pPr>
        <w:pStyle w:val="34"/>
        <w:rPr>
          <w:lang w:val="zh-CN"/>
        </w:rPr>
      </w:pPr>
      <w:r>
        <w:rPr>
          <w:rFonts w:hint="eastAsia"/>
          <w:lang w:val="zh-CN"/>
        </w:rPr>
        <w:t>市盈</w:t>
      </w:r>
      <w:r>
        <w:rPr>
          <w:lang w:val="zh-CN"/>
        </w:rPr>
        <w:t>(</w:t>
      </w:r>
      <w:r>
        <w:rPr>
          <w:rFonts w:hint="eastAsia"/>
          <w:lang w:val="zh-CN"/>
        </w:rPr>
        <w:t>动</w:t>
      </w:r>
      <w:r>
        <w:rPr>
          <w:lang w:val="zh-CN"/>
        </w:rPr>
        <w:t>)</w:t>
      </w:r>
      <w:r>
        <w:rPr>
          <w:rFonts w:hint="eastAsia"/>
          <w:lang w:val="zh-CN"/>
        </w:rPr>
        <w:t>：现价</w:t>
      </w:r>
      <w:r>
        <w:rPr>
          <w:lang w:val="zh-CN"/>
        </w:rPr>
        <w:t>/</w:t>
      </w:r>
      <w:r>
        <w:rPr>
          <w:rFonts w:hint="eastAsia"/>
          <w:lang w:val="zh-CN"/>
        </w:rPr>
        <w:t>折算成全年的每股收益</w:t>
      </w:r>
      <w:r>
        <w:rPr>
          <w:lang w:val="zh-CN"/>
        </w:rPr>
        <w:tab/>
      </w:r>
    </w:p>
    <w:p>
      <w:pPr>
        <w:pStyle w:val="34"/>
        <w:rPr>
          <w:lang w:val="zh-CN"/>
        </w:rPr>
      </w:pPr>
      <w:r>
        <w:rPr>
          <w:rFonts w:hint="eastAsia"/>
          <w:lang w:val="zh-CN"/>
        </w:rPr>
        <w:t>振幅</w:t>
      </w:r>
      <w:r>
        <w:rPr>
          <w:lang w:val="zh-CN"/>
        </w:rPr>
        <w:t>%</w:t>
      </w:r>
      <w:r>
        <w:rPr>
          <w:rFonts w:hint="eastAsia"/>
          <w:lang w:val="zh-CN"/>
        </w:rPr>
        <w:t>：</w:t>
      </w:r>
      <w:r>
        <w:rPr>
          <w:lang w:val="zh-CN"/>
        </w:rPr>
        <w:t>(</w:t>
      </w:r>
      <w:r>
        <w:rPr>
          <w:rFonts w:hint="eastAsia"/>
          <w:lang w:val="zh-CN"/>
        </w:rPr>
        <w:t>最高</w:t>
      </w:r>
      <w:r>
        <w:rPr>
          <w:lang w:val="zh-CN"/>
        </w:rPr>
        <w:t>-</w:t>
      </w:r>
      <w:r>
        <w:rPr>
          <w:rFonts w:hint="eastAsia"/>
          <w:lang w:val="zh-CN"/>
        </w:rPr>
        <w:t>最低</w:t>
      </w:r>
      <w:r>
        <w:rPr>
          <w:lang w:val="zh-CN"/>
        </w:rPr>
        <w:t>)/</w:t>
      </w:r>
      <w:r>
        <w:rPr>
          <w:rFonts w:hint="eastAsia"/>
          <w:lang w:val="zh-CN"/>
        </w:rPr>
        <w:t>昨收</w:t>
      </w:r>
      <w:r>
        <w:rPr>
          <w:lang w:val="zh-CN"/>
        </w:rPr>
        <w:t>*100</w:t>
      </w:r>
      <w:r>
        <w:rPr>
          <w:lang w:val="zh-CN"/>
        </w:rPr>
        <w:tab/>
      </w:r>
    </w:p>
    <w:p>
      <w:pPr>
        <w:pStyle w:val="34"/>
        <w:rPr>
          <w:lang w:val="zh-CN"/>
        </w:rPr>
      </w:pPr>
      <w:r>
        <w:rPr>
          <w:rFonts w:hint="eastAsia"/>
          <w:lang w:val="zh-CN"/>
        </w:rPr>
        <w:t>量比：开市后每分钟的平均成交量与过去</w:t>
      </w:r>
      <w:r>
        <w:rPr>
          <w:lang w:val="zh-CN"/>
        </w:rPr>
        <w:t>5</w:t>
      </w:r>
      <w:r>
        <w:rPr>
          <w:rFonts w:hint="eastAsia"/>
          <w:lang w:val="zh-CN"/>
        </w:rPr>
        <w:t>个交易日每分钟平均成交量之比</w:t>
      </w:r>
      <w:r>
        <w:rPr>
          <w:lang w:val="zh-CN"/>
        </w:rPr>
        <w:tab/>
      </w:r>
    </w:p>
    <w:p>
      <w:pPr>
        <w:pStyle w:val="34"/>
        <w:rPr>
          <w:lang w:val="zh-CN"/>
        </w:rPr>
      </w:pPr>
      <w:r>
        <w:rPr>
          <w:rFonts w:hint="eastAsia"/>
          <w:lang w:val="zh-CN"/>
        </w:rPr>
        <w:t>内盘：主动性卖盘的成交量</w:t>
      </w:r>
    </w:p>
    <w:p>
      <w:pPr>
        <w:pStyle w:val="34"/>
        <w:rPr>
          <w:lang w:val="zh-CN"/>
        </w:rPr>
      </w:pPr>
      <w:r>
        <w:rPr>
          <w:rFonts w:hint="eastAsia"/>
          <w:lang w:val="zh-CN"/>
        </w:rPr>
        <w:t>外盘：主动性买盘的成交量</w:t>
      </w:r>
    </w:p>
    <w:p>
      <w:pPr>
        <w:pStyle w:val="34"/>
        <w:rPr>
          <w:lang w:val="zh-CN"/>
        </w:rPr>
      </w:pPr>
      <w:r>
        <w:rPr>
          <w:rFonts w:hint="eastAsia"/>
          <w:lang w:val="zh-CN"/>
        </w:rPr>
        <w:t>内外比：内盘</w:t>
      </w:r>
      <w:r>
        <w:rPr>
          <w:lang w:val="zh-CN"/>
        </w:rPr>
        <w:t>/</w:t>
      </w:r>
      <w:r>
        <w:rPr>
          <w:rFonts w:hint="eastAsia"/>
          <w:lang w:val="zh-CN"/>
        </w:rPr>
        <w:t>外盘</w:t>
      </w:r>
    </w:p>
    <w:p>
      <w:pPr>
        <w:pStyle w:val="34"/>
        <w:rPr>
          <w:lang w:val="zh-CN"/>
        </w:rPr>
      </w:pPr>
      <w:r>
        <w:rPr>
          <w:rFonts w:hint="eastAsia"/>
          <w:lang w:val="zh-CN"/>
        </w:rPr>
        <w:t>流通市值：流通股本</w:t>
      </w:r>
      <w:r>
        <w:rPr>
          <w:lang w:val="zh-CN"/>
        </w:rPr>
        <w:t>*</w:t>
      </w:r>
      <w:r>
        <w:rPr>
          <w:rFonts w:hint="eastAsia"/>
          <w:lang w:val="zh-CN"/>
        </w:rPr>
        <w:t>现价</w:t>
      </w:r>
    </w:p>
    <w:p>
      <w:pPr>
        <w:pStyle w:val="34"/>
        <w:rPr>
          <w:lang w:val="zh-CN"/>
        </w:rPr>
      </w:pPr>
      <w:r>
        <w:rPr>
          <w:lang w:val="zh-CN"/>
        </w:rPr>
        <w:t>AB</w:t>
      </w:r>
      <w:r>
        <w:rPr>
          <w:rFonts w:hint="eastAsia"/>
          <w:lang w:val="zh-CN"/>
        </w:rPr>
        <w:t>股总市值：公司的</w:t>
      </w:r>
      <w:r>
        <w:rPr>
          <w:lang w:val="zh-CN"/>
        </w:rPr>
        <w:t>A</w:t>
      </w:r>
      <w:r>
        <w:rPr>
          <w:rFonts w:hint="eastAsia"/>
          <w:lang w:val="zh-CN"/>
        </w:rPr>
        <w:t>股总市值和</w:t>
      </w:r>
      <w:r>
        <w:rPr>
          <w:lang w:val="zh-CN"/>
        </w:rPr>
        <w:t>B</w:t>
      </w:r>
      <w:r>
        <w:rPr>
          <w:rFonts w:hint="eastAsia"/>
          <w:lang w:val="zh-CN"/>
        </w:rPr>
        <w:t>股总市值的和</w:t>
      </w:r>
      <w:r>
        <w:rPr>
          <w:lang w:val="zh-CN"/>
        </w:rPr>
        <w:t>,</w:t>
      </w:r>
      <w:r>
        <w:rPr>
          <w:rFonts w:hint="eastAsia"/>
          <w:lang w:val="zh-CN"/>
        </w:rPr>
        <w:t>此栏目不包括在香港上市的那部分市值</w:t>
      </w:r>
    </w:p>
    <w:p>
      <w:pPr>
        <w:pStyle w:val="34"/>
        <w:rPr>
          <w:lang w:val="zh-CN"/>
        </w:rPr>
      </w:pPr>
      <w:r>
        <w:rPr>
          <w:rFonts w:hint="eastAsia"/>
          <w:lang w:val="zh-CN"/>
        </w:rPr>
        <w:t>强弱度：此品种的涨幅减去对应大盘</w:t>
      </w:r>
      <w:r>
        <w:rPr>
          <w:lang w:val="zh-CN"/>
        </w:rPr>
        <w:t>(</w:t>
      </w:r>
      <w:r>
        <w:rPr>
          <w:rFonts w:hint="eastAsia"/>
          <w:lang w:val="zh-CN"/>
        </w:rPr>
        <w:t>上证指数或深证成指</w:t>
      </w:r>
      <w:r>
        <w:rPr>
          <w:lang w:val="zh-CN"/>
        </w:rPr>
        <w:t>)</w:t>
      </w:r>
      <w:r>
        <w:rPr>
          <w:rFonts w:hint="eastAsia"/>
          <w:lang w:val="zh-CN"/>
        </w:rPr>
        <w:t>的涨幅的值</w:t>
      </w:r>
    </w:p>
    <w:p>
      <w:pPr>
        <w:pStyle w:val="34"/>
        <w:rPr>
          <w:lang w:val="zh-CN"/>
        </w:rPr>
      </w:pPr>
      <w:r>
        <w:rPr>
          <w:rFonts w:hint="eastAsia"/>
          <w:lang w:val="zh-CN"/>
        </w:rPr>
        <w:t>活跃度：此品种当日成交分笔数</w:t>
      </w:r>
    </w:p>
    <w:p>
      <w:pPr>
        <w:pStyle w:val="34"/>
        <w:rPr>
          <w:lang w:val="zh-CN"/>
        </w:rPr>
      </w:pPr>
      <w:r>
        <w:rPr>
          <w:rFonts w:hint="eastAsia"/>
          <w:lang w:val="zh-CN"/>
        </w:rPr>
        <w:t>每笔均量：成交总量</w:t>
      </w:r>
      <w:r>
        <w:rPr>
          <w:lang w:val="zh-CN"/>
        </w:rPr>
        <w:t>/</w:t>
      </w:r>
      <w:r>
        <w:rPr>
          <w:rFonts w:hint="eastAsia"/>
          <w:lang w:val="zh-CN"/>
        </w:rPr>
        <w:t>分时成交笔数</w:t>
      </w:r>
      <w:r>
        <w:rPr>
          <w:lang w:val="zh-CN"/>
        </w:rPr>
        <w:tab/>
      </w:r>
    </w:p>
    <w:p>
      <w:pPr>
        <w:pStyle w:val="34"/>
        <w:rPr>
          <w:lang w:val="zh-CN"/>
        </w:rPr>
      </w:pPr>
      <w:r>
        <w:rPr>
          <w:rFonts w:hint="eastAsia"/>
          <w:lang w:val="zh-CN"/>
        </w:rPr>
        <w:t>每笔换手：每笔均量</w:t>
      </w:r>
      <w:r>
        <w:rPr>
          <w:lang w:val="zh-CN"/>
        </w:rPr>
        <w:t>/</w:t>
      </w:r>
      <w:r>
        <w:rPr>
          <w:rFonts w:hint="eastAsia"/>
          <w:lang w:val="zh-CN"/>
        </w:rPr>
        <w:t>流通股本</w:t>
      </w:r>
      <w:r>
        <w:rPr>
          <w:lang w:val="zh-CN"/>
        </w:rPr>
        <w:t>*100</w:t>
      </w:r>
    </w:p>
    <w:p>
      <w:pPr>
        <w:pStyle w:val="34"/>
        <w:rPr>
          <w:lang w:val="zh-CN"/>
        </w:rPr>
      </w:pPr>
      <w:r>
        <w:rPr>
          <w:rFonts w:hint="eastAsia"/>
          <w:lang w:val="zh-CN"/>
        </w:rPr>
        <w:t>封单额：涨停或跌停时</w:t>
      </w:r>
      <w:r>
        <w:rPr>
          <w:lang w:val="zh-CN"/>
        </w:rPr>
        <w:t>,</w:t>
      </w:r>
      <w:r>
        <w:rPr>
          <w:rFonts w:hint="eastAsia"/>
          <w:lang w:val="zh-CN"/>
        </w:rPr>
        <w:t>买一的金额或卖一的金额</w:t>
      </w:r>
    </w:p>
    <w:p>
      <w:pPr>
        <w:pStyle w:val="34"/>
        <w:rPr>
          <w:lang w:val="zh-CN"/>
        </w:rPr>
      </w:pPr>
      <w:r>
        <w:rPr>
          <w:rFonts w:hint="eastAsia"/>
          <w:lang w:val="zh-CN"/>
        </w:rPr>
        <w:t>封成比：涨停或跌停时</w:t>
      </w:r>
      <w:r>
        <w:rPr>
          <w:lang w:val="zh-CN"/>
        </w:rPr>
        <w:t>,</w:t>
      </w:r>
      <w:r>
        <w:rPr>
          <w:rFonts w:hint="eastAsia"/>
          <w:lang w:val="zh-CN"/>
        </w:rPr>
        <w:t>封单量</w:t>
      </w:r>
      <w:r>
        <w:rPr>
          <w:lang w:val="zh-CN"/>
        </w:rPr>
        <w:t>(</w:t>
      </w:r>
      <w:r>
        <w:rPr>
          <w:rFonts w:hint="eastAsia"/>
          <w:lang w:val="zh-CN"/>
        </w:rPr>
        <w:t>买一量或卖一量</w:t>
      </w:r>
      <w:r>
        <w:rPr>
          <w:lang w:val="zh-CN"/>
        </w:rPr>
        <w:t>)</w:t>
      </w:r>
      <w:r>
        <w:rPr>
          <w:rFonts w:hint="eastAsia"/>
          <w:lang w:val="zh-CN"/>
        </w:rPr>
        <w:t>除以当前的已成交量</w:t>
      </w:r>
    </w:p>
    <w:p>
      <w:pPr>
        <w:pStyle w:val="34"/>
        <w:rPr>
          <w:lang w:val="zh-CN"/>
        </w:rPr>
      </w:pPr>
      <w:r>
        <w:rPr>
          <w:rFonts w:hint="eastAsia"/>
          <w:lang w:val="zh-CN"/>
        </w:rPr>
        <w:t>委比</w:t>
      </w:r>
      <w:r>
        <w:rPr>
          <w:lang w:val="zh-CN"/>
        </w:rPr>
        <w:t>%</w:t>
      </w:r>
      <w:r>
        <w:rPr>
          <w:rFonts w:hint="eastAsia"/>
          <w:lang w:val="zh-CN"/>
        </w:rPr>
        <w:t>：</w:t>
      </w:r>
      <w:r>
        <w:rPr>
          <w:lang w:val="zh-CN"/>
        </w:rPr>
        <w:t>(</w:t>
      </w:r>
      <w:r>
        <w:rPr>
          <w:rFonts w:hint="eastAsia"/>
          <w:lang w:val="zh-CN"/>
        </w:rPr>
        <w:t>五个买盘之和</w:t>
      </w:r>
      <w:r>
        <w:rPr>
          <w:lang w:val="zh-CN"/>
        </w:rPr>
        <w:t>-</w:t>
      </w:r>
      <w:r>
        <w:rPr>
          <w:rFonts w:hint="eastAsia"/>
          <w:lang w:val="zh-CN"/>
        </w:rPr>
        <w:t>五个卖盘之和</w:t>
      </w:r>
      <w:r>
        <w:rPr>
          <w:lang w:val="zh-CN"/>
        </w:rPr>
        <w:t>)/(</w:t>
      </w:r>
      <w:r>
        <w:rPr>
          <w:rFonts w:hint="eastAsia"/>
          <w:lang w:val="zh-CN"/>
        </w:rPr>
        <w:t>五个买盘之和</w:t>
      </w:r>
      <w:r>
        <w:rPr>
          <w:lang w:val="zh-CN"/>
        </w:rPr>
        <w:t>+</w:t>
      </w:r>
      <w:r>
        <w:rPr>
          <w:rFonts w:hint="eastAsia"/>
          <w:lang w:val="zh-CN"/>
        </w:rPr>
        <w:t>五个卖盘之和</w:t>
      </w:r>
      <w:r>
        <w:rPr>
          <w:lang w:val="zh-CN"/>
        </w:rPr>
        <w:t xml:space="preserve">)*100 </w:t>
      </w:r>
      <w:r>
        <w:rPr>
          <w:rFonts w:hint="eastAsia"/>
          <w:lang w:val="zh-CN"/>
        </w:rPr>
        <w:t>如买盘或卖盘为空</w:t>
      </w:r>
      <w:r>
        <w:rPr>
          <w:lang w:val="zh-CN"/>
        </w:rPr>
        <w:t>,</w:t>
      </w:r>
      <w:r>
        <w:rPr>
          <w:rFonts w:hint="eastAsia"/>
          <w:lang w:val="zh-CN"/>
        </w:rPr>
        <w:t>则显示为</w:t>
      </w:r>
      <w:r>
        <w:rPr>
          <w:lang w:val="zh-CN"/>
        </w:rPr>
        <w:t>0</w:t>
      </w:r>
    </w:p>
    <w:p>
      <w:pPr>
        <w:pStyle w:val="34"/>
        <w:rPr>
          <w:lang w:val="zh-CN"/>
        </w:rPr>
      </w:pPr>
      <w:r>
        <w:rPr>
          <w:rFonts w:hint="eastAsia"/>
          <w:lang w:val="zh-CN"/>
        </w:rPr>
        <w:t>未匹配量：集合竞价参考价位上的不能按照集合竞价参考价虚拟成交的买方或卖方申报剩余量</w:t>
      </w:r>
    </w:p>
    <w:p>
      <w:pPr>
        <w:pStyle w:val="34"/>
        <w:rPr>
          <w:lang w:val="zh-CN"/>
        </w:rPr>
      </w:pPr>
    </w:p>
    <w:p>
      <w:pPr>
        <w:pStyle w:val="34"/>
        <w:rPr>
          <w:lang w:val="zh-CN"/>
        </w:rPr>
      </w:pPr>
      <w:r>
        <w:rPr>
          <w:rFonts w:hint="eastAsia"/>
          <w:lang w:val="zh-CN"/>
        </w:rPr>
        <w:t>财务更新：财务数据的更新日期</w:t>
      </w:r>
      <w:r>
        <w:rPr>
          <w:lang w:val="zh-CN"/>
        </w:rPr>
        <w:t>(</w:t>
      </w:r>
      <w:r>
        <w:rPr>
          <w:rFonts w:hint="eastAsia"/>
          <w:lang w:val="zh-CN"/>
        </w:rPr>
        <w:t>不一定是定期报告的披露日期</w:t>
      </w:r>
      <w:r>
        <w:rPr>
          <w:lang w:val="zh-CN"/>
        </w:rPr>
        <w:t>)</w:t>
      </w:r>
    </w:p>
    <w:p>
      <w:pPr>
        <w:pStyle w:val="34"/>
        <w:rPr>
          <w:lang w:val="zh-CN"/>
        </w:rPr>
      </w:pPr>
      <w:r>
        <w:rPr>
          <w:rFonts w:hint="eastAsia"/>
          <w:lang w:val="zh-CN"/>
        </w:rPr>
        <w:t>总股本：公司的总股本</w:t>
      </w:r>
      <w:r>
        <w:rPr>
          <w:lang w:val="zh-CN"/>
        </w:rPr>
        <w:tab/>
      </w:r>
    </w:p>
    <w:p>
      <w:pPr>
        <w:pStyle w:val="34"/>
        <w:rPr>
          <w:lang w:val="zh-CN"/>
        </w:rPr>
      </w:pPr>
      <w:r>
        <w:rPr>
          <w:lang w:val="zh-CN"/>
        </w:rPr>
        <w:t>B</w:t>
      </w:r>
      <w:r>
        <w:rPr>
          <w:rFonts w:hint="eastAsia"/>
          <w:lang w:val="zh-CN"/>
        </w:rPr>
        <w:t>股</w:t>
      </w:r>
      <w:r>
        <w:rPr>
          <w:lang w:val="zh-CN"/>
        </w:rPr>
        <w:t>(</w:t>
      </w:r>
      <w:r>
        <w:rPr>
          <w:rFonts w:hint="eastAsia"/>
          <w:lang w:val="zh-CN"/>
        </w:rPr>
        <w:t>或</w:t>
      </w:r>
      <w:r>
        <w:rPr>
          <w:lang w:val="zh-CN"/>
        </w:rPr>
        <w:t>A)</w:t>
      </w:r>
      <w:r>
        <w:rPr>
          <w:rFonts w:hint="eastAsia"/>
          <w:lang w:val="zh-CN"/>
        </w:rPr>
        <w:t>：该股的对应的</w:t>
      </w:r>
      <w:r>
        <w:rPr>
          <w:lang w:val="zh-CN"/>
        </w:rPr>
        <w:t>B</w:t>
      </w:r>
      <w:r>
        <w:rPr>
          <w:rFonts w:hint="eastAsia"/>
          <w:lang w:val="zh-CN"/>
        </w:rPr>
        <w:t>股股本</w:t>
      </w:r>
      <w:r>
        <w:rPr>
          <w:lang w:val="zh-CN"/>
        </w:rPr>
        <w:t>(</w:t>
      </w:r>
      <w:r>
        <w:rPr>
          <w:rFonts w:hint="eastAsia"/>
          <w:lang w:val="zh-CN"/>
        </w:rPr>
        <w:t>如果该该股是</w:t>
      </w:r>
      <w:r>
        <w:rPr>
          <w:lang w:val="zh-CN"/>
        </w:rPr>
        <w:t>B</w:t>
      </w:r>
      <w:r>
        <w:rPr>
          <w:rFonts w:hint="eastAsia"/>
          <w:lang w:val="zh-CN"/>
        </w:rPr>
        <w:t>股</w:t>
      </w:r>
      <w:r>
        <w:rPr>
          <w:lang w:val="zh-CN"/>
        </w:rPr>
        <w:t>,</w:t>
      </w:r>
      <w:r>
        <w:rPr>
          <w:rFonts w:hint="eastAsia"/>
          <w:lang w:val="zh-CN"/>
        </w:rPr>
        <w:t>则是对应的</w:t>
      </w:r>
      <w:r>
        <w:rPr>
          <w:lang w:val="zh-CN"/>
        </w:rPr>
        <w:t>A</w:t>
      </w:r>
      <w:r>
        <w:rPr>
          <w:rFonts w:hint="eastAsia"/>
          <w:lang w:val="zh-CN"/>
        </w:rPr>
        <w:t>股的股本</w:t>
      </w:r>
      <w:r>
        <w:rPr>
          <w:lang w:val="zh-CN"/>
        </w:rPr>
        <w:t>)</w:t>
      </w:r>
      <w:r>
        <w:rPr>
          <w:lang w:val="zh-CN"/>
        </w:rPr>
        <w:tab/>
      </w:r>
    </w:p>
    <w:p>
      <w:pPr>
        <w:pStyle w:val="34"/>
        <w:rPr>
          <w:lang w:val="zh-CN"/>
        </w:rPr>
      </w:pPr>
      <w:r>
        <w:rPr>
          <w:lang w:val="zh-CN"/>
        </w:rPr>
        <w:t>H</w:t>
      </w:r>
      <w:r>
        <w:rPr>
          <w:rFonts w:hint="eastAsia"/>
          <w:lang w:val="zh-CN"/>
        </w:rPr>
        <w:t>股：公司发行的港股的股本</w:t>
      </w:r>
    </w:p>
    <w:p>
      <w:pPr>
        <w:pStyle w:val="34"/>
        <w:rPr>
          <w:lang w:val="zh-CN"/>
        </w:rPr>
      </w:pPr>
      <w:r>
        <w:rPr>
          <w:rFonts w:hint="eastAsia"/>
          <w:lang w:val="zh-CN"/>
        </w:rPr>
        <w:t>资产负债率：</w:t>
      </w:r>
      <w:r>
        <w:rPr>
          <w:lang w:val="zh-CN"/>
        </w:rPr>
        <w:t>(</w:t>
      </w:r>
      <w:r>
        <w:rPr>
          <w:rFonts w:hint="eastAsia"/>
          <w:lang w:val="zh-CN"/>
        </w:rPr>
        <w:t>总资产</w:t>
      </w:r>
      <w:r>
        <w:rPr>
          <w:lang w:val="zh-CN"/>
        </w:rPr>
        <w:t>-</w:t>
      </w:r>
      <w:r>
        <w:rPr>
          <w:rFonts w:hint="eastAsia"/>
          <w:lang w:val="zh-CN"/>
        </w:rPr>
        <w:t>净资产</w:t>
      </w:r>
      <w:r>
        <w:rPr>
          <w:lang w:val="zh-CN"/>
        </w:rPr>
        <w:t>-</w:t>
      </w:r>
      <w:r>
        <w:rPr>
          <w:rFonts w:hint="eastAsia"/>
          <w:lang w:val="zh-CN"/>
        </w:rPr>
        <w:t>少数股东权益</w:t>
      </w:r>
      <w:r>
        <w:rPr>
          <w:lang w:val="zh-CN"/>
        </w:rPr>
        <w:t>)/</w:t>
      </w:r>
      <w:r>
        <w:rPr>
          <w:rFonts w:hint="eastAsia"/>
          <w:lang w:val="zh-CN"/>
        </w:rPr>
        <w:t>总资产</w:t>
      </w:r>
      <w:r>
        <w:rPr>
          <w:lang w:val="zh-CN"/>
        </w:rPr>
        <w:t>*100</w:t>
      </w:r>
    </w:p>
    <w:p>
      <w:pPr>
        <w:pStyle w:val="34"/>
        <w:rPr>
          <w:lang w:val="zh-CN"/>
        </w:rPr>
      </w:pPr>
      <w:r>
        <w:rPr>
          <w:rFonts w:hint="eastAsia"/>
          <w:lang w:val="zh-CN"/>
        </w:rPr>
        <w:t>税后利润：利润总额减去所得税后的净利润</w:t>
      </w:r>
      <w:r>
        <w:rPr>
          <w:lang w:val="zh-CN"/>
        </w:rPr>
        <w:t>(</w:t>
      </w:r>
      <w:r>
        <w:rPr>
          <w:rFonts w:hint="eastAsia"/>
          <w:lang w:val="zh-CN"/>
        </w:rPr>
        <w:t>包括少数股东损益</w:t>
      </w:r>
      <w:r>
        <w:rPr>
          <w:lang w:val="zh-CN"/>
        </w:rPr>
        <w:t>)</w:t>
      </w:r>
    </w:p>
    <w:p>
      <w:pPr>
        <w:pStyle w:val="34"/>
        <w:rPr>
          <w:lang w:val="zh-CN"/>
        </w:rPr>
      </w:pPr>
      <w:r>
        <w:rPr>
          <w:rFonts w:hint="eastAsia"/>
          <w:lang w:val="zh-CN"/>
        </w:rPr>
        <w:t>净利润：归属于母公司股东的净利润</w:t>
      </w:r>
    </w:p>
    <w:p>
      <w:pPr>
        <w:pStyle w:val="34"/>
        <w:rPr>
          <w:lang w:val="zh-CN"/>
        </w:rPr>
      </w:pPr>
      <w:r>
        <w:rPr>
          <w:rFonts w:hint="eastAsia"/>
          <w:lang w:val="zh-CN"/>
        </w:rPr>
        <w:t>利润同比：</w:t>
      </w:r>
      <w:r>
        <w:rPr>
          <w:lang w:val="zh-CN"/>
        </w:rPr>
        <w:t>(</w:t>
      </w:r>
      <w:r>
        <w:rPr>
          <w:rFonts w:hint="eastAsia"/>
          <w:lang w:val="zh-CN"/>
        </w:rPr>
        <w:t>当期的利润</w:t>
      </w:r>
      <w:r>
        <w:rPr>
          <w:lang w:val="zh-CN"/>
        </w:rPr>
        <w:t>-</w:t>
      </w:r>
      <w:r>
        <w:rPr>
          <w:rFonts w:hint="eastAsia"/>
          <w:lang w:val="zh-CN"/>
        </w:rPr>
        <w:t>去年同期的利润</w:t>
      </w:r>
      <w:r>
        <w:rPr>
          <w:lang w:val="zh-CN"/>
        </w:rPr>
        <w:t>)/</w:t>
      </w:r>
      <w:r>
        <w:rPr>
          <w:rFonts w:hint="eastAsia"/>
          <w:lang w:val="zh-CN"/>
        </w:rPr>
        <w:t>去年同期的利润</w:t>
      </w:r>
      <w:r>
        <w:rPr>
          <w:lang w:val="zh-CN"/>
        </w:rPr>
        <w:t>*100</w:t>
      </w:r>
      <w:r>
        <w:rPr>
          <w:lang w:val="zh-CN"/>
        </w:rPr>
        <w:tab/>
      </w:r>
    </w:p>
    <w:p>
      <w:pPr>
        <w:pStyle w:val="34"/>
        <w:rPr>
          <w:lang w:val="zh-CN"/>
        </w:rPr>
      </w:pPr>
      <w:r>
        <w:rPr>
          <w:rFonts w:hint="eastAsia"/>
          <w:lang w:val="zh-CN"/>
        </w:rPr>
        <w:t>收入同比：</w:t>
      </w:r>
      <w:r>
        <w:rPr>
          <w:lang w:val="zh-CN"/>
        </w:rPr>
        <w:t>(</w:t>
      </w:r>
      <w:r>
        <w:rPr>
          <w:rFonts w:hint="eastAsia"/>
          <w:lang w:val="zh-CN"/>
        </w:rPr>
        <w:t>当期的收入</w:t>
      </w:r>
      <w:r>
        <w:rPr>
          <w:lang w:val="zh-CN"/>
        </w:rPr>
        <w:t>-</w:t>
      </w:r>
      <w:r>
        <w:rPr>
          <w:rFonts w:hint="eastAsia"/>
          <w:lang w:val="zh-CN"/>
        </w:rPr>
        <w:t>去年同期的收入</w:t>
      </w:r>
      <w:r>
        <w:rPr>
          <w:lang w:val="zh-CN"/>
        </w:rPr>
        <w:t>)/</w:t>
      </w:r>
      <w:r>
        <w:rPr>
          <w:rFonts w:hint="eastAsia"/>
          <w:lang w:val="zh-CN"/>
        </w:rPr>
        <w:t>去年同期的收入</w:t>
      </w:r>
      <w:r>
        <w:rPr>
          <w:lang w:val="zh-CN"/>
        </w:rPr>
        <w:t>*100</w:t>
      </w:r>
      <w:r>
        <w:rPr>
          <w:lang w:val="zh-CN"/>
        </w:rPr>
        <w:tab/>
      </w:r>
    </w:p>
    <w:p>
      <w:pPr>
        <w:pStyle w:val="34"/>
        <w:rPr>
          <w:lang w:val="zh-CN"/>
        </w:rPr>
      </w:pPr>
      <w:r>
        <w:rPr>
          <w:rFonts w:hint="eastAsia"/>
          <w:lang w:val="zh-CN"/>
        </w:rPr>
        <w:t>市净率：即是</w:t>
      </w:r>
      <w:r>
        <w:rPr>
          <w:lang w:val="zh-CN"/>
        </w:rPr>
        <w:t>PB,</w:t>
      </w:r>
      <w:r>
        <w:rPr>
          <w:rFonts w:hint="eastAsia"/>
          <w:lang w:val="zh-CN"/>
        </w:rPr>
        <w:t>现价</w:t>
      </w:r>
      <w:r>
        <w:rPr>
          <w:lang w:val="zh-CN"/>
        </w:rPr>
        <w:t>/</w:t>
      </w:r>
      <w:r>
        <w:rPr>
          <w:rFonts w:hint="eastAsia"/>
          <w:lang w:val="zh-CN"/>
        </w:rPr>
        <w:t>每股净资产</w:t>
      </w:r>
    </w:p>
    <w:p>
      <w:pPr>
        <w:pStyle w:val="34"/>
        <w:rPr>
          <w:lang w:val="zh-CN"/>
        </w:rPr>
      </w:pPr>
      <w:r>
        <w:rPr>
          <w:rFonts w:hint="eastAsia"/>
          <w:lang w:val="zh-CN"/>
        </w:rPr>
        <w:t>市现率：现价</w:t>
      </w:r>
      <w:r>
        <w:rPr>
          <w:lang w:val="zh-CN"/>
        </w:rPr>
        <w:t>/</w:t>
      </w:r>
      <w:r>
        <w:rPr>
          <w:rFonts w:hint="eastAsia"/>
          <w:lang w:val="zh-CN"/>
        </w:rPr>
        <w:t>每股现金流量</w:t>
      </w:r>
      <w:r>
        <w:rPr>
          <w:lang w:val="zh-CN"/>
        </w:rPr>
        <w:tab/>
      </w:r>
    </w:p>
    <w:p>
      <w:pPr>
        <w:pStyle w:val="34"/>
        <w:rPr>
          <w:lang w:val="zh-CN"/>
        </w:rPr>
      </w:pPr>
      <w:r>
        <w:rPr>
          <w:rFonts w:hint="eastAsia"/>
          <w:lang w:val="zh-CN"/>
        </w:rPr>
        <w:t>市销率：现价</w:t>
      </w:r>
      <w:r>
        <w:rPr>
          <w:lang w:val="zh-CN"/>
        </w:rPr>
        <w:t>/</w:t>
      </w:r>
      <w:r>
        <w:rPr>
          <w:rFonts w:hint="eastAsia"/>
          <w:lang w:val="zh-CN"/>
        </w:rPr>
        <w:t>每股营业收入</w:t>
      </w:r>
      <w:r>
        <w:rPr>
          <w:lang w:val="zh-CN"/>
        </w:rPr>
        <w:tab/>
      </w:r>
    </w:p>
    <w:p>
      <w:pPr>
        <w:pStyle w:val="34"/>
        <w:rPr>
          <w:lang w:val="zh-CN"/>
        </w:rPr>
      </w:pPr>
      <w:r>
        <w:rPr>
          <w:rFonts w:hint="eastAsia"/>
          <w:lang w:val="zh-CN"/>
        </w:rPr>
        <w:t>每股收益：当期的净利润</w:t>
      </w:r>
      <w:r>
        <w:rPr>
          <w:lang w:val="zh-CN"/>
        </w:rPr>
        <w:t>/</w:t>
      </w:r>
      <w:r>
        <w:rPr>
          <w:rFonts w:hint="eastAsia"/>
          <w:lang w:val="zh-CN"/>
        </w:rPr>
        <w:t>总股本</w:t>
      </w:r>
      <w:r>
        <w:rPr>
          <w:lang w:val="zh-CN"/>
        </w:rPr>
        <w:tab/>
      </w:r>
    </w:p>
    <w:p>
      <w:pPr>
        <w:pStyle w:val="34"/>
        <w:rPr>
          <w:lang w:val="zh-CN"/>
        </w:rPr>
      </w:pPr>
      <w:r>
        <w:rPr>
          <w:rFonts w:hint="eastAsia"/>
          <w:lang w:val="zh-CN"/>
        </w:rPr>
        <w:t>每股净资：净资产</w:t>
      </w:r>
      <w:r>
        <w:rPr>
          <w:lang w:val="zh-CN"/>
        </w:rPr>
        <w:t>/</w:t>
      </w:r>
      <w:r>
        <w:rPr>
          <w:rFonts w:hint="eastAsia"/>
          <w:lang w:val="zh-CN"/>
        </w:rPr>
        <w:t>总股本</w:t>
      </w:r>
      <w:r>
        <w:rPr>
          <w:lang w:val="zh-CN"/>
        </w:rPr>
        <w:tab/>
      </w:r>
    </w:p>
    <w:p>
      <w:pPr>
        <w:pStyle w:val="34"/>
        <w:rPr>
          <w:lang w:val="zh-CN"/>
        </w:rPr>
      </w:pPr>
      <w:r>
        <w:rPr>
          <w:rFonts w:hint="eastAsia"/>
          <w:lang w:val="zh-CN"/>
        </w:rPr>
        <w:t>每股公积：公积金</w:t>
      </w:r>
      <w:r>
        <w:rPr>
          <w:lang w:val="zh-CN"/>
        </w:rPr>
        <w:t>/</w:t>
      </w:r>
      <w:r>
        <w:rPr>
          <w:rFonts w:hint="eastAsia"/>
          <w:lang w:val="zh-CN"/>
        </w:rPr>
        <w:t>总股本</w:t>
      </w:r>
      <w:r>
        <w:rPr>
          <w:lang w:val="zh-CN"/>
        </w:rPr>
        <w:tab/>
      </w:r>
    </w:p>
    <w:p>
      <w:pPr>
        <w:pStyle w:val="34"/>
        <w:rPr>
          <w:lang w:val="zh-CN"/>
        </w:rPr>
      </w:pPr>
      <w:r>
        <w:rPr>
          <w:rFonts w:hint="eastAsia"/>
          <w:lang w:val="zh-CN"/>
        </w:rPr>
        <w:t>每股未分配：未分配利润</w:t>
      </w:r>
      <w:r>
        <w:rPr>
          <w:lang w:val="zh-CN"/>
        </w:rPr>
        <w:t>/</w:t>
      </w:r>
      <w:r>
        <w:rPr>
          <w:rFonts w:hint="eastAsia"/>
          <w:lang w:val="zh-CN"/>
        </w:rPr>
        <w:t>总股本</w:t>
      </w:r>
      <w:r>
        <w:rPr>
          <w:lang w:val="zh-CN"/>
        </w:rPr>
        <w:tab/>
      </w:r>
    </w:p>
    <w:p>
      <w:pPr>
        <w:pStyle w:val="34"/>
        <w:rPr>
          <w:lang w:val="zh-CN"/>
        </w:rPr>
      </w:pPr>
      <w:r>
        <w:rPr>
          <w:rFonts w:hint="eastAsia"/>
          <w:lang w:val="zh-CN"/>
        </w:rPr>
        <w:t>权益比：净资产</w:t>
      </w:r>
      <w:r>
        <w:rPr>
          <w:lang w:val="zh-CN"/>
        </w:rPr>
        <w:t>/</w:t>
      </w:r>
      <w:r>
        <w:rPr>
          <w:rFonts w:hint="eastAsia"/>
          <w:lang w:val="zh-CN"/>
        </w:rPr>
        <w:t>总资产</w:t>
      </w:r>
      <w:r>
        <w:rPr>
          <w:lang w:val="zh-CN"/>
        </w:rPr>
        <w:t>*100</w:t>
      </w:r>
      <w:r>
        <w:rPr>
          <w:lang w:val="zh-CN"/>
        </w:rPr>
        <w:tab/>
      </w:r>
    </w:p>
    <w:p>
      <w:pPr>
        <w:pStyle w:val="34"/>
        <w:rPr>
          <w:lang w:val="zh-CN"/>
        </w:rPr>
      </w:pPr>
      <w:r>
        <w:rPr>
          <w:rFonts w:hint="eastAsia"/>
          <w:lang w:val="zh-CN"/>
        </w:rPr>
        <w:t>净益率：即净资产收益率</w:t>
      </w:r>
      <w:r>
        <w:rPr>
          <w:lang w:val="zh-CN"/>
        </w:rPr>
        <w:t>,</w:t>
      </w:r>
      <w:r>
        <w:rPr>
          <w:rFonts w:hint="eastAsia"/>
          <w:lang w:val="zh-CN"/>
        </w:rPr>
        <w:t>当期的净利润</w:t>
      </w:r>
      <w:r>
        <w:rPr>
          <w:lang w:val="zh-CN"/>
        </w:rPr>
        <w:t>/</w:t>
      </w:r>
      <w:r>
        <w:rPr>
          <w:rFonts w:hint="eastAsia"/>
          <w:lang w:val="zh-CN"/>
        </w:rPr>
        <w:t>净资产</w:t>
      </w:r>
      <w:r>
        <w:rPr>
          <w:lang w:val="zh-CN"/>
        </w:rPr>
        <w:t>*100</w:t>
      </w:r>
    </w:p>
    <w:p>
      <w:pPr>
        <w:pStyle w:val="34"/>
        <w:rPr>
          <w:lang w:val="zh-CN"/>
        </w:rPr>
      </w:pPr>
      <w:r>
        <w:rPr>
          <w:rFonts w:hint="eastAsia"/>
          <w:lang w:val="zh-CN"/>
        </w:rPr>
        <w:t>销售毛利率：</w:t>
      </w:r>
      <w:r>
        <w:rPr>
          <w:lang w:val="zh-CN"/>
        </w:rPr>
        <w:t>(</w:t>
      </w:r>
      <w:r>
        <w:rPr>
          <w:rFonts w:hint="eastAsia"/>
          <w:lang w:val="zh-CN"/>
        </w:rPr>
        <w:t>营业收入</w:t>
      </w:r>
      <w:r>
        <w:rPr>
          <w:lang w:val="zh-CN"/>
        </w:rPr>
        <w:t>-</w:t>
      </w:r>
      <w:r>
        <w:rPr>
          <w:rFonts w:hint="eastAsia"/>
          <w:lang w:val="zh-CN"/>
        </w:rPr>
        <w:t>营业成本</w:t>
      </w:r>
      <w:r>
        <w:rPr>
          <w:lang w:val="zh-CN"/>
        </w:rPr>
        <w:t>)/</w:t>
      </w:r>
      <w:r>
        <w:rPr>
          <w:rFonts w:hint="eastAsia"/>
          <w:lang w:val="zh-CN"/>
        </w:rPr>
        <w:t>营业收入</w:t>
      </w:r>
      <w:r>
        <w:rPr>
          <w:lang w:val="zh-CN"/>
        </w:rPr>
        <w:t>*100</w:t>
      </w:r>
      <w:r>
        <w:rPr>
          <w:lang w:val="zh-CN"/>
        </w:rPr>
        <w:tab/>
      </w:r>
    </w:p>
    <w:p>
      <w:pPr>
        <w:pStyle w:val="34"/>
        <w:rPr>
          <w:lang w:val="zh-CN"/>
        </w:rPr>
      </w:pPr>
      <w:r>
        <w:rPr>
          <w:rFonts w:hint="eastAsia"/>
          <w:lang w:val="zh-CN"/>
        </w:rPr>
        <w:t>营业利润率：营业利润</w:t>
      </w:r>
      <w:r>
        <w:rPr>
          <w:lang w:val="zh-CN"/>
        </w:rPr>
        <w:t>/</w:t>
      </w:r>
      <w:r>
        <w:rPr>
          <w:rFonts w:hint="eastAsia"/>
          <w:lang w:val="zh-CN"/>
        </w:rPr>
        <w:t>营业收入</w:t>
      </w:r>
      <w:r>
        <w:rPr>
          <w:lang w:val="zh-CN"/>
        </w:rPr>
        <w:t>*100</w:t>
      </w:r>
      <w:r>
        <w:rPr>
          <w:lang w:val="zh-CN"/>
        </w:rPr>
        <w:tab/>
      </w:r>
    </w:p>
    <w:p>
      <w:pPr>
        <w:pStyle w:val="34"/>
        <w:rPr>
          <w:lang w:val="zh-CN"/>
        </w:rPr>
      </w:pPr>
      <w:r>
        <w:rPr>
          <w:rFonts w:hint="eastAsia"/>
          <w:lang w:val="zh-CN"/>
        </w:rPr>
        <w:t>净利润率：税后利润</w:t>
      </w:r>
      <w:r>
        <w:rPr>
          <w:lang w:val="zh-CN"/>
        </w:rPr>
        <w:t>/</w:t>
      </w:r>
      <w:r>
        <w:rPr>
          <w:rFonts w:hint="eastAsia"/>
          <w:lang w:val="zh-CN"/>
        </w:rPr>
        <w:t>营业收入</w:t>
      </w:r>
      <w:r>
        <w:rPr>
          <w:lang w:val="zh-CN"/>
        </w:rPr>
        <w:t>*100</w:t>
      </w:r>
      <w:r>
        <w:rPr>
          <w:lang w:val="zh-CN"/>
        </w:rPr>
        <w:tab/>
      </w:r>
    </w:p>
    <w:p>
      <w:pPr>
        <w:pStyle w:val="34"/>
        <w:rPr>
          <w:lang w:val="zh-CN"/>
        </w:rPr>
      </w:pPr>
      <w:r>
        <w:rPr>
          <w:rFonts w:hint="eastAsia"/>
          <w:lang w:val="zh-CN"/>
        </w:rPr>
        <w:t>股息率：</w:t>
      </w:r>
      <w:r>
        <w:rPr>
          <w:lang w:val="zh-CN"/>
        </w:rPr>
        <w:t>(TTM)</w:t>
      </w:r>
      <w:r>
        <w:rPr>
          <w:rFonts w:hint="eastAsia"/>
          <w:lang w:val="zh-CN"/>
        </w:rPr>
        <w:t>近</w:t>
      </w:r>
      <w:r>
        <w:rPr>
          <w:lang w:val="zh-CN"/>
        </w:rPr>
        <w:t>4</w:t>
      </w:r>
      <w:r>
        <w:rPr>
          <w:rFonts w:hint="eastAsia"/>
          <w:lang w:val="zh-CN"/>
        </w:rPr>
        <w:t>个财报内公司的累计分红总额</w:t>
      </w:r>
      <w:r>
        <w:rPr>
          <w:lang w:val="zh-CN"/>
        </w:rPr>
        <w:t>/</w:t>
      </w:r>
      <w:r>
        <w:rPr>
          <w:rFonts w:hint="eastAsia"/>
          <w:lang w:val="zh-CN"/>
        </w:rPr>
        <w:t>公司总市值</w:t>
      </w:r>
      <w:r>
        <w:rPr>
          <w:lang w:val="zh-CN"/>
        </w:rPr>
        <w:t>*100</w:t>
      </w:r>
    </w:p>
    <w:p>
      <w:pPr>
        <w:pStyle w:val="34"/>
        <w:rPr>
          <w:lang w:val="zh-CN"/>
        </w:rPr>
      </w:pPr>
    </w:p>
    <w:p>
      <w:pPr>
        <w:pStyle w:val="34"/>
        <w:rPr>
          <w:lang w:val="zh-CN"/>
        </w:rPr>
      </w:pPr>
      <w:r>
        <w:rPr>
          <w:rFonts w:hint="eastAsia"/>
          <w:lang w:val="zh-CN"/>
        </w:rPr>
        <w:t>扩展栏目部分</w:t>
      </w:r>
    </w:p>
    <w:p>
      <w:pPr>
        <w:pStyle w:val="34"/>
        <w:rPr>
          <w:lang w:val="zh-CN"/>
        </w:rPr>
      </w:pPr>
      <w:r>
        <w:rPr>
          <w:rFonts w:hint="eastAsia"/>
          <w:lang w:val="zh-CN"/>
        </w:rPr>
        <w:t>开盘</w:t>
      </w:r>
      <w:r>
        <w:rPr>
          <w:lang w:val="zh-CN"/>
        </w:rPr>
        <w:t>%</w:t>
      </w:r>
      <w:r>
        <w:rPr>
          <w:rFonts w:hint="eastAsia"/>
          <w:lang w:val="zh-CN"/>
        </w:rPr>
        <w:t>：</w:t>
      </w:r>
      <w:r>
        <w:rPr>
          <w:lang w:val="zh-CN"/>
        </w:rPr>
        <w:t>(</w:t>
      </w:r>
      <w:r>
        <w:rPr>
          <w:rFonts w:hint="eastAsia"/>
          <w:lang w:val="zh-CN"/>
        </w:rPr>
        <w:t>开盘</w:t>
      </w:r>
      <w:r>
        <w:rPr>
          <w:lang w:val="zh-CN"/>
        </w:rPr>
        <w:t>-</w:t>
      </w:r>
      <w:r>
        <w:rPr>
          <w:rFonts w:hint="eastAsia"/>
          <w:lang w:val="zh-CN"/>
        </w:rPr>
        <w:t>昨收</w:t>
      </w:r>
      <w:r>
        <w:rPr>
          <w:lang w:val="zh-CN"/>
        </w:rPr>
        <w:t>)/</w:t>
      </w:r>
      <w:r>
        <w:rPr>
          <w:rFonts w:hint="eastAsia"/>
          <w:lang w:val="zh-CN"/>
        </w:rPr>
        <w:t>昨收</w:t>
      </w:r>
      <w:r>
        <w:rPr>
          <w:lang w:val="zh-CN"/>
        </w:rPr>
        <w:t>*100</w:t>
      </w:r>
    </w:p>
    <w:p>
      <w:pPr>
        <w:pStyle w:val="34"/>
        <w:rPr>
          <w:lang w:val="zh-CN"/>
        </w:rPr>
      </w:pPr>
      <w:r>
        <w:rPr>
          <w:rFonts w:hint="eastAsia"/>
          <w:lang w:val="zh-CN"/>
        </w:rPr>
        <w:t>最高</w:t>
      </w:r>
      <w:r>
        <w:rPr>
          <w:lang w:val="zh-CN"/>
        </w:rPr>
        <w:t>%</w:t>
      </w:r>
      <w:r>
        <w:rPr>
          <w:rFonts w:hint="eastAsia"/>
          <w:lang w:val="zh-CN"/>
        </w:rPr>
        <w:t>：</w:t>
      </w:r>
      <w:r>
        <w:rPr>
          <w:lang w:val="zh-CN"/>
        </w:rPr>
        <w:t>(</w:t>
      </w:r>
      <w:r>
        <w:rPr>
          <w:rFonts w:hint="eastAsia"/>
          <w:lang w:val="zh-CN"/>
        </w:rPr>
        <w:t>最高</w:t>
      </w:r>
      <w:r>
        <w:rPr>
          <w:lang w:val="zh-CN"/>
        </w:rPr>
        <w:t>-</w:t>
      </w:r>
      <w:r>
        <w:rPr>
          <w:rFonts w:hint="eastAsia"/>
          <w:lang w:val="zh-CN"/>
        </w:rPr>
        <w:t>昨收</w:t>
      </w:r>
      <w:r>
        <w:rPr>
          <w:lang w:val="zh-CN"/>
        </w:rPr>
        <w:t>)/</w:t>
      </w:r>
      <w:r>
        <w:rPr>
          <w:rFonts w:hint="eastAsia"/>
          <w:lang w:val="zh-CN"/>
        </w:rPr>
        <w:t>昨收</w:t>
      </w:r>
      <w:r>
        <w:rPr>
          <w:lang w:val="zh-CN"/>
        </w:rPr>
        <w:t>*100</w:t>
      </w:r>
    </w:p>
    <w:p>
      <w:pPr>
        <w:pStyle w:val="34"/>
        <w:rPr>
          <w:lang w:val="zh-CN"/>
        </w:rPr>
      </w:pPr>
      <w:r>
        <w:rPr>
          <w:rFonts w:hint="eastAsia"/>
          <w:lang w:val="zh-CN"/>
        </w:rPr>
        <w:t>最低</w:t>
      </w:r>
      <w:r>
        <w:rPr>
          <w:lang w:val="zh-CN"/>
        </w:rPr>
        <w:t>%</w:t>
      </w:r>
      <w:r>
        <w:rPr>
          <w:rFonts w:hint="eastAsia"/>
          <w:lang w:val="zh-CN"/>
        </w:rPr>
        <w:t>：</w:t>
      </w:r>
      <w:r>
        <w:rPr>
          <w:lang w:val="zh-CN"/>
        </w:rPr>
        <w:t>(</w:t>
      </w:r>
      <w:r>
        <w:rPr>
          <w:rFonts w:hint="eastAsia"/>
          <w:lang w:val="zh-CN"/>
        </w:rPr>
        <w:t>最低</w:t>
      </w:r>
      <w:r>
        <w:rPr>
          <w:lang w:val="zh-CN"/>
        </w:rPr>
        <w:t>-</w:t>
      </w:r>
      <w:r>
        <w:rPr>
          <w:rFonts w:hint="eastAsia"/>
          <w:lang w:val="zh-CN"/>
        </w:rPr>
        <w:t>昨收</w:t>
      </w:r>
      <w:r>
        <w:rPr>
          <w:lang w:val="zh-CN"/>
        </w:rPr>
        <w:t>)/</w:t>
      </w:r>
      <w:r>
        <w:rPr>
          <w:rFonts w:hint="eastAsia"/>
          <w:lang w:val="zh-CN"/>
        </w:rPr>
        <w:t>昨收</w:t>
      </w:r>
      <w:r>
        <w:rPr>
          <w:lang w:val="zh-CN"/>
        </w:rPr>
        <w:t>*100</w:t>
      </w:r>
    </w:p>
    <w:p>
      <w:pPr>
        <w:pStyle w:val="34"/>
        <w:rPr>
          <w:lang w:val="zh-CN"/>
        </w:rPr>
      </w:pPr>
      <w:r>
        <w:rPr>
          <w:rFonts w:hint="eastAsia"/>
          <w:lang w:val="zh-CN"/>
        </w:rPr>
        <w:t>均涨幅：</w:t>
      </w:r>
      <w:r>
        <w:rPr>
          <w:lang w:val="zh-CN"/>
        </w:rPr>
        <w:t>(</w:t>
      </w:r>
      <w:r>
        <w:rPr>
          <w:rFonts w:hint="eastAsia"/>
          <w:lang w:val="zh-CN"/>
        </w:rPr>
        <w:t>均价</w:t>
      </w:r>
      <w:r>
        <w:rPr>
          <w:lang w:val="zh-CN"/>
        </w:rPr>
        <w:t>-</w:t>
      </w:r>
      <w:r>
        <w:rPr>
          <w:rFonts w:hint="eastAsia"/>
          <w:lang w:val="zh-CN"/>
        </w:rPr>
        <w:t>昨收</w:t>
      </w:r>
      <w:r>
        <w:rPr>
          <w:lang w:val="zh-CN"/>
        </w:rPr>
        <w:t>)/</w:t>
      </w:r>
      <w:r>
        <w:rPr>
          <w:rFonts w:hint="eastAsia"/>
          <w:lang w:val="zh-CN"/>
        </w:rPr>
        <w:t>昨收</w:t>
      </w:r>
      <w:r>
        <w:rPr>
          <w:lang w:val="zh-CN"/>
        </w:rPr>
        <w:t>*100</w:t>
      </w:r>
    </w:p>
    <w:p>
      <w:pPr>
        <w:pStyle w:val="34"/>
        <w:rPr>
          <w:lang w:val="zh-CN"/>
        </w:rPr>
      </w:pPr>
      <w:r>
        <w:rPr>
          <w:rFonts w:hint="eastAsia"/>
          <w:lang w:val="zh-CN"/>
        </w:rPr>
        <w:t>实体涨幅：</w:t>
      </w:r>
      <w:r>
        <w:rPr>
          <w:lang w:val="zh-CN"/>
        </w:rPr>
        <w:t>(</w:t>
      </w:r>
      <w:r>
        <w:rPr>
          <w:rFonts w:hint="eastAsia"/>
          <w:lang w:val="zh-CN"/>
        </w:rPr>
        <w:t>现价</w:t>
      </w:r>
      <w:r>
        <w:rPr>
          <w:lang w:val="zh-CN"/>
        </w:rPr>
        <w:t>-</w:t>
      </w:r>
      <w:r>
        <w:rPr>
          <w:rFonts w:hint="eastAsia"/>
          <w:lang w:val="zh-CN"/>
        </w:rPr>
        <w:t>今开</w:t>
      </w:r>
      <w:r>
        <w:rPr>
          <w:lang w:val="zh-CN"/>
        </w:rPr>
        <w:t>)/</w:t>
      </w:r>
      <w:r>
        <w:rPr>
          <w:rFonts w:hint="eastAsia"/>
          <w:lang w:val="zh-CN"/>
        </w:rPr>
        <w:t>今开</w:t>
      </w:r>
      <w:r>
        <w:rPr>
          <w:lang w:val="zh-CN"/>
        </w:rPr>
        <w:t>*100</w:t>
      </w:r>
    </w:p>
    <w:p>
      <w:pPr>
        <w:pStyle w:val="34"/>
        <w:rPr>
          <w:lang w:val="zh-CN"/>
        </w:rPr>
      </w:pPr>
      <w:r>
        <w:rPr>
          <w:rFonts w:hint="eastAsia"/>
          <w:lang w:val="zh-CN"/>
        </w:rPr>
        <w:t>回头波：</w:t>
      </w:r>
      <w:r>
        <w:rPr>
          <w:lang w:val="zh-CN"/>
        </w:rPr>
        <w:t>(</w:t>
      </w:r>
      <w:r>
        <w:rPr>
          <w:rFonts w:hint="eastAsia"/>
          <w:lang w:val="zh-CN"/>
        </w:rPr>
        <w:t>现价</w:t>
      </w:r>
      <w:r>
        <w:rPr>
          <w:lang w:val="zh-CN"/>
        </w:rPr>
        <w:t>-</w:t>
      </w:r>
      <w:r>
        <w:rPr>
          <w:rFonts w:hint="eastAsia"/>
          <w:lang w:val="zh-CN"/>
        </w:rPr>
        <w:t>最高</w:t>
      </w:r>
      <w:r>
        <w:rPr>
          <w:lang w:val="zh-CN"/>
        </w:rPr>
        <w:t>)/</w:t>
      </w:r>
      <w:r>
        <w:rPr>
          <w:rFonts w:hint="eastAsia"/>
          <w:lang w:val="zh-CN"/>
        </w:rPr>
        <w:t>最高</w:t>
      </w:r>
      <w:r>
        <w:rPr>
          <w:lang w:val="zh-CN"/>
        </w:rPr>
        <w:t>*100,</w:t>
      </w:r>
      <w:r>
        <w:rPr>
          <w:rFonts w:hint="eastAsia"/>
          <w:lang w:val="zh-CN"/>
        </w:rPr>
        <w:t>即当日的最大回撤</w:t>
      </w:r>
    </w:p>
    <w:p>
      <w:pPr>
        <w:pStyle w:val="34"/>
        <w:rPr>
          <w:lang w:val="zh-CN"/>
        </w:rPr>
      </w:pPr>
      <w:r>
        <w:rPr>
          <w:rFonts w:hint="eastAsia"/>
          <w:lang w:val="zh-CN"/>
        </w:rPr>
        <w:t>攻击波：</w:t>
      </w:r>
      <w:r>
        <w:rPr>
          <w:lang w:val="zh-CN"/>
        </w:rPr>
        <w:t>(</w:t>
      </w:r>
      <w:r>
        <w:rPr>
          <w:rFonts w:hint="eastAsia"/>
          <w:lang w:val="zh-CN"/>
        </w:rPr>
        <w:t>现价</w:t>
      </w:r>
      <w:r>
        <w:rPr>
          <w:lang w:val="zh-CN"/>
        </w:rPr>
        <w:t>-</w:t>
      </w:r>
      <w:r>
        <w:rPr>
          <w:rFonts w:hint="eastAsia"/>
          <w:lang w:val="zh-CN"/>
        </w:rPr>
        <w:t>最低</w:t>
      </w:r>
      <w:r>
        <w:rPr>
          <w:lang w:val="zh-CN"/>
        </w:rPr>
        <w:t>)/</w:t>
      </w:r>
      <w:r>
        <w:rPr>
          <w:rFonts w:hint="eastAsia"/>
          <w:lang w:val="zh-CN"/>
        </w:rPr>
        <w:t>最低</w:t>
      </w:r>
      <w:r>
        <w:rPr>
          <w:lang w:val="zh-CN"/>
        </w:rPr>
        <w:t>*100,</w:t>
      </w:r>
      <w:r>
        <w:rPr>
          <w:rFonts w:hint="eastAsia"/>
          <w:lang w:val="zh-CN"/>
        </w:rPr>
        <w:t>即当日的最大收益</w:t>
      </w:r>
    </w:p>
    <w:p>
      <w:pPr>
        <w:pStyle w:val="34"/>
        <w:rPr>
          <w:lang w:val="zh-CN"/>
        </w:rPr>
      </w:pPr>
      <w:r>
        <w:rPr>
          <w:rFonts w:hint="eastAsia"/>
          <w:lang w:val="zh-CN"/>
        </w:rPr>
        <w:t>现均差</w:t>
      </w:r>
      <w:r>
        <w:rPr>
          <w:lang w:val="zh-CN"/>
        </w:rPr>
        <w:t>%</w:t>
      </w:r>
      <w:r>
        <w:rPr>
          <w:rFonts w:hint="eastAsia"/>
          <w:lang w:val="zh-CN"/>
        </w:rPr>
        <w:t>：</w:t>
      </w:r>
      <w:r>
        <w:rPr>
          <w:lang w:val="zh-CN"/>
        </w:rPr>
        <w:t>(</w:t>
      </w:r>
      <w:r>
        <w:rPr>
          <w:rFonts w:hint="eastAsia"/>
          <w:lang w:val="zh-CN"/>
        </w:rPr>
        <w:t>现价</w:t>
      </w:r>
      <w:r>
        <w:rPr>
          <w:lang w:val="zh-CN"/>
        </w:rPr>
        <w:t>-</w:t>
      </w:r>
      <w:r>
        <w:rPr>
          <w:rFonts w:hint="eastAsia"/>
          <w:lang w:val="zh-CN"/>
        </w:rPr>
        <w:t>均价</w:t>
      </w:r>
      <w:r>
        <w:rPr>
          <w:lang w:val="zh-CN"/>
        </w:rPr>
        <w:t>)/</w:t>
      </w:r>
      <w:r>
        <w:rPr>
          <w:rFonts w:hint="eastAsia"/>
          <w:lang w:val="zh-CN"/>
        </w:rPr>
        <w:t>昨收</w:t>
      </w:r>
      <w:r>
        <w:rPr>
          <w:lang w:val="zh-CN"/>
        </w:rPr>
        <w:t>*100</w:t>
      </w:r>
    </w:p>
    <w:p>
      <w:pPr>
        <w:pStyle w:val="34"/>
        <w:rPr>
          <w:lang w:val="zh-CN"/>
        </w:rPr>
      </w:pPr>
      <w:r>
        <w:rPr>
          <w:rFonts w:hint="eastAsia"/>
          <w:lang w:val="zh-CN"/>
        </w:rPr>
        <w:t>市盈</w:t>
      </w:r>
      <w:r>
        <w:rPr>
          <w:lang w:val="zh-CN"/>
        </w:rPr>
        <w:t>(TTM)</w:t>
      </w:r>
      <w:r>
        <w:rPr>
          <w:rFonts w:hint="eastAsia"/>
          <w:lang w:val="zh-CN"/>
        </w:rPr>
        <w:t>：根据最近</w:t>
      </w:r>
      <w:r>
        <w:rPr>
          <w:lang w:val="zh-CN"/>
        </w:rPr>
        <w:t>12</w:t>
      </w:r>
      <w:r>
        <w:rPr>
          <w:rFonts w:hint="eastAsia"/>
          <w:lang w:val="zh-CN"/>
        </w:rPr>
        <w:t>个月的每股收益得到的市盈率</w:t>
      </w:r>
    </w:p>
    <w:p>
      <w:pPr>
        <w:pStyle w:val="34"/>
        <w:rPr>
          <w:lang w:val="zh-CN"/>
        </w:rPr>
      </w:pPr>
      <w:r>
        <w:rPr>
          <w:rFonts w:hint="eastAsia"/>
          <w:lang w:val="zh-CN"/>
        </w:rPr>
        <w:t>市盈</w:t>
      </w:r>
      <w:r>
        <w:rPr>
          <w:lang w:val="zh-CN"/>
        </w:rPr>
        <w:t>(</w:t>
      </w:r>
      <w:r>
        <w:rPr>
          <w:rFonts w:hint="eastAsia"/>
          <w:lang w:val="zh-CN"/>
        </w:rPr>
        <w:t>静</w:t>
      </w:r>
      <w:r>
        <w:rPr>
          <w:lang w:val="zh-CN"/>
        </w:rPr>
        <w:t>)</w:t>
      </w:r>
      <w:r>
        <w:rPr>
          <w:rFonts w:hint="eastAsia"/>
          <w:lang w:val="zh-CN"/>
        </w:rPr>
        <w:t>：静态市盈率</w:t>
      </w:r>
      <w:r>
        <w:rPr>
          <w:lang w:val="zh-CN"/>
        </w:rPr>
        <w:t>(</w:t>
      </w:r>
      <w:r>
        <w:rPr>
          <w:rFonts w:hint="eastAsia"/>
          <w:lang w:val="zh-CN"/>
        </w:rPr>
        <w:t>最近年报的市盈率</w:t>
      </w:r>
      <w:r>
        <w:rPr>
          <w:lang w:val="zh-CN"/>
        </w:rPr>
        <w:t>)</w:t>
      </w:r>
    </w:p>
    <w:p>
      <w:pPr>
        <w:pStyle w:val="34"/>
        <w:rPr>
          <w:lang w:val="zh-CN"/>
        </w:rPr>
      </w:pPr>
      <w:r>
        <w:rPr>
          <w:rFonts w:hint="eastAsia"/>
          <w:lang w:val="zh-CN"/>
        </w:rPr>
        <w:t>贝塔系数：个股相对于大盘的波动表现</w:t>
      </w:r>
      <w:r>
        <w:rPr>
          <w:lang w:val="zh-CN"/>
        </w:rPr>
        <w:t>(</w:t>
      </w:r>
      <w:r>
        <w:rPr>
          <w:rFonts w:hint="eastAsia"/>
          <w:lang w:val="zh-CN"/>
        </w:rPr>
        <w:t>最近</w:t>
      </w:r>
      <w:r>
        <w:rPr>
          <w:lang w:val="zh-CN"/>
        </w:rPr>
        <w:t>60</w:t>
      </w:r>
      <w:r>
        <w:rPr>
          <w:rFonts w:hint="eastAsia"/>
          <w:lang w:val="zh-CN"/>
        </w:rPr>
        <w:t>天统计</w:t>
      </w:r>
      <w:r>
        <w:rPr>
          <w:lang w:val="zh-CN"/>
        </w:rPr>
        <w:t>,</w:t>
      </w:r>
      <w:r>
        <w:rPr>
          <w:rFonts w:hint="eastAsia"/>
          <w:lang w:val="zh-CN"/>
        </w:rPr>
        <w:t>深市大盘对应深证成指</w:t>
      </w:r>
      <w:r>
        <w:rPr>
          <w:lang w:val="zh-CN"/>
        </w:rPr>
        <w:t>,</w:t>
      </w:r>
      <w:r>
        <w:rPr>
          <w:rFonts w:hint="eastAsia"/>
          <w:lang w:val="zh-CN"/>
        </w:rPr>
        <w:t>沪市对应上证指数</w:t>
      </w:r>
      <w:r>
        <w:rPr>
          <w:lang w:val="zh-CN"/>
        </w:rPr>
        <w:t>),</w:t>
      </w:r>
      <w:r>
        <w:rPr>
          <w:rFonts w:hint="eastAsia"/>
          <w:lang w:val="zh-CN"/>
        </w:rPr>
        <w:t>其绝对值越大</w:t>
      </w:r>
      <w:r>
        <w:rPr>
          <w:lang w:val="zh-CN"/>
        </w:rPr>
        <w:t>,</w:t>
      </w:r>
      <w:r>
        <w:rPr>
          <w:rFonts w:hint="eastAsia"/>
          <w:lang w:val="zh-CN"/>
        </w:rPr>
        <w:t>显示其收益变化幅度相对于大盘的变化幅度越大</w:t>
      </w:r>
      <w:r>
        <w:rPr>
          <w:lang w:val="zh-CN"/>
        </w:rPr>
        <w:t>;</w:t>
      </w:r>
      <w:r>
        <w:rPr>
          <w:rFonts w:hint="eastAsia"/>
          <w:lang w:val="zh-CN"/>
        </w:rPr>
        <w:t>如果是负值</w:t>
      </w:r>
      <w:r>
        <w:rPr>
          <w:lang w:val="zh-CN"/>
        </w:rPr>
        <w:t>,</w:t>
      </w:r>
      <w:r>
        <w:rPr>
          <w:rFonts w:hint="eastAsia"/>
          <w:lang w:val="zh-CN"/>
        </w:rPr>
        <w:t>则表示方向相反</w:t>
      </w:r>
      <w:r>
        <w:rPr>
          <w:lang w:val="zh-CN"/>
        </w:rPr>
        <w:t>.0.5</w:t>
      </w:r>
      <w:r>
        <w:rPr>
          <w:rFonts w:hint="eastAsia"/>
          <w:lang w:val="zh-CN"/>
        </w:rPr>
        <w:t>为低风险股票</w:t>
      </w:r>
      <w:r>
        <w:rPr>
          <w:lang w:val="zh-CN"/>
        </w:rPr>
        <w:t>,1.0</w:t>
      </w:r>
      <w:r>
        <w:rPr>
          <w:rFonts w:hint="eastAsia"/>
          <w:lang w:val="zh-CN"/>
        </w:rPr>
        <w:t>表示为平均风险股票</w:t>
      </w:r>
      <w:r>
        <w:rPr>
          <w:lang w:val="zh-CN"/>
        </w:rPr>
        <w:t>,2.0</w:t>
      </w:r>
      <w:r>
        <w:rPr>
          <w:rFonts w:hint="eastAsia"/>
          <w:lang w:val="zh-CN"/>
        </w:rPr>
        <w:t>高风险股票</w:t>
      </w:r>
      <w:r>
        <w:rPr>
          <w:lang w:val="zh-CN"/>
        </w:rPr>
        <w:t>,</w:t>
      </w:r>
      <w:r>
        <w:rPr>
          <w:rFonts w:hint="eastAsia"/>
          <w:lang w:val="zh-CN"/>
        </w:rPr>
        <w:t>大多数股票介于</w:t>
      </w:r>
      <w:r>
        <w:rPr>
          <w:lang w:val="zh-CN"/>
        </w:rPr>
        <w:t>0.5</w:t>
      </w:r>
      <w:r>
        <w:rPr>
          <w:rFonts w:hint="eastAsia"/>
          <w:lang w:val="zh-CN"/>
        </w:rPr>
        <w:t>到</w:t>
      </w:r>
      <w:r>
        <w:rPr>
          <w:lang w:val="zh-CN"/>
        </w:rPr>
        <w:t>l.5</w:t>
      </w:r>
      <w:r>
        <w:rPr>
          <w:rFonts w:hint="eastAsia"/>
          <w:lang w:val="zh-CN"/>
        </w:rPr>
        <w:t>间</w:t>
      </w:r>
    </w:p>
    <w:p>
      <w:pPr>
        <w:pStyle w:val="34"/>
        <w:rPr>
          <w:lang w:val="zh-CN"/>
        </w:rPr>
      </w:pPr>
      <w:r>
        <w:rPr>
          <w:rFonts w:hint="eastAsia"/>
          <w:lang w:val="zh-CN"/>
        </w:rPr>
        <w:t>年涨停天：近一年内的涨停次数</w:t>
      </w:r>
      <w:r>
        <w:rPr>
          <w:lang w:val="zh-CN"/>
        </w:rPr>
        <w:t>(</w:t>
      </w:r>
      <w:r>
        <w:rPr>
          <w:rFonts w:hint="eastAsia"/>
          <w:lang w:val="zh-CN"/>
        </w:rPr>
        <w:t>不包括未开板的涨停</w:t>
      </w:r>
      <w:r>
        <w:rPr>
          <w:lang w:val="zh-CN"/>
        </w:rPr>
        <w:t>)</w:t>
      </w:r>
    </w:p>
    <w:p>
      <w:pPr>
        <w:pStyle w:val="34"/>
        <w:rPr>
          <w:lang w:val="zh-CN"/>
        </w:rPr>
      </w:pPr>
      <w:r>
        <w:rPr>
          <w:rFonts w:hint="eastAsia"/>
          <w:lang w:val="zh-CN"/>
        </w:rPr>
        <w:t>连板天：出现连续涨停板的天数</w:t>
      </w:r>
      <w:r>
        <w:rPr>
          <w:lang w:val="zh-CN"/>
        </w:rPr>
        <w:t>,</w:t>
      </w:r>
      <w:r>
        <w:rPr>
          <w:rFonts w:hint="eastAsia"/>
          <w:lang w:val="zh-CN"/>
        </w:rPr>
        <w:t>如果当天也涨停</w:t>
      </w:r>
      <w:r>
        <w:rPr>
          <w:lang w:val="zh-CN"/>
        </w:rPr>
        <w:t>,</w:t>
      </w:r>
      <w:r>
        <w:rPr>
          <w:rFonts w:hint="eastAsia"/>
          <w:lang w:val="zh-CN"/>
        </w:rPr>
        <w:t>则以紫色高亮显示</w:t>
      </w:r>
    </w:p>
    <w:p>
      <w:pPr>
        <w:pStyle w:val="34"/>
        <w:rPr>
          <w:lang w:val="zh-CN"/>
        </w:rPr>
      </w:pPr>
      <w:r>
        <w:rPr>
          <w:rFonts w:hint="eastAsia"/>
          <w:lang w:val="zh-CN"/>
        </w:rPr>
        <w:t>几天几板：按第一次封板后三个交易日内又出现封板进行统计来计算几天几板</w:t>
      </w:r>
    </w:p>
    <w:p>
      <w:pPr>
        <w:pStyle w:val="34"/>
        <w:rPr>
          <w:lang w:val="zh-CN"/>
        </w:rPr>
      </w:pPr>
      <w:r>
        <w:rPr>
          <w:rFonts w:hint="eastAsia"/>
          <w:lang w:val="zh-CN"/>
        </w:rPr>
        <w:t>封成比：封单额</w:t>
      </w:r>
      <w:r>
        <w:rPr>
          <w:lang w:val="zh-CN"/>
        </w:rPr>
        <w:t>/</w:t>
      </w:r>
      <w:r>
        <w:rPr>
          <w:rFonts w:hint="eastAsia"/>
          <w:lang w:val="zh-CN"/>
        </w:rPr>
        <w:t>当前成交金额</w:t>
      </w:r>
    </w:p>
    <w:p>
      <w:pPr>
        <w:pStyle w:val="34"/>
        <w:rPr>
          <w:lang w:val="zh-CN"/>
        </w:rPr>
      </w:pPr>
    </w:p>
    <w:p>
      <w:pPr>
        <w:pStyle w:val="34"/>
        <w:rPr>
          <w:lang w:val="zh-CN"/>
        </w:rPr>
      </w:pPr>
      <w:r>
        <w:rPr>
          <w:rFonts w:hint="eastAsia"/>
          <w:lang w:val="zh-CN"/>
        </w:rPr>
        <w:t>量涨速</w:t>
      </w:r>
      <w:r>
        <w:rPr>
          <w:lang w:val="zh-CN"/>
        </w:rPr>
        <w:t>%</w:t>
      </w:r>
      <w:r>
        <w:rPr>
          <w:rFonts w:hint="eastAsia"/>
          <w:lang w:val="zh-CN"/>
        </w:rPr>
        <w:t>：最近</w:t>
      </w:r>
      <w:r>
        <w:rPr>
          <w:lang w:val="zh-CN"/>
        </w:rPr>
        <w:t>N</w:t>
      </w:r>
      <w:r>
        <w:rPr>
          <w:rFonts w:hint="eastAsia"/>
          <w:lang w:val="zh-CN"/>
        </w:rPr>
        <w:t>分钟的放量比率</w:t>
      </w:r>
      <w:r>
        <w:rPr>
          <w:lang w:val="zh-CN"/>
        </w:rPr>
        <w:t>,</w:t>
      </w:r>
      <w:r>
        <w:rPr>
          <w:rFonts w:hint="eastAsia"/>
          <w:lang w:val="zh-CN"/>
        </w:rPr>
        <w:t>涨速的</w:t>
      </w:r>
      <w:r>
        <w:rPr>
          <w:lang w:val="zh-CN"/>
        </w:rPr>
        <w:t>N</w:t>
      </w:r>
      <w:r>
        <w:rPr>
          <w:rFonts w:hint="eastAsia"/>
          <w:lang w:val="zh-CN"/>
        </w:rPr>
        <w:t>值可在系统设置</w:t>
      </w:r>
      <w:r>
        <w:rPr>
          <w:lang w:val="zh-CN"/>
        </w:rPr>
        <w:t>1</w:t>
      </w:r>
      <w:r>
        <w:rPr>
          <w:rFonts w:hint="eastAsia"/>
          <w:lang w:val="zh-CN"/>
        </w:rPr>
        <w:t>涨速周期分钟数地方设置</w:t>
      </w:r>
    </w:p>
    <w:p>
      <w:pPr>
        <w:pStyle w:val="34"/>
        <w:rPr>
          <w:lang w:val="zh-CN"/>
        </w:rPr>
      </w:pPr>
      <w:r>
        <w:rPr>
          <w:rFonts w:hint="eastAsia"/>
          <w:lang w:val="zh-CN"/>
        </w:rPr>
        <w:t>短换手</w:t>
      </w:r>
      <w:r>
        <w:rPr>
          <w:lang w:val="zh-CN"/>
        </w:rPr>
        <w:t>%</w:t>
      </w:r>
      <w:r>
        <w:rPr>
          <w:rFonts w:hint="eastAsia"/>
          <w:lang w:val="zh-CN"/>
        </w:rPr>
        <w:t>：最近</w:t>
      </w:r>
      <w:r>
        <w:rPr>
          <w:lang w:val="zh-CN"/>
        </w:rPr>
        <w:t>N</w:t>
      </w:r>
      <w:r>
        <w:rPr>
          <w:rFonts w:hint="eastAsia"/>
          <w:lang w:val="zh-CN"/>
        </w:rPr>
        <w:t>分钟的换手</w:t>
      </w:r>
      <w:r>
        <w:rPr>
          <w:lang w:val="zh-CN"/>
        </w:rPr>
        <w:t>(</w:t>
      </w:r>
      <w:r>
        <w:rPr>
          <w:rFonts w:hint="eastAsia"/>
          <w:lang w:val="zh-CN"/>
        </w:rPr>
        <w:t>股本使用自由流通股本</w:t>
      </w:r>
      <w:r>
        <w:rPr>
          <w:lang w:val="zh-CN"/>
        </w:rPr>
        <w:t>)</w:t>
      </w:r>
    </w:p>
    <w:p>
      <w:pPr>
        <w:pStyle w:val="34"/>
        <w:rPr>
          <w:lang w:val="zh-CN"/>
        </w:rPr>
      </w:pPr>
      <w:r>
        <w:rPr>
          <w:lang w:val="zh-CN"/>
        </w:rPr>
        <w:t>2</w:t>
      </w:r>
      <w:r>
        <w:rPr>
          <w:rFonts w:hint="eastAsia"/>
          <w:lang w:val="zh-CN"/>
        </w:rPr>
        <w:t>分钟金额：最近</w:t>
      </w:r>
      <w:r>
        <w:rPr>
          <w:lang w:val="zh-CN"/>
        </w:rPr>
        <w:t>2</w:t>
      </w:r>
      <w:r>
        <w:rPr>
          <w:rFonts w:hint="eastAsia"/>
          <w:lang w:val="zh-CN"/>
        </w:rPr>
        <w:t>分钟的成交金额</w:t>
      </w:r>
    </w:p>
    <w:p>
      <w:pPr>
        <w:pStyle w:val="34"/>
        <w:rPr>
          <w:lang w:val="zh-CN"/>
        </w:rPr>
      </w:pPr>
      <w:r>
        <w:rPr>
          <w:rFonts w:hint="eastAsia"/>
          <w:lang w:val="zh-CN"/>
        </w:rPr>
        <w:t>主力净额：超大单和大单买入成交金额</w:t>
      </w:r>
      <w:r>
        <w:rPr>
          <w:lang w:val="zh-CN"/>
        </w:rPr>
        <w:t>-</w:t>
      </w:r>
      <w:r>
        <w:rPr>
          <w:rFonts w:hint="eastAsia"/>
          <w:lang w:val="zh-CN"/>
        </w:rPr>
        <w:t>超大单和大单卖出成交金额</w:t>
      </w:r>
    </w:p>
    <w:p>
      <w:pPr>
        <w:pStyle w:val="34"/>
        <w:rPr>
          <w:lang w:val="zh-CN"/>
        </w:rPr>
      </w:pPr>
      <w:r>
        <w:rPr>
          <w:rFonts w:hint="eastAsia"/>
          <w:lang w:val="zh-CN"/>
        </w:rPr>
        <w:t>主力净比：主力净额</w:t>
      </w:r>
      <w:r>
        <w:rPr>
          <w:lang w:val="zh-CN"/>
        </w:rPr>
        <w:t>/</w:t>
      </w:r>
      <w:r>
        <w:rPr>
          <w:rFonts w:hint="eastAsia"/>
          <w:lang w:val="zh-CN"/>
        </w:rPr>
        <w:t>自由流通市值</w:t>
      </w:r>
      <w:r>
        <w:rPr>
          <w:lang w:val="zh-CN"/>
        </w:rPr>
        <w:t>*100</w:t>
      </w:r>
    </w:p>
    <w:p>
      <w:pPr>
        <w:pStyle w:val="34"/>
        <w:rPr>
          <w:lang w:val="zh-CN"/>
        </w:rPr>
      </w:pPr>
    </w:p>
    <w:p>
      <w:pPr>
        <w:pStyle w:val="34"/>
        <w:rPr>
          <w:lang w:val="zh-CN"/>
        </w:rPr>
      </w:pPr>
      <w:r>
        <w:rPr>
          <w:rFonts w:hint="eastAsia"/>
          <w:lang w:val="zh-CN"/>
        </w:rPr>
        <w:t>流通市值</w:t>
      </w:r>
      <w:r>
        <w:rPr>
          <w:lang w:val="zh-CN"/>
        </w:rPr>
        <w:t>Z</w:t>
      </w:r>
      <w:r>
        <w:rPr>
          <w:rFonts w:hint="eastAsia"/>
          <w:lang w:val="zh-CN"/>
        </w:rPr>
        <w:t>：自由流通市值</w:t>
      </w:r>
      <w:r>
        <w:rPr>
          <w:lang w:val="zh-CN"/>
        </w:rPr>
        <w:t>,</w:t>
      </w:r>
      <w:r>
        <w:rPr>
          <w:rFonts w:hint="eastAsia"/>
          <w:lang w:val="zh-CN"/>
        </w:rPr>
        <w:t>流通市值</w:t>
      </w:r>
      <w:r>
        <w:rPr>
          <w:lang w:val="zh-CN"/>
        </w:rPr>
        <w:t xml:space="preserve"> </w:t>
      </w:r>
      <w:r>
        <w:rPr>
          <w:rFonts w:hint="eastAsia"/>
          <w:lang w:val="zh-CN"/>
        </w:rPr>
        <w:t>减去</w:t>
      </w:r>
      <w:r>
        <w:rPr>
          <w:lang w:val="zh-CN"/>
        </w:rPr>
        <w:t xml:space="preserve"> </w:t>
      </w:r>
      <w:r>
        <w:rPr>
          <w:rFonts w:hint="eastAsia"/>
          <w:lang w:val="zh-CN"/>
        </w:rPr>
        <w:t>流通股东占</w:t>
      </w:r>
      <w:r>
        <w:rPr>
          <w:lang w:val="zh-CN"/>
        </w:rPr>
        <w:t>5%</w:t>
      </w:r>
      <w:r>
        <w:rPr>
          <w:rFonts w:hint="eastAsia"/>
          <w:lang w:val="zh-CN"/>
        </w:rPr>
        <w:t>以上股份</w:t>
      </w:r>
      <w:r>
        <w:rPr>
          <w:lang w:val="zh-CN"/>
        </w:rPr>
        <w:t>(</w:t>
      </w:r>
      <w:r>
        <w:rPr>
          <w:rFonts w:hint="eastAsia"/>
          <w:lang w:val="zh-CN"/>
        </w:rPr>
        <w:t>包括一致行动人</w:t>
      </w:r>
      <w:r>
        <w:rPr>
          <w:lang w:val="zh-CN"/>
        </w:rPr>
        <w:t>)</w:t>
      </w:r>
      <w:r>
        <w:rPr>
          <w:rFonts w:hint="eastAsia"/>
          <w:lang w:val="zh-CN"/>
        </w:rPr>
        <w:t>的市值</w:t>
      </w:r>
    </w:p>
    <w:p>
      <w:pPr>
        <w:pStyle w:val="34"/>
        <w:rPr>
          <w:lang w:val="zh-CN"/>
        </w:rPr>
      </w:pPr>
      <w:r>
        <w:rPr>
          <w:rFonts w:hint="eastAsia"/>
          <w:lang w:val="zh-CN"/>
        </w:rPr>
        <w:t>换手</w:t>
      </w:r>
      <w:r>
        <w:rPr>
          <w:lang w:val="zh-CN"/>
        </w:rPr>
        <w:t>Z</w:t>
      </w:r>
      <w:r>
        <w:rPr>
          <w:rFonts w:hint="eastAsia"/>
          <w:lang w:val="zh-CN"/>
        </w:rPr>
        <w:t>：按自由流通股本计算出来的换手率</w:t>
      </w:r>
    </w:p>
    <w:p>
      <w:pPr>
        <w:pStyle w:val="34"/>
        <w:rPr>
          <w:lang w:val="zh-CN"/>
        </w:rPr>
      </w:pPr>
      <w:r>
        <w:rPr>
          <w:rFonts w:hint="eastAsia"/>
          <w:lang w:val="zh-CN"/>
        </w:rPr>
        <w:t>流通比例</w:t>
      </w:r>
      <w:r>
        <w:rPr>
          <w:lang w:val="zh-CN"/>
        </w:rPr>
        <w:t>Z</w:t>
      </w:r>
      <w:r>
        <w:rPr>
          <w:rFonts w:hint="eastAsia"/>
          <w:lang w:val="zh-CN"/>
        </w:rPr>
        <w:t>：自由流通股本占总股本的比例</w:t>
      </w:r>
    </w:p>
    <w:p>
      <w:pPr>
        <w:pStyle w:val="34"/>
        <w:rPr>
          <w:lang w:val="zh-CN"/>
        </w:rPr>
      </w:pPr>
      <w:r>
        <w:rPr>
          <w:rFonts w:hint="eastAsia"/>
          <w:lang w:val="zh-CN"/>
        </w:rPr>
        <w:t>开盘金额：当前股票早盘集合竞价的成交金额</w:t>
      </w:r>
    </w:p>
    <w:p>
      <w:pPr>
        <w:pStyle w:val="34"/>
        <w:rPr>
          <w:lang w:val="zh-CN"/>
        </w:rPr>
      </w:pPr>
      <w:r>
        <w:rPr>
          <w:rFonts w:hint="eastAsia"/>
          <w:lang w:val="zh-CN"/>
        </w:rPr>
        <w:t>开盘抢筹：</w:t>
      </w:r>
      <w:r>
        <w:rPr>
          <w:lang w:val="zh-CN"/>
        </w:rPr>
        <w:t>(</w:t>
      </w:r>
      <w:r>
        <w:rPr>
          <w:rFonts w:hint="eastAsia"/>
          <w:lang w:val="zh-CN"/>
        </w:rPr>
        <w:t>开盘价</w:t>
      </w:r>
      <w:r>
        <w:rPr>
          <w:lang w:val="zh-CN"/>
        </w:rPr>
        <w:t>-</w:t>
      </w:r>
      <w:r>
        <w:rPr>
          <w:rFonts w:hint="eastAsia"/>
          <w:lang w:val="zh-CN"/>
        </w:rPr>
        <w:t>最后一次集合竞价的匹配价</w:t>
      </w:r>
      <w:r>
        <w:rPr>
          <w:lang w:val="zh-CN"/>
        </w:rPr>
        <w:t>)/</w:t>
      </w:r>
      <w:r>
        <w:rPr>
          <w:rFonts w:hint="eastAsia"/>
          <w:lang w:val="zh-CN"/>
        </w:rPr>
        <w:t>最后一次集合竞价的匹配价</w:t>
      </w:r>
      <w:r>
        <w:rPr>
          <w:lang w:val="zh-CN"/>
        </w:rPr>
        <w:t>*100</w:t>
      </w:r>
    </w:p>
    <w:p>
      <w:pPr>
        <w:pStyle w:val="34"/>
        <w:rPr>
          <w:lang w:val="zh-CN"/>
        </w:rPr>
      </w:pPr>
      <w:r>
        <w:rPr>
          <w:rFonts w:hint="eastAsia"/>
          <w:lang w:val="zh-CN"/>
        </w:rPr>
        <w:t>开盘昨比：开盘金额</w:t>
      </w:r>
      <w:r>
        <w:rPr>
          <w:lang w:val="zh-CN"/>
        </w:rPr>
        <w:t>/</w:t>
      </w:r>
      <w:r>
        <w:rPr>
          <w:rFonts w:hint="eastAsia"/>
          <w:lang w:val="zh-CN"/>
        </w:rPr>
        <w:t>昨成交金额</w:t>
      </w:r>
      <w:r>
        <w:rPr>
          <w:lang w:val="zh-CN"/>
        </w:rPr>
        <w:t>*100</w:t>
      </w:r>
    </w:p>
    <w:p>
      <w:pPr>
        <w:pStyle w:val="34"/>
        <w:rPr>
          <w:lang w:val="zh-CN"/>
        </w:rPr>
      </w:pPr>
      <w:r>
        <w:rPr>
          <w:rFonts w:hint="eastAsia"/>
          <w:lang w:val="zh-CN"/>
        </w:rPr>
        <w:t>竞价涨停买：开盘集合竞价期间的未撤单涨停价买入金额</w:t>
      </w:r>
      <w:r>
        <w:rPr>
          <w:lang w:val="zh-CN"/>
        </w:rPr>
        <w:t>(</w:t>
      </w:r>
      <w:r>
        <w:rPr>
          <w:rFonts w:hint="eastAsia"/>
          <w:lang w:val="zh-CN"/>
        </w:rPr>
        <w:t>需</w:t>
      </w:r>
      <w:r>
        <w:rPr>
          <w:lang w:val="zh-CN"/>
        </w:rPr>
        <w:t>Level2</w:t>
      </w:r>
      <w:r>
        <w:rPr>
          <w:rFonts w:hint="eastAsia"/>
          <w:lang w:val="zh-CN"/>
        </w:rPr>
        <w:t>行情</w:t>
      </w:r>
      <w:r>
        <w:rPr>
          <w:lang w:val="zh-CN"/>
        </w:rPr>
        <w:t>)</w:t>
      </w:r>
    </w:p>
    <w:p>
      <w:pPr>
        <w:pStyle w:val="34"/>
        <w:rPr>
          <w:lang w:val="zh-CN"/>
        </w:rPr>
      </w:pPr>
      <w:r>
        <w:rPr>
          <w:rFonts w:hint="eastAsia"/>
          <w:lang w:val="zh-CN"/>
        </w:rPr>
        <w:t>竞价量比：开盘成交量</w:t>
      </w:r>
      <w:r>
        <w:rPr>
          <w:lang w:val="zh-CN"/>
        </w:rPr>
        <w:t>/</w:t>
      </w:r>
      <w:r>
        <w:rPr>
          <w:rFonts w:hint="eastAsia"/>
          <w:lang w:val="zh-CN"/>
        </w:rPr>
        <w:t>昨日开盘成交量</w:t>
      </w:r>
    </w:p>
    <w:p>
      <w:pPr>
        <w:pStyle w:val="34"/>
        <w:rPr>
          <w:lang w:val="zh-CN"/>
        </w:rPr>
      </w:pPr>
      <w:r>
        <w:rPr>
          <w:rFonts w:hint="eastAsia"/>
          <w:lang w:val="zh-CN"/>
        </w:rPr>
        <w:t>开盘换手</w:t>
      </w:r>
      <w:r>
        <w:rPr>
          <w:lang w:val="zh-CN"/>
        </w:rPr>
        <w:t>Z</w:t>
      </w:r>
      <w:r>
        <w:rPr>
          <w:rFonts w:hint="eastAsia"/>
          <w:lang w:val="zh-CN"/>
        </w:rPr>
        <w:t>：当前股票集合竞价成交量</w:t>
      </w:r>
      <w:r>
        <w:rPr>
          <w:lang w:val="zh-CN"/>
        </w:rPr>
        <w:t>/</w:t>
      </w:r>
      <w:r>
        <w:rPr>
          <w:rFonts w:hint="eastAsia"/>
          <w:lang w:val="zh-CN"/>
        </w:rPr>
        <w:t>自由流通量</w:t>
      </w:r>
    </w:p>
    <w:p>
      <w:pPr>
        <w:pStyle w:val="34"/>
        <w:rPr>
          <w:lang w:val="zh-CN"/>
        </w:rPr>
      </w:pPr>
      <w:r>
        <w:rPr>
          <w:rFonts w:hint="eastAsia"/>
          <w:lang w:val="zh-CN"/>
        </w:rPr>
        <w:t>人均持股：</w:t>
      </w:r>
      <w:r>
        <w:rPr>
          <w:lang w:val="zh-CN"/>
        </w:rPr>
        <w:t>(</w:t>
      </w:r>
      <w:r>
        <w:rPr>
          <w:rFonts w:hint="eastAsia"/>
          <w:lang w:val="zh-CN"/>
        </w:rPr>
        <w:t>自由流通股</w:t>
      </w:r>
      <w:r>
        <w:rPr>
          <w:lang w:val="zh-CN"/>
        </w:rPr>
        <w:t>+B</w:t>
      </w:r>
      <w:r>
        <w:rPr>
          <w:rFonts w:hint="eastAsia"/>
          <w:lang w:val="zh-CN"/>
        </w:rPr>
        <w:t>股股本</w:t>
      </w:r>
      <w:r>
        <w:rPr>
          <w:lang w:val="zh-CN"/>
        </w:rPr>
        <w:t>(</w:t>
      </w:r>
      <w:r>
        <w:rPr>
          <w:rFonts w:hint="eastAsia"/>
          <w:lang w:val="zh-CN"/>
        </w:rPr>
        <w:t>如果有</w:t>
      </w:r>
      <w:r>
        <w:rPr>
          <w:lang w:val="zh-CN"/>
        </w:rPr>
        <w:t>B</w:t>
      </w:r>
      <w:r>
        <w:rPr>
          <w:rFonts w:hint="eastAsia"/>
          <w:lang w:val="zh-CN"/>
        </w:rPr>
        <w:t>股</w:t>
      </w:r>
      <w:r>
        <w:rPr>
          <w:lang w:val="zh-CN"/>
        </w:rPr>
        <w:t>))/</w:t>
      </w:r>
      <w:r>
        <w:rPr>
          <w:rFonts w:hint="eastAsia"/>
          <w:lang w:val="zh-CN"/>
        </w:rPr>
        <w:t>股东人数</w:t>
      </w:r>
    </w:p>
    <w:p>
      <w:pPr>
        <w:pStyle w:val="34"/>
        <w:rPr>
          <w:lang w:val="zh-CN"/>
        </w:rPr>
      </w:pPr>
      <w:r>
        <w:rPr>
          <w:rFonts w:hint="eastAsia"/>
          <w:lang w:val="zh-CN"/>
        </w:rPr>
        <w:t>人均市值：</w:t>
      </w:r>
      <w:r>
        <w:rPr>
          <w:lang w:val="zh-CN"/>
        </w:rPr>
        <w:t>(</w:t>
      </w:r>
      <w:r>
        <w:rPr>
          <w:rFonts w:hint="eastAsia"/>
          <w:lang w:val="zh-CN"/>
        </w:rPr>
        <w:t>当前的自由流通市值</w:t>
      </w:r>
      <w:r>
        <w:rPr>
          <w:lang w:val="zh-CN"/>
        </w:rPr>
        <w:t>+B</w:t>
      </w:r>
      <w:r>
        <w:rPr>
          <w:rFonts w:hint="eastAsia"/>
          <w:lang w:val="zh-CN"/>
        </w:rPr>
        <w:t>股市值</w:t>
      </w:r>
      <w:r>
        <w:rPr>
          <w:lang w:val="zh-CN"/>
        </w:rPr>
        <w:t>(</w:t>
      </w:r>
      <w:r>
        <w:rPr>
          <w:rFonts w:hint="eastAsia"/>
          <w:lang w:val="zh-CN"/>
        </w:rPr>
        <w:t>如果有</w:t>
      </w:r>
      <w:r>
        <w:rPr>
          <w:lang w:val="zh-CN"/>
        </w:rPr>
        <w:t>B</w:t>
      </w:r>
      <w:r>
        <w:rPr>
          <w:rFonts w:hint="eastAsia"/>
          <w:lang w:val="zh-CN"/>
        </w:rPr>
        <w:t>股</w:t>
      </w:r>
      <w:r>
        <w:rPr>
          <w:lang w:val="zh-CN"/>
        </w:rPr>
        <w:t>))/</w:t>
      </w:r>
      <w:r>
        <w:rPr>
          <w:rFonts w:hint="eastAsia"/>
          <w:lang w:val="zh-CN"/>
        </w:rPr>
        <w:t>股东人数</w:t>
      </w:r>
    </w:p>
    <w:p>
      <w:pPr>
        <w:pStyle w:val="34"/>
        <w:rPr>
          <w:lang w:val="zh-CN"/>
        </w:rPr>
      </w:pPr>
    </w:p>
    <w:p>
      <w:pPr>
        <w:pStyle w:val="34"/>
        <w:rPr>
          <w:lang w:val="zh-CN"/>
        </w:rPr>
      </w:pPr>
      <w:r>
        <w:rPr>
          <w:rFonts w:hint="eastAsia"/>
          <w:lang w:val="zh-CN"/>
        </w:rPr>
        <w:t>短期形态：对近</w:t>
      </w:r>
      <w:r>
        <w:rPr>
          <w:lang w:val="zh-CN"/>
        </w:rPr>
        <w:t>60</w:t>
      </w:r>
      <w:r>
        <w:rPr>
          <w:rFonts w:hint="eastAsia"/>
          <w:lang w:val="zh-CN"/>
        </w:rPr>
        <w:t>天历史行情走势进行形态判断</w:t>
      </w:r>
    </w:p>
    <w:p>
      <w:pPr>
        <w:pStyle w:val="34"/>
        <w:rPr>
          <w:lang w:val="zh-CN"/>
        </w:rPr>
      </w:pPr>
      <w:r>
        <w:rPr>
          <w:rFonts w:hint="eastAsia"/>
          <w:lang w:val="zh-CN"/>
        </w:rPr>
        <w:t>中期形态：对近</w:t>
      </w:r>
      <w:r>
        <w:rPr>
          <w:lang w:val="zh-CN"/>
        </w:rPr>
        <w:t>120</w:t>
      </w:r>
      <w:r>
        <w:rPr>
          <w:rFonts w:hint="eastAsia"/>
          <w:lang w:val="zh-CN"/>
        </w:rPr>
        <w:t>天历史行情走势进行形态判断</w:t>
      </w:r>
    </w:p>
    <w:p>
      <w:pPr>
        <w:pStyle w:val="34"/>
        <w:rPr>
          <w:lang w:val="zh-CN"/>
        </w:rPr>
      </w:pPr>
      <w:r>
        <w:rPr>
          <w:rFonts w:hint="eastAsia"/>
          <w:lang w:val="zh-CN"/>
        </w:rPr>
        <w:t>长期形态：对近</w:t>
      </w:r>
      <w:r>
        <w:rPr>
          <w:lang w:val="zh-CN"/>
        </w:rPr>
        <w:t>240-500</w:t>
      </w:r>
      <w:r>
        <w:rPr>
          <w:rFonts w:hint="eastAsia"/>
          <w:lang w:val="zh-CN"/>
        </w:rPr>
        <w:t>天历史行情走势进行形态判断</w:t>
      </w:r>
    </w:p>
    <w:p>
      <w:pPr>
        <w:pStyle w:val="34"/>
        <w:rPr>
          <w:lang w:val="zh-CN"/>
        </w:rPr>
      </w:pPr>
      <w:r>
        <w:rPr>
          <w:rFonts w:hint="eastAsia"/>
          <w:lang w:val="zh-CN"/>
        </w:rPr>
        <w:t>安全分：根据通达信扫雷宝系统得到的分值</w:t>
      </w:r>
    </w:p>
    <w:p>
      <w:pPr>
        <w:pStyle w:val="34"/>
        <w:rPr>
          <w:lang w:val="zh-CN"/>
        </w:rPr>
      </w:pPr>
      <w:r>
        <w:rPr>
          <w:lang w:val="zh-CN"/>
        </w:rPr>
        <w:tab/>
      </w:r>
      <w:r>
        <w:rPr>
          <w:lang w:val="zh-CN"/>
        </w:rPr>
        <w:t xml:space="preserve"> </w:t>
      </w:r>
    </w:p>
    <w:p>
      <w:pPr>
        <w:pStyle w:val="34"/>
        <w:rPr>
          <w:lang w:val="zh-CN"/>
        </w:rPr>
      </w:pPr>
      <w:r>
        <w:rPr>
          <w:rFonts w:hint="eastAsia"/>
          <w:lang w:val="zh-CN"/>
        </w:rPr>
        <w:t>内容特别显示效果：</w:t>
      </w:r>
    </w:p>
    <w:p>
      <w:pPr>
        <w:pStyle w:val="34"/>
        <w:rPr>
          <w:lang w:val="zh-CN"/>
        </w:rPr>
      </w:pPr>
      <w:r>
        <w:rPr>
          <w:rFonts w:hint="eastAsia"/>
          <w:lang w:val="zh-CN"/>
        </w:rPr>
        <w:t>如果现量大于某一阀值</w:t>
      </w:r>
      <w:r>
        <w:rPr>
          <w:lang w:val="zh-CN"/>
        </w:rPr>
        <w:t>(</w:t>
      </w:r>
      <w:r>
        <w:rPr>
          <w:rFonts w:hint="eastAsia"/>
          <w:lang w:val="zh-CN"/>
        </w:rPr>
        <w:t>在系统设置中的设置</w:t>
      </w:r>
      <w:r>
        <w:rPr>
          <w:lang w:val="zh-CN"/>
        </w:rPr>
        <w:t>1</w:t>
      </w:r>
      <w:r>
        <w:rPr>
          <w:rFonts w:hint="eastAsia"/>
          <w:lang w:val="zh-CN"/>
        </w:rPr>
        <w:t>中的现量高亮显示</w:t>
      </w:r>
      <w:r>
        <w:rPr>
          <w:lang w:val="zh-CN"/>
        </w:rPr>
        <w:t>),</w:t>
      </w:r>
      <w:r>
        <w:rPr>
          <w:rFonts w:hint="eastAsia"/>
          <w:lang w:val="zh-CN"/>
        </w:rPr>
        <w:t>则紫色高亮显示</w:t>
      </w:r>
    </w:p>
    <w:p>
      <w:pPr>
        <w:pStyle w:val="34"/>
        <w:rPr>
          <w:lang w:val="zh-CN"/>
        </w:rPr>
      </w:pPr>
      <w:r>
        <w:rPr>
          <w:rFonts w:hint="eastAsia"/>
          <w:lang w:val="zh-CN"/>
        </w:rPr>
        <w:t>如果涨速大于</w:t>
      </w:r>
      <w:r>
        <w:rPr>
          <w:lang w:val="zh-CN"/>
        </w:rPr>
        <w:t>1.5%</w:t>
      </w:r>
      <w:r>
        <w:rPr>
          <w:rFonts w:hint="eastAsia"/>
          <w:lang w:val="zh-CN"/>
        </w:rPr>
        <w:t>或小于</w:t>
      </w:r>
      <w:r>
        <w:rPr>
          <w:lang w:val="zh-CN"/>
        </w:rPr>
        <w:t>-1.5%,</w:t>
      </w:r>
      <w:r>
        <w:rPr>
          <w:rFonts w:hint="eastAsia"/>
          <w:lang w:val="zh-CN"/>
        </w:rPr>
        <w:t>则紫色或青色高亮显示</w:t>
      </w:r>
    </w:p>
    <w:p>
      <w:pPr>
        <w:pStyle w:val="34"/>
        <w:rPr>
          <w:lang w:val="zh-CN"/>
        </w:rPr>
      </w:pPr>
      <w:r>
        <w:rPr>
          <w:rFonts w:hint="eastAsia"/>
          <w:lang w:val="zh-CN"/>
        </w:rPr>
        <w:t>如果行情开盘价为涨停价或跌停价</w:t>
      </w:r>
      <w:r>
        <w:rPr>
          <w:lang w:val="zh-CN"/>
        </w:rPr>
        <w:t>,</w:t>
      </w:r>
      <w:r>
        <w:rPr>
          <w:rFonts w:hint="eastAsia"/>
          <w:lang w:val="zh-CN"/>
        </w:rPr>
        <w:t>则对内容加灰框</w:t>
      </w:r>
    </w:p>
    <w:p>
      <w:pPr>
        <w:pStyle w:val="34"/>
        <w:rPr>
          <w:lang w:val="zh-CN"/>
        </w:rPr>
      </w:pPr>
      <w:r>
        <w:rPr>
          <w:rFonts w:hint="eastAsia"/>
          <w:lang w:val="zh-CN"/>
        </w:rPr>
        <w:t>如果行情最高价为涨停价</w:t>
      </w:r>
      <w:r>
        <w:rPr>
          <w:lang w:val="zh-CN"/>
        </w:rPr>
        <w:t>,</w:t>
      </w:r>
      <w:r>
        <w:rPr>
          <w:rFonts w:hint="eastAsia"/>
          <w:lang w:val="zh-CN"/>
        </w:rPr>
        <w:t>则对内容加灰框</w:t>
      </w:r>
    </w:p>
    <w:p>
      <w:pPr>
        <w:pStyle w:val="34"/>
        <w:rPr>
          <w:lang w:val="zh-CN"/>
        </w:rPr>
      </w:pPr>
      <w:r>
        <w:rPr>
          <w:rFonts w:hint="eastAsia"/>
          <w:lang w:val="zh-CN"/>
        </w:rPr>
        <w:t>如果行情最低价为跌停价</w:t>
      </w:r>
      <w:r>
        <w:rPr>
          <w:lang w:val="zh-CN"/>
        </w:rPr>
        <w:t>,</w:t>
      </w:r>
      <w:r>
        <w:rPr>
          <w:rFonts w:hint="eastAsia"/>
          <w:lang w:val="zh-CN"/>
        </w:rPr>
        <w:t>则对内容加灰框</w:t>
      </w:r>
    </w:p>
    <w:p>
      <w:pPr>
        <w:pStyle w:val="34"/>
        <w:rPr>
          <w:lang w:val="zh-CN"/>
        </w:rPr>
      </w:pPr>
    </w:p>
    <w:p>
      <w:pPr>
        <w:pStyle w:val="34"/>
        <w:rPr>
          <w:lang w:val="zh-CN"/>
        </w:rPr>
      </w:pPr>
      <w:r>
        <w:rPr>
          <w:rFonts w:hint="eastAsia"/>
          <w:lang w:val="zh-CN"/>
        </w:rPr>
        <w:t>在栏目上点右键</w:t>
      </w:r>
      <w:r>
        <w:rPr>
          <w:lang w:val="zh-CN"/>
        </w:rPr>
        <w:t>,</w:t>
      </w:r>
      <w:r>
        <w:rPr>
          <w:rFonts w:hint="eastAsia"/>
          <w:lang w:val="zh-CN"/>
        </w:rPr>
        <w:t>可以对栏目及顺序进行调节</w:t>
      </w:r>
    </w:p>
    <w:p>
      <w:pPr>
        <w:pStyle w:val="34"/>
        <w:rPr>
          <w:lang w:val="zh-CN"/>
        </w:rPr>
      </w:pPr>
      <w:r>
        <w:rPr>
          <w:rFonts w:hint="eastAsia"/>
          <w:lang w:val="zh-CN"/>
        </w:rPr>
        <w:t>多日涨幅</w:t>
      </w:r>
      <w:r>
        <w:rPr>
          <w:lang w:val="zh-CN"/>
        </w:rPr>
        <w:t>(</w:t>
      </w:r>
      <w:r>
        <w:rPr>
          <w:rFonts w:hint="eastAsia"/>
          <w:lang w:val="zh-CN"/>
        </w:rPr>
        <w:t>比如</w:t>
      </w:r>
      <w:r>
        <w:rPr>
          <w:lang w:val="zh-CN"/>
        </w:rPr>
        <w:t>20</w:t>
      </w:r>
      <w:r>
        <w:rPr>
          <w:rFonts w:hint="eastAsia"/>
          <w:lang w:val="zh-CN"/>
        </w:rPr>
        <w:t>日涨幅</w:t>
      </w:r>
      <w:r>
        <w:rPr>
          <w:lang w:val="zh-CN"/>
        </w:rPr>
        <w:t>)</w:t>
      </w:r>
      <w:r>
        <w:rPr>
          <w:rFonts w:hint="eastAsia"/>
          <w:lang w:val="zh-CN"/>
        </w:rPr>
        <w:t>是按上证指数的交易日来计算</w:t>
      </w:r>
      <w:r>
        <w:rPr>
          <w:lang w:val="zh-CN"/>
        </w:rPr>
        <w:t>,</w:t>
      </w:r>
      <w:r>
        <w:rPr>
          <w:rFonts w:hint="eastAsia"/>
          <w:lang w:val="zh-CN"/>
        </w:rPr>
        <w:t>不是按个股自己的交易日</w:t>
      </w:r>
    </w:p>
    <w:p>
      <w:pPr>
        <w:pStyle w:val="34"/>
        <w:rPr>
          <w:lang w:val="zh-CN"/>
        </w:rPr>
      </w:pPr>
      <w:r>
        <w:rPr>
          <w:rFonts w:hint="eastAsia"/>
          <w:lang w:val="zh-CN"/>
        </w:rPr>
        <w:t>点击栏目可以排序</w:t>
      </w:r>
      <w:r>
        <w:rPr>
          <w:lang w:val="zh-CN"/>
        </w:rPr>
        <w:t>,</w:t>
      </w:r>
      <w:r>
        <w:rPr>
          <w:rFonts w:hint="eastAsia"/>
          <w:lang w:val="zh-CN"/>
        </w:rPr>
        <w:t>按加号键可以反向排序</w:t>
      </w:r>
    </w:p>
    <w:p>
      <w:pPr>
        <w:pStyle w:val="34"/>
        <w:rPr>
          <w:lang w:val="zh-CN"/>
        </w:rPr>
      </w:pPr>
      <w:r>
        <w:rPr>
          <w:rFonts w:hint="eastAsia"/>
          <w:lang w:val="zh-CN"/>
        </w:rPr>
        <w:t>自选股等板块的栏目按开始的几个品种的属性</w:t>
      </w:r>
    </w:p>
    <w:p>
      <w:pPr>
        <w:pStyle w:val="34"/>
        <w:ind w:firstLine="542"/>
        <w:rPr>
          <w:b/>
          <w:bCs/>
          <w:color w:val="FF0000"/>
          <w:kern w:val="0"/>
          <w:sz w:val="27"/>
          <w:szCs w:val="27"/>
        </w:rPr>
      </w:pPr>
      <w:r>
        <w:rPr>
          <w:rFonts w:hint="eastAsia"/>
          <w:b/>
          <w:bCs/>
          <w:color w:val="FF0000"/>
          <w:kern w:val="0"/>
          <w:sz w:val="27"/>
          <w:szCs w:val="27"/>
        </w:rPr>
        <w:t>鼠标右键菜单：</w:t>
      </w:r>
    </w:p>
    <w:p>
      <w:pPr>
        <w:pStyle w:val="34"/>
        <w:rPr>
          <w:kern w:val="0"/>
        </w:rPr>
      </w:pPr>
      <w:r>
        <w:rPr>
          <w:rFonts w:hint="eastAsia"/>
          <w:kern w:val="0"/>
        </w:rPr>
        <w:t>包含有查看品种分类、板块股票、栏目排名、综合排名、行情/财务栏目切换、基本资料、栏目统计、所属板块、标记当前品种、加入版块、批量操作等功能。</w:t>
      </w:r>
    </w:p>
    <w:p>
      <w:pPr>
        <w:pStyle w:val="34"/>
        <w:rPr>
          <w:kern w:val="0"/>
        </w:rPr>
      </w:pPr>
      <w:r>
        <w:drawing>
          <wp:inline distT="0" distB="0" distL="114300" distR="114300">
            <wp:extent cx="1219200" cy="3819525"/>
            <wp:effectExtent l="0" t="0" r="0" b="952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20"/>
                    <a:stretch>
                      <a:fillRect/>
                    </a:stretch>
                  </pic:blipFill>
                  <pic:spPr>
                    <a:xfrm>
                      <a:off x="0" y="0"/>
                      <a:ext cx="1219200" cy="3819525"/>
                    </a:xfrm>
                    <a:prstGeom prst="rect">
                      <a:avLst/>
                    </a:prstGeom>
                    <a:noFill/>
                    <a:ln>
                      <a:noFill/>
                    </a:ln>
                  </pic:spPr>
                </pic:pic>
              </a:graphicData>
            </a:graphic>
          </wp:inline>
        </w:drawing>
      </w:r>
    </w:p>
    <w:p>
      <w:pPr>
        <w:pStyle w:val="34"/>
        <w:rPr>
          <w:kern w:val="0"/>
        </w:rPr>
      </w:pPr>
      <w:r>
        <w:rPr>
          <w:rFonts w:hint="eastAsia"/>
          <w:kern w:val="0"/>
        </w:rPr>
        <w:t>1.分类股票是按上证A、B股、深沪基金等划分的股票种类</w:t>
      </w:r>
    </w:p>
    <w:p>
      <w:pPr>
        <w:pStyle w:val="34"/>
        <w:rPr>
          <w:kern w:val="0"/>
        </w:rPr>
      </w:pPr>
      <w:r>
        <w:rPr>
          <w:rFonts w:hint="eastAsia"/>
          <w:kern w:val="0"/>
        </w:rPr>
        <w:t>2.板块股票是指按地区、行业、概念等划分的股票种类</w:t>
      </w:r>
    </w:p>
    <w:p>
      <w:pPr>
        <w:pStyle w:val="34"/>
        <w:rPr>
          <w:kern w:val="0"/>
        </w:rPr>
      </w:pPr>
      <w:r>
        <w:rPr>
          <w:kern w:val="0"/>
        </w:rPr>
        <w:fldChar w:fldCharType="begin"/>
      </w:r>
      <w:r>
        <w:rPr>
          <w:kern w:val="0"/>
        </w:rPr>
        <w:instrText xml:space="preserve"> INCLUDEPICTURE  "https://www.tdx.com.cn/products/helpfile/tdxw/chm/%E7%AC%AC%E4%BA%8C%E7%AB%A0 %E5%8A%9F%E8%83%BD/2-1/3.png"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"https://www.tdx.com.cn/products/helpfile/tdxw/chm/%E7%AC%AC%E4%BA%8C%E7%AB%A0 %E5%8A%9F%E8%83%BD/2-1/3.png"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"https://www.tdx.com.cn/products/helpfile/tdxw/chm/%E7%AC%AC%E4%BA%8C%E7%AB%A0 %E5%8A%9F%E8%83%BD/2-1/3.png"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"https://www.tdx.com.cn/products/helpfile/tdxw/chm/%E7%AC%AC%E4%BA%8C%E7%AB%A0 %E5%8A%9F%E8%83%BD/2-1/3.png" \* MERGEFORMATINET </w:instrText>
      </w:r>
      <w:r>
        <w:rPr>
          <w:kern w:val="0"/>
        </w:rPr>
        <w:fldChar w:fldCharType="separate"/>
      </w:r>
      <w:r>
        <w:rPr>
          <w:kern w:val="0"/>
        </w:rPr>
        <w:drawing>
          <wp:inline distT="0" distB="0" distL="114300" distR="114300">
            <wp:extent cx="1314450" cy="2238375"/>
            <wp:effectExtent l="0" t="0" r="0" b="952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21" r:link="rId22"/>
                    <a:stretch>
                      <a:fillRect/>
                    </a:stretch>
                  </pic:blipFill>
                  <pic:spPr>
                    <a:xfrm>
                      <a:off x="0" y="0"/>
                      <a:ext cx="1314450" cy="2238375"/>
                    </a:xfrm>
                    <a:prstGeom prst="rect">
                      <a:avLst/>
                    </a:prstGeom>
                    <a:noFill/>
                    <a:ln>
                      <a:noFill/>
                    </a:ln>
                  </pic:spPr>
                </pic:pic>
              </a:graphicData>
            </a:graphic>
          </wp:inline>
        </w:drawing>
      </w:r>
      <w:r>
        <w:rPr>
          <w:kern w:val="0"/>
        </w:rPr>
        <w:fldChar w:fldCharType="end"/>
      </w:r>
      <w:r>
        <w:rPr>
          <w:kern w:val="0"/>
        </w:rPr>
        <w:fldChar w:fldCharType="end"/>
      </w:r>
      <w:r>
        <w:rPr>
          <w:kern w:val="0"/>
        </w:rPr>
        <w:fldChar w:fldCharType="end"/>
      </w:r>
      <w:r>
        <w:rPr>
          <w:kern w:val="0"/>
        </w:rPr>
        <w:fldChar w:fldCharType="end"/>
      </w:r>
    </w:p>
    <w:p>
      <w:pPr>
        <w:pStyle w:val="34"/>
        <w:rPr>
          <w:kern w:val="0"/>
        </w:rPr>
      </w:pPr>
      <w:r>
        <w:rPr>
          <w:rFonts w:hint="eastAsia"/>
          <w:kern w:val="0"/>
        </w:rPr>
        <w:t>3.股票排名可以查看各个股票按每股收益、涨幅、每股净资产等进行的排名</w:t>
      </w:r>
    </w:p>
    <w:p>
      <w:pPr>
        <w:pStyle w:val="34"/>
        <w:rPr>
          <w:kern w:val="0"/>
        </w:rPr>
      </w:pPr>
      <w:r>
        <w:rPr>
          <w:kern w:val="0"/>
        </w:rPr>
        <w:fldChar w:fldCharType="begin"/>
      </w:r>
      <w:r>
        <w:rPr>
          <w:kern w:val="0"/>
        </w:rPr>
        <w:instrText xml:space="preserve"> INCLUDEPICTURE  "https://www.tdx.com.cn/products/helpfile/tdxw/chm/%E7%AC%AC%E4%BA%8C%E7%AB%A0 %E5%8A%9F%E8%83%BD/2-1/4.png"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"https://www.tdx.com.cn/products/helpfile/tdxw/chm/%E7%AC%AC%E4%BA%8C%E7%AB%A0 %E5%8A%9F%E8%83%BD/2-1/4.png"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"https://www.tdx.com.cn/products/helpfile/tdxw/chm/%E7%AC%AC%E4%BA%8C%E7%AB%A0 %E5%8A%9F%E8%83%BD/2-1/4.png"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"https://www.tdx.com.cn/products/helpfile/tdxw/chm/%E7%AC%AC%E4%BA%8C%E7%AB%A0 %E5%8A%9F%E8%83%BD/2-1/4.png" \* MERGEFORMATINET </w:instrText>
      </w:r>
      <w:r>
        <w:rPr>
          <w:kern w:val="0"/>
        </w:rPr>
        <w:fldChar w:fldCharType="separate"/>
      </w:r>
      <w:r>
        <w:rPr>
          <w:kern w:val="0"/>
        </w:rPr>
        <w:drawing>
          <wp:inline distT="0" distB="0" distL="114300" distR="114300">
            <wp:extent cx="2800350" cy="2533650"/>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23" r:link="rId24"/>
                    <a:stretch>
                      <a:fillRect/>
                    </a:stretch>
                  </pic:blipFill>
                  <pic:spPr>
                    <a:xfrm>
                      <a:off x="0" y="0"/>
                      <a:ext cx="2800350" cy="2533650"/>
                    </a:xfrm>
                    <a:prstGeom prst="rect">
                      <a:avLst/>
                    </a:prstGeom>
                    <a:noFill/>
                    <a:ln>
                      <a:noFill/>
                    </a:ln>
                  </pic:spPr>
                </pic:pic>
              </a:graphicData>
            </a:graphic>
          </wp:inline>
        </w:drawing>
      </w:r>
      <w:r>
        <w:rPr>
          <w:kern w:val="0"/>
        </w:rPr>
        <w:fldChar w:fldCharType="end"/>
      </w:r>
      <w:r>
        <w:rPr>
          <w:kern w:val="0"/>
        </w:rPr>
        <w:fldChar w:fldCharType="end"/>
      </w:r>
      <w:r>
        <w:rPr>
          <w:kern w:val="0"/>
        </w:rPr>
        <w:fldChar w:fldCharType="end"/>
      </w:r>
      <w:r>
        <w:rPr>
          <w:kern w:val="0"/>
        </w:rPr>
        <w:fldChar w:fldCharType="end"/>
      </w:r>
    </w:p>
    <w:p>
      <w:pPr>
        <w:pStyle w:val="34"/>
        <w:rPr>
          <w:kern w:val="0"/>
        </w:rPr>
      </w:pPr>
      <w:r>
        <w:rPr>
          <w:rFonts w:hint="eastAsia"/>
          <w:kern w:val="0"/>
        </w:rPr>
        <w:t>4.综合排名是指可以用一行四列、三行三列的方式进行查看各种股票排名.敲数字81、82、83、84、85、86、87、88、811、812，可分别调出上海A、B股，深圳A、B股，沪债、深债，深沪A股，深沪B股，深沪权证，创业板的综合排名。系统用9个排成方阵的小窗列出所选市场的股票的涨幅、跌幅、振幅、5分钟涨幅、5分钟跌幅、量比、委比、成交金额排名。在综合排名中可以使用右键菜单选择查看不同的市场信息，同时可以按“3行3列”或“1行4列”的方式选择查看的方式。 81等综合排名的显示也可以显示"R"标识。</w:t>
      </w:r>
    </w:p>
    <w:p>
      <w:pPr>
        <w:pStyle w:val="34"/>
        <w:rPr>
          <w:kern w:val="0"/>
        </w:rPr>
      </w:pPr>
      <w:r>
        <w:rPr>
          <w:kern w:val="0"/>
        </w:rPr>
        <w:fldChar w:fldCharType="begin"/>
      </w:r>
      <w:r>
        <w:rPr>
          <w:kern w:val="0"/>
        </w:rPr>
        <w:instrText xml:space="preserve"> INCLUDEPICTURE  "https://www.tdx.com.cn/products/helpfile/tdxw/chm/%E7%AC%AC%E4%BA%8C%E7%AB%A0 %E5%8A%9F%E8%83%BD/2-1/5.png"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"https://www.tdx.com.cn/products/helpfile/tdxw/chm/%E7%AC%AC%E4%BA%8C%E7%AB%A0 %E5%8A%9F%E8%83%BD/2-1/5.png"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"https://www.tdx.com.cn/products/helpfile/tdxw/chm/%E7%AC%AC%E4%BA%8C%E7%AB%A0 %E5%8A%9F%E8%83%BD/2-1/5.png"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"https://www.tdx.com.cn/products/helpfile/tdxw/chm/%E7%AC%AC%E4%BA%8C%E7%AB%A0 %E5%8A%9F%E8%83%BD/2-1/5.png" \* MERGEFORMATINET </w:instrText>
      </w:r>
      <w:r>
        <w:rPr>
          <w:kern w:val="0"/>
        </w:rPr>
        <w:fldChar w:fldCharType="separate"/>
      </w:r>
      <w:r>
        <w:rPr>
          <w:kern w:val="0"/>
        </w:rPr>
        <w:drawing>
          <wp:inline distT="0" distB="0" distL="114300" distR="114300">
            <wp:extent cx="7467600" cy="4533900"/>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25" r:link="rId26"/>
                    <a:stretch>
                      <a:fillRect/>
                    </a:stretch>
                  </pic:blipFill>
                  <pic:spPr>
                    <a:xfrm>
                      <a:off x="0" y="0"/>
                      <a:ext cx="7467600" cy="4533900"/>
                    </a:xfrm>
                    <a:prstGeom prst="rect">
                      <a:avLst/>
                    </a:prstGeom>
                    <a:noFill/>
                    <a:ln>
                      <a:noFill/>
                    </a:ln>
                  </pic:spPr>
                </pic:pic>
              </a:graphicData>
            </a:graphic>
          </wp:inline>
        </w:drawing>
      </w:r>
      <w:r>
        <w:rPr>
          <w:kern w:val="0"/>
        </w:rPr>
        <w:fldChar w:fldCharType="end"/>
      </w:r>
      <w:r>
        <w:rPr>
          <w:kern w:val="0"/>
        </w:rPr>
        <w:fldChar w:fldCharType="end"/>
      </w:r>
      <w:r>
        <w:rPr>
          <w:kern w:val="0"/>
        </w:rPr>
        <w:fldChar w:fldCharType="end"/>
      </w:r>
      <w:r>
        <w:rPr>
          <w:kern w:val="0"/>
        </w:rPr>
        <w:fldChar w:fldCharType="end"/>
      </w:r>
    </w:p>
    <w:p>
      <w:pPr>
        <w:pStyle w:val="34"/>
        <w:rPr>
          <w:kern w:val="0"/>
        </w:rPr>
      </w:pPr>
      <w:r>
        <w:rPr>
          <w:rFonts w:hint="eastAsia"/>
          <w:kern w:val="0"/>
        </w:rPr>
        <w:t>5.股票类型切换可以切换查看A、B股 （上图中的右上角的小图标进行市场选择）</w:t>
      </w:r>
    </w:p>
    <w:p>
      <w:pPr>
        <w:pStyle w:val="34"/>
        <w:rPr>
          <w:kern w:val="0"/>
        </w:rPr>
      </w:pPr>
      <w:r>
        <w:rPr>
          <w:rFonts w:hint="eastAsia"/>
          <w:kern w:val="0"/>
        </w:rPr>
        <w:t>6.个股资料可以查看关于这个股票的各种资料</w:t>
      </w:r>
    </w:p>
    <w:p>
      <w:pPr>
        <w:pStyle w:val="34"/>
        <w:rPr>
          <w:kern w:val="0"/>
        </w:rPr>
      </w:pPr>
      <w:r>
        <w:rPr>
          <w:rFonts w:hint="eastAsia"/>
          <w:kern w:val="0"/>
        </w:rPr>
        <w:t>7.栏目统计可以帮助你 按照“平均值”、“合计”、“最大值”、“最小值”、“标准差”五种统计方式显示当前行情栏目的所有数据，同时可以使用“统计设置”进行设置</w:t>
      </w:r>
    </w:p>
    <w:p>
      <w:pPr>
        <w:pStyle w:val="34"/>
        <w:rPr>
          <w:kern w:val="0"/>
        </w:rPr>
      </w:pPr>
      <w:r>
        <w:drawing>
          <wp:inline distT="0" distB="0" distL="114300" distR="114300">
            <wp:extent cx="5124450" cy="4105275"/>
            <wp:effectExtent l="0" t="0" r="0" b="952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27"/>
                    <a:stretch>
                      <a:fillRect/>
                    </a:stretch>
                  </pic:blipFill>
                  <pic:spPr>
                    <a:xfrm>
                      <a:off x="0" y="0"/>
                      <a:ext cx="5124450" cy="4105275"/>
                    </a:xfrm>
                    <a:prstGeom prst="rect">
                      <a:avLst/>
                    </a:prstGeom>
                    <a:noFill/>
                    <a:ln>
                      <a:noFill/>
                    </a:ln>
                  </pic:spPr>
                </pic:pic>
              </a:graphicData>
            </a:graphic>
          </wp:inline>
        </w:drawing>
      </w:r>
    </w:p>
    <w:p>
      <w:pPr>
        <w:pStyle w:val="34"/>
        <w:rPr>
          <w:kern w:val="0"/>
        </w:rPr>
      </w:pPr>
      <w:r>
        <w:rPr>
          <w:rFonts w:hint="eastAsia"/>
          <w:kern w:val="0"/>
        </w:rPr>
        <w:t>如上图出现 “平均值”、“合计”、“最大值”、“最小值”、“标准差”五种统计方式，可以显示当前行情栏目的所有数据，还可以同时可以使用“统计设置”进行设置</w:t>
      </w:r>
    </w:p>
    <w:p>
      <w:pPr>
        <w:pStyle w:val="34"/>
        <w:rPr>
          <w:kern w:val="0"/>
        </w:rPr>
      </w:pPr>
      <w:r>
        <w:rPr>
          <w:rFonts w:hint="eastAsia"/>
          <w:kern w:val="0"/>
        </w:rPr>
        <w:t>平均值指的是所选板块的算术平均</w:t>
      </w:r>
    </w:p>
    <w:p>
      <w:pPr>
        <w:pStyle w:val="34"/>
        <w:rPr>
          <w:kern w:val="0"/>
        </w:rPr>
      </w:pPr>
      <w:r>
        <w:rPr>
          <w:rFonts w:hint="eastAsia"/>
          <w:kern w:val="0"/>
        </w:rPr>
        <w:t>合计指数字相加相减后总的数值</w:t>
      </w:r>
    </w:p>
    <w:p>
      <w:pPr>
        <w:pStyle w:val="34"/>
        <w:rPr>
          <w:kern w:val="0"/>
        </w:rPr>
      </w:pPr>
      <w:r>
        <w:rPr>
          <w:rFonts w:hint="eastAsia"/>
          <w:kern w:val="0"/>
        </w:rPr>
        <w:t>最大值指所选股票中数值最大的</w:t>
      </w:r>
    </w:p>
    <w:p>
      <w:pPr>
        <w:pStyle w:val="34"/>
        <w:rPr>
          <w:kern w:val="0"/>
        </w:rPr>
      </w:pPr>
      <w:r>
        <w:rPr>
          <w:rFonts w:hint="eastAsia"/>
          <w:kern w:val="0"/>
        </w:rPr>
        <w:t>最小值指所选股票中数值最小的</w:t>
      </w:r>
    </w:p>
    <w:p>
      <w:pPr>
        <w:pStyle w:val="34"/>
        <w:rPr>
          <w:kern w:val="0"/>
        </w:rPr>
      </w:pPr>
      <w:r>
        <w:rPr>
          <w:rFonts w:hint="eastAsia"/>
          <w:kern w:val="0"/>
        </w:rPr>
        <w:t>标准差是指离开它的期望值的偏离程度</w:t>
      </w:r>
    </w:p>
    <w:p>
      <w:pPr>
        <w:pStyle w:val="34"/>
        <w:rPr>
          <w:kern w:val="0"/>
        </w:rPr>
      </w:pPr>
      <w:r>
        <w:rPr>
          <w:rFonts w:hint="eastAsia"/>
          <w:kern w:val="0"/>
        </w:rPr>
        <w:t>8.所属板块指的是这个股票属于那个行业、地区、概念等，可以清楚的看到板块类别 。快捷键：CTRL+R</w:t>
      </w:r>
    </w:p>
    <w:p>
      <w:pPr>
        <w:pStyle w:val="34"/>
        <w:rPr>
          <w:kern w:val="0"/>
        </w:rPr>
      </w:pPr>
      <w:r>
        <w:rPr>
          <w:kern w:val="0"/>
        </w:rPr>
        <w:fldChar w:fldCharType="begin"/>
      </w:r>
      <w:r>
        <w:rPr>
          <w:kern w:val="0"/>
        </w:rPr>
        <w:instrText xml:space="preserve"> INCLUDEPICTURE  "https://www.tdx.com.cn/products/helpfile/tdxw/chm/%E7%AC%AC%E4%BA%8C%E7%AB%A0 %E5%8A%9F%E8%83%BD/2-1/7.png"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"https://www.tdx.com.cn/products/helpfile/tdxw/chm/%E7%AC%AC%E4%BA%8C%E7%AB%A0 %E5%8A%9F%E8%83%BD/2-1/7.png"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"https://www.tdx.com.cn/products/helpfile/tdxw/chm/%E7%AC%AC%E4%BA%8C%E7%AB%A0 %E5%8A%9F%E8%83%BD/2-1/7.png"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"https://www.tdx.com.cn/products/helpfile/tdxw/chm/%E7%AC%AC%E4%BA%8C%E7%AB%A0 %E5%8A%9F%E8%83%BD/2-1/7.png" \* MERGEFORMATINET </w:instrText>
      </w:r>
      <w:r>
        <w:rPr>
          <w:kern w:val="0"/>
        </w:rPr>
        <w:fldChar w:fldCharType="separate"/>
      </w:r>
      <w:r>
        <w:rPr>
          <w:kern w:val="0"/>
        </w:rPr>
        <w:drawing>
          <wp:inline distT="0" distB="0" distL="114300" distR="114300">
            <wp:extent cx="3848100" cy="4495800"/>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28" r:link="rId29"/>
                    <a:stretch>
                      <a:fillRect/>
                    </a:stretch>
                  </pic:blipFill>
                  <pic:spPr>
                    <a:xfrm>
                      <a:off x="0" y="0"/>
                      <a:ext cx="3848100" cy="4495800"/>
                    </a:xfrm>
                    <a:prstGeom prst="rect">
                      <a:avLst/>
                    </a:prstGeom>
                    <a:noFill/>
                    <a:ln>
                      <a:noFill/>
                    </a:ln>
                  </pic:spPr>
                </pic:pic>
              </a:graphicData>
            </a:graphic>
          </wp:inline>
        </w:drawing>
      </w:r>
      <w:r>
        <w:rPr>
          <w:kern w:val="0"/>
        </w:rPr>
        <w:fldChar w:fldCharType="end"/>
      </w:r>
      <w:r>
        <w:rPr>
          <w:kern w:val="0"/>
        </w:rPr>
        <w:fldChar w:fldCharType="end"/>
      </w:r>
      <w:r>
        <w:rPr>
          <w:kern w:val="0"/>
        </w:rPr>
        <w:fldChar w:fldCharType="end"/>
      </w:r>
      <w:r>
        <w:rPr>
          <w:kern w:val="0"/>
        </w:rPr>
        <w:fldChar w:fldCharType="end"/>
      </w:r>
    </w:p>
    <w:p>
      <w:pPr>
        <w:pStyle w:val="34"/>
        <w:rPr>
          <w:kern w:val="0"/>
        </w:rPr>
      </w:pPr>
      <w:r>
        <w:rPr>
          <w:rFonts w:hint="eastAsia"/>
          <w:kern w:val="0"/>
        </w:rPr>
        <w:t>9.标记当前证券是指选中股票所在行，〖 Ctrl 〗＋〖 Q 〗进行文字标记，可以写下当时对这个股票的心得体会 ，也可以用标记1、标记2等进行标记使这个股票在画面中更容易被自己注意。。</w:t>
      </w:r>
    </w:p>
    <w:p>
      <w:pPr>
        <w:pStyle w:val="34"/>
        <w:rPr>
          <w:kern w:val="0"/>
        </w:rPr>
      </w:pPr>
      <w:r>
        <w:drawing>
          <wp:inline distT="0" distB="0" distL="114300" distR="114300">
            <wp:extent cx="2124075" cy="2876550"/>
            <wp:effectExtent l="0" t="0" r="9525"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30"/>
                    <a:stretch>
                      <a:fillRect/>
                    </a:stretch>
                  </pic:blipFill>
                  <pic:spPr>
                    <a:xfrm>
                      <a:off x="0" y="0"/>
                      <a:ext cx="2124075" cy="2876550"/>
                    </a:xfrm>
                    <a:prstGeom prst="rect">
                      <a:avLst/>
                    </a:prstGeom>
                    <a:noFill/>
                    <a:ln>
                      <a:noFill/>
                    </a:ln>
                  </pic:spPr>
                </pic:pic>
              </a:graphicData>
            </a:graphic>
          </wp:inline>
        </w:drawing>
      </w:r>
    </w:p>
    <w:p>
      <w:pPr>
        <w:pStyle w:val="34"/>
        <w:rPr>
          <w:kern w:val="0"/>
        </w:rPr>
      </w:pPr>
      <w:r>
        <w:rPr>
          <w:rFonts w:hint="eastAsia"/>
          <w:kern w:val="0"/>
        </w:rPr>
        <w:t>10.加入板块是指选中的股票，〖ALT〗＋〖 Z 〗直接加入自选板块或者〖CTRL〗＋〖 Z 〗加入到自己新建的板块中或者自选股中弹出菜单选择要加入到的板块。</w:t>
      </w:r>
    </w:p>
    <w:p>
      <w:pPr>
        <w:pStyle w:val="34"/>
        <w:rPr>
          <w:kern w:val="0"/>
        </w:rPr>
      </w:pPr>
      <w:r>
        <w:rPr>
          <w:kern w:val="0"/>
        </w:rPr>
        <w:fldChar w:fldCharType="begin"/>
      </w:r>
      <w:r>
        <w:rPr>
          <w:kern w:val="0"/>
        </w:rPr>
        <w:instrText xml:space="preserve"> INCLUDEPICTURE  "https://www.tdx.com.cn/products/helpfile/tdxw/chm/%E7%AC%AC%E4%BA%8C%E7%AB%A0 %E5%8A%9F%E8%83%BD/2-1/8.png"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"https://www.tdx.com.cn/products/helpfile/tdxw/chm/%E7%AC%AC%E4%BA%8C%E7%AB%A0 %E5%8A%9F%E8%83%BD/2-1/8.png"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"https://www.tdx.com.cn/products/helpfile/tdxw/chm/%E7%AC%AC%E4%BA%8C%E7%AB%A0 %E5%8A%9F%E8%83%BD/2-1/8.png"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"https://www.tdx.com.cn/products/helpfile/tdxw/chm/%E7%AC%AC%E4%BA%8C%E7%AB%A0 %E5%8A%9F%E8%83%BD/2-1/8.png" \* MERGEFORMATINET </w:instrText>
      </w:r>
      <w:r>
        <w:rPr>
          <w:kern w:val="0"/>
        </w:rPr>
        <w:fldChar w:fldCharType="separate"/>
      </w:r>
      <w:r>
        <w:rPr>
          <w:kern w:val="0"/>
        </w:rPr>
        <w:drawing>
          <wp:inline distT="0" distB="0" distL="114300" distR="114300">
            <wp:extent cx="4410075" cy="3038475"/>
            <wp:effectExtent l="0" t="0" r="9525" b="952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31" r:link="rId32"/>
                    <a:stretch>
                      <a:fillRect/>
                    </a:stretch>
                  </pic:blipFill>
                  <pic:spPr>
                    <a:xfrm>
                      <a:off x="0" y="0"/>
                      <a:ext cx="4410075" cy="3038475"/>
                    </a:xfrm>
                    <a:prstGeom prst="rect">
                      <a:avLst/>
                    </a:prstGeom>
                    <a:noFill/>
                    <a:ln>
                      <a:noFill/>
                    </a:ln>
                  </pic:spPr>
                </pic:pic>
              </a:graphicData>
            </a:graphic>
          </wp:inline>
        </w:drawing>
      </w:r>
      <w:r>
        <w:rPr>
          <w:kern w:val="0"/>
        </w:rPr>
        <w:fldChar w:fldCharType="end"/>
      </w:r>
      <w:r>
        <w:rPr>
          <w:kern w:val="0"/>
        </w:rPr>
        <w:fldChar w:fldCharType="end"/>
      </w:r>
      <w:r>
        <w:rPr>
          <w:kern w:val="0"/>
        </w:rPr>
        <w:fldChar w:fldCharType="end"/>
      </w:r>
      <w:r>
        <w:rPr>
          <w:kern w:val="0"/>
        </w:rPr>
        <w:fldChar w:fldCharType="end"/>
      </w:r>
    </w:p>
    <w:p>
      <w:pPr>
        <w:pStyle w:val="34"/>
        <w:rPr>
          <w:kern w:val="0"/>
        </w:rPr>
      </w:pPr>
      <w:r>
        <w:rPr>
          <w:rFonts w:hint="eastAsia"/>
          <w:kern w:val="0"/>
        </w:rPr>
        <w:t>11.批量操作可以操作当前画面的股票，如加入到板块、和批量标记自己认为特别的股票</w:t>
      </w:r>
    </w:p>
    <w:p>
      <w:pPr>
        <w:pStyle w:val="34"/>
        <w:rPr>
          <w:kern w:val="0"/>
        </w:rPr>
      </w:pPr>
      <w:r>
        <w:rPr>
          <w:kern w:val="0"/>
        </w:rPr>
        <w:fldChar w:fldCharType="begin"/>
      </w:r>
      <w:r>
        <w:rPr>
          <w:kern w:val="0"/>
        </w:rPr>
        <w:instrText xml:space="preserve"> INCLUDEPICTURE  "https://www.tdx.com.cn/products/helpfile/tdxw/chm/%E7%AC%AC%E4%BA%8C%E7%AB%A0 %E5%8A%9F%E8%83%BD/2-1/9.png"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"https://www.tdx.com.cn/products/helpfile/tdxw/chm/%E7%AC%AC%E4%BA%8C%E7%AB%A0 %E5%8A%9F%E8%83%BD/2-1/9.png"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"https://www.tdx.com.cn/products/helpfile/tdxw/chm/%E7%AC%AC%E4%BA%8C%E7%AB%A0 %E5%8A%9F%E8%83%BD/2-1/9.png"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"https://www.tdx.com.cn/products/helpfile/tdxw/chm/%E7%AC%AC%E4%BA%8C%E7%AB%A0 %E5%8A%9F%E8%83%BD/2-1/9.png" \* MERGEFORMATINET </w:instrText>
      </w:r>
      <w:r>
        <w:rPr>
          <w:kern w:val="0"/>
        </w:rPr>
        <w:fldChar w:fldCharType="separate"/>
      </w:r>
      <w:r>
        <w:rPr>
          <w:kern w:val="0"/>
        </w:rPr>
        <w:drawing>
          <wp:inline distT="0" distB="0" distL="114300" distR="114300">
            <wp:extent cx="2867025" cy="4467225"/>
            <wp:effectExtent l="0" t="0" r="9525" b="952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33" r:link="rId34"/>
                    <a:stretch>
                      <a:fillRect/>
                    </a:stretch>
                  </pic:blipFill>
                  <pic:spPr>
                    <a:xfrm>
                      <a:off x="0" y="0"/>
                      <a:ext cx="2867025" cy="4467225"/>
                    </a:xfrm>
                    <a:prstGeom prst="rect">
                      <a:avLst/>
                    </a:prstGeom>
                    <a:noFill/>
                    <a:ln>
                      <a:noFill/>
                    </a:ln>
                  </pic:spPr>
                </pic:pic>
              </a:graphicData>
            </a:graphic>
          </wp:inline>
        </w:drawing>
      </w:r>
      <w:r>
        <w:rPr>
          <w:kern w:val="0"/>
        </w:rPr>
        <w:fldChar w:fldCharType="end"/>
      </w:r>
      <w:r>
        <w:rPr>
          <w:kern w:val="0"/>
        </w:rPr>
        <w:fldChar w:fldCharType="end"/>
      </w:r>
      <w:r>
        <w:rPr>
          <w:kern w:val="0"/>
        </w:rPr>
        <w:fldChar w:fldCharType="end"/>
      </w:r>
      <w:r>
        <w:rPr>
          <w:kern w:val="0"/>
        </w:rPr>
        <w:fldChar w:fldCharType="end"/>
      </w:r>
    </w:p>
    <w:p>
      <w:pPr>
        <w:pStyle w:val="34"/>
        <w:rPr>
          <w:kern w:val="0"/>
        </w:rPr>
      </w:pPr>
      <w:r>
        <w:rPr>
          <w:rFonts w:hint="eastAsia"/>
          <w:kern w:val="0"/>
        </w:rPr>
        <w:t>12.定制切换标签可以切换行情分类的板块也可以在系统设置的标签中设置用来修改下面的分类板块</w:t>
      </w:r>
    </w:p>
    <w:p>
      <w:pPr>
        <w:pStyle w:val="34"/>
        <w:rPr>
          <w:kern w:val="0"/>
        </w:rPr>
      </w:pPr>
      <w:r>
        <w:rPr>
          <w:kern w:val="0"/>
        </w:rPr>
        <w:fldChar w:fldCharType="begin"/>
      </w:r>
      <w:r>
        <w:rPr>
          <w:kern w:val="0"/>
        </w:rPr>
        <w:instrText xml:space="preserve"> INCLUDEPICTURE  "https://www.tdx.com.cn/products/helpfile/tdxw/chm/%E7%AC%AC%E4%BA%8C%E7%AB%A0 %E5%8A%9F%E8%83%BD/2-1/10.png"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"https://www.tdx.com.cn/products/helpfile/tdxw/chm/%E7%AC%AC%E4%BA%8C%E7%AB%A0 %E5%8A%9F%E8%83%BD/2-1/10.png"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"https://www.tdx.com.cn/products/helpfile/tdxw/chm/%E7%AC%AC%E4%BA%8C%E7%AB%A0 %E5%8A%9F%E8%83%BD/2-1/10.png"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"https://www.tdx.com.cn/products/helpfile/tdxw/chm/%E7%AC%AC%E4%BA%8C%E7%AB%A0 %E5%8A%9F%E8%83%BD/2-1/10.png" \* MERGEFORMATINET </w:instrText>
      </w:r>
      <w:r>
        <w:rPr>
          <w:kern w:val="0"/>
        </w:rPr>
        <w:fldChar w:fldCharType="separate"/>
      </w:r>
      <w:r>
        <w:rPr>
          <w:kern w:val="0"/>
        </w:rPr>
        <w:drawing>
          <wp:inline distT="0" distB="0" distL="114300" distR="114300">
            <wp:extent cx="6648450" cy="5305425"/>
            <wp:effectExtent l="0" t="0" r="0" b="952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35" r:link="rId36"/>
                    <a:stretch>
                      <a:fillRect/>
                    </a:stretch>
                  </pic:blipFill>
                  <pic:spPr>
                    <a:xfrm>
                      <a:off x="0" y="0"/>
                      <a:ext cx="6648450" cy="5305425"/>
                    </a:xfrm>
                    <a:prstGeom prst="rect">
                      <a:avLst/>
                    </a:prstGeom>
                    <a:noFill/>
                    <a:ln>
                      <a:noFill/>
                    </a:ln>
                  </pic:spPr>
                </pic:pic>
              </a:graphicData>
            </a:graphic>
          </wp:inline>
        </w:drawing>
      </w:r>
      <w:r>
        <w:rPr>
          <w:kern w:val="0"/>
        </w:rPr>
        <w:fldChar w:fldCharType="end"/>
      </w:r>
      <w:r>
        <w:rPr>
          <w:kern w:val="0"/>
        </w:rPr>
        <w:fldChar w:fldCharType="end"/>
      </w:r>
      <w:r>
        <w:rPr>
          <w:kern w:val="0"/>
        </w:rPr>
        <w:fldChar w:fldCharType="end"/>
      </w:r>
      <w:r>
        <w:rPr>
          <w:kern w:val="0"/>
        </w:rPr>
        <w:fldChar w:fldCharType="end"/>
      </w:r>
    </w:p>
    <w:p>
      <w:pPr>
        <w:pStyle w:val="34"/>
        <w:ind w:firstLine="542"/>
        <w:rPr>
          <w:b/>
          <w:bCs/>
          <w:color w:val="FF0000"/>
          <w:kern w:val="0"/>
          <w:sz w:val="27"/>
          <w:szCs w:val="27"/>
        </w:rPr>
      </w:pPr>
      <w:r>
        <w:rPr>
          <w:rFonts w:hint="eastAsia"/>
          <w:b/>
          <w:bCs/>
          <w:color w:val="FF0000"/>
          <w:kern w:val="0"/>
          <w:sz w:val="27"/>
          <w:szCs w:val="27"/>
        </w:rPr>
        <w:t>通达信多空红绿军：</w:t>
      </w:r>
    </w:p>
    <w:p>
      <w:pPr>
        <w:pStyle w:val="34"/>
        <w:rPr>
          <w:kern w:val="0"/>
        </w:rPr>
      </w:pPr>
      <w:r>
        <w:rPr>
          <w:kern w:val="0"/>
        </w:rPr>
        <w:fldChar w:fldCharType="begin"/>
      </w:r>
      <w:r>
        <w:rPr>
          <w:kern w:val="0"/>
        </w:rPr>
        <w:instrText xml:space="preserve"> INCLUDEPICTURE  "https://www.tdx.com.cn/products/helpfile/tdxw/chm/%E7%AC%AC%E4%BA%8C%E7%AB%A0 %E5%8A%9F%E8%83%BD/2-1/11.png"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"https://www.tdx.com.cn/products/helpfile/tdxw/chm/%E7%AC%AC%E4%BA%8C%E7%AB%A0 %E5%8A%9F%E8%83%BD/2-1/11.png"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"https://www.tdx.com.cn/products/helpfile/tdxw/chm/%E7%AC%AC%E4%BA%8C%E7%AB%A0 %E5%8A%9F%E8%83%BD/2-1/11.png"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"https://www.tdx.com.cn/products/helpfile/tdxw/chm/%E7%AC%AC%E4%BA%8C%E7%AB%A0 %E5%8A%9F%E8%83%BD/2-1/11.png" \* MERGEFORMATINET </w:instrText>
      </w:r>
      <w:r>
        <w:rPr>
          <w:kern w:val="0"/>
        </w:rPr>
        <w:fldChar w:fldCharType="separate"/>
      </w:r>
      <w:r>
        <w:rPr>
          <w:kern w:val="0"/>
        </w:rPr>
        <w:drawing>
          <wp:inline distT="0" distB="0" distL="114300" distR="114300">
            <wp:extent cx="1047750" cy="200025"/>
            <wp:effectExtent l="0" t="0" r="0" b="952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37" r:link="rId38"/>
                    <a:stretch>
                      <a:fillRect/>
                    </a:stretch>
                  </pic:blipFill>
                  <pic:spPr>
                    <a:xfrm>
                      <a:off x="0" y="0"/>
                      <a:ext cx="1047750" cy="200025"/>
                    </a:xfrm>
                    <a:prstGeom prst="rect">
                      <a:avLst/>
                    </a:prstGeom>
                    <a:noFill/>
                    <a:ln>
                      <a:noFill/>
                    </a:ln>
                  </pic:spPr>
                </pic:pic>
              </a:graphicData>
            </a:graphic>
          </wp:inline>
        </w:drawing>
      </w:r>
      <w:r>
        <w:rPr>
          <w:kern w:val="0"/>
        </w:rPr>
        <w:fldChar w:fldCharType="end"/>
      </w:r>
      <w:r>
        <w:rPr>
          <w:kern w:val="0"/>
        </w:rPr>
        <w:fldChar w:fldCharType="end"/>
      </w:r>
      <w:r>
        <w:rPr>
          <w:kern w:val="0"/>
        </w:rPr>
        <w:fldChar w:fldCharType="end"/>
      </w:r>
      <w:r>
        <w:rPr>
          <w:kern w:val="0"/>
        </w:rPr>
        <w:fldChar w:fldCharType="end"/>
      </w:r>
    </w:p>
    <w:p>
      <w:pPr>
        <w:pStyle w:val="34"/>
        <w:rPr>
          <w:kern w:val="0"/>
        </w:rPr>
      </w:pPr>
      <w:r>
        <w:rPr>
          <w:rFonts w:hint="eastAsia"/>
          <w:kern w:val="0"/>
        </w:rPr>
        <w:t>在状态栏上有两个方格条,左边为沪市的多空条,右边为深市的多空条。</w:t>
      </w:r>
    </w:p>
    <w:p>
      <w:pPr>
        <w:pStyle w:val="34"/>
        <w:rPr>
          <w:kern w:val="0"/>
        </w:rPr>
      </w:pPr>
      <w:r>
        <w:rPr>
          <w:rFonts w:hint="eastAsia"/>
          <w:kern w:val="0"/>
        </w:rPr>
        <w:t>多空条分两部分:向左是正在涨(相对上一笔的成交价格变大)的股票比例(为红色,如果为深红,表示涨停部分),向右是正在跌(相对上一笔的成交价格变小)的股票比例(为绿色,如果为深绿,表示跌停部分)</w:t>
      </w:r>
    </w:p>
    <w:p>
      <w:pPr>
        <w:pStyle w:val="34"/>
        <w:rPr>
          <w:kern w:val="0"/>
        </w:rPr>
      </w:pPr>
      <w:r>
        <w:rPr>
          <w:rFonts w:hint="eastAsia"/>
          <w:kern w:val="0"/>
        </w:rPr>
        <w:t>方格条下面有6种不同的符号在滚动:</w:t>
      </w:r>
    </w:p>
    <w:p>
      <w:pPr>
        <w:pStyle w:val="34"/>
        <w:rPr>
          <w:kern w:val="0"/>
        </w:rPr>
      </w:pPr>
      <w:r>
        <w:rPr>
          <w:rFonts w:hint="eastAsia"/>
          <w:kern w:val="0"/>
        </w:rPr>
        <w:t>红色向上的箭头:表示整个市场涨势在增加 </w:t>
      </w:r>
    </w:p>
    <w:p>
      <w:pPr>
        <w:pStyle w:val="34"/>
        <w:rPr>
          <w:kern w:val="0"/>
        </w:rPr>
      </w:pPr>
      <w:r>
        <w:rPr>
          <w:rFonts w:hint="eastAsia"/>
          <w:kern w:val="0"/>
        </w:rPr>
        <w:t>红色向下的箭头:表示整个市场涨势在减弱 </w:t>
      </w:r>
    </w:p>
    <w:p>
      <w:pPr>
        <w:pStyle w:val="34"/>
        <w:rPr>
          <w:kern w:val="0"/>
        </w:rPr>
      </w:pPr>
      <w:r>
        <w:rPr>
          <w:rFonts w:hint="eastAsia"/>
          <w:kern w:val="0"/>
        </w:rPr>
        <w:t>红色等于号:表示整个市场涨势保持持平 </w:t>
      </w:r>
    </w:p>
    <w:p>
      <w:pPr>
        <w:pStyle w:val="34"/>
        <w:rPr>
          <w:kern w:val="0"/>
        </w:rPr>
      </w:pPr>
      <w:r>
        <w:rPr>
          <w:rFonts w:hint="eastAsia"/>
          <w:kern w:val="0"/>
        </w:rPr>
        <w:t>绿色向上的箭头:表示整个市场跌势在增加 </w:t>
      </w:r>
    </w:p>
    <w:p>
      <w:pPr>
        <w:pStyle w:val="34"/>
        <w:rPr>
          <w:kern w:val="0"/>
        </w:rPr>
      </w:pPr>
      <w:r>
        <w:rPr>
          <w:rFonts w:hint="eastAsia"/>
          <w:kern w:val="0"/>
        </w:rPr>
        <w:t>绿色向下的箭头:表示整个市场跌势在减弱 </w:t>
      </w:r>
    </w:p>
    <w:p>
      <w:pPr>
        <w:pStyle w:val="34"/>
        <w:rPr>
          <w:kern w:val="0"/>
        </w:rPr>
      </w:pPr>
      <w:r>
        <w:rPr>
          <w:rFonts w:hint="eastAsia"/>
          <w:kern w:val="0"/>
        </w:rPr>
        <w:t>绿色等于号:表示整个市场跌势保持持平</w:t>
      </w:r>
    </w:p>
    <w:p>
      <w:pPr>
        <w:pStyle w:val="34"/>
        <w:rPr>
          <w:kern w:val="0"/>
        </w:rPr>
      </w:pPr>
      <w:r>
        <w:rPr>
          <w:rFonts w:hint="eastAsia"/>
          <w:kern w:val="0"/>
        </w:rPr>
        <w:t>判断涨势和跌势有一个指标数据(即为领先值):</w:t>
      </w:r>
    </w:p>
    <w:p>
      <w:pPr>
        <w:pStyle w:val="34"/>
        <w:rPr>
          <w:kern w:val="0"/>
        </w:rPr>
      </w:pPr>
      <w:r>
        <w:rPr>
          <w:rFonts w:hint="eastAsia"/>
          <w:kern w:val="0"/>
        </w:rPr>
        <w:t>此数据大致上是按照当前市场上所有股票最新总体成交相对于上次总体成交是涨或是跌,涨多少或是跌多少等统计出来的.</w:t>
      </w:r>
    </w:p>
    <w:p>
      <w:pPr>
        <w:pStyle w:val="34"/>
        <w:rPr>
          <w:kern w:val="0"/>
        </w:rPr>
      </w:pPr>
      <w:r>
        <w:rPr>
          <w:rFonts w:hint="eastAsia"/>
          <w:kern w:val="0"/>
        </w:rPr>
        <w:t>如果此数据大于0,显示为红色.此数据大于上次统计的数据,显示为红色向上的箭头,反之,则显示为红色向下的箭头,相等则为等于号.</w:t>
      </w:r>
    </w:p>
    <w:p>
      <w:pPr>
        <w:pStyle w:val="34"/>
        <w:rPr>
          <w:kern w:val="0"/>
        </w:rPr>
      </w:pPr>
      <w:r>
        <w:rPr>
          <w:rFonts w:hint="eastAsia"/>
          <w:kern w:val="0"/>
        </w:rPr>
        <w:t>如果此数据小于0,显示为绿色.此数据小于上次统计的数据,显示为绿色向上的箭头,反之,则显示为绿色向下的箭头,相等则为等于号</w:t>
      </w:r>
    </w:p>
    <w:p>
      <w:pPr>
        <w:pStyle w:val="34"/>
        <w:rPr>
          <w:kern w:val="0"/>
        </w:rPr>
      </w:pPr>
      <w:r>
        <w:rPr>
          <w:rFonts w:hint="eastAsia"/>
          <w:kern w:val="0"/>
        </w:rPr>
        <w:t>通达信软件的大盘指数领先图也是按照此方法设计。</w:t>
      </w:r>
    </w:p>
    <w:p>
      <w:pPr>
        <w:pStyle w:val="3"/>
      </w:pPr>
      <w:bookmarkStart w:id="11" w:name="_Toc90646130"/>
      <w:r>
        <w:rPr>
          <w:rFonts w:hint="eastAsia"/>
        </w:rPr>
        <w:t>即时分析</w:t>
      </w:r>
      <w:bookmarkEnd w:id="11"/>
    </w:p>
    <w:p>
      <w:pPr>
        <w:pStyle w:val="34"/>
        <w:rPr>
          <w:kern w:val="0"/>
        </w:rPr>
      </w:pPr>
      <w:r>
        <w:rPr>
          <w:rFonts w:hint="eastAsia"/>
          <w:kern w:val="0"/>
        </w:rPr>
        <w:t>分时走势图显示该品种每分钟的价位变化曲线。 </w:t>
      </w:r>
    </w:p>
    <w:p>
      <w:pPr>
        <w:pStyle w:val="34"/>
        <w:rPr>
          <w:kern w:val="0"/>
        </w:rPr>
      </w:pPr>
      <w:r>
        <w:rPr>
          <w:rFonts w:hint="eastAsia"/>
          <w:kern w:val="0"/>
        </w:rPr>
        <w:t>快捷方式： </w:t>
      </w:r>
    </w:p>
    <w:p>
      <w:pPr>
        <w:pStyle w:val="34"/>
        <w:rPr>
          <w:kern w:val="0"/>
        </w:rPr>
      </w:pPr>
      <w:r>
        <w:rPr>
          <w:rFonts w:hint="eastAsia"/>
          <w:kern w:val="0"/>
        </w:rPr>
        <w:t>▲ 点击工具栏主功能图标按钮 </w:t>
      </w:r>
      <w:r>
        <w:rPr>
          <w:kern w:val="0"/>
        </w:rPr>
        <w:fldChar w:fldCharType="begin"/>
      </w:r>
      <w:r>
        <w:rPr>
          <w:kern w:val="0"/>
        </w:rPr>
        <w:instrText xml:space="preserve"> INCLUDEPICTURE  "https://www.tdx.com.cn/products/helpfile/tdxw/chm/%E7%AC%AC%E4%BA%8C%E7%AB%A0 %E5%8A%9F%E8%83%BD/2-2/0.5.png"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"https://www.tdx.com.cn/products/helpfile/tdxw/chm/%E7%AC%AC%E4%BA%8C%E7%AB%A0 %E5%8A%9F%E8%83%BD/2-2/0.5.png"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"https://www.tdx.com.cn/products/helpfile/tdxw/chm/%E7%AC%AC%E4%BA%8C%E7%AB%A0 %E5%8A%9F%E8%83%BD/2-2/0.5.png"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"https://www.tdx.com.cn/products/helpfile/tdxw/chm/%E7%AC%AC%E4%BA%8C%E7%AB%A0 %E5%8A%9F%E8%83%BD/2-2/0.5.png" \* MERGEFORMATINET </w:instrText>
      </w:r>
      <w:r>
        <w:rPr>
          <w:kern w:val="0"/>
        </w:rPr>
        <w:fldChar w:fldCharType="separate"/>
      </w:r>
      <w:r>
        <w:rPr>
          <w:kern w:val="0"/>
        </w:rPr>
        <w:drawing>
          <wp:inline distT="0" distB="0" distL="114300" distR="114300">
            <wp:extent cx="228600" cy="285750"/>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39" r:link="rId40"/>
                    <a:stretch>
                      <a:fillRect/>
                    </a:stretch>
                  </pic:blipFill>
                  <pic:spPr>
                    <a:xfrm>
                      <a:off x="0" y="0"/>
                      <a:ext cx="228600" cy="285750"/>
                    </a:xfrm>
                    <a:prstGeom prst="rect">
                      <a:avLst/>
                    </a:prstGeom>
                    <a:noFill/>
                    <a:ln>
                      <a:noFill/>
                    </a:ln>
                  </pic:spPr>
                </pic:pic>
              </a:graphicData>
            </a:graphic>
          </wp:inline>
        </w:drawing>
      </w:r>
      <w:r>
        <w:rPr>
          <w:kern w:val="0"/>
        </w:rPr>
        <w:fldChar w:fldCharType="end"/>
      </w:r>
      <w:r>
        <w:rPr>
          <w:kern w:val="0"/>
        </w:rPr>
        <w:fldChar w:fldCharType="end"/>
      </w:r>
      <w:r>
        <w:rPr>
          <w:kern w:val="0"/>
        </w:rPr>
        <w:fldChar w:fldCharType="end"/>
      </w:r>
      <w:r>
        <w:rPr>
          <w:kern w:val="0"/>
        </w:rPr>
        <w:fldChar w:fldCharType="end"/>
      </w:r>
    </w:p>
    <w:p>
      <w:pPr>
        <w:pStyle w:val="34"/>
        <w:rPr>
          <w:kern w:val="0"/>
        </w:rPr>
      </w:pPr>
      <w:r>
        <w:rPr>
          <w:rFonts w:hint="eastAsia"/>
          <w:kern w:val="0"/>
        </w:rPr>
        <w:t>▲ 功能---即时分析 </w:t>
      </w:r>
    </w:p>
    <w:p>
      <w:pPr>
        <w:pStyle w:val="34"/>
        <w:rPr>
          <w:kern w:val="0"/>
        </w:rPr>
      </w:pPr>
      <w:r>
        <w:rPr>
          <w:rFonts w:hint="eastAsia"/>
          <w:kern w:val="0"/>
        </w:rPr>
        <w:t>▲ 键盘精灵 .5 </w:t>
      </w:r>
    </w:p>
    <w:p>
      <w:pPr>
        <w:pStyle w:val="34"/>
        <w:rPr>
          <w:kern w:val="0"/>
        </w:rPr>
      </w:pPr>
      <w:r>
        <w:rPr>
          <w:rFonts w:hint="eastAsia"/>
          <w:kern w:val="0"/>
        </w:rPr>
        <w:t>▲ F5或05+Enter（即时分析/技术分析之间切换）</w:t>
      </w:r>
    </w:p>
    <w:p>
      <w:pPr>
        <w:pStyle w:val="34"/>
        <w:rPr>
          <w:kern w:val="0"/>
        </w:rPr>
      </w:pPr>
      <w:r>
        <w:rPr>
          <w:kern w:val="0"/>
        </w:rPr>
        <w:fldChar w:fldCharType="begin"/>
      </w:r>
      <w:r>
        <w:rPr>
          <w:kern w:val="0"/>
        </w:rPr>
        <w:instrText xml:space="preserve"> INCLUDEPICTURE  "https://www.tdx.com.cn/products/helpfile/tdxw/chm/%E7%AC%AC%E4%BA%8C%E7%AB%A0 %E5%8A%9F%E8%83%BD/2-2/1.png"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"https://www.tdx.com.cn/products/helpfile/tdxw/chm/%E7%AC%AC%E4%BA%8C%E7%AB%A0 %E5%8A%9F%E8%83%BD/2-2/1.png"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"https://www.tdx.com.cn/products/helpfile/tdxw/chm/%E7%AC%AC%E4%BA%8C%E7%AB%A0 %E5%8A%9F%E8%83%BD/2-2/1.png"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"https://www.tdx.com.cn/products/helpfile/tdxw/chm/%E7%AC%AC%E4%BA%8C%E7%AB%A0 %E5%8A%9F%E8%83%BD/2-2/1.png" \* MERGEFORMATINET </w:instrText>
      </w:r>
      <w:r>
        <w:rPr>
          <w:kern w:val="0"/>
        </w:rPr>
        <w:fldChar w:fldCharType="separate"/>
      </w:r>
      <w:r>
        <w:rPr>
          <w:kern w:val="0"/>
        </w:rPr>
        <w:drawing>
          <wp:inline distT="0" distB="0" distL="114300" distR="114300">
            <wp:extent cx="7267575" cy="5295900"/>
            <wp:effectExtent l="0" t="0" r="9525"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41" r:link="rId42"/>
                    <a:stretch>
                      <a:fillRect/>
                    </a:stretch>
                  </pic:blipFill>
                  <pic:spPr>
                    <a:xfrm>
                      <a:off x="0" y="0"/>
                      <a:ext cx="7267575" cy="5295900"/>
                    </a:xfrm>
                    <a:prstGeom prst="rect">
                      <a:avLst/>
                    </a:prstGeom>
                    <a:noFill/>
                    <a:ln>
                      <a:noFill/>
                    </a:ln>
                  </pic:spPr>
                </pic:pic>
              </a:graphicData>
            </a:graphic>
          </wp:inline>
        </w:drawing>
      </w:r>
      <w:r>
        <w:rPr>
          <w:kern w:val="0"/>
        </w:rPr>
        <w:fldChar w:fldCharType="end"/>
      </w:r>
      <w:r>
        <w:rPr>
          <w:kern w:val="0"/>
        </w:rPr>
        <w:fldChar w:fldCharType="end"/>
      </w:r>
      <w:r>
        <w:rPr>
          <w:kern w:val="0"/>
        </w:rPr>
        <w:fldChar w:fldCharType="end"/>
      </w:r>
      <w:r>
        <w:rPr>
          <w:kern w:val="0"/>
        </w:rPr>
        <w:fldChar w:fldCharType="end"/>
      </w:r>
    </w:p>
    <w:p>
      <w:pPr>
        <w:pStyle w:val="34"/>
        <w:ind w:firstLine="482"/>
        <w:rPr>
          <w:kern w:val="0"/>
        </w:rPr>
      </w:pPr>
      <w:r>
        <w:rPr>
          <w:rFonts w:hint="eastAsia"/>
          <w:b/>
          <w:bCs/>
          <w:color w:val="FF0000"/>
          <w:kern w:val="0"/>
        </w:rPr>
        <w:t>画面说明：</w:t>
      </w:r>
      <w:r>
        <w:rPr>
          <w:rFonts w:hint="eastAsia"/>
          <w:kern w:val="0"/>
        </w:rPr>
        <w:t>1. 右上角显示股票代码及名称； 2. 白色曲线为每分钟该商品成交价连线，黄色曲线为其均价线； 3. 黄色柱状线是每分钟累计成交量，以 100 股为单位； 4. 鼠标或小键盘 "+" 进行功能切换； 5. F1 或 01 查看每笔成交明细， F2 或 02 查看分价表； 6. 用 Tab 键切换上下午分时走势； 7.为了更真实、更直观地反映最近一段时间内的分时状况，以便发现最近一段时间内的股票走势状况，可以在分时图上显示多日的分时线最多可以显示20 天的分时； 8.“ L ”表示该股票的关联股票信息，用户用鼠标点击这些符号就可以查看相关信息。9.主图叠加，除分笔成交图，其它分析周期都可做主图叠加。主图叠加最多可以进行 2 只股票的叠加 ；</w:t>
      </w:r>
    </w:p>
    <w:tbl>
      <w:tblPr>
        <w:tblStyle w:val="25"/>
        <w:tblW w:w="0" w:type="auto"/>
        <w:tblCellSpacing w:w="0" w:type="dxa"/>
        <w:tblInd w:w="0" w:type="dxa"/>
        <w:tblBorders>
          <w:top w:val="outset" w:color="auto" w:sz="6" w:space="0"/>
          <w:left w:val="outset" w:color="auto" w:sz="6" w:space="0"/>
          <w:bottom w:val="outset" w:color="auto" w:sz="6" w:space="0"/>
          <w:right w:val="outset" w:color="auto" w:sz="6" w:space="0"/>
          <w:insideH w:val="none" w:color="auto" w:sz="0" w:space="0"/>
          <w:insideV w:val="none" w:color="auto" w:sz="0" w:space="0"/>
        </w:tblBorders>
        <w:tblLayout w:type="autofit"/>
        <w:tblCellMar>
          <w:top w:w="0" w:type="dxa"/>
          <w:left w:w="0" w:type="dxa"/>
          <w:bottom w:w="0" w:type="dxa"/>
          <w:right w:w="0" w:type="dxa"/>
        </w:tblCellMar>
      </w:tblPr>
      <w:tblGrid>
        <w:gridCol w:w="12206"/>
      </w:tblGrid>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2206"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竞价图的红绿柱解释:</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2206"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竞价图的红绿柱主要是用来表现开盘前股票买卖意愿的。</w:t>
            </w:r>
          </w:p>
          <w:p>
            <w:pPr>
              <w:pStyle w:val="34"/>
              <w:rPr>
                <w:kern w:val="0"/>
              </w:rPr>
            </w:pPr>
            <w:r>
              <w:rPr>
                <w:rFonts w:hint="eastAsia"/>
                <w:kern w:val="0"/>
              </w:rPr>
              <w:t>价格折线为匹配价，下部柱线为匹配量，上部倒挂柱线为未匹配量，如果未匹配量在买一侧，显示红色，反之显示绿色。</w:t>
            </w:r>
          </w:p>
          <w:p>
            <w:pPr>
              <w:pStyle w:val="34"/>
              <w:rPr>
                <w:kern w:val="0"/>
              </w:rPr>
            </w:pPr>
            <w:r>
              <w:rPr>
                <w:rFonts w:hint="eastAsia"/>
                <w:kern w:val="0"/>
              </w:rPr>
              <w:t>当买方在匹配价格存在未匹配量，即买一和卖一有价量，买二有数量时，显示为红色；表现为买意愿强 。</w:t>
            </w:r>
          </w:p>
          <w:p>
            <w:pPr>
              <w:pStyle w:val="34"/>
              <w:rPr>
                <w:kern w:val="0"/>
              </w:rPr>
            </w:pPr>
            <w:r>
              <w:rPr>
                <w:rFonts w:hint="eastAsia"/>
                <w:kern w:val="0"/>
              </w:rPr>
              <w:t>当卖方在匹配价格存在未匹配量，即买一和卖一有价量，卖二有数量时，显示为绿色； 表现为卖意愿强 。</w:t>
            </w:r>
          </w:p>
          <w:p>
            <w:pPr>
              <w:pStyle w:val="34"/>
              <w:rPr>
                <w:kern w:val="0"/>
              </w:rPr>
            </w:pPr>
            <w:r>
              <w:rPr>
                <w:rFonts w:hint="eastAsia"/>
                <w:kern w:val="0"/>
              </w:rPr>
              <w:t>当买卖双方在匹配价格完全匹配，即买一和卖一有价量，买二和卖二无量，显示为白色。</w:t>
            </w:r>
          </w:p>
        </w:tc>
      </w:tr>
    </w:tbl>
    <w:p>
      <w:pPr>
        <w:pStyle w:val="34"/>
        <w:rPr>
          <w:kern w:val="0"/>
        </w:rPr>
      </w:pPr>
      <w:r>
        <w:rPr>
          <w:kern w:val="0"/>
        </w:rPr>
        <w:fldChar w:fldCharType="begin"/>
      </w:r>
      <w:r>
        <w:rPr>
          <w:kern w:val="0"/>
        </w:rPr>
        <w:instrText xml:space="preserve"> INCLUDEPICTURE  "https://www.tdx.com.cn/products/helpfile/tdxw/chm/%E7%AC%AC%E4%BA%8C%E7%AB%A0 %E5%8A%9F%E8%83%BD/2-2/0.7.png"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"https://www.tdx.com.cn/products/helpfile/tdxw/chm/%E7%AC%AC%E4%BA%8C%E7%AB%A0 %E5%8A%9F%E8%83%BD/2-2/0.7.png"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"https://www.tdx.com.cn/products/helpfile/tdxw/chm/%E7%AC%AC%E4%BA%8C%E7%AB%A0 %E5%8A%9F%E8%83%BD/2-2/0.7.png"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"https://www.tdx.com.cn/products/helpfile/tdxw/chm/%E7%AC%AC%E4%BA%8C%E7%AB%A0 %E5%8A%9F%E8%83%BD/2-2/0.7.png" \* MERGEFORMATINET </w:instrText>
      </w:r>
      <w:r>
        <w:rPr>
          <w:kern w:val="0"/>
        </w:rPr>
        <w:fldChar w:fldCharType="separate"/>
      </w:r>
      <w:r>
        <w:rPr>
          <w:kern w:val="0"/>
        </w:rPr>
        <w:drawing>
          <wp:inline distT="0" distB="0" distL="114300" distR="114300">
            <wp:extent cx="3295650" cy="4943475"/>
            <wp:effectExtent l="0" t="0" r="0" b="952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43" r:link="rId44"/>
                    <a:stretch>
                      <a:fillRect/>
                    </a:stretch>
                  </pic:blipFill>
                  <pic:spPr>
                    <a:xfrm>
                      <a:off x="0" y="0"/>
                      <a:ext cx="3295650" cy="4943475"/>
                    </a:xfrm>
                    <a:prstGeom prst="rect">
                      <a:avLst/>
                    </a:prstGeom>
                    <a:noFill/>
                    <a:ln>
                      <a:noFill/>
                    </a:ln>
                  </pic:spPr>
                </pic:pic>
              </a:graphicData>
            </a:graphic>
          </wp:inline>
        </w:drawing>
      </w:r>
      <w:r>
        <w:rPr>
          <w:kern w:val="0"/>
        </w:rPr>
        <w:fldChar w:fldCharType="end"/>
      </w:r>
      <w:r>
        <w:rPr>
          <w:kern w:val="0"/>
        </w:rPr>
        <w:fldChar w:fldCharType="end"/>
      </w:r>
      <w:r>
        <w:rPr>
          <w:kern w:val="0"/>
        </w:rPr>
        <w:fldChar w:fldCharType="end"/>
      </w:r>
      <w:r>
        <w:rPr>
          <w:kern w:val="0"/>
        </w:rPr>
        <w:fldChar w:fldCharType="end"/>
      </w:r>
    </w:p>
    <w:p>
      <w:pPr>
        <w:pStyle w:val="34"/>
        <w:rPr>
          <w:kern w:val="0"/>
        </w:rPr>
      </w:pPr>
      <w:r>
        <w:rPr>
          <w:rFonts w:hint="eastAsia"/>
          <w:kern w:val="0"/>
        </w:rPr>
        <w:t>+/-的含义:</w:t>
      </w:r>
    </w:p>
    <w:p>
      <w:pPr>
        <w:pStyle w:val="34"/>
        <w:rPr>
          <w:kern w:val="0"/>
        </w:rPr>
      </w:pPr>
      <w:r>
        <w:rPr>
          <w:kern w:val="0"/>
        </w:rPr>
        <w:fldChar w:fldCharType="begin"/>
      </w:r>
      <w:r>
        <w:rPr>
          <w:kern w:val="0"/>
        </w:rPr>
        <w:instrText xml:space="preserve"> INCLUDEPICTURE  "https://www.tdx.com.cn/products/helpfile/tdxw/chm/%E7%AC%AC%E4%BA%8C%E7%AB%A0 %E5%8A%9F%E8%83%BD/2-2/0.8.png"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"https://www.tdx.com.cn/products/helpfile/tdxw/chm/%E7%AC%AC%E4%BA%8C%E7%AB%A0 %E5%8A%9F%E8%83%BD/2-2/0.8.png"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"https://www.tdx.com.cn/products/helpfile/tdxw/chm/%E7%AC%AC%E4%BA%8C%E7%AB%A0 %E5%8A%9F%E8%83%BD/2-2/0.8.png"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"https://www.tdx.com.cn/products/helpfile/tdxw/chm/%E7%AC%AC%E4%BA%8C%E7%AB%A0 %E5%8A%9F%E8%83%BD/2-2/0.8.png" \* MERGEFORMATINET </w:instrText>
      </w:r>
      <w:r>
        <w:rPr>
          <w:kern w:val="0"/>
        </w:rPr>
        <w:fldChar w:fldCharType="separate"/>
      </w:r>
      <w:r>
        <w:rPr>
          <w:kern w:val="0"/>
        </w:rPr>
        <w:drawing>
          <wp:inline distT="0" distB="0" distL="114300" distR="114300">
            <wp:extent cx="3295650" cy="4953000"/>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45" r:link="rId46"/>
                    <a:stretch>
                      <a:fillRect/>
                    </a:stretch>
                  </pic:blipFill>
                  <pic:spPr>
                    <a:xfrm>
                      <a:off x="0" y="0"/>
                      <a:ext cx="3295650" cy="4953000"/>
                    </a:xfrm>
                    <a:prstGeom prst="rect">
                      <a:avLst/>
                    </a:prstGeom>
                    <a:noFill/>
                    <a:ln>
                      <a:noFill/>
                    </a:ln>
                  </pic:spPr>
                </pic:pic>
              </a:graphicData>
            </a:graphic>
          </wp:inline>
        </w:drawing>
      </w:r>
      <w:r>
        <w:rPr>
          <w:kern w:val="0"/>
        </w:rPr>
        <w:fldChar w:fldCharType="end"/>
      </w:r>
      <w:r>
        <w:rPr>
          <w:kern w:val="0"/>
        </w:rPr>
        <w:fldChar w:fldCharType="end"/>
      </w:r>
      <w:r>
        <w:rPr>
          <w:kern w:val="0"/>
        </w:rPr>
        <w:fldChar w:fldCharType="end"/>
      </w:r>
      <w:r>
        <w:rPr>
          <w:kern w:val="0"/>
        </w:rPr>
        <w:fldChar w:fldCharType="end"/>
      </w:r>
    </w:p>
    <w:p>
      <w:pPr>
        <w:pStyle w:val="34"/>
        <w:rPr>
          <w:kern w:val="0"/>
        </w:rPr>
      </w:pPr>
      <w:r>
        <w:rPr>
          <w:rFonts w:hint="eastAsia"/>
          <w:kern w:val="0"/>
        </w:rPr>
        <w:t>“+”多日分时日数递增，如果是在当日分时，一次“+”就是最近两日分时，一次天数加1，直到达到最近二十日分时。 “-”多日分时日数递减，一次“-”天数减1，直到达到当日分时。 </w:t>
      </w:r>
    </w:p>
    <w:p>
      <w:pPr>
        <w:pStyle w:val="34"/>
        <w:ind w:firstLine="482"/>
        <w:rPr>
          <w:kern w:val="0"/>
        </w:rPr>
      </w:pPr>
      <w:r>
        <w:rPr>
          <w:rFonts w:hint="eastAsia"/>
          <w:b/>
          <w:bCs/>
          <w:color w:val="FF0000"/>
          <w:kern w:val="0"/>
        </w:rPr>
        <w:t>鼠标右键菜单：</w:t>
      </w:r>
    </w:p>
    <w:p>
      <w:pPr>
        <w:pStyle w:val="34"/>
        <w:rPr>
          <w:kern w:val="0"/>
        </w:rPr>
      </w:pPr>
      <w:r>
        <w:rPr>
          <w:rFonts w:hint="eastAsia"/>
          <w:kern w:val="0"/>
        </w:rPr>
        <w:t>在鼠标右键菜单中还包含 10%涨跌停坐标、分时重播、多日分时图、设置条件预警、股票叠加所属板块等一些特色功能。</w:t>
      </w:r>
    </w:p>
    <w:p>
      <w:pPr>
        <w:pStyle w:val="34"/>
        <w:rPr>
          <w:kern w:val="0"/>
        </w:rPr>
      </w:pPr>
      <w:r>
        <w:rPr>
          <w:kern w:val="0"/>
        </w:rPr>
        <w:fldChar w:fldCharType="begin"/>
      </w:r>
      <w:r>
        <w:rPr>
          <w:kern w:val="0"/>
        </w:rPr>
        <w:instrText xml:space="preserve"> INCLUDEPICTURE  "https://www.tdx.com.cn/products/helpfile/tdxw/chm/%E7%AC%AC%E4%BA%8C%E7%AB%A0 %E5%8A%9F%E8%83%BD/2-2/1.5.png"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"https://www.tdx.com.cn/products/helpfile/tdxw/chm/%E7%AC%AC%E4%BA%8C%E7%AB%A0 %E5%8A%9F%E8%83%BD/2-2/1.5.png"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"https://www.tdx.com.cn/products/helpfile/tdxw/chm/%E7%AC%AC%E4%BA%8C%E7%AB%A0 %E5%8A%9F%E8%83%BD/2-2/1.5.png"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"https://www.tdx.com.cn/products/helpfile/tdxw/chm/%E7%AC%AC%E4%BA%8C%E7%AB%A0 %E5%8A%9F%E8%83%BD/2-2/1.5.png" \* MERGEFORMATINET </w:instrText>
      </w:r>
      <w:r>
        <w:rPr>
          <w:kern w:val="0"/>
        </w:rPr>
        <w:fldChar w:fldCharType="separate"/>
      </w:r>
      <w:r>
        <w:rPr>
          <w:kern w:val="0"/>
        </w:rPr>
        <w:drawing>
          <wp:inline distT="0" distB="0" distL="114300" distR="114300">
            <wp:extent cx="1781175" cy="5915025"/>
            <wp:effectExtent l="0" t="0" r="9525" b="952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47" r:link="rId48"/>
                    <a:stretch>
                      <a:fillRect/>
                    </a:stretch>
                  </pic:blipFill>
                  <pic:spPr>
                    <a:xfrm>
                      <a:off x="0" y="0"/>
                      <a:ext cx="1781175" cy="5915025"/>
                    </a:xfrm>
                    <a:prstGeom prst="rect">
                      <a:avLst/>
                    </a:prstGeom>
                    <a:noFill/>
                    <a:ln>
                      <a:noFill/>
                    </a:ln>
                  </pic:spPr>
                </pic:pic>
              </a:graphicData>
            </a:graphic>
          </wp:inline>
        </w:drawing>
      </w:r>
      <w:r>
        <w:rPr>
          <w:kern w:val="0"/>
        </w:rPr>
        <w:fldChar w:fldCharType="end"/>
      </w:r>
      <w:r>
        <w:rPr>
          <w:kern w:val="0"/>
        </w:rPr>
        <w:fldChar w:fldCharType="end"/>
      </w:r>
      <w:r>
        <w:rPr>
          <w:kern w:val="0"/>
        </w:rPr>
        <w:fldChar w:fldCharType="end"/>
      </w:r>
      <w:r>
        <w:rPr>
          <w:kern w:val="0"/>
        </w:rPr>
        <w:fldChar w:fldCharType="end"/>
      </w:r>
    </w:p>
    <w:p>
      <w:pPr>
        <w:pStyle w:val="34"/>
        <w:rPr>
          <w:kern w:val="0"/>
        </w:rPr>
      </w:pPr>
      <w:r>
        <w:rPr>
          <w:rFonts w:hint="eastAsia"/>
          <w:kern w:val="0"/>
        </w:rPr>
        <w:t>1. 切换操作</w:t>
      </w:r>
    </w:p>
    <w:p>
      <w:pPr>
        <w:pStyle w:val="34"/>
        <w:rPr>
          <w:kern w:val="0"/>
        </w:rPr>
      </w:pPr>
      <w:r>
        <w:rPr>
          <w:rFonts w:hint="eastAsia"/>
          <w:kern w:val="0"/>
        </w:rPr>
        <w:t>可以让你进入前只股票、分析图、多股同列等</w:t>
      </w:r>
    </w:p>
    <w:p>
      <w:pPr>
        <w:pStyle w:val="34"/>
        <w:rPr>
          <w:kern w:val="0"/>
        </w:rPr>
      </w:pPr>
      <w:r>
        <w:rPr>
          <w:kern w:val="0"/>
        </w:rPr>
        <w:fldChar w:fldCharType="begin"/>
      </w:r>
      <w:r>
        <w:rPr>
          <w:kern w:val="0"/>
        </w:rPr>
        <w:instrText xml:space="preserve"> INCLUDEPICTURE  "https://www.tdx.com.cn/products/helpfile/tdxw/chm/%E7%AC%AC%E4%BA%8C%E7%AB%A0 %E5%8A%9F%E8%83%BD/2-2/3.png"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"https://www.tdx.com.cn/products/helpfile/tdxw/chm/%E7%AC%AC%E4%BA%8C%E7%AB%A0 %E5%8A%9F%E8%83%BD/2-2/3.png"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"https://www.tdx.com.cn/products/helpfile/tdxw/chm/%E7%AC%AC%E4%BA%8C%E7%AB%A0 %E5%8A%9F%E8%83%BD/2-2/3.png"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"https://www.tdx.com.cn/products/helpfile/tdxw/chm/%E7%AC%AC%E4%BA%8C%E7%AB%A0 %E5%8A%9F%E8%83%BD/2-2/3.png" \* MERGEFORMATINET </w:instrText>
      </w:r>
      <w:r>
        <w:rPr>
          <w:kern w:val="0"/>
        </w:rPr>
        <w:fldChar w:fldCharType="separate"/>
      </w:r>
      <w:r>
        <w:rPr>
          <w:kern w:val="0"/>
        </w:rPr>
        <w:drawing>
          <wp:inline distT="0" distB="0" distL="114300" distR="114300">
            <wp:extent cx="1924050" cy="1714500"/>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49" r:link="rId50"/>
                    <a:stretch>
                      <a:fillRect/>
                    </a:stretch>
                  </pic:blipFill>
                  <pic:spPr>
                    <a:xfrm>
                      <a:off x="0" y="0"/>
                      <a:ext cx="1924050" cy="1714500"/>
                    </a:xfrm>
                    <a:prstGeom prst="rect">
                      <a:avLst/>
                    </a:prstGeom>
                    <a:noFill/>
                    <a:ln>
                      <a:noFill/>
                    </a:ln>
                  </pic:spPr>
                </pic:pic>
              </a:graphicData>
            </a:graphic>
          </wp:inline>
        </w:drawing>
      </w:r>
      <w:r>
        <w:rPr>
          <w:kern w:val="0"/>
        </w:rPr>
        <w:fldChar w:fldCharType="end"/>
      </w:r>
      <w:r>
        <w:rPr>
          <w:kern w:val="0"/>
        </w:rPr>
        <w:fldChar w:fldCharType="end"/>
      </w:r>
      <w:r>
        <w:rPr>
          <w:kern w:val="0"/>
        </w:rPr>
        <w:fldChar w:fldCharType="end"/>
      </w:r>
      <w:r>
        <w:rPr>
          <w:kern w:val="0"/>
        </w:rPr>
        <w:fldChar w:fldCharType="end"/>
      </w:r>
    </w:p>
    <w:p>
      <w:pPr>
        <w:pStyle w:val="34"/>
        <w:rPr>
          <w:kern w:val="0"/>
        </w:rPr>
      </w:pPr>
      <w:r>
        <w:rPr>
          <w:rFonts w:hint="eastAsia"/>
          <w:kern w:val="0"/>
        </w:rPr>
        <w:t>2. 分时指标（可对应选择不同的指标）</w:t>
      </w:r>
    </w:p>
    <w:p>
      <w:pPr>
        <w:pStyle w:val="34"/>
        <w:rPr>
          <w:kern w:val="0"/>
        </w:rPr>
      </w:pPr>
      <w:r>
        <w:rPr>
          <w:rFonts w:hint="eastAsia"/>
          <w:kern w:val="0"/>
        </w:rPr>
        <w:t>3. 分时区间统计（分时图中按CTRL+W快捷键）</w:t>
      </w:r>
    </w:p>
    <w:p>
      <w:pPr>
        <w:pStyle w:val="34"/>
        <w:rPr>
          <w:kern w:val="0"/>
        </w:rPr>
      </w:pPr>
      <w:r>
        <w:rPr>
          <w:rFonts w:hint="eastAsia"/>
          <w:kern w:val="0"/>
        </w:rPr>
        <w:t>可以统计各个区间的成交量、最大、最小值等，还可以查看大单成交、价量分布和修改大单门限值</w:t>
      </w:r>
    </w:p>
    <w:p>
      <w:pPr>
        <w:pStyle w:val="34"/>
        <w:rPr>
          <w:kern w:val="0"/>
        </w:rPr>
      </w:pPr>
      <w:r>
        <w:rPr>
          <w:kern w:val="0"/>
        </w:rPr>
        <w:fldChar w:fldCharType="begin"/>
      </w:r>
      <w:r>
        <w:rPr>
          <w:kern w:val="0"/>
        </w:rPr>
        <w:instrText xml:space="preserve"> INCLUDEPICTURE  "https://www.tdx.com.cn/products/helpfile/tdxw/chm/%E7%AC%AC%E4%BA%8C%E7%AB%A0 %E5%8A%9F%E8%83%BD/2-2/5.png"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"https://www.tdx.com.cn/products/helpfile/tdxw/chm/%E7%AC%AC%E4%BA%8C%E7%AB%A0 %E5%8A%9F%E8%83%BD/2-2/5.png"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"https://www.tdx.com.cn/products/helpfile/tdxw/chm/%E7%AC%AC%E4%BA%8C%E7%AB%A0 %E5%8A%9F%E8%83%BD/2-2/5.png"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"https://www.tdx.com.cn/products/helpfile/tdxw/chm/%E7%AC%AC%E4%BA%8C%E7%AB%A0 %E5%8A%9F%E8%83%BD/2-2/5.png" \* MERGEFORMATINET </w:instrText>
      </w:r>
      <w:r>
        <w:rPr>
          <w:kern w:val="0"/>
        </w:rPr>
        <w:fldChar w:fldCharType="separate"/>
      </w:r>
      <w:r>
        <w:rPr>
          <w:kern w:val="0"/>
        </w:rPr>
        <w:drawing>
          <wp:inline distT="0" distB="0" distL="114300" distR="114300">
            <wp:extent cx="3648075" cy="4038600"/>
            <wp:effectExtent l="0" t="0" r="9525"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51" r:link="rId52"/>
                    <a:stretch>
                      <a:fillRect/>
                    </a:stretch>
                  </pic:blipFill>
                  <pic:spPr>
                    <a:xfrm>
                      <a:off x="0" y="0"/>
                      <a:ext cx="3648075" cy="4038600"/>
                    </a:xfrm>
                    <a:prstGeom prst="rect">
                      <a:avLst/>
                    </a:prstGeom>
                    <a:noFill/>
                    <a:ln>
                      <a:noFill/>
                    </a:ln>
                  </pic:spPr>
                </pic:pic>
              </a:graphicData>
            </a:graphic>
          </wp:inline>
        </w:drawing>
      </w:r>
      <w:r>
        <w:rPr>
          <w:kern w:val="0"/>
        </w:rPr>
        <w:fldChar w:fldCharType="end"/>
      </w:r>
      <w:r>
        <w:rPr>
          <w:kern w:val="0"/>
        </w:rPr>
        <w:fldChar w:fldCharType="end"/>
      </w:r>
      <w:r>
        <w:rPr>
          <w:kern w:val="0"/>
        </w:rPr>
        <w:fldChar w:fldCharType="end"/>
      </w:r>
      <w:r>
        <w:rPr>
          <w:kern w:val="0"/>
        </w:rPr>
        <w:fldChar w:fldCharType="end"/>
      </w:r>
    </w:p>
    <w:p>
      <w:pPr>
        <w:pStyle w:val="34"/>
        <w:rPr>
          <w:kern w:val="0"/>
        </w:rPr>
      </w:pPr>
      <w:r>
        <w:rPr>
          <w:rFonts w:hint="eastAsia"/>
          <w:kern w:val="0"/>
        </w:rPr>
        <w:t>4 叠加品种</w:t>
      </w:r>
    </w:p>
    <w:p>
      <w:pPr>
        <w:pStyle w:val="34"/>
        <w:rPr>
          <w:kern w:val="0"/>
        </w:rPr>
      </w:pPr>
      <w:r>
        <w:rPr>
          <w:rFonts w:hint="eastAsia"/>
          <w:kern w:val="0"/>
        </w:rPr>
        <w:t>可以和大盘走势叠加还可以和自己认为和它有关联的股票相叠加让您更好的掌握先机。</w:t>
      </w:r>
    </w:p>
    <w:p>
      <w:pPr>
        <w:pStyle w:val="34"/>
        <w:rPr>
          <w:kern w:val="0"/>
        </w:rPr>
      </w:pPr>
      <w:r>
        <w:rPr>
          <w:kern w:val="0"/>
        </w:rPr>
        <w:fldChar w:fldCharType="begin"/>
      </w:r>
      <w:r>
        <w:rPr>
          <w:kern w:val="0"/>
        </w:rPr>
        <w:instrText xml:space="preserve"> INCLUDEPICTURE  "https://www.tdx.com.cn/products/helpfile/tdxw/chm/%E7%AC%AC%E4%BA%8C%E7%AB%A0 %E5%8A%9F%E8%83%BD/2-2/6.png"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"https://www.tdx.com.cn/products/helpfile/tdxw/chm/%E7%AC%AC%E4%BA%8C%E7%AB%A0 %E5%8A%9F%E8%83%BD/2-2/6.png"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"https://www.tdx.com.cn/products/helpfile/tdxw/chm/%E7%AC%AC%E4%BA%8C%E7%AB%A0 %E5%8A%9F%E8%83%BD/2-2/6.png"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"https://www.tdx.com.cn/products/helpfile/tdxw/chm/%E7%AC%AC%E4%BA%8C%E7%AB%A0 %E5%8A%9F%E8%83%BD/2-2/6.png" \* MERGEFORMATINET </w:instrText>
      </w:r>
      <w:r>
        <w:rPr>
          <w:kern w:val="0"/>
        </w:rPr>
        <w:fldChar w:fldCharType="separate"/>
      </w:r>
      <w:r>
        <w:rPr>
          <w:kern w:val="0"/>
        </w:rPr>
        <w:drawing>
          <wp:inline distT="0" distB="0" distL="114300" distR="114300">
            <wp:extent cx="7867650" cy="6657975"/>
            <wp:effectExtent l="0" t="0" r="0" b="952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53" r:link="rId54"/>
                    <a:stretch>
                      <a:fillRect/>
                    </a:stretch>
                  </pic:blipFill>
                  <pic:spPr>
                    <a:xfrm>
                      <a:off x="0" y="0"/>
                      <a:ext cx="7867650" cy="6657975"/>
                    </a:xfrm>
                    <a:prstGeom prst="rect">
                      <a:avLst/>
                    </a:prstGeom>
                    <a:noFill/>
                    <a:ln>
                      <a:noFill/>
                    </a:ln>
                  </pic:spPr>
                </pic:pic>
              </a:graphicData>
            </a:graphic>
          </wp:inline>
        </w:drawing>
      </w:r>
      <w:r>
        <w:rPr>
          <w:kern w:val="0"/>
        </w:rPr>
        <w:fldChar w:fldCharType="end"/>
      </w:r>
      <w:r>
        <w:rPr>
          <w:kern w:val="0"/>
        </w:rPr>
        <w:fldChar w:fldCharType="end"/>
      </w:r>
      <w:r>
        <w:rPr>
          <w:kern w:val="0"/>
        </w:rPr>
        <w:fldChar w:fldCharType="end"/>
      </w:r>
      <w:r>
        <w:rPr>
          <w:kern w:val="0"/>
        </w:rPr>
        <w:fldChar w:fldCharType="end"/>
      </w:r>
    </w:p>
    <w:p>
      <w:pPr>
        <w:pStyle w:val="34"/>
        <w:rPr>
          <w:kern w:val="0"/>
        </w:rPr>
      </w:pPr>
      <w:r>
        <w:rPr>
          <w:rFonts w:hint="eastAsia"/>
          <w:kern w:val="0"/>
        </w:rPr>
        <w:t>5. 多日分时图</w:t>
      </w:r>
    </w:p>
    <w:p>
      <w:pPr>
        <w:pStyle w:val="34"/>
        <w:rPr>
          <w:kern w:val="0"/>
        </w:rPr>
      </w:pPr>
      <w:r>
        <w:rPr>
          <w:rFonts w:hint="eastAsia"/>
          <w:kern w:val="0"/>
        </w:rPr>
        <w:t>可以查看最多20日的分时走势图</w:t>
      </w:r>
    </w:p>
    <w:p>
      <w:pPr>
        <w:pStyle w:val="34"/>
        <w:rPr>
          <w:kern w:val="0"/>
        </w:rPr>
      </w:pPr>
      <w:r>
        <w:rPr>
          <w:kern w:val="0"/>
        </w:rPr>
        <w:fldChar w:fldCharType="begin"/>
      </w:r>
      <w:r>
        <w:rPr>
          <w:kern w:val="0"/>
        </w:rPr>
        <w:instrText xml:space="preserve"> INCLUDEPICTURE  "https://www.tdx.com.cn/products/helpfile/tdxw/chm/%E7%AC%AC%E4%BA%8C%E7%AB%A0 %E5%8A%9F%E8%83%BD/2-2/7.png"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"https://www.tdx.com.cn/products/helpfile/tdxw/chm/%E7%AC%AC%E4%BA%8C%E7%AB%A0 %E5%8A%9F%E8%83%BD/2-2/7.png"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"https://www.tdx.com.cn/products/helpfile/tdxw/chm/%E7%AC%AC%E4%BA%8C%E7%AB%A0 %E5%8A%9F%E8%83%BD/2-2/7.png"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"https://www.tdx.com.cn/products/helpfile/tdxw/chm/%E7%AC%AC%E4%BA%8C%E7%AB%A0 %E5%8A%9F%E8%83%BD/2-2/7.png" \* MERGEFORMATINET </w:instrText>
      </w:r>
      <w:r>
        <w:rPr>
          <w:kern w:val="0"/>
        </w:rPr>
        <w:fldChar w:fldCharType="separate"/>
      </w:r>
      <w:r>
        <w:rPr>
          <w:kern w:val="0"/>
        </w:rPr>
        <w:drawing>
          <wp:inline distT="0" distB="0" distL="114300" distR="114300">
            <wp:extent cx="1771650" cy="3895725"/>
            <wp:effectExtent l="0" t="0" r="0" b="952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55" r:link="rId56"/>
                    <a:stretch>
                      <a:fillRect/>
                    </a:stretch>
                  </pic:blipFill>
                  <pic:spPr>
                    <a:xfrm>
                      <a:off x="0" y="0"/>
                      <a:ext cx="1771650" cy="3895725"/>
                    </a:xfrm>
                    <a:prstGeom prst="rect">
                      <a:avLst/>
                    </a:prstGeom>
                    <a:noFill/>
                    <a:ln>
                      <a:noFill/>
                    </a:ln>
                  </pic:spPr>
                </pic:pic>
              </a:graphicData>
            </a:graphic>
          </wp:inline>
        </w:drawing>
      </w:r>
      <w:r>
        <w:rPr>
          <w:kern w:val="0"/>
        </w:rPr>
        <w:fldChar w:fldCharType="end"/>
      </w:r>
      <w:r>
        <w:rPr>
          <w:kern w:val="0"/>
        </w:rPr>
        <w:fldChar w:fldCharType="end"/>
      </w:r>
      <w:r>
        <w:rPr>
          <w:kern w:val="0"/>
        </w:rPr>
        <w:fldChar w:fldCharType="end"/>
      </w:r>
      <w:r>
        <w:rPr>
          <w:kern w:val="0"/>
        </w:rPr>
        <w:fldChar w:fldCharType="end"/>
      </w:r>
    </w:p>
    <w:p>
      <w:pPr>
        <w:pStyle w:val="34"/>
        <w:rPr>
          <w:kern w:val="0"/>
        </w:rPr>
      </w:pPr>
      <w:r>
        <w:rPr>
          <w:rFonts w:hint="eastAsia"/>
          <w:kern w:val="0"/>
        </w:rPr>
        <w:t>6. 分时重播</w:t>
      </w:r>
    </w:p>
    <w:p>
      <w:pPr>
        <w:pStyle w:val="34"/>
        <w:rPr>
          <w:kern w:val="0"/>
        </w:rPr>
      </w:pPr>
      <w:r>
        <w:rPr>
          <w:rFonts w:hint="eastAsia"/>
          <w:kern w:val="0"/>
        </w:rPr>
        <w:t>可以在收盘后在重新观看当天的分时走势，并且可以自己设置速度</w:t>
      </w:r>
    </w:p>
    <w:p>
      <w:pPr>
        <w:pStyle w:val="34"/>
        <w:rPr>
          <w:kern w:val="0"/>
        </w:rPr>
      </w:pPr>
      <w:r>
        <w:rPr>
          <w:kern w:val="0"/>
        </w:rPr>
        <w:fldChar w:fldCharType="begin"/>
      </w:r>
      <w:r>
        <w:rPr>
          <w:kern w:val="0"/>
        </w:rPr>
        <w:instrText xml:space="preserve"> INCLUDEPICTURE  "https://www.tdx.com.cn/products/helpfile/tdxw/chm/%E7%AC%AC%E4%BA%8C%E7%AB%A0 %E5%8A%9F%E8%83%BD/2-2/8.png"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"https://www.tdx.com.cn/products/helpfile/tdxw/chm/%E7%AC%AC%E4%BA%8C%E7%AB%A0 %E5%8A%9F%E8%83%BD/2-2/8.png"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"https://www.tdx.com.cn/products/helpfile/tdxw/chm/%E7%AC%AC%E4%BA%8C%E7%AB%A0 %E5%8A%9F%E8%83%BD/2-2/8.png"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"https://www.tdx.com.cn/products/helpfile/tdxw/chm/%E7%AC%AC%E4%BA%8C%E7%AB%A0 %E5%8A%9F%E8%83%BD/2-2/8.png" \* MERGEFORMATINET </w:instrText>
      </w:r>
      <w:r>
        <w:rPr>
          <w:kern w:val="0"/>
        </w:rPr>
        <w:fldChar w:fldCharType="separate"/>
      </w:r>
      <w:r>
        <w:rPr>
          <w:kern w:val="0"/>
        </w:rPr>
        <w:drawing>
          <wp:inline distT="0" distB="0" distL="114300" distR="114300">
            <wp:extent cx="2019300" cy="781050"/>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57" r:link="rId58"/>
                    <a:stretch>
                      <a:fillRect/>
                    </a:stretch>
                  </pic:blipFill>
                  <pic:spPr>
                    <a:xfrm>
                      <a:off x="0" y="0"/>
                      <a:ext cx="2019300" cy="781050"/>
                    </a:xfrm>
                    <a:prstGeom prst="rect">
                      <a:avLst/>
                    </a:prstGeom>
                    <a:noFill/>
                    <a:ln>
                      <a:noFill/>
                    </a:ln>
                  </pic:spPr>
                </pic:pic>
              </a:graphicData>
            </a:graphic>
          </wp:inline>
        </w:drawing>
      </w:r>
      <w:r>
        <w:rPr>
          <w:kern w:val="0"/>
        </w:rPr>
        <w:fldChar w:fldCharType="end"/>
      </w:r>
      <w:r>
        <w:rPr>
          <w:kern w:val="0"/>
        </w:rPr>
        <w:fldChar w:fldCharType="end"/>
      </w:r>
      <w:r>
        <w:rPr>
          <w:kern w:val="0"/>
        </w:rPr>
        <w:fldChar w:fldCharType="end"/>
      </w:r>
      <w:r>
        <w:rPr>
          <w:kern w:val="0"/>
        </w:rPr>
        <w:fldChar w:fldCharType="end"/>
      </w:r>
    </w:p>
    <w:p>
      <w:pPr>
        <w:pStyle w:val="34"/>
        <w:rPr>
          <w:kern w:val="0"/>
        </w:rPr>
      </w:pPr>
      <w:r>
        <w:rPr>
          <w:rFonts w:hint="eastAsia"/>
          <w:kern w:val="0"/>
        </w:rPr>
        <w:t>7 设置条件预警</w:t>
      </w:r>
    </w:p>
    <w:p>
      <w:pPr>
        <w:pStyle w:val="34"/>
        <w:rPr>
          <w:kern w:val="0"/>
        </w:rPr>
      </w:pPr>
      <w:r>
        <w:rPr>
          <w:rFonts w:hint="eastAsia"/>
          <w:kern w:val="0"/>
        </w:rPr>
        <w:t>当股价上穿后者下落到设置价位产生警告</w:t>
      </w:r>
    </w:p>
    <w:p>
      <w:pPr>
        <w:pStyle w:val="34"/>
        <w:rPr>
          <w:kern w:val="0"/>
        </w:rPr>
      </w:pPr>
      <w:r>
        <w:rPr>
          <w:kern w:val="0"/>
        </w:rPr>
        <w:fldChar w:fldCharType="begin"/>
      </w:r>
      <w:r>
        <w:rPr>
          <w:kern w:val="0"/>
        </w:rPr>
        <w:instrText xml:space="preserve"> INCLUDEPICTURE  "https://www.tdx.com.cn/products/helpfile/tdxw/chm/%E7%AC%AC%E4%BA%8C%E7%AB%A0 %E5%8A%9F%E8%83%BD/2-2/9.png"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"https://www.tdx.com.cn/products/helpfile/tdxw/chm/%E7%AC%AC%E4%BA%8C%E7%AB%A0 %E5%8A%9F%E8%83%BD/2-2/9.png"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"https://www.tdx.com.cn/products/helpfile/tdxw/chm/%E7%AC%AC%E4%BA%8C%E7%AB%A0 %E5%8A%9F%E8%83%BD/2-2/9.png"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"https://www.tdx.com.cn/products/helpfile/tdxw/chm/%E7%AC%AC%E4%BA%8C%E7%AB%A0 %E5%8A%9F%E8%83%BD/2-2/9.png" \* MERGEFORMATINET </w:instrText>
      </w:r>
      <w:r>
        <w:rPr>
          <w:kern w:val="0"/>
        </w:rPr>
        <w:fldChar w:fldCharType="separate"/>
      </w:r>
      <w:r>
        <w:rPr>
          <w:kern w:val="0"/>
        </w:rPr>
        <w:drawing>
          <wp:inline distT="0" distB="0" distL="114300" distR="114300">
            <wp:extent cx="4057650" cy="3219450"/>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59" r:link="rId60"/>
                    <a:stretch>
                      <a:fillRect/>
                    </a:stretch>
                  </pic:blipFill>
                  <pic:spPr>
                    <a:xfrm>
                      <a:off x="0" y="0"/>
                      <a:ext cx="4057650" cy="3219450"/>
                    </a:xfrm>
                    <a:prstGeom prst="rect">
                      <a:avLst/>
                    </a:prstGeom>
                    <a:noFill/>
                    <a:ln>
                      <a:noFill/>
                    </a:ln>
                  </pic:spPr>
                </pic:pic>
              </a:graphicData>
            </a:graphic>
          </wp:inline>
        </w:drawing>
      </w:r>
      <w:r>
        <w:rPr>
          <w:kern w:val="0"/>
        </w:rPr>
        <w:fldChar w:fldCharType="end"/>
      </w:r>
      <w:r>
        <w:rPr>
          <w:kern w:val="0"/>
        </w:rPr>
        <w:fldChar w:fldCharType="end"/>
      </w:r>
      <w:r>
        <w:rPr>
          <w:kern w:val="0"/>
        </w:rPr>
        <w:fldChar w:fldCharType="end"/>
      </w:r>
      <w:r>
        <w:rPr>
          <w:kern w:val="0"/>
        </w:rPr>
        <w:fldChar w:fldCharType="end"/>
      </w:r>
    </w:p>
    <w:p>
      <w:pPr>
        <w:pStyle w:val="34"/>
        <w:rPr>
          <w:kern w:val="0"/>
        </w:rPr>
      </w:pPr>
      <w:r>
        <w:rPr>
          <w:rFonts w:hint="eastAsia"/>
          <w:kern w:val="0"/>
        </w:rPr>
        <w:t>8. 分段走势切换（tab只有在当日分时界面才有效）</w:t>
      </w:r>
    </w:p>
    <w:p>
      <w:pPr>
        <w:pStyle w:val="34"/>
        <w:rPr>
          <w:kern w:val="0"/>
        </w:rPr>
      </w:pPr>
      <w:r>
        <w:rPr>
          <w:rFonts w:hint="eastAsia"/>
          <w:kern w:val="0"/>
        </w:rPr>
        <w:t>是指只查看半场分时图</w:t>
      </w:r>
    </w:p>
    <w:p>
      <w:pPr>
        <w:pStyle w:val="34"/>
        <w:rPr>
          <w:kern w:val="0"/>
        </w:rPr>
      </w:pPr>
      <w:r>
        <w:rPr>
          <w:rFonts w:hint="eastAsia"/>
          <w:kern w:val="0"/>
        </w:rPr>
        <w:t>9. 分时主图坐标</w:t>
      </w:r>
    </w:p>
    <w:p>
      <w:pPr>
        <w:pStyle w:val="34"/>
        <w:rPr>
          <w:kern w:val="0"/>
        </w:rPr>
      </w:pPr>
      <w:r>
        <w:rPr>
          <w:rFonts w:hint="eastAsia"/>
          <w:kern w:val="0"/>
        </w:rPr>
        <w:t>支持普通坐标、满占坐标、涨停板坐标三种坐标体系。</w:t>
      </w:r>
    </w:p>
    <w:p>
      <w:pPr>
        <w:pStyle w:val="34"/>
        <w:rPr>
          <w:kern w:val="0"/>
        </w:rPr>
      </w:pPr>
      <w:r>
        <w:rPr>
          <w:rFonts w:hint="eastAsia"/>
          <w:kern w:val="0"/>
        </w:rPr>
        <w:t>"普通坐标"：按照各自股票涨跌的情况 以尽可能合理适当的百分比显示分时线，以昨收价线为中轴。</w:t>
      </w:r>
    </w:p>
    <w:p>
      <w:pPr>
        <w:pStyle w:val="34"/>
        <w:rPr>
          <w:kern w:val="0"/>
        </w:rPr>
      </w:pPr>
      <w:r>
        <w:rPr>
          <w:rFonts w:hint="eastAsia"/>
          <w:kern w:val="0"/>
        </w:rPr>
        <w:t>"满占坐标"：中轴=(最高+最低)/2,然后纵坐标的范围就是分时线偏离中轴价位线的百分比范围。</w:t>
      </w:r>
    </w:p>
    <w:p>
      <w:pPr>
        <w:pStyle w:val="34"/>
        <w:rPr>
          <w:kern w:val="0"/>
        </w:rPr>
      </w:pPr>
      <w:r>
        <w:rPr>
          <w:rFonts w:hint="eastAsia"/>
          <w:kern w:val="0"/>
        </w:rPr>
        <w:t>"涨停板坐标"：和普通的分时坐标一样以昨收价位线为中轴，所有股票的纵轴区间是各个股票的当天的涨跌幅限制的范围，这个范围和交易所规定的当天的个股的涨跌限制是一致的，是定的，不像普通分时坐标和满占坐标一样纵轴的坐标范围是不固定可变不可预测的。</w:t>
      </w:r>
    </w:p>
    <w:p>
      <w:pPr>
        <w:pStyle w:val="34"/>
        <w:rPr>
          <w:kern w:val="0"/>
        </w:rPr>
      </w:pPr>
      <w:r>
        <w:rPr>
          <w:rFonts w:hint="eastAsia"/>
          <w:kern w:val="0"/>
        </w:rPr>
        <w:t>按；键(分号键)快速切换三种坐标体系。</w:t>
      </w:r>
    </w:p>
    <w:p>
      <w:pPr>
        <w:pStyle w:val="34"/>
        <w:rPr>
          <w:kern w:val="0"/>
        </w:rPr>
      </w:pPr>
      <w:r>
        <w:rPr>
          <w:rFonts w:hint="eastAsia"/>
          <w:kern w:val="0"/>
        </w:rPr>
        <w:t>10. 所属板块</w:t>
      </w:r>
    </w:p>
    <w:p>
      <w:pPr>
        <w:pStyle w:val="34"/>
        <w:rPr>
          <w:kern w:val="0"/>
        </w:rPr>
      </w:pPr>
      <w:r>
        <w:rPr>
          <w:rFonts w:hint="eastAsia"/>
          <w:kern w:val="0"/>
        </w:rPr>
        <w:t>指的是这个股票属于那个行业、地区、概念等</w:t>
      </w:r>
    </w:p>
    <w:p>
      <w:pPr>
        <w:pStyle w:val="34"/>
        <w:rPr>
          <w:kern w:val="0"/>
        </w:rPr>
      </w:pPr>
      <w:r>
        <w:rPr>
          <w:rFonts w:hint="eastAsia"/>
          <w:kern w:val="0"/>
        </w:rPr>
        <w:t>11. 标记当前证券</w:t>
      </w:r>
    </w:p>
    <w:p>
      <w:pPr>
        <w:pStyle w:val="34"/>
        <w:rPr>
          <w:kern w:val="0"/>
        </w:rPr>
      </w:pPr>
      <w:r>
        <w:rPr>
          <w:rFonts w:hint="eastAsia"/>
          <w:kern w:val="0"/>
        </w:rPr>
        <w:t>可以给股票标记带圈儿的数字（指选中股票所在行），〖 Ctrl 〗＋〖 Q 〗进行文字标记，可以写下当时对这个股票的心得体会。还可以进行标记管理。</w:t>
      </w:r>
    </w:p>
    <w:p>
      <w:pPr>
        <w:pStyle w:val="34"/>
        <w:rPr>
          <w:kern w:val="0"/>
        </w:rPr>
      </w:pPr>
      <w:r>
        <w:rPr>
          <w:rFonts w:hint="eastAsia"/>
          <w:kern w:val="0"/>
        </w:rPr>
        <w:t>12. 加入板块</w:t>
      </w:r>
    </w:p>
    <w:p>
      <w:pPr>
        <w:pStyle w:val="34"/>
        <w:rPr>
          <w:kern w:val="0"/>
        </w:rPr>
      </w:pPr>
      <w:r>
        <w:rPr>
          <w:rFonts w:hint="eastAsia"/>
          <w:kern w:val="0"/>
        </w:rPr>
        <w:t>是指选中股票所在行，〖 Ctrl 〗＋〖R〗查看所在版块，ALT+Z加入自选版块或CTRL+Z加入自己新建的版块</w:t>
      </w:r>
    </w:p>
    <w:p>
      <w:pPr>
        <w:pStyle w:val="34"/>
        <w:rPr>
          <w:kern w:val="0"/>
        </w:rPr>
      </w:pPr>
      <w:r>
        <w:rPr>
          <w:rFonts w:hint="eastAsia"/>
          <w:kern w:val="0"/>
        </w:rPr>
        <w:t>13. 信息地雷</w:t>
      </w:r>
    </w:p>
    <w:p>
      <w:pPr>
        <w:pStyle w:val="34"/>
        <w:rPr>
          <w:kern w:val="0"/>
        </w:rPr>
      </w:pPr>
      <w:r>
        <w:rPr>
          <w:rFonts w:hint="eastAsia"/>
          <w:kern w:val="0"/>
        </w:rPr>
        <w:t>可以让你随时留意到盘中最新消息 （现通达信金融终端免费版本不提供信息地雷，沪深收费才可查看信息地雷）</w:t>
      </w:r>
    </w:p>
    <w:p>
      <w:pPr>
        <w:pStyle w:val="34"/>
        <w:rPr>
          <w:kern w:val="0"/>
        </w:rPr>
      </w:pPr>
      <w:r>
        <w:rPr>
          <w:kern w:val="0"/>
        </w:rPr>
        <w:fldChar w:fldCharType="begin"/>
      </w:r>
      <w:r>
        <w:rPr>
          <w:kern w:val="0"/>
        </w:rPr>
        <w:instrText xml:space="preserve"> INCLUDEPICTURE  "https://www.tdx.com.cn/products/helpfile/tdxw/chm/%E7%AC%AC%E4%BA%8C%E7%AB%A0 %E5%8A%9F%E8%83%BD/2-2/10.png"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"https://www.tdx.com.cn/products/helpfile/tdxw/chm/%E7%AC%AC%E4%BA%8C%E7%AB%A0 %E5%8A%9F%E8%83%BD/2-2/10.png"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"https://www.tdx.com.cn/products/helpfile/tdxw/chm/%E7%AC%AC%E4%BA%8C%E7%AB%A0 %E5%8A%9F%E8%83%BD/2-2/10.png"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"https://www.tdx.com.cn/products/helpfile/tdxw/chm/%E7%AC%AC%E4%BA%8C%E7%AB%A0 %E5%8A%9F%E8%83%BD/2-2/10.png" \* MERGEFORMATINET </w:instrText>
      </w:r>
      <w:r>
        <w:rPr>
          <w:kern w:val="0"/>
        </w:rPr>
        <w:fldChar w:fldCharType="separate"/>
      </w:r>
      <w:r>
        <w:rPr>
          <w:kern w:val="0"/>
        </w:rPr>
        <w:drawing>
          <wp:inline distT="0" distB="0" distL="114300" distR="114300">
            <wp:extent cx="7639050" cy="4610100"/>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61" r:link="rId62"/>
                    <a:stretch>
                      <a:fillRect/>
                    </a:stretch>
                  </pic:blipFill>
                  <pic:spPr>
                    <a:xfrm>
                      <a:off x="0" y="0"/>
                      <a:ext cx="7639050" cy="4610100"/>
                    </a:xfrm>
                    <a:prstGeom prst="rect">
                      <a:avLst/>
                    </a:prstGeom>
                    <a:noFill/>
                    <a:ln>
                      <a:noFill/>
                    </a:ln>
                  </pic:spPr>
                </pic:pic>
              </a:graphicData>
            </a:graphic>
          </wp:inline>
        </w:drawing>
      </w:r>
      <w:r>
        <w:rPr>
          <w:kern w:val="0"/>
        </w:rPr>
        <w:fldChar w:fldCharType="end"/>
      </w:r>
      <w:r>
        <w:rPr>
          <w:kern w:val="0"/>
        </w:rPr>
        <w:fldChar w:fldCharType="end"/>
      </w:r>
      <w:r>
        <w:rPr>
          <w:kern w:val="0"/>
        </w:rPr>
        <w:fldChar w:fldCharType="end"/>
      </w:r>
      <w:r>
        <w:rPr>
          <w:kern w:val="0"/>
        </w:rPr>
        <w:fldChar w:fldCharType="end"/>
      </w:r>
    </w:p>
    <w:p>
      <w:pPr>
        <w:pStyle w:val="34"/>
        <w:rPr>
          <w:kern w:val="0"/>
        </w:rPr>
      </w:pPr>
      <w:r>
        <w:rPr>
          <w:rFonts w:hint="eastAsia"/>
          <w:kern w:val="0"/>
        </w:rPr>
        <w:t>14.投资日记</w:t>
      </w:r>
    </w:p>
    <w:p>
      <w:pPr>
        <w:pStyle w:val="34"/>
        <w:rPr>
          <w:kern w:val="0"/>
        </w:rPr>
      </w:pPr>
      <w:r>
        <w:rPr>
          <w:rFonts w:hint="eastAsia"/>
          <w:kern w:val="0"/>
        </w:rPr>
        <w:t>可以写下对一只股票的心得。</w:t>
      </w:r>
    </w:p>
    <w:p>
      <w:pPr>
        <w:pStyle w:val="34"/>
        <w:rPr>
          <w:kern w:val="0"/>
        </w:rPr>
      </w:pPr>
      <w:r>
        <w:rPr>
          <w:rFonts w:hint="eastAsia"/>
          <w:kern w:val="0"/>
        </w:rPr>
        <w:t>15.上市公司网站</w:t>
      </w:r>
    </w:p>
    <w:p>
      <w:pPr>
        <w:pStyle w:val="34"/>
        <w:rPr>
          <w:kern w:val="0"/>
        </w:rPr>
      </w:pPr>
      <w:r>
        <w:rPr>
          <w:rFonts w:hint="eastAsia"/>
          <w:kern w:val="0"/>
        </w:rPr>
        <w:t>37快捷键进入查看对象的网站。</w:t>
      </w:r>
    </w:p>
    <w:p>
      <w:pPr>
        <w:pStyle w:val="34"/>
        <w:ind w:firstLine="542"/>
        <w:rPr>
          <w:b/>
          <w:bCs/>
          <w:color w:val="FF0000"/>
          <w:kern w:val="0"/>
          <w:sz w:val="27"/>
          <w:szCs w:val="27"/>
        </w:rPr>
      </w:pPr>
      <w:r>
        <w:rPr>
          <w:rFonts w:hint="eastAsia"/>
          <w:b/>
          <w:bCs/>
          <w:color w:val="FF0000"/>
          <w:kern w:val="0"/>
          <w:sz w:val="27"/>
          <w:szCs w:val="27"/>
        </w:rPr>
        <w:t>几处业务字段的含义:</w:t>
      </w:r>
    </w:p>
    <w:tbl>
      <w:tblPr>
        <w:tblStyle w:val="25"/>
        <w:tblW w:w="0" w:type="auto"/>
        <w:tblCellSpacing w:w="0" w:type="dxa"/>
        <w:tblInd w:w="0" w:type="dxa"/>
        <w:tblBorders>
          <w:top w:val="outset" w:color="auto" w:sz="6" w:space="0"/>
          <w:left w:val="outset" w:color="auto" w:sz="6" w:space="0"/>
          <w:bottom w:val="outset" w:color="auto" w:sz="6" w:space="0"/>
          <w:right w:val="outset" w:color="auto" w:sz="6" w:space="0"/>
          <w:insideH w:val="none" w:color="auto" w:sz="0" w:space="0"/>
          <w:insideV w:val="none" w:color="auto" w:sz="0" w:space="0"/>
        </w:tblBorders>
        <w:tblLayout w:type="autofit"/>
        <w:tblCellMar>
          <w:top w:w="0" w:type="dxa"/>
          <w:left w:w="0" w:type="dxa"/>
          <w:bottom w:w="0" w:type="dxa"/>
          <w:right w:w="0" w:type="dxa"/>
        </w:tblCellMar>
      </w:tblPr>
      <w:tblGrid>
        <w:gridCol w:w="2709"/>
        <w:gridCol w:w="8646"/>
      </w:tblGrid>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709"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业务栏</w:t>
            </w:r>
          </w:p>
        </w:tc>
        <w:tc>
          <w:tcPr>
            <w:tcW w:w="8646"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含义</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709" w:type="dxa"/>
            <w:tcBorders>
              <w:top w:val="outset" w:color="auto" w:sz="6" w:space="0"/>
              <w:left w:val="outset" w:color="auto" w:sz="6" w:space="0"/>
              <w:bottom w:val="outset" w:color="auto" w:sz="6" w:space="0"/>
              <w:right w:val="outset" w:color="auto" w:sz="6" w:space="0"/>
            </w:tcBorders>
            <w:vAlign w:val="center"/>
          </w:tcPr>
          <w:p>
            <w:pPr>
              <w:pStyle w:val="34"/>
              <w:ind w:firstLine="482"/>
              <w:rPr>
                <w:kern w:val="0"/>
              </w:rPr>
            </w:pPr>
            <w:r>
              <w:rPr>
                <w:rFonts w:hint="eastAsia"/>
                <w:b/>
                <w:bCs/>
                <w:kern w:val="0"/>
              </w:rPr>
              <w:t>买卖力道/涨跌率</w:t>
            </w:r>
          </w:p>
        </w:tc>
        <w:tc>
          <w:tcPr>
            <w:tcW w:w="8646"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每分钟末尾的买卖盘情况,白线表示委买量之和,黄线表示委卖量之和,红绿栏即表示两者的差离值。对于大盘而言,由于不存在买卖盘情况,买卖力道功能变为</w:t>
            </w:r>
            <w:r>
              <w:rPr>
                <w:rFonts w:hint="eastAsia"/>
                <w:b/>
                <w:bCs/>
                <w:kern w:val="0"/>
              </w:rPr>
              <w:t>"涨跌率"</w:t>
            </w:r>
            <w:r>
              <w:rPr>
                <w:rFonts w:hint="eastAsia"/>
                <w:kern w:val="0"/>
              </w:rPr>
              <w:t>,即每分钟末尾的上涨家数和下跌家数</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709" w:type="dxa"/>
            <w:tcBorders>
              <w:top w:val="outset" w:color="auto" w:sz="6" w:space="0"/>
              <w:left w:val="outset" w:color="auto" w:sz="6" w:space="0"/>
              <w:bottom w:val="outset" w:color="auto" w:sz="6" w:space="0"/>
              <w:right w:val="outset" w:color="auto" w:sz="6" w:space="0"/>
            </w:tcBorders>
            <w:vAlign w:val="center"/>
          </w:tcPr>
          <w:p>
            <w:pPr>
              <w:pStyle w:val="34"/>
              <w:ind w:firstLine="482"/>
              <w:rPr>
                <w:kern w:val="0"/>
              </w:rPr>
            </w:pPr>
            <w:r>
              <w:rPr>
                <w:rFonts w:hint="eastAsia"/>
                <w:b/>
                <w:bCs/>
                <w:kern w:val="0"/>
              </w:rPr>
              <w:t>涨速</w:t>
            </w:r>
          </w:p>
        </w:tc>
        <w:tc>
          <w:tcPr>
            <w:tcW w:w="8646"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(现价-N分钟前的价格)/N分钟前的价格</w:t>
            </w:r>
          </w:p>
          <w:p>
            <w:pPr>
              <w:pStyle w:val="34"/>
              <w:rPr>
                <w:kern w:val="0"/>
              </w:rPr>
            </w:pPr>
            <w:r>
              <w:rPr>
                <w:rFonts w:hint="eastAsia"/>
                <w:kern w:val="0"/>
              </w:rPr>
              <w:t>N可以在客户端中进行设置</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709" w:type="dxa"/>
            <w:tcBorders>
              <w:top w:val="outset" w:color="auto" w:sz="6" w:space="0"/>
              <w:left w:val="outset" w:color="auto" w:sz="6" w:space="0"/>
              <w:bottom w:val="outset" w:color="auto" w:sz="6" w:space="0"/>
              <w:right w:val="outset" w:color="auto" w:sz="6" w:space="0"/>
            </w:tcBorders>
            <w:vAlign w:val="center"/>
          </w:tcPr>
          <w:p>
            <w:pPr>
              <w:pStyle w:val="34"/>
              <w:ind w:firstLine="482"/>
              <w:rPr>
                <w:kern w:val="0"/>
              </w:rPr>
            </w:pPr>
            <w:r>
              <w:rPr>
                <w:rFonts w:hint="eastAsia"/>
                <w:b/>
                <w:bCs/>
                <w:kern w:val="0"/>
              </w:rPr>
              <w:t>5日量变</w:t>
            </w:r>
          </w:p>
        </w:tc>
        <w:tc>
          <w:tcPr>
            <w:tcW w:w="8646"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区间分析报表中的"5日量变"的含义为：期末前5日累积量相对于期初前5日累积量的变化幅度</w:t>
            </w:r>
          </w:p>
          <w:p>
            <w:pPr>
              <w:pStyle w:val="34"/>
              <w:rPr>
                <w:kern w:val="0"/>
              </w:rPr>
            </w:pPr>
            <w:r>
              <w:rPr>
                <w:rFonts w:hint="eastAsia"/>
                <w:kern w:val="0"/>
              </w:rPr>
              <w:t>5日量变幅度：(期末前5日累积成交量-期初前5日累积成交量)*100.0/期初前5日累积成交量</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709" w:type="dxa"/>
            <w:tcBorders>
              <w:top w:val="outset" w:color="auto" w:sz="6" w:space="0"/>
              <w:left w:val="outset" w:color="auto" w:sz="6" w:space="0"/>
              <w:bottom w:val="outset" w:color="auto" w:sz="6" w:space="0"/>
              <w:right w:val="outset" w:color="auto" w:sz="6" w:space="0"/>
            </w:tcBorders>
            <w:vAlign w:val="center"/>
          </w:tcPr>
          <w:p>
            <w:pPr>
              <w:pStyle w:val="34"/>
              <w:ind w:firstLine="482"/>
              <w:rPr>
                <w:kern w:val="0"/>
              </w:rPr>
            </w:pPr>
            <w:r>
              <w:rPr>
                <w:rFonts w:hint="eastAsia"/>
                <w:b/>
                <w:bCs/>
                <w:kern w:val="0"/>
              </w:rPr>
              <w:t>市场比</w:t>
            </w:r>
          </w:p>
        </w:tc>
        <w:tc>
          <w:tcPr>
            <w:tcW w:w="8646"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表示当前区间内的该股票的总成交金额占所在市场(上海或深圳)的总成交金额的比例</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709" w:type="dxa"/>
            <w:tcBorders>
              <w:top w:val="outset" w:color="auto" w:sz="6" w:space="0"/>
              <w:left w:val="outset" w:color="auto" w:sz="6" w:space="0"/>
              <w:bottom w:val="outset" w:color="auto" w:sz="6" w:space="0"/>
              <w:right w:val="outset" w:color="auto" w:sz="6" w:space="0"/>
            </w:tcBorders>
            <w:vAlign w:val="center"/>
          </w:tcPr>
          <w:p>
            <w:pPr>
              <w:pStyle w:val="34"/>
              <w:ind w:firstLine="482"/>
              <w:rPr>
                <w:kern w:val="0"/>
              </w:rPr>
            </w:pPr>
            <w:r>
              <w:rPr>
                <w:rFonts w:hint="eastAsia"/>
                <w:b/>
                <w:bCs/>
                <w:kern w:val="0"/>
              </w:rPr>
              <w:t>权涨幅</w:t>
            </w:r>
          </w:p>
        </w:tc>
        <w:tc>
          <w:tcPr>
            <w:tcW w:w="8646"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在热门板块中,按流通盘加权的涨幅平均值</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709" w:type="dxa"/>
            <w:tcBorders>
              <w:top w:val="outset" w:color="auto" w:sz="6" w:space="0"/>
              <w:left w:val="outset" w:color="auto" w:sz="6" w:space="0"/>
              <w:bottom w:val="outset" w:color="auto" w:sz="6" w:space="0"/>
              <w:right w:val="outset" w:color="auto" w:sz="6" w:space="0"/>
            </w:tcBorders>
            <w:vAlign w:val="center"/>
          </w:tcPr>
          <w:p>
            <w:pPr>
              <w:pStyle w:val="34"/>
              <w:ind w:firstLine="482"/>
              <w:rPr>
                <w:kern w:val="0"/>
              </w:rPr>
            </w:pPr>
            <w:r>
              <w:rPr>
                <w:rFonts w:hint="eastAsia"/>
                <w:b/>
                <w:bCs/>
                <w:kern w:val="0"/>
              </w:rPr>
              <w:t>竞买率</w:t>
            </w:r>
          </w:p>
        </w:tc>
        <w:tc>
          <w:tcPr>
            <w:tcW w:w="8646"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分价表中竞买率表示在此价位上成交的量中，主动性买量占的比率。</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709" w:type="dxa"/>
            <w:tcBorders>
              <w:top w:val="outset" w:color="auto" w:sz="6" w:space="0"/>
              <w:left w:val="outset" w:color="auto" w:sz="6" w:space="0"/>
              <w:bottom w:val="outset" w:color="auto" w:sz="6" w:space="0"/>
              <w:right w:val="outset" w:color="auto" w:sz="6" w:space="0"/>
            </w:tcBorders>
            <w:vAlign w:val="center"/>
          </w:tcPr>
          <w:p>
            <w:pPr>
              <w:pStyle w:val="34"/>
              <w:ind w:firstLine="482"/>
              <w:rPr>
                <w:kern w:val="0"/>
              </w:rPr>
            </w:pPr>
            <w:r>
              <w:rPr>
                <w:rFonts w:hint="eastAsia"/>
                <w:b/>
                <w:bCs/>
                <w:kern w:val="0"/>
              </w:rPr>
              <w:t>大盘分时图上的黄线</w:t>
            </w:r>
          </w:p>
        </w:tc>
        <w:tc>
          <w:tcPr>
            <w:tcW w:w="8646"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大盘分时图上的白线是交易所发布的指数价线,黄线是软件商自行统计的不加权均线(平均涨幅线),也就是所有的成份股票按相同的权重进行统计计算,一般来说,如果两线背离严重,说明大盘股和小盘股的涨跌差距较大。</w:t>
            </w:r>
          </w:p>
          <w:p>
            <w:pPr>
              <w:pStyle w:val="34"/>
              <w:rPr>
                <w:kern w:val="0"/>
              </w:rPr>
            </w:pPr>
            <w:r>
              <w:rPr>
                <w:rFonts w:hint="eastAsia"/>
                <w:kern w:val="0"/>
              </w:rPr>
              <w:t>设置4可设置“大盘分时显示均线，隐藏不加权线”，若勾选，则黄线表示成交加权均线,与个股类似,是以大盘分钟成交为权重的价格加权均线</w:t>
            </w:r>
          </w:p>
        </w:tc>
      </w:tr>
    </w:tbl>
    <w:p>
      <w:pPr>
        <w:pStyle w:val="34"/>
        <w:ind w:firstLine="542"/>
        <w:rPr>
          <w:b/>
          <w:bCs/>
          <w:color w:val="FF0000"/>
          <w:kern w:val="0"/>
          <w:sz w:val="27"/>
          <w:szCs w:val="27"/>
        </w:rPr>
      </w:pPr>
      <w:r>
        <w:rPr>
          <w:rFonts w:hint="eastAsia"/>
          <w:b/>
          <w:bCs/>
          <w:color w:val="FF0000"/>
          <w:kern w:val="0"/>
          <w:sz w:val="27"/>
          <w:szCs w:val="27"/>
        </w:rPr>
        <w:t>闪电走势图：</w:t>
      </w:r>
    </w:p>
    <w:p>
      <w:pPr>
        <w:pStyle w:val="34"/>
        <w:rPr>
          <w:kern w:val="0"/>
        </w:rPr>
      </w:pPr>
      <w:r>
        <w:rPr>
          <w:rFonts w:hint="eastAsia"/>
          <w:kern w:val="0"/>
        </w:rPr>
        <w:t>闪电走势图就是每一秒的成交价格连成一条曲线。</w:t>
      </w:r>
    </w:p>
    <w:p>
      <w:pPr>
        <w:pStyle w:val="34"/>
        <w:rPr>
          <w:kern w:val="0"/>
        </w:rPr>
      </w:pPr>
      <w:r>
        <w:rPr>
          <w:rFonts w:hint="eastAsia"/>
          <w:kern w:val="0"/>
        </w:rPr>
        <w:t>快键方式：分时图中F8切换</w:t>
      </w:r>
    </w:p>
    <w:p>
      <w:pPr>
        <w:pStyle w:val="34"/>
        <w:ind w:firstLine="540"/>
        <w:rPr>
          <w:kern w:val="0"/>
          <w:sz w:val="27"/>
          <w:szCs w:val="27"/>
        </w:rPr>
      </w:pPr>
      <w:r>
        <w:rPr>
          <w:kern w:val="0"/>
          <w:sz w:val="27"/>
          <w:szCs w:val="27"/>
        </w:rPr>
        <w:fldChar w:fldCharType="begin"/>
      </w:r>
      <w:r>
        <w:rPr>
          <w:kern w:val="0"/>
          <w:sz w:val="27"/>
          <w:szCs w:val="27"/>
        </w:rPr>
        <w:instrText xml:space="preserve"> INCLUDEPICTURE  "https://www.tdx.com.cn/products/helpfile/tdxw/chm/%E7%AC%AC%E4%BA%8C%E7%AB%A0 %E5%8A%9F%E8%83%BD/2-2/11.png" \* MERGEFORMATINET </w:instrText>
      </w:r>
      <w:r>
        <w:rPr>
          <w:kern w:val="0"/>
          <w:sz w:val="27"/>
          <w:szCs w:val="27"/>
        </w:rPr>
        <w:fldChar w:fldCharType="separate"/>
      </w:r>
      <w:r>
        <w:rPr>
          <w:kern w:val="0"/>
          <w:sz w:val="27"/>
          <w:szCs w:val="27"/>
        </w:rPr>
        <w:fldChar w:fldCharType="begin"/>
      </w:r>
      <w:r>
        <w:rPr>
          <w:kern w:val="0"/>
          <w:sz w:val="27"/>
          <w:szCs w:val="27"/>
        </w:rPr>
        <w:instrText xml:space="preserve"> INCLUDEPICTURE  "https://www.tdx.com.cn/products/helpfile/tdxw/chm/%E7%AC%AC%E4%BA%8C%E7%AB%A0 %E5%8A%9F%E8%83%BD/2-2/11.png" \* MERGEFORMATINET </w:instrText>
      </w:r>
      <w:r>
        <w:rPr>
          <w:kern w:val="0"/>
          <w:sz w:val="27"/>
          <w:szCs w:val="27"/>
        </w:rPr>
        <w:fldChar w:fldCharType="separate"/>
      </w:r>
      <w:r>
        <w:rPr>
          <w:kern w:val="0"/>
          <w:sz w:val="27"/>
          <w:szCs w:val="27"/>
        </w:rPr>
        <w:fldChar w:fldCharType="begin"/>
      </w:r>
      <w:r>
        <w:rPr>
          <w:kern w:val="0"/>
          <w:sz w:val="27"/>
          <w:szCs w:val="27"/>
        </w:rPr>
        <w:instrText xml:space="preserve"> INCLUDEPICTURE  "https://www.tdx.com.cn/products/helpfile/tdxw/chm/%E7%AC%AC%E4%BA%8C%E7%AB%A0 %E5%8A%9F%E8%83%BD/2-2/11.png" \* MERGEFORMATINET </w:instrText>
      </w:r>
      <w:r>
        <w:rPr>
          <w:kern w:val="0"/>
          <w:sz w:val="27"/>
          <w:szCs w:val="27"/>
        </w:rPr>
        <w:fldChar w:fldCharType="separate"/>
      </w:r>
      <w:r>
        <w:rPr>
          <w:kern w:val="0"/>
          <w:sz w:val="27"/>
          <w:szCs w:val="27"/>
        </w:rPr>
        <w:fldChar w:fldCharType="begin"/>
      </w:r>
      <w:r>
        <w:rPr>
          <w:kern w:val="0"/>
          <w:sz w:val="27"/>
          <w:szCs w:val="27"/>
        </w:rPr>
        <w:instrText xml:space="preserve"> INCLUDEPICTURE  "https://www.tdx.com.cn/products/helpfile/tdxw/chm/%E7%AC%AC%E4%BA%8C%E7%AB%A0 %E5%8A%9F%E8%83%BD/2-2/11.png" \* MERGEFORMATINET </w:instrText>
      </w:r>
      <w:r>
        <w:rPr>
          <w:kern w:val="0"/>
          <w:sz w:val="27"/>
          <w:szCs w:val="27"/>
        </w:rPr>
        <w:fldChar w:fldCharType="separate"/>
      </w:r>
      <w:r>
        <w:rPr>
          <w:kern w:val="0"/>
          <w:sz w:val="27"/>
          <w:szCs w:val="27"/>
        </w:rPr>
        <w:drawing>
          <wp:inline distT="0" distB="0" distL="114300" distR="114300">
            <wp:extent cx="8782050" cy="5086350"/>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63" r:link="rId64"/>
                    <a:stretch>
                      <a:fillRect/>
                    </a:stretch>
                  </pic:blipFill>
                  <pic:spPr>
                    <a:xfrm>
                      <a:off x="0" y="0"/>
                      <a:ext cx="8782050" cy="5086350"/>
                    </a:xfrm>
                    <a:prstGeom prst="rect">
                      <a:avLst/>
                    </a:prstGeom>
                    <a:noFill/>
                    <a:ln>
                      <a:noFill/>
                    </a:ln>
                  </pic:spPr>
                </pic:pic>
              </a:graphicData>
            </a:graphic>
          </wp:inline>
        </w:drawing>
      </w:r>
      <w:r>
        <w:rPr>
          <w:kern w:val="0"/>
          <w:sz w:val="27"/>
          <w:szCs w:val="27"/>
        </w:rPr>
        <w:fldChar w:fldCharType="end"/>
      </w:r>
      <w:r>
        <w:rPr>
          <w:kern w:val="0"/>
          <w:sz w:val="27"/>
          <w:szCs w:val="27"/>
        </w:rPr>
        <w:fldChar w:fldCharType="end"/>
      </w:r>
      <w:r>
        <w:rPr>
          <w:kern w:val="0"/>
          <w:sz w:val="27"/>
          <w:szCs w:val="27"/>
        </w:rPr>
        <w:fldChar w:fldCharType="end"/>
      </w:r>
      <w:r>
        <w:rPr>
          <w:kern w:val="0"/>
          <w:sz w:val="27"/>
          <w:szCs w:val="27"/>
        </w:rPr>
        <w:fldChar w:fldCharType="end"/>
      </w:r>
    </w:p>
    <w:p>
      <w:pPr>
        <w:pStyle w:val="3"/>
      </w:pPr>
      <w:bookmarkStart w:id="12" w:name="_Toc90646131"/>
      <w:r>
        <w:rPr>
          <w:rFonts w:hint="eastAsia"/>
        </w:rPr>
        <w:t>技术分析</w:t>
      </w:r>
      <w:bookmarkEnd w:id="12"/>
    </w:p>
    <w:p>
      <w:pPr>
        <w:pStyle w:val="34"/>
        <w:rPr>
          <w:kern w:val="0"/>
        </w:rPr>
      </w:pPr>
      <w:r>
        <w:rPr>
          <w:rFonts w:hint="eastAsia"/>
          <w:kern w:val="0"/>
        </w:rPr>
        <w:t>快捷方式： </w:t>
      </w:r>
    </w:p>
    <w:p>
      <w:pPr>
        <w:pStyle w:val="34"/>
        <w:rPr>
          <w:kern w:val="0"/>
        </w:rPr>
      </w:pPr>
      <w:r>
        <w:rPr>
          <w:rFonts w:hint="eastAsia"/>
          <w:kern w:val="0"/>
        </w:rPr>
        <w:t>▲ 点击工具栏主功能图标按钮 </w:t>
      </w:r>
      <w:r>
        <w:rPr>
          <w:kern w:val="0"/>
        </w:rPr>
        <w:fldChar w:fldCharType="begin"/>
      </w:r>
      <w:r>
        <w:rPr>
          <w:kern w:val="0"/>
        </w:rPr>
        <w:instrText xml:space="preserve"> INCLUDEPICTURE  "https://www.tdx.com.cn/products/helpfile/tdxw/chm/%E7%AC%AC%E4%BA%8C%E7%AB%A0 %E5%8A%9F%E8%83%BD/2-3/0.5.png"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"https://www.tdx.com.cn/products/helpfile/tdxw/chm/%E7%AC%AC%E4%BA%8C%E7%AB%A0 %E5%8A%9F%E8%83%BD/2-3/0.5.png"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"https://www.tdx.com.cn/products/helpfile/tdxw/chm/%E7%AC%AC%E4%BA%8C%E7%AB%A0 %E5%8A%9F%E8%83%BD/2-3/0.5.png"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"https://www.tdx.com.cn/products/helpfile/tdxw/chm/%E7%AC%AC%E4%BA%8C%E7%AB%A0 %E5%8A%9F%E8%83%BD/2-3/0.5.png" \* MERGEFORMATINET </w:instrText>
      </w:r>
      <w:r>
        <w:rPr>
          <w:kern w:val="0"/>
        </w:rPr>
        <w:fldChar w:fldCharType="separate"/>
      </w:r>
      <w:r>
        <w:rPr>
          <w:kern w:val="0"/>
        </w:rPr>
        <w:drawing>
          <wp:inline distT="0" distB="0" distL="114300" distR="114300">
            <wp:extent cx="419100" cy="381000"/>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65" r:link="rId66"/>
                    <a:stretch>
                      <a:fillRect/>
                    </a:stretch>
                  </pic:blipFill>
                  <pic:spPr>
                    <a:xfrm>
                      <a:off x="0" y="0"/>
                      <a:ext cx="419100" cy="381000"/>
                    </a:xfrm>
                    <a:prstGeom prst="rect">
                      <a:avLst/>
                    </a:prstGeom>
                    <a:noFill/>
                    <a:ln>
                      <a:noFill/>
                    </a:ln>
                  </pic:spPr>
                </pic:pic>
              </a:graphicData>
            </a:graphic>
          </wp:inline>
        </w:drawing>
      </w:r>
      <w:r>
        <w:rPr>
          <w:kern w:val="0"/>
        </w:rPr>
        <w:fldChar w:fldCharType="end"/>
      </w:r>
      <w:r>
        <w:rPr>
          <w:kern w:val="0"/>
        </w:rPr>
        <w:fldChar w:fldCharType="end"/>
      </w:r>
      <w:r>
        <w:rPr>
          <w:kern w:val="0"/>
        </w:rPr>
        <w:fldChar w:fldCharType="end"/>
      </w:r>
      <w:r>
        <w:rPr>
          <w:kern w:val="0"/>
        </w:rPr>
        <w:fldChar w:fldCharType="end"/>
      </w:r>
    </w:p>
    <w:p>
      <w:pPr>
        <w:pStyle w:val="34"/>
        <w:rPr>
          <w:kern w:val="0"/>
        </w:rPr>
      </w:pPr>
      <w:r>
        <w:rPr>
          <w:rFonts w:hint="eastAsia"/>
          <w:kern w:val="0"/>
        </w:rPr>
        <w:t>▲ 键盘精灵 .3</w:t>
      </w:r>
    </w:p>
    <w:p>
      <w:pPr>
        <w:pStyle w:val="34"/>
        <w:rPr>
          <w:kern w:val="0"/>
        </w:rPr>
      </w:pPr>
      <w:r>
        <w:rPr>
          <w:rFonts w:hint="eastAsia"/>
          <w:kern w:val="0"/>
        </w:rPr>
        <w:t>▲ 功能树---功能---技术分析 </w:t>
      </w:r>
    </w:p>
    <w:p>
      <w:pPr>
        <w:pStyle w:val="34"/>
        <w:rPr>
          <w:kern w:val="0"/>
        </w:rPr>
      </w:pPr>
      <w:r>
        <w:rPr>
          <w:rFonts w:hint="eastAsia"/>
          <w:kern w:val="0"/>
        </w:rPr>
        <w:t>▲ F5 或 05+Enter（即时分析/技术分析之间切换）</w:t>
      </w:r>
    </w:p>
    <w:p>
      <w:pPr>
        <w:pStyle w:val="34"/>
        <w:rPr>
          <w:kern w:val="0"/>
        </w:rPr>
      </w:pPr>
      <w:r>
        <w:rPr>
          <w:kern w:val="0"/>
        </w:rPr>
        <w:fldChar w:fldCharType="begin"/>
      </w:r>
      <w:r>
        <w:rPr>
          <w:kern w:val="0"/>
        </w:rPr>
        <w:instrText xml:space="preserve"> INCLUDEPICTURE  "https://www.tdx.com.cn/products/helpfile/tdxw/chm/%E7%AC%AC%E4%BA%8C%E7%AB%A0 %E5%8A%9F%E8%83%BD/2-3/1.png"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"https://www.tdx.com.cn/products/helpfile/tdxw/chm/%E7%AC%AC%E4%BA%8C%E7%AB%A0 %E5%8A%9F%E8%83%BD/2-3/1.png"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"https://www.tdx.com.cn/products/helpfile/tdxw/chm/%E7%AC%AC%E4%BA%8C%E7%AB%A0 %E5%8A%9F%E8%83%BD/2-3/1.png"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"https://www.tdx.com.cn/products/helpfile/tdxw/chm/%E7%AC%AC%E4%BA%8C%E7%AB%A0 %E5%8A%9F%E8%83%BD/2-3/1.png" \* MERGEFORMATINET </w:instrText>
      </w:r>
      <w:r>
        <w:rPr>
          <w:kern w:val="0"/>
        </w:rPr>
        <w:fldChar w:fldCharType="separate"/>
      </w:r>
      <w:r>
        <w:rPr>
          <w:kern w:val="0"/>
        </w:rPr>
        <w:drawing>
          <wp:inline distT="0" distB="0" distL="114300" distR="114300">
            <wp:extent cx="7248525" cy="3724275"/>
            <wp:effectExtent l="0" t="0" r="9525" b="9525"/>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67" r:link="rId68"/>
                    <a:stretch>
                      <a:fillRect/>
                    </a:stretch>
                  </pic:blipFill>
                  <pic:spPr>
                    <a:xfrm>
                      <a:off x="0" y="0"/>
                      <a:ext cx="7248525" cy="3724275"/>
                    </a:xfrm>
                    <a:prstGeom prst="rect">
                      <a:avLst/>
                    </a:prstGeom>
                    <a:noFill/>
                    <a:ln>
                      <a:noFill/>
                    </a:ln>
                  </pic:spPr>
                </pic:pic>
              </a:graphicData>
            </a:graphic>
          </wp:inline>
        </w:drawing>
      </w:r>
      <w:r>
        <w:rPr>
          <w:kern w:val="0"/>
        </w:rPr>
        <w:fldChar w:fldCharType="end"/>
      </w:r>
      <w:r>
        <w:rPr>
          <w:kern w:val="0"/>
        </w:rPr>
        <w:fldChar w:fldCharType="end"/>
      </w:r>
      <w:r>
        <w:rPr>
          <w:kern w:val="0"/>
        </w:rPr>
        <w:fldChar w:fldCharType="end"/>
      </w:r>
      <w:r>
        <w:rPr>
          <w:kern w:val="0"/>
        </w:rPr>
        <w:fldChar w:fldCharType="end"/>
      </w:r>
    </w:p>
    <w:p>
      <w:pPr>
        <w:pStyle w:val="34"/>
        <w:ind w:firstLine="482"/>
        <w:rPr>
          <w:kern w:val="0"/>
        </w:rPr>
      </w:pPr>
      <w:r>
        <w:rPr>
          <w:rFonts w:hint="eastAsia"/>
          <w:b/>
          <w:bCs/>
          <w:color w:val="FF0000"/>
          <w:kern w:val="0"/>
        </w:rPr>
        <w:t>画面说明：</w:t>
      </w:r>
    </w:p>
    <w:p>
      <w:pPr>
        <w:pStyle w:val="34"/>
        <w:rPr>
          <w:kern w:val="0"/>
        </w:rPr>
      </w:pPr>
      <w:r>
        <w:rPr>
          <w:rFonts w:hint="eastAsia"/>
          <w:kern w:val="0"/>
        </w:rPr>
        <w:t>1. 主图及副图标题显示区（左上角）会提示股票名称、代码、指标名称和对应数值； </w:t>
      </w:r>
    </w:p>
    <w:p>
      <w:pPr>
        <w:pStyle w:val="34"/>
        <w:rPr>
          <w:kern w:val="0"/>
        </w:rPr>
      </w:pPr>
      <w:r>
        <w:rPr>
          <w:rFonts w:hint="eastAsia"/>
          <w:kern w:val="0"/>
        </w:rPr>
        <w:t>2. 周期切换区显示当前分析周期； </w:t>
      </w:r>
    </w:p>
    <w:p>
      <w:pPr>
        <w:pStyle w:val="34"/>
        <w:rPr>
          <w:kern w:val="0"/>
        </w:rPr>
      </w:pPr>
      <w:r>
        <w:rPr>
          <w:rFonts w:hint="eastAsia"/>
          <w:kern w:val="0"/>
        </w:rPr>
        <w:t>3. 主图区可作股票或指标的叠加，副图区指标可随意更换； </w:t>
      </w:r>
    </w:p>
    <w:p>
      <w:pPr>
        <w:pStyle w:val="34"/>
        <w:rPr>
          <w:kern w:val="0"/>
        </w:rPr>
      </w:pPr>
      <w:r>
        <w:rPr>
          <w:rFonts w:hint="eastAsia"/>
          <w:kern w:val="0"/>
        </w:rPr>
        <w:t>4. 主图上有股本变迁等指示。 </w:t>
      </w:r>
    </w:p>
    <w:p>
      <w:pPr>
        <w:pStyle w:val="34"/>
        <w:rPr>
          <w:kern w:val="0"/>
        </w:rPr>
      </w:pPr>
      <w:r>
        <w:rPr>
          <w:rFonts w:hint="eastAsia"/>
          <w:kern w:val="0"/>
        </w:rPr>
        <w:t>5. 复权处理独一无二的精确自动复权处理，保证技术分析绝对的连续！除权时精确考虑送股、配股和分红对股价的影响，使技术指标分析更准确、更完整。支持所有周期的复权，支持前复权，后复权，而且支持权息数据库的维护和显示，进一步消除除权对走势的影响。</w:t>
      </w:r>
    </w:p>
    <w:p>
      <w:pPr>
        <w:pStyle w:val="34"/>
        <w:rPr>
          <w:kern w:val="0"/>
        </w:rPr>
      </w:pPr>
      <w:r>
        <w:rPr>
          <w:rFonts w:hint="eastAsia"/>
          <w:kern w:val="0"/>
        </w:rPr>
        <w:t>扩展区：点击“扩展区”选择显示和隐藏标签所要表示的功能界面。 </w:t>
      </w:r>
    </w:p>
    <w:p>
      <w:pPr>
        <w:pStyle w:val="34"/>
        <w:rPr>
          <w:kern w:val="0"/>
        </w:rPr>
      </w:pPr>
      <w:r>
        <w:rPr>
          <w:rFonts w:hint="eastAsia"/>
          <w:kern w:val="0"/>
        </w:rPr>
        <w:t>关联报价：显示与K线显示的股票相关联或者是同板块的同行业的其他股票的报价信息。</w:t>
      </w:r>
    </w:p>
    <w:p>
      <w:pPr>
        <w:pStyle w:val="34"/>
        <w:rPr>
          <w:kern w:val="0"/>
        </w:rPr>
      </w:pPr>
      <w:r>
        <w:rPr>
          <w:rFonts w:hint="eastAsia"/>
          <w:kern w:val="0"/>
        </w:rPr>
        <w:t>关联报价可以自由编辑栏目：</w:t>
      </w:r>
      <w:r>
        <w:rPr>
          <w:kern w:val="0"/>
        </w:rPr>
        <w:fldChar w:fldCharType="begin"/>
      </w:r>
      <w:r>
        <w:rPr>
          <w:kern w:val="0"/>
        </w:rPr>
        <w:instrText xml:space="preserve"> INCLUDEPICTURE  "https://www.tdx.com.cn/products/helpfile/tdxw/chm/%E7%AC%AC%E4%BA%8C%E7%AB%A0 %E5%8A%9F%E8%83%BD/2-3/2.1.png"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"https://www.tdx.com.cn/products/helpfile/tdxw/chm/%E7%AC%AC%E4%BA%8C%E7%AB%A0 %E5%8A%9F%E8%83%BD/2-3/2.1.png"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"https://www.tdx.com.cn/products/helpfile/tdxw/chm/%E7%AC%AC%E4%BA%8C%E7%AB%A0 %E5%8A%9F%E8%83%BD/2-3/2.1.png"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"https://www.tdx.com.cn/products/helpfile/tdxw/chm/%E7%AC%AC%E4%BA%8C%E7%AB%A0 %E5%8A%9F%E8%83%BD/2-3/2.1.png" \* MERGEFORMATINET </w:instrText>
      </w:r>
      <w:r>
        <w:rPr>
          <w:kern w:val="0"/>
        </w:rPr>
        <w:fldChar w:fldCharType="separate"/>
      </w:r>
      <w:r>
        <w:rPr>
          <w:kern w:val="0"/>
        </w:rPr>
        <w:drawing>
          <wp:inline distT="0" distB="0" distL="114300" distR="114300">
            <wp:extent cx="5562600" cy="2590800"/>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69" r:link="rId70"/>
                    <a:stretch>
                      <a:fillRect/>
                    </a:stretch>
                  </pic:blipFill>
                  <pic:spPr>
                    <a:xfrm>
                      <a:off x="0" y="0"/>
                      <a:ext cx="5562600" cy="2590800"/>
                    </a:xfrm>
                    <a:prstGeom prst="rect">
                      <a:avLst/>
                    </a:prstGeom>
                    <a:noFill/>
                    <a:ln>
                      <a:noFill/>
                    </a:ln>
                  </pic:spPr>
                </pic:pic>
              </a:graphicData>
            </a:graphic>
          </wp:inline>
        </w:drawing>
      </w:r>
      <w:r>
        <w:rPr>
          <w:kern w:val="0"/>
        </w:rPr>
        <w:fldChar w:fldCharType="end"/>
      </w:r>
      <w:r>
        <w:rPr>
          <w:kern w:val="0"/>
        </w:rPr>
        <w:fldChar w:fldCharType="end"/>
      </w:r>
      <w:r>
        <w:rPr>
          <w:kern w:val="0"/>
        </w:rPr>
        <w:fldChar w:fldCharType="end"/>
      </w:r>
      <w:r>
        <w:rPr>
          <w:kern w:val="0"/>
        </w:rPr>
        <w:fldChar w:fldCharType="end"/>
      </w:r>
    </w:p>
    <w:p>
      <w:pPr>
        <w:pStyle w:val="34"/>
        <w:rPr>
          <w:kern w:val="0"/>
        </w:rPr>
      </w:pPr>
      <w:r>
        <w:rPr>
          <w:rFonts w:hint="eastAsia"/>
          <w:kern w:val="0"/>
        </w:rPr>
        <w:t>关联品种设置：可以给当前股票，设置自己所需的关联品种。</w:t>
      </w:r>
    </w:p>
    <w:p>
      <w:pPr>
        <w:pStyle w:val="34"/>
        <w:ind w:firstLine="540"/>
        <w:rPr>
          <w:kern w:val="0"/>
          <w:sz w:val="27"/>
          <w:szCs w:val="27"/>
        </w:rPr>
      </w:pPr>
      <w:r>
        <w:rPr>
          <w:kern w:val="0"/>
          <w:sz w:val="27"/>
          <w:szCs w:val="27"/>
        </w:rPr>
        <w:fldChar w:fldCharType="begin"/>
      </w:r>
      <w:r>
        <w:rPr>
          <w:kern w:val="0"/>
          <w:sz w:val="27"/>
          <w:szCs w:val="27"/>
        </w:rPr>
        <w:instrText xml:space="preserve"> INCLUDEPICTURE  "https://www.tdx.com.cn/products/helpfile/tdxw/chm/%E7%AC%AC%E4%BA%8C%E7%AB%A0 %E5%8A%9F%E8%83%BD/2-3/2.1.png" \* MERGEFORMATINET </w:instrText>
      </w:r>
      <w:r>
        <w:rPr>
          <w:kern w:val="0"/>
          <w:sz w:val="27"/>
          <w:szCs w:val="27"/>
        </w:rPr>
        <w:fldChar w:fldCharType="separate"/>
      </w:r>
      <w:r>
        <w:rPr>
          <w:kern w:val="0"/>
          <w:sz w:val="27"/>
          <w:szCs w:val="27"/>
        </w:rPr>
        <w:fldChar w:fldCharType="begin"/>
      </w:r>
      <w:r>
        <w:rPr>
          <w:kern w:val="0"/>
          <w:sz w:val="27"/>
          <w:szCs w:val="27"/>
        </w:rPr>
        <w:instrText xml:space="preserve"> INCLUDEPICTURE  "https://www.tdx.com.cn/products/helpfile/tdxw/chm/%E7%AC%AC%E4%BA%8C%E7%AB%A0 %E5%8A%9F%E8%83%BD/2-3/2.1.png" \* MERGEFORMATINET </w:instrText>
      </w:r>
      <w:r>
        <w:rPr>
          <w:kern w:val="0"/>
          <w:sz w:val="27"/>
          <w:szCs w:val="27"/>
        </w:rPr>
        <w:fldChar w:fldCharType="separate"/>
      </w:r>
      <w:r>
        <w:rPr>
          <w:kern w:val="0"/>
          <w:sz w:val="27"/>
          <w:szCs w:val="27"/>
        </w:rPr>
        <w:fldChar w:fldCharType="begin"/>
      </w:r>
      <w:r>
        <w:rPr>
          <w:kern w:val="0"/>
          <w:sz w:val="27"/>
          <w:szCs w:val="27"/>
        </w:rPr>
        <w:instrText xml:space="preserve"> INCLUDEPICTURE  "https://www.tdx.com.cn/products/helpfile/tdxw/chm/%E7%AC%AC%E4%BA%8C%E7%AB%A0 %E5%8A%9F%E8%83%BD/2-3/2.1.png" \* MERGEFORMATINET </w:instrText>
      </w:r>
      <w:r>
        <w:rPr>
          <w:kern w:val="0"/>
          <w:sz w:val="27"/>
          <w:szCs w:val="27"/>
        </w:rPr>
        <w:fldChar w:fldCharType="separate"/>
      </w:r>
      <w:r>
        <w:rPr>
          <w:kern w:val="0"/>
          <w:sz w:val="27"/>
          <w:szCs w:val="27"/>
        </w:rPr>
        <w:fldChar w:fldCharType="begin"/>
      </w:r>
      <w:r>
        <w:rPr>
          <w:kern w:val="0"/>
          <w:sz w:val="27"/>
          <w:szCs w:val="27"/>
        </w:rPr>
        <w:instrText xml:space="preserve"> INCLUDEPICTURE  "https://www.tdx.com.cn/products/helpfile/tdxw/chm/%E7%AC%AC%E4%BA%8C%E7%AB%A0 %E5%8A%9F%E8%83%BD/2-3/2.1.png" \* MERGEFORMATINET </w:instrText>
      </w:r>
      <w:r>
        <w:rPr>
          <w:kern w:val="0"/>
          <w:sz w:val="27"/>
          <w:szCs w:val="27"/>
        </w:rPr>
        <w:fldChar w:fldCharType="separate"/>
      </w:r>
      <w:r>
        <w:rPr>
          <w:kern w:val="0"/>
          <w:sz w:val="27"/>
          <w:szCs w:val="27"/>
        </w:rPr>
        <w:drawing>
          <wp:inline distT="0" distB="0" distL="114300" distR="114300">
            <wp:extent cx="5562600" cy="2590800"/>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69" r:link="rId70"/>
                    <a:stretch>
                      <a:fillRect/>
                    </a:stretch>
                  </pic:blipFill>
                  <pic:spPr>
                    <a:xfrm>
                      <a:off x="0" y="0"/>
                      <a:ext cx="5562600" cy="2590800"/>
                    </a:xfrm>
                    <a:prstGeom prst="rect">
                      <a:avLst/>
                    </a:prstGeom>
                    <a:noFill/>
                    <a:ln>
                      <a:noFill/>
                    </a:ln>
                  </pic:spPr>
                </pic:pic>
              </a:graphicData>
            </a:graphic>
          </wp:inline>
        </w:drawing>
      </w:r>
      <w:r>
        <w:rPr>
          <w:kern w:val="0"/>
          <w:sz w:val="27"/>
          <w:szCs w:val="27"/>
        </w:rPr>
        <w:fldChar w:fldCharType="end"/>
      </w:r>
      <w:r>
        <w:rPr>
          <w:kern w:val="0"/>
          <w:sz w:val="27"/>
          <w:szCs w:val="27"/>
        </w:rPr>
        <w:fldChar w:fldCharType="end"/>
      </w:r>
      <w:r>
        <w:rPr>
          <w:kern w:val="0"/>
          <w:sz w:val="27"/>
          <w:szCs w:val="27"/>
        </w:rPr>
        <w:fldChar w:fldCharType="end"/>
      </w:r>
      <w:r>
        <w:rPr>
          <w:kern w:val="0"/>
          <w:sz w:val="27"/>
          <w:szCs w:val="27"/>
        </w:rPr>
        <w:fldChar w:fldCharType="end"/>
      </w:r>
      <w:r>
        <w:rPr>
          <w:kern w:val="0"/>
          <w:sz w:val="27"/>
          <w:szCs w:val="27"/>
        </w:rPr>
        <w:fldChar w:fldCharType="begin"/>
      </w:r>
      <w:r>
        <w:rPr>
          <w:kern w:val="0"/>
          <w:sz w:val="27"/>
          <w:szCs w:val="27"/>
        </w:rPr>
        <w:instrText xml:space="preserve"> INCLUDEPICTURE  "https://www.tdx.com.cn/products/helpfile/tdxw/chm/%E7%AC%AC%E4%BA%8C%E7%AB%A0 %E5%8A%9F%E8%83%BD/2-3/2.2.png" \* MERGEFORMATINET </w:instrText>
      </w:r>
      <w:r>
        <w:rPr>
          <w:kern w:val="0"/>
          <w:sz w:val="27"/>
          <w:szCs w:val="27"/>
        </w:rPr>
        <w:fldChar w:fldCharType="separate"/>
      </w:r>
      <w:r>
        <w:rPr>
          <w:kern w:val="0"/>
          <w:sz w:val="27"/>
          <w:szCs w:val="27"/>
        </w:rPr>
        <w:fldChar w:fldCharType="begin"/>
      </w:r>
      <w:r>
        <w:rPr>
          <w:kern w:val="0"/>
          <w:sz w:val="27"/>
          <w:szCs w:val="27"/>
        </w:rPr>
        <w:instrText xml:space="preserve"> INCLUDEPICTURE  "https://www.tdx.com.cn/products/helpfile/tdxw/chm/%E7%AC%AC%E4%BA%8C%E7%AB%A0 %E5%8A%9F%E8%83%BD/2-3/2.2.png" \* MERGEFORMATINET </w:instrText>
      </w:r>
      <w:r>
        <w:rPr>
          <w:kern w:val="0"/>
          <w:sz w:val="27"/>
          <w:szCs w:val="27"/>
        </w:rPr>
        <w:fldChar w:fldCharType="separate"/>
      </w:r>
      <w:r>
        <w:rPr>
          <w:kern w:val="0"/>
          <w:sz w:val="27"/>
          <w:szCs w:val="27"/>
        </w:rPr>
        <w:fldChar w:fldCharType="begin"/>
      </w:r>
      <w:r>
        <w:rPr>
          <w:kern w:val="0"/>
          <w:sz w:val="27"/>
          <w:szCs w:val="27"/>
        </w:rPr>
        <w:instrText xml:space="preserve"> INCLUDEPICTURE  "https://www.tdx.com.cn/products/helpfile/tdxw/chm/%E7%AC%AC%E4%BA%8C%E7%AB%A0 %E5%8A%9F%E8%83%BD/2-3/2.2.png" \* MERGEFORMATINET </w:instrText>
      </w:r>
      <w:r>
        <w:rPr>
          <w:kern w:val="0"/>
          <w:sz w:val="27"/>
          <w:szCs w:val="27"/>
        </w:rPr>
        <w:fldChar w:fldCharType="separate"/>
      </w:r>
      <w:r>
        <w:rPr>
          <w:kern w:val="0"/>
          <w:sz w:val="27"/>
          <w:szCs w:val="27"/>
        </w:rPr>
        <w:fldChar w:fldCharType="begin"/>
      </w:r>
      <w:r>
        <w:rPr>
          <w:kern w:val="0"/>
          <w:sz w:val="27"/>
          <w:szCs w:val="27"/>
        </w:rPr>
        <w:instrText xml:space="preserve"> INCLUDEPICTURE  "https://www.tdx.com.cn/products/helpfile/tdxw/chm/%E7%AC%AC%E4%BA%8C%E7%AB%A0 %E5%8A%9F%E8%83%BD/2-3/2.2.png" \* MERGEFORMATINET </w:instrText>
      </w:r>
      <w:r>
        <w:rPr>
          <w:kern w:val="0"/>
          <w:sz w:val="27"/>
          <w:szCs w:val="27"/>
        </w:rPr>
        <w:fldChar w:fldCharType="separate"/>
      </w:r>
      <w:r>
        <w:rPr>
          <w:kern w:val="0"/>
          <w:sz w:val="27"/>
          <w:szCs w:val="27"/>
        </w:rPr>
        <w:drawing>
          <wp:inline distT="0" distB="0" distL="114300" distR="114300">
            <wp:extent cx="7772400" cy="4410075"/>
            <wp:effectExtent l="0" t="0" r="0" b="9525"/>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71" r:link="rId72"/>
                    <a:stretch>
                      <a:fillRect/>
                    </a:stretch>
                  </pic:blipFill>
                  <pic:spPr>
                    <a:xfrm>
                      <a:off x="0" y="0"/>
                      <a:ext cx="7772400" cy="4410075"/>
                    </a:xfrm>
                    <a:prstGeom prst="rect">
                      <a:avLst/>
                    </a:prstGeom>
                    <a:noFill/>
                    <a:ln>
                      <a:noFill/>
                    </a:ln>
                  </pic:spPr>
                </pic:pic>
              </a:graphicData>
            </a:graphic>
          </wp:inline>
        </w:drawing>
      </w:r>
      <w:r>
        <w:rPr>
          <w:kern w:val="0"/>
          <w:sz w:val="27"/>
          <w:szCs w:val="27"/>
        </w:rPr>
        <w:fldChar w:fldCharType="end"/>
      </w:r>
      <w:r>
        <w:rPr>
          <w:kern w:val="0"/>
          <w:sz w:val="27"/>
          <w:szCs w:val="27"/>
        </w:rPr>
        <w:fldChar w:fldCharType="end"/>
      </w:r>
      <w:r>
        <w:rPr>
          <w:kern w:val="0"/>
          <w:sz w:val="27"/>
          <w:szCs w:val="27"/>
        </w:rPr>
        <w:fldChar w:fldCharType="end"/>
      </w:r>
      <w:r>
        <w:rPr>
          <w:kern w:val="0"/>
          <w:sz w:val="27"/>
          <w:szCs w:val="27"/>
        </w:rPr>
        <w:fldChar w:fldCharType="end"/>
      </w:r>
      <w:r>
        <w:rPr>
          <w:kern w:val="0"/>
          <w:sz w:val="27"/>
          <w:szCs w:val="27"/>
        </w:rPr>
        <w:fldChar w:fldCharType="begin"/>
      </w:r>
      <w:r>
        <w:rPr>
          <w:kern w:val="0"/>
          <w:sz w:val="27"/>
          <w:szCs w:val="27"/>
        </w:rPr>
        <w:instrText xml:space="preserve"> INCLUDEPICTURE  "https://www.tdx.com.cn/products/helpfile/tdxw/chm/%E7%AC%AC%E4%BA%8C%E7%AB%A0 %E5%8A%9F%E8%83%BD/2-3/2.3.png" \* MERGEFORMATINET </w:instrText>
      </w:r>
      <w:r>
        <w:rPr>
          <w:kern w:val="0"/>
          <w:sz w:val="27"/>
          <w:szCs w:val="27"/>
        </w:rPr>
        <w:fldChar w:fldCharType="separate"/>
      </w:r>
      <w:r>
        <w:rPr>
          <w:kern w:val="0"/>
          <w:sz w:val="27"/>
          <w:szCs w:val="27"/>
        </w:rPr>
        <w:fldChar w:fldCharType="begin"/>
      </w:r>
      <w:r>
        <w:rPr>
          <w:kern w:val="0"/>
          <w:sz w:val="27"/>
          <w:szCs w:val="27"/>
        </w:rPr>
        <w:instrText xml:space="preserve"> INCLUDEPICTURE  "https://www.tdx.com.cn/products/helpfile/tdxw/chm/%E7%AC%AC%E4%BA%8C%E7%AB%A0 %E5%8A%9F%E8%83%BD/2-3/2.3.png" \* MERGEFORMATINET </w:instrText>
      </w:r>
      <w:r>
        <w:rPr>
          <w:kern w:val="0"/>
          <w:sz w:val="27"/>
          <w:szCs w:val="27"/>
        </w:rPr>
        <w:fldChar w:fldCharType="separate"/>
      </w:r>
      <w:r>
        <w:rPr>
          <w:kern w:val="0"/>
          <w:sz w:val="27"/>
          <w:szCs w:val="27"/>
        </w:rPr>
        <w:fldChar w:fldCharType="begin"/>
      </w:r>
      <w:r>
        <w:rPr>
          <w:kern w:val="0"/>
          <w:sz w:val="27"/>
          <w:szCs w:val="27"/>
        </w:rPr>
        <w:instrText xml:space="preserve"> INCLUDEPICTURE  "https://www.tdx.com.cn/products/helpfile/tdxw/chm/%E7%AC%AC%E4%BA%8C%E7%AB%A0 %E5%8A%9F%E8%83%BD/2-3/2.3.png" \* MERGEFORMATINET </w:instrText>
      </w:r>
      <w:r>
        <w:rPr>
          <w:kern w:val="0"/>
          <w:sz w:val="27"/>
          <w:szCs w:val="27"/>
        </w:rPr>
        <w:fldChar w:fldCharType="separate"/>
      </w:r>
      <w:r>
        <w:rPr>
          <w:kern w:val="0"/>
          <w:sz w:val="27"/>
          <w:szCs w:val="27"/>
        </w:rPr>
        <w:fldChar w:fldCharType="begin"/>
      </w:r>
      <w:r>
        <w:rPr>
          <w:kern w:val="0"/>
          <w:sz w:val="27"/>
          <w:szCs w:val="27"/>
        </w:rPr>
        <w:instrText xml:space="preserve"> INCLUDEPICTURE  "https://www.tdx.com.cn/products/helpfile/tdxw/chm/%E7%AC%AC%E4%BA%8C%E7%AB%A0 %E5%8A%9F%E8%83%BD/2-3/2.3.png" \* MERGEFORMATINET </w:instrText>
      </w:r>
      <w:r>
        <w:rPr>
          <w:kern w:val="0"/>
          <w:sz w:val="27"/>
          <w:szCs w:val="27"/>
        </w:rPr>
        <w:fldChar w:fldCharType="separate"/>
      </w:r>
      <w:r>
        <w:rPr>
          <w:kern w:val="0"/>
          <w:sz w:val="27"/>
          <w:szCs w:val="27"/>
        </w:rPr>
        <w:drawing>
          <wp:inline distT="0" distB="0" distL="114300" distR="114300">
            <wp:extent cx="4371975" cy="3400425"/>
            <wp:effectExtent l="0" t="0" r="9525" b="952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73" r:link="rId74"/>
                    <a:stretch>
                      <a:fillRect/>
                    </a:stretch>
                  </pic:blipFill>
                  <pic:spPr>
                    <a:xfrm>
                      <a:off x="0" y="0"/>
                      <a:ext cx="4371975" cy="3400425"/>
                    </a:xfrm>
                    <a:prstGeom prst="rect">
                      <a:avLst/>
                    </a:prstGeom>
                    <a:noFill/>
                    <a:ln>
                      <a:noFill/>
                    </a:ln>
                  </pic:spPr>
                </pic:pic>
              </a:graphicData>
            </a:graphic>
          </wp:inline>
        </w:drawing>
      </w:r>
      <w:r>
        <w:rPr>
          <w:kern w:val="0"/>
          <w:sz w:val="27"/>
          <w:szCs w:val="27"/>
        </w:rPr>
        <w:fldChar w:fldCharType="end"/>
      </w:r>
      <w:r>
        <w:rPr>
          <w:kern w:val="0"/>
          <w:sz w:val="27"/>
          <w:szCs w:val="27"/>
        </w:rPr>
        <w:fldChar w:fldCharType="end"/>
      </w:r>
      <w:r>
        <w:rPr>
          <w:kern w:val="0"/>
          <w:sz w:val="27"/>
          <w:szCs w:val="27"/>
        </w:rPr>
        <w:fldChar w:fldCharType="end"/>
      </w:r>
      <w:r>
        <w:rPr>
          <w:kern w:val="0"/>
          <w:sz w:val="27"/>
          <w:szCs w:val="27"/>
        </w:rPr>
        <w:fldChar w:fldCharType="end"/>
      </w:r>
    </w:p>
    <w:p>
      <w:pPr>
        <w:pStyle w:val="34"/>
        <w:rPr>
          <w:kern w:val="0"/>
        </w:rPr>
      </w:pPr>
    </w:p>
    <w:p>
      <w:pPr>
        <w:pStyle w:val="34"/>
        <w:ind w:firstLine="482"/>
        <w:rPr>
          <w:kern w:val="0"/>
        </w:rPr>
      </w:pPr>
      <w:r>
        <w:rPr>
          <w:rFonts w:hint="eastAsia"/>
          <w:b/>
          <w:bCs/>
          <w:color w:val="FF0000"/>
          <w:kern w:val="0"/>
        </w:rPr>
        <w:t>鼠标右键菜单：</w:t>
      </w:r>
    </w:p>
    <w:p>
      <w:pPr>
        <w:pStyle w:val="34"/>
        <w:rPr>
          <w:kern w:val="0"/>
        </w:rPr>
      </w:pPr>
      <w:r>
        <w:rPr>
          <w:rFonts w:hint="eastAsia"/>
          <w:kern w:val="0"/>
        </w:rPr>
        <w:t>包含有主图指标、叠加品种、专家系统指示、分析周期、指标窗口个数、复权处理、区间统计、标记当前证券、历史同步回忆等特色功能</w:t>
      </w:r>
    </w:p>
    <w:p>
      <w:pPr>
        <w:pStyle w:val="34"/>
        <w:rPr>
          <w:kern w:val="0"/>
        </w:rPr>
      </w:pPr>
      <w:r>
        <w:rPr>
          <w:kern w:val="0"/>
        </w:rPr>
        <w:fldChar w:fldCharType="begin"/>
      </w:r>
      <w:r>
        <w:rPr>
          <w:kern w:val="0"/>
        </w:rPr>
        <w:instrText xml:space="preserve"> INCLUDEPICTURE  "https://www.tdx.com.cn/products/helpfile/tdxw/chm/%E7%AC%AC%E4%BA%8C%E7%AB%A0 %E5%8A%9F%E8%83%BD/2-3/2.png"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"https://www.tdx.com.cn/products/helpfile/tdxw/chm/%E7%AC%AC%E4%BA%8C%E7%AB%A0 %E5%8A%9F%E8%83%BD/2-3/2.png"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"https://www.tdx.com.cn/products/helpfile/tdxw/chm/%E7%AC%AC%E4%BA%8C%E7%AB%A0 %E5%8A%9F%E8%83%BD/2-3/2.png"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"https://www.tdx.com.cn/products/helpfile/tdxw/chm/%E7%AC%AC%E4%BA%8C%E7%AB%A0 %E5%8A%9F%E8%83%BD/2-3/2.png" \* MERGEFORMATINET </w:instrText>
      </w:r>
      <w:r>
        <w:rPr>
          <w:kern w:val="0"/>
        </w:rPr>
        <w:fldChar w:fldCharType="separate"/>
      </w:r>
      <w:r>
        <w:rPr>
          <w:kern w:val="0"/>
        </w:rPr>
        <w:drawing>
          <wp:inline distT="0" distB="0" distL="114300" distR="114300">
            <wp:extent cx="1685925" cy="4991100"/>
            <wp:effectExtent l="0" t="0" r="9525"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75" r:link="rId76"/>
                    <a:stretch>
                      <a:fillRect/>
                    </a:stretch>
                  </pic:blipFill>
                  <pic:spPr>
                    <a:xfrm>
                      <a:off x="0" y="0"/>
                      <a:ext cx="1685925" cy="4991100"/>
                    </a:xfrm>
                    <a:prstGeom prst="rect">
                      <a:avLst/>
                    </a:prstGeom>
                    <a:noFill/>
                    <a:ln>
                      <a:noFill/>
                    </a:ln>
                  </pic:spPr>
                </pic:pic>
              </a:graphicData>
            </a:graphic>
          </wp:inline>
        </w:drawing>
      </w:r>
      <w:r>
        <w:rPr>
          <w:kern w:val="0"/>
        </w:rPr>
        <w:fldChar w:fldCharType="end"/>
      </w:r>
      <w:r>
        <w:rPr>
          <w:kern w:val="0"/>
        </w:rPr>
        <w:fldChar w:fldCharType="end"/>
      </w:r>
      <w:r>
        <w:rPr>
          <w:kern w:val="0"/>
        </w:rPr>
        <w:fldChar w:fldCharType="end"/>
      </w:r>
      <w:r>
        <w:rPr>
          <w:kern w:val="0"/>
        </w:rPr>
        <w:fldChar w:fldCharType="end"/>
      </w:r>
    </w:p>
    <w:p>
      <w:pPr>
        <w:pStyle w:val="34"/>
        <w:rPr>
          <w:kern w:val="0"/>
        </w:rPr>
      </w:pPr>
      <w:r>
        <w:rPr>
          <w:rFonts w:hint="eastAsia"/>
          <w:kern w:val="0"/>
        </w:rPr>
        <w:t>1. 主图指标</w:t>
      </w:r>
    </w:p>
    <w:p>
      <w:pPr>
        <w:pStyle w:val="34"/>
        <w:rPr>
          <w:kern w:val="0"/>
        </w:rPr>
      </w:pPr>
      <w:r>
        <w:rPr>
          <w:rFonts w:hint="eastAsia"/>
          <w:kern w:val="0"/>
        </w:rPr>
        <w:t>是指主画面上显示的线可以是MA。也可以切换成其它如BBI、 HMA 、CYC等技术指标</w:t>
      </w:r>
    </w:p>
    <w:p>
      <w:pPr>
        <w:pStyle w:val="34"/>
        <w:rPr>
          <w:kern w:val="0"/>
        </w:rPr>
      </w:pPr>
      <w:r>
        <w:rPr>
          <w:kern w:val="0"/>
        </w:rPr>
        <w:fldChar w:fldCharType="begin"/>
      </w:r>
      <w:r>
        <w:rPr>
          <w:kern w:val="0"/>
        </w:rPr>
        <w:instrText xml:space="preserve"> INCLUDEPICTURE  "https://www.tdx.com.cn/products/helpfile/tdxw/chm/%E7%AC%AC%E4%BA%8C%E7%AB%A0 %E5%8A%9F%E8%83%BD/2-3/3.png"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"https://www.tdx.com.cn/products/helpfile/tdxw/chm/%E7%AC%AC%E4%BA%8C%E7%AB%A0 %E5%8A%9F%E8%83%BD/2-3/3.png"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"https://www.tdx.com.cn/products/helpfile/tdxw/chm/%E7%AC%AC%E4%BA%8C%E7%AB%A0 %E5%8A%9F%E8%83%BD/2-3/3.png"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"https://www.tdx.com.cn/products/helpfile/tdxw/chm/%E7%AC%AC%E4%BA%8C%E7%AB%A0 %E5%8A%9F%E8%83%BD/2-3/3.png" \* MERGEFORMATINET </w:instrText>
      </w:r>
      <w:r>
        <w:rPr>
          <w:kern w:val="0"/>
        </w:rPr>
        <w:fldChar w:fldCharType="separate"/>
      </w:r>
      <w:r>
        <w:rPr>
          <w:kern w:val="0"/>
        </w:rPr>
        <w:drawing>
          <wp:inline distT="0" distB="0" distL="114300" distR="114300">
            <wp:extent cx="5210175" cy="4781550"/>
            <wp:effectExtent l="0" t="0" r="9525"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77" r:link="rId78"/>
                    <a:stretch>
                      <a:fillRect/>
                    </a:stretch>
                  </pic:blipFill>
                  <pic:spPr>
                    <a:xfrm>
                      <a:off x="0" y="0"/>
                      <a:ext cx="5210175" cy="4781550"/>
                    </a:xfrm>
                    <a:prstGeom prst="rect">
                      <a:avLst/>
                    </a:prstGeom>
                    <a:noFill/>
                    <a:ln>
                      <a:noFill/>
                    </a:ln>
                  </pic:spPr>
                </pic:pic>
              </a:graphicData>
            </a:graphic>
          </wp:inline>
        </w:drawing>
      </w:r>
      <w:r>
        <w:rPr>
          <w:kern w:val="0"/>
        </w:rPr>
        <w:fldChar w:fldCharType="end"/>
      </w:r>
      <w:r>
        <w:rPr>
          <w:kern w:val="0"/>
        </w:rPr>
        <w:fldChar w:fldCharType="end"/>
      </w:r>
      <w:r>
        <w:rPr>
          <w:kern w:val="0"/>
        </w:rPr>
        <w:fldChar w:fldCharType="end"/>
      </w:r>
      <w:r>
        <w:rPr>
          <w:kern w:val="0"/>
        </w:rPr>
        <w:fldChar w:fldCharType="end"/>
      </w:r>
    </w:p>
    <w:p>
      <w:pPr>
        <w:pStyle w:val="34"/>
        <w:rPr>
          <w:kern w:val="0"/>
        </w:rPr>
      </w:pPr>
      <w:r>
        <w:rPr>
          <w:rFonts w:hint="eastAsia"/>
          <w:kern w:val="0"/>
        </w:rPr>
        <w:t>2 显隐主图指标</w:t>
      </w:r>
    </w:p>
    <w:p>
      <w:pPr>
        <w:pStyle w:val="34"/>
        <w:rPr>
          <w:kern w:val="0"/>
        </w:rPr>
      </w:pPr>
      <w:r>
        <w:rPr>
          <w:rFonts w:hint="eastAsia"/>
          <w:kern w:val="0"/>
        </w:rPr>
        <w:t>是让你可以显示和隐藏主图指标用Tab键切换</w:t>
      </w:r>
    </w:p>
    <w:p>
      <w:pPr>
        <w:pStyle w:val="34"/>
        <w:rPr>
          <w:kern w:val="0"/>
        </w:rPr>
      </w:pPr>
      <w:r>
        <w:rPr>
          <w:rFonts w:hint="eastAsia"/>
          <w:kern w:val="0"/>
        </w:rPr>
        <w:t>3. 当前指标</w:t>
      </w:r>
    </w:p>
    <w:p>
      <w:pPr>
        <w:pStyle w:val="34"/>
        <w:rPr>
          <w:kern w:val="0"/>
        </w:rPr>
      </w:pPr>
      <w:r>
        <w:rPr>
          <w:rFonts w:hint="eastAsia"/>
          <w:kern w:val="0"/>
        </w:rPr>
        <w:t>可以让你调整指标参数、提示指标注释</w:t>
      </w:r>
    </w:p>
    <w:p>
      <w:pPr>
        <w:pStyle w:val="34"/>
        <w:rPr>
          <w:kern w:val="0"/>
        </w:rPr>
      </w:pPr>
      <w:r>
        <w:rPr>
          <w:kern w:val="0"/>
        </w:rPr>
        <w:fldChar w:fldCharType="begin"/>
      </w:r>
      <w:r>
        <w:rPr>
          <w:kern w:val="0"/>
        </w:rPr>
        <w:instrText xml:space="preserve"> INCLUDEPICTURE  "https://www.tdx.com.cn/products/helpfile/tdxw/chm/%E7%AC%AC%E4%BA%8C%E7%AB%A0 %E5%8A%9F%E8%83%BD/2-3/4.png"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"https://www.tdx.com.cn/products/helpfile/tdxw/chm/%E7%AC%AC%E4%BA%8C%E7%AB%A0 %E5%8A%9F%E8%83%BD/2-3/4.png"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"https://www.tdx.com.cn/products/helpfile/tdxw/chm/%E7%AC%AC%E4%BA%8C%E7%AB%A0 %E5%8A%9F%E8%83%BD/2-3/4.png"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"https://www.tdx.com.cn/products/helpfile/tdxw/chm/%E7%AC%AC%E4%BA%8C%E7%AB%A0 %E5%8A%9F%E8%83%BD/2-3/4.png" \* MERGEFORMATINET </w:instrText>
      </w:r>
      <w:r>
        <w:rPr>
          <w:kern w:val="0"/>
        </w:rPr>
        <w:fldChar w:fldCharType="separate"/>
      </w:r>
      <w:r>
        <w:rPr>
          <w:kern w:val="0"/>
        </w:rPr>
        <w:drawing>
          <wp:inline distT="0" distB="0" distL="114300" distR="114300">
            <wp:extent cx="1866900" cy="981075"/>
            <wp:effectExtent l="0" t="0" r="0" b="9525"/>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79" r:link="rId80"/>
                    <a:stretch>
                      <a:fillRect/>
                    </a:stretch>
                  </pic:blipFill>
                  <pic:spPr>
                    <a:xfrm>
                      <a:off x="0" y="0"/>
                      <a:ext cx="1866900" cy="981075"/>
                    </a:xfrm>
                    <a:prstGeom prst="rect">
                      <a:avLst/>
                    </a:prstGeom>
                    <a:noFill/>
                    <a:ln>
                      <a:noFill/>
                    </a:ln>
                  </pic:spPr>
                </pic:pic>
              </a:graphicData>
            </a:graphic>
          </wp:inline>
        </w:drawing>
      </w:r>
      <w:r>
        <w:rPr>
          <w:kern w:val="0"/>
        </w:rPr>
        <w:fldChar w:fldCharType="end"/>
      </w:r>
      <w:r>
        <w:rPr>
          <w:kern w:val="0"/>
        </w:rPr>
        <w:fldChar w:fldCharType="end"/>
      </w:r>
      <w:r>
        <w:rPr>
          <w:kern w:val="0"/>
        </w:rPr>
        <w:fldChar w:fldCharType="end"/>
      </w:r>
      <w:r>
        <w:rPr>
          <w:kern w:val="0"/>
        </w:rPr>
        <w:fldChar w:fldCharType="end"/>
      </w:r>
    </w:p>
    <w:p>
      <w:pPr>
        <w:pStyle w:val="34"/>
        <w:rPr>
          <w:kern w:val="0"/>
        </w:rPr>
      </w:pPr>
      <w:r>
        <w:rPr>
          <w:rFonts w:hint="eastAsia"/>
          <w:kern w:val="0"/>
        </w:rPr>
        <w:t>4. 区间统计</w:t>
      </w:r>
    </w:p>
    <w:p>
      <w:pPr>
        <w:pStyle w:val="34"/>
        <w:rPr>
          <w:kern w:val="0"/>
        </w:rPr>
      </w:pPr>
      <w:r>
        <w:rPr>
          <w:rFonts w:hint="eastAsia"/>
          <w:kern w:val="0"/>
        </w:rPr>
        <w:t>可以显示各种区间统计数据</w:t>
      </w:r>
    </w:p>
    <w:p>
      <w:pPr>
        <w:pStyle w:val="34"/>
        <w:rPr>
          <w:kern w:val="0"/>
        </w:rPr>
      </w:pPr>
      <w:r>
        <w:rPr>
          <w:kern w:val="0"/>
        </w:rPr>
        <w:fldChar w:fldCharType="begin"/>
      </w:r>
      <w:r>
        <w:rPr>
          <w:kern w:val="0"/>
        </w:rPr>
        <w:instrText xml:space="preserve"> INCLUDEPICTURE  "https://www.tdx.com.cn/products/helpfile/tdxw/chm/%E7%AC%AC%E4%BA%8C%E7%AB%A0 %E5%8A%9F%E8%83%BD/2-3/5.png"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"https://www.tdx.com.cn/products/helpfile/tdxw/chm/%E7%AC%AC%E4%BA%8C%E7%AB%A0 %E5%8A%9F%E8%83%BD/2-3/5.png"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"https://www.tdx.com.cn/products/helpfile/tdxw/chm/%E7%AC%AC%E4%BA%8C%E7%AB%A0 %E5%8A%9F%E8%83%BD/2-3/5.png"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"https://www.tdx.com.cn/products/helpfile/tdxw/chm/%E7%AC%AC%E4%BA%8C%E7%AB%A0 %E5%8A%9F%E8%83%BD/2-3/5.png" \* MERGEFORMATINET </w:instrText>
      </w:r>
      <w:r>
        <w:rPr>
          <w:kern w:val="0"/>
        </w:rPr>
        <w:fldChar w:fldCharType="separate"/>
      </w:r>
      <w:r>
        <w:rPr>
          <w:kern w:val="0"/>
        </w:rPr>
        <w:drawing>
          <wp:inline distT="0" distB="0" distL="114300" distR="114300">
            <wp:extent cx="2905125" cy="3895725"/>
            <wp:effectExtent l="0" t="0" r="9525" b="9525"/>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81" r:link="rId82"/>
                    <a:stretch>
                      <a:fillRect/>
                    </a:stretch>
                  </pic:blipFill>
                  <pic:spPr>
                    <a:xfrm>
                      <a:off x="0" y="0"/>
                      <a:ext cx="2905125" cy="3895725"/>
                    </a:xfrm>
                    <a:prstGeom prst="rect">
                      <a:avLst/>
                    </a:prstGeom>
                    <a:noFill/>
                    <a:ln>
                      <a:noFill/>
                    </a:ln>
                  </pic:spPr>
                </pic:pic>
              </a:graphicData>
            </a:graphic>
          </wp:inline>
        </w:drawing>
      </w:r>
      <w:r>
        <w:rPr>
          <w:kern w:val="0"/>
        </w:rPr>
        <w:fldChar w:fldCharType="end"/>
      </w:r>
      <w:r>
        <w:rPr>
          <w:kern w:val="0"/>
        </w:rPr>
        <w:fldChar w:fldCharType="end"/>
      </w:r>
      <w:r>
        <w:rPr>
          <w:kern w:val="0"/>
        </w:rPr>
        <w:fldChar w:fldCharType="end"/>
      </w:r>
      <w:r>
        <w:rPr>
          <w:kern w:val="0"/>
        </w:rPr>
        <w:fldChar w:fldCharType="end"/>
      </w:r>
    </w:p>
    <w:p>
      <w:pPr>
        <w:pStyle w:val="34"/>
        <w:rPr>
          <w:kern w:val="0"/>
        </w:rPr>
      </w:pPr>
      <w:r>
        <w:rPr>
          <w:rFonts w:hint="eastAsia"/>
          <w:kern w:val="0"/>
        </w:rPr>
        <w:t>5. 历史同步回忆</w:t>
      </w:r>
    </w:p>
    <w:p>
      <w:pPr>
        <w:pStyle w:val="34"/>
        <w:rPr>
          <w:kern w:val="0"/>
        </w:rPr>
      </w:pPr>
      <w:r>
        <w:rPr>
          <w:rFonts w:hint="eastAsia"/>
          <w:kern w:val="0"/>
        </w:rPr>
        <w:t>用鼠标点在一只股票的某天图上键盘上点Enter可以看当天的分时图和数据</w:t>
      </w:r>
    </w:p>
    <w:p>
      <w:pPr>
        <w:pStyle w:val="34"/>
        <w:rPr>
          <w:kern w:val="0"/>
        </w:rPr>
      </w:pPr>
      <w:r>
        <w:rPr>
          <w:kern w:val="0"/>
        </w:rPr>
        <w:fldChar w:fldCharType="begin"/>
      </w:r>
      <w:r>
        <w:rPr>
          <w:kern w:val="0"/>
        </w:rPr>
        <w:instrText xml:space="preserve"> INCLUDEPICTURE  "https://www.tdx.com.cn/products/helpfile/tdxw/chm/%E7%AC%AC%E4%BA%8C%E7%AB%A0 %E5%8A%9F%E8%83%BD/2-3/6.png"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"https://www.tdx.com.cn/products/helpfile/tdxw/chm/%E7%AC%AC%E4%BA%8C%E7%AB%A0 %E5%8A%9F%E8%83%BD/2-3/6.png"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"https://www.tdx.com.cn/products/helpfile/tdxw/chm/%E7%AC%AC%E4%BA%8C%E7%AB%A0 %E5%8A%9F%E8%83%BD/2-3/6.png"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"https://www.tdx.com.cn/products/helpfile/tdxw/chm/%E7%AC%AC%E4%BA%8C%E7%AB%A0 %E5%8A%9F%E8%83%BD/2-3/6.png" \* MERGEFORMATINET </w:instrText>
      </w:r>
      <w:r>
        <w:rPr>
          <w:kern w:val="0"/>
        </w:rPr>
        <w:fldChar w:fldCharType="separate"/>
      </w:r>
      <w:r>
        <w:rPr>
          <w:kern w:val="0"/>
        </w:rPr>
        <w:drawing>
          <wp:inline distT="0" distB="0" distL="114300" distR="114300">
            <wp:extent cx="7534275" cy="5219700"/>
            <wp:effectExtent l="0" t="0" r="9525"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83" r:link="rId84"/>
                    <a:stretch>
                      <a:fillRect/>
                    </a:stretch>
                  </pic:blipFill>
                  <pic:spPr>
                    <a:xfrm>
                      <a:off x="0" y="0"/>
                      <a:ext cx="7534275" cy="5219700"/>
                    </a:xfrm>
                    <a:prstGeom prst="rect">
                      <a:avLst/>
                    </a:prstGeom>
                    <a:noFill/>
                    <a:ln>
                      <a:noFill/>
                    </a:ln>
                  </pic:spPr>
                </pic:pic>
              </a:graphicData>
            </a:graphic>
          </wp:inline>
        </w:drawing>
      </w:r>
      <w:r>
        <w:rPr>
          <w:kern w:val="0"/>
        </w:rPr>
        <w:fldChar w:fldCharType="end"/>
      </w:r>
      <w:r>
        <w:rPr>
          <w:kern w:val="0"/>
        </w:rPr>
        <w:fldChar w:fldCharType="end"/>
      </w:r>
      <w:r>
        <w:rPr>
          <w:kern w:val="0"/>
        </w:rPr>
        <w:fldChar w:fldCharType="end"/>
      </w:r>
      <w:r>
        <w:rPr>
          <w:kern w:val="0"/>
        </w:rPr>
        <w:fldChar w:fldCharType="end"/>
      </w:r>
    </w:p>
    <w:p>
      <w:pPr>
        <w:pStyle w:val="34"/>
        <w:rPr>
          <w:kern w:val="0"/>
        </w:rPr>
      </w:pPr>
      <w:r>
        <w:rPr>
          <w:rFonts w:hint="eastAsia"/>
          <w:kern w:val="0"/>
        </w:rPr>
        <w:t>6. 主图类型</w:t>
      </w:r>
    </w:p>
    <w:p>
      <w:pPr>
        <w:pStyle w:val="34"/>
        <w:rPr>
          <w:kern w:val="0"/>
        </w:rPr>
      </w:pPr>
      <w:r>
        <w:rPr>
          <w:rFonts w:hint="eastAsia"/>
          <w:kern w:val="0"/>
        </w:rPr>
        <w:t>可以让你设置不同的K线图如K、KR、BAR等</w:t>
      </w:r>
    </w:p>
    <w:p>
      <w:pPr>
        <w:pStyle w:val="34"/>
        <w:rPr>
          <w:kern w:val="0"/>
        </w:rPr>
      </w:pPr>
      <w:r>
        <w:rPr>
          <w:kern w:val="0"/>
        </w:rPr>
        <w:fldChar w:fldCharType="begin"/>
      </w:r>
      <w:r>
        <w:rPr>
          <w:kern w:val="0"/>
        </w:rPr>
        <w:instrText xml:space="preserve"> INCLUDEPICTURE  "https://www.tdx.com.cn/products/helpfile/tdxw/chm/%E7%AC%AC%E4%BA%8C%E7%AB%A0 %E5%8A%9F%E8%83%BD/2-3/7.png"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"https://www.tdx.com.cn/products/helpfile/tdxw/chm/%E7%AC%AC%E4%BA%8C%E7%AB%A0 %E5%8A%9F%E8%83%BD/2-3/7.png"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"https://www.tdx.com.cn/products/helpfile/tdxw/chm/%E7%AC%AC%E4%BA%8C%E7%AB%A0 %E5%8A%9F%E8%83%BD/2-3/7.png"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"https://www.tdx.com.cn/products/helpfile/tdxw/chm/%E7%AC%AC%E4%BA%8C%E7%AB%A0 %E5%8A%9F%E8%83%BD/2-3/7.png" \* MERGEFORMATINET </w:instrText>
      </w:r>
      <w:r>
        <w:rPr>
          <w:kern w:val="0"/>
        </w:rPr>
        <w:fldChar w:fldCharType="separate"/>
      </w:r>
      <w:r>
        <w:rPr>
          <w:kern w:val="0"/>
        </w:rPr>
        <w:drawing>
          <wp:inline distT="0" distB="0" distL="114300" distR="114300">
            <wp:extent cx="2276475" cy="2590800"/>
            <wp:effectExtent l="0" t="0" r="9525"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85" r:link="rId86"/>
                    <a:stretch>
                      <a:fillRect/>
                    </a:stretch>
                  </pic:blipFill>
                  <pic:spPr>
                    <a:xfrm>
                      <a:off x="0" y="0"/>
                      <a:ext cx="2276475" cy="2590800"/>
                    </a:xfrm>
                    <a:prstGeom prst="rect">
                      <a:avLst/>
                    </a:prstGeom>
                    <a:noFill/>
                    <a:ln>
                      <a:noFill/>
                    </a:ln>
                  </pic:spPr>
                </pic:pic>
              </a:graphicData>
            </a:graphic>
          </wp:inline>
        </w:drawing>
      </w:r>
      <w:r>
        <w:rPr>
          <w:kern w:val="0"/>
        </w:rPr>
        <w:fldChar w:fldCharType="end"/>
      </w:r>
      <w:r>
        <w:rPr>
          <w:kern w:val="0"/>
        </w:rPr>
        <w:fldChar w:fldCharType="end"/>
      </w:r>
      <w:r>
        <w:rPr>
          <w:kern w:val="0"/>
        </w:rPr>
        <w:fldChar w:fldCharType="end"/>
      </w:r>
      <w:r>
        <w:rPr>
          <w:kern w:val="0"/>
        </w:rPr>
        <w:fldChar w:fldCharType="end"/>
      </w:r>
    </w:p>
    <w:p>
      <w:pPr>
        <w:pStyle w:val="34"/>
        <w:rPr>
          <w:kern w:val="0"/>
        </w:rPr>
      </w:pPr>
      <w:r>
        <w:rPr>
          <w:rFonts w:hint="eastAsia"/>
          <w:kern w:val="0"/>
        </w:rPr>
        <w:t>7. 主图坐标</w:t>
      </w:r>
    </w:p>
    <w:p>
      <w:pPr>
        <w:pStyle w:val="34"/>
        <w:rPr>
          <w:kern w:val="0"/>
        </w:rPr>
      </w:pPr>
      <w:r>
        <w:rPr>
          <w:rFonts w:hint="eastAsia"/>
          <w:kern w:val="0"/>
        </w:rPr>
        <w:t>可以让你设置如普通、等比、等分等不同坐标</w:t>
      </w:r>
    </w:p>
    <w:p>
      <w:pPr>
        <w:pStyle w:val="34"/>
        <w:rPr>
          <w:kern w:val="0"/>
        </w:rPr>
      </w:pPr>
      <w:r>
        <w:rPr>
          <w:kern w:val="0"/>
        </w:rPr>
        <w:fldChar w:fldCharType="begin"/>
      </w:r>
      <w:r>
        <w:rPr>
          <w:kern w:val="0"/>
        </w:rPr>
        <w:instrText xml:space="preserve"> INCLUDEPICTURE  "https://www.tdx.com.cn/products/helpfile/tdxw/chm/%E7%AC%AC%E4%BA%8C%E7%AB%A0 %E5%8A%9F%E8%83%BD/2-3/8.png"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"https://www.tdx.com.cn/products/helpfile/tdxw/chm/%E7%AC%AC%E4%BA%8C%E7%AB%A0 %E5%8A%9F%E8%83%BD/2-3/8.png"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"https://www.tdx.com.cn/products/helpfile/tdxw/chm/%E7%AC%AC%E4%BA%8C%E7%AB%A0 %E5%8A%9F%E8%83%BD/2-3/8.png"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"https://www.tdx.com.cn/products/helpfile/tdxw/chm/%E7%AC%AC%E4%BA%8C%E7%AB%A0 %E5%8A%9F%E8%83%BD/2-3/8.png" \* MERGEFORMATINET </w:instrText>
      </w:r>
      <w:r>
        <w:rPr>
          <w:kern w:val="0"/>
        </w:rPr>
        <w:fldChar w:fldCharType="separate"/>
      </w:r>
      <w:r>
        <w:rPr>
          <w:kern w:val="0"/>
        </w:rPr>
        <w:drawing>
          <wp:inline distT="0" distB="0" distL="114300" distR="114300">
            <wp:extent cx="1352550" cy="2047875"/>
            <wp:effectExtent l="0" t="0" r="0" b="952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87" r:link="rId88"/>
                    <a:stretch>
                      <a:fillRect/>
                    </a:stretch>
                  </pic:blipFill>
                  <pic:spPr>
                    <a:xfrm>
                      <a:off x="0" y="0"/>
                      <a:ext cx="1352550" cy="2047875"/>
                    </a:xfrm>
                    <a:prstGeom prst="rect">
                      <a:avLst/>
                    </a:prstGeom>
                    <a:noFill/>
                    <a:ln>
                      <a:noFill/>
                    </a:ln>
                  </pic:spPr>
                </pic:pic>
              </a:graphicData>
            </a:graphic>
          </wp:inline>
        </w:drawing>
      </w:r>
      <w:r>
        <w:rPr>
          <w:kern w:val="0"/>
        </w:rPr>
        <w:fldChar w:fldCharType="end"/>
      </w:r>
      <w:r>
        <w:rPr>
          <w:kern w:val="0"/>
        </w:rPr>
        <w:fldChar w:fldCharType="end"/>
      </w:r>
      <w:r>
        <w:rPr>
          <w:kern w:val="0"/>
        </w:rPr>
        <w:fldChar w:fldCharType="end"/>
      </w:r>
      <w:r>
        <w:rPr>
          <w:kern w:val="0"/>
        </w:rPr>
        <w:fldChar w:fldCharType="end"/>
      </w:r>
    </w:p>
    <w:p>
      <w:pPr>
        <w:pStyle w:val="34"/>
        <w:rPr>
          <w:kern w:val="0"/>
        </w:rPr>
      </w:pPr>
      <w:r>
        <w:rPr>
          <w:rFonts w:hint="eastAsia"/>
          <w:kern w:val="0"/>
        </w:rPr>
        <w:t>8. 分析周期</w:t>
      </w:r>
    </w:p>
    <w:p>
      <w:pPr>
        <w:pStyle w:val="34"/>
        <w:rPr>
          <w:kern w:val="0"/>
        </w:rPr>
      </w:pPr>
      <w:r>
        <w:rPr>
          <w:rFonts w:hint="eastAsia"/>
          <w:kern w:val="0"/>
        </w:rPr>
        <w:t>可以显示分钟线日线周线月线等周期图</w:t>
      </w:r>
    </w:p>
    <w:p>
      <w:pPr>
        <w:pStyle w:val="34"/>
        <w:rPr>
          <w:kern w:val="0"/>
        </w:rPr>
      </w:pPr>
      <w:r>
        <w:rPr>
          <w:kern w:val="0"/>
        </w:rPr>
        <w:fldChar w:fldCharType="begin"/>
      </w:r>
      <w:r>
        <w:rPr>
          <w:kern w:val="0"/>
        </w:rPr>
        <w:instrText xml:space="preserve"> INCLUDEPICTURE  "https://www.tdx.com.cn/products/helpfile/tdxw/chm/%E7%AC%AC%E4%BA%8C%E7%AB%A0 %E5%8A%9F%E8%83%BD/2-3/9.png"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"https://www.tdx.com.cn/products/helpfile/tdxw/chm/%E7%AC%AC%E4%BA%8C%E7%AB%A0 %E5%8A%9F%E8%83%BD/2-3/9.png"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"https://www.tdx.com.cn/products/helpfile/tdxw/chm/%E7%AC%AC%E4%BA%8C%E7%AB%A0 %E5%8A%9F%E8%83%BD/2-3/9.png"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"https://www.tdx.com.cn/products/helpfile/tdxw/chm/%E7%AC%AC%E4%BA%8C%E7%AB%A0 %E5%8A%9F%E8%83%BD/2-3/9.png" \* MERGEFORMATINET </w:instrText>
      </w:r>
      <w:r>
        <w:rPr>
          <w:kern w:val="0"/>
        </w:rPr>
        <w:fldChar w:fldCharType="separate"/>
      </w:r>
      <w:r>
        <w:rPr>
          <w:kern w:val="0"/>
        </w:rPr>
        <w:drawing>
          <wp:inline distT="0" distB="0" distL="114300" distR="114300">
            <wp:extent cx="1085850" cy="3705225"/>
            <wp:effectExtent l="0" t="0" r="0" b="9525"/>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89" r:link="rId90"/>
                    <a:stretch>
                      <a:fillRect/>
                    </a:stretch>
                  </pic:blipFill>
                  <pic:spPr>
                    <a:xfrm>
                      <a:off x="0" y="0"/>
                      <a:ext cx="1085850" cy="3705225"/>
                    </a:xfrm>
                    <a:prstGeom prst="rect">
                      <a:avLst/>
                    </a:prstGeom>
                    <a:noFill/>
                    <a:ln>
                      <a:noFill/>
                    </a:ln>
                  </pic:spPr>
                </pic:pic>
              </a:graphicData>
            </a:graphic>
          </wp:inline>
        </w:drawing>
      </w:r>
      <w:r>
        <w:rPr>
          <w:kern w:val="0"/>
        </w:rPr>
        <w:fldChar w:fldCharType="end"/>
      </w:r>
      <w:r>
        <w:rPr>
          <w:kern w:val="0"/>
        </w:rPr>
        <w:fldChar w:fldCharType="end"/>
      </w:r>
      <w:r>
        <w:rPr>
          <w:kern w:val="0"/>
        </w:rPr>
        <w:fldChar w:fldCharType="end"/>
      </w:r>
      <w:r>
        <w:rPr>
          <w:kern w:val="0"/>
        </w:rPr>
        <w:fldChar w:fldCharType="end"/>
      </w:r>
    </w:p>
    <w:p>
      <w:pPr>
        <w:pStyle w:val="34"/>
        <w:rPr>
          <w:kern w:val="0"/>
        </w:rPr>
      </w:pPr>
      <w:r>
        <w:rPr>
          <w:rFonts w:hint="eastAsia"/>
          <w:kern w:val="0"/>
        </w:rPr>
        <w:t>9. 窗口个数</w:t>
      </w:r>
    </w:p>
    <w:p>
      <w:pPr>
        <w:pStyle w:val="34"/>
        <w:rPr>
          <w:kern w:val="0"/>
        </w:rPr>
      </w:pPr>
      <w:r>
        <w:rPr>
          <w:rFonts w:hint="eastAsia"/>
          <w:kern w:val="0"/>
        </w:rPr>
        <w:t>可以让你设置1、2、3等多个显示窗口</w:t>
      </w:r>
    </w:p>
    <w:p>
      <w:pPr>
        <w:pStyle w:val="34"/>
        <w:rPr>
          <w:kern w:val="0"/>
        </w:rPr>
      </w:pPr>
      <w:r>
        <w:rPr>
          <w:rFonts w:hint="eastAsia"/>
          <w:kern w:val="0"/>
        </w:rPr>
        <w:t>10. 复权处理</w:t>
      </w:r>
    </w:p>
    <w:p>
      <w:pPr>
        <w:pStyle w:val="34"/>
        <w:rPr>
          <w:kern w:val="0"/>
        </w:rPr>
      </w:pPr>
      <w:r>
        <w:rPr>
          <w:rFonts w:hint="eastAsia"/>
          <w:kern w:val="0"/>
        </w:rPr>
        <w:t>提供前复权、后复权让你更容易的看到股价的走势</w:t>
      </w:r>
    </w:p>
    <w:p>
      <w:pPr>
        <w:pStyle w:val="34"/>
        <w:rPr>
          <w:kern w:val="0"/>
        </w:rPr>
      </w:pPr>
      <w:r>
        <w:rPr>
          <w:rFonts w:hint="eastAsia"/>
          <w:kern w:val="0"/>
        </w:rPr>
        <w:t>11 画线工具</w:t>
      </w:r>
    </w:p>
    <w:p>
      <w:pPr>
        <w:pStyle w:val="34"/>
        <w:rPr>
          <w:kern w:val="0"/>
        </w:rPr>
      </w:pPr>
      <w:r>
        <w:rPr>
          <w:rFonts w:hint="eastAsia"/>
          <w:kern w:val="0"/>
        </w:rPr>
        <w:t>提供各种数据线供你分析。</w:t>
      </w:r>
    </w:p>
    <w:p>
      <w:pPr>
        <w:pStyle w:val="34"/>
        <w:rPr>
          <w:kern w:val="0"/>
        </w:rPr>
      </w:pPr>
      <w:r>
        <w:rPr>
          <w:rFonts w:hint="eastAsia"/>
          <w:kern w:val="0"/>
        </w:rPr>
        <w:t>如 </w:t>
      </w:r>
      <w:r>
        <w:rPr>
          <w:kern w:val="0"/>
        </w:rPr>
        <w:fldChar w:fldCharType="begin"/>
      </w:r>
      <w:r>
        <w:rPr>
          <w:kern w:val="0"/>
        </w:rPr>
        <w:instrText xml:space="preserve"> INCLUDEPICTURE  "https://www.tdx.com.cn/products/helpfile/tdxw/chm/%E7%AC%AC%E4%BA%8C%E7%AB%A0 %E5%8A%9F%E8%83%BD/2-3/untitled.jpg"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"https://www.tdx.com.cn/products/helpfile/tdxw/chm/%E7%AC%AC%E4%BA%8C%E7%AB%A0 %E5%8A%9F%E8%83%BD/2-3/untitled.jpg"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"https://www.tdx.com.cn/products/helpfile/tdxw/chm/%E7%AC%AC%E4%BA%8C%E7%AB%A0 %E5%8A%9F%E8%83%BD/2-3/untitled.jpg"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"https://www.tdx.com.cn/products/helpfile/tdxw/chm/%E7%AC%AC%E4%BA%8C%E7%AB%A0 %E5%8A%9F%E8%83%BD/2-3/untitled.jpg" \* MERGEFORMATINET </w:instrText>
      </w:r>
      <w:r>
        <w:rPr>
          <w:kern w:val="0"/>
        </w:rPr>
        <w:fldChar w:fldCharType="separate"/>
      </w:r>
      <w:r>
        <w:rPr>
          <w:kern w:val="0"/>
        </w:rPr>
        <w:drawing>
          <wp:inline distT="0" distB="0" distL="114300" distR="114300">
            <wp:extent cx="200025" cy="209550"/>
            <wp:effectExtent l="0" t="0" r="9525"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91" r:link="rId92"/>
                    <a:stretch>
                      <a:fillRect/>
                    </a:stretch>
                  </pic:blipFill>
                  <pic:spPr>
                    <a:xfrm>
                      <a:off x="0" y="0"/>
                      <a:ext cx="200025" cy="209550"/>
                    </a:xfrm>
                    <a:prstGeom prst="rect">
                      <a:avLst/>
                    </a:prstGeom>
                    <a:noFill/>
                    <a:ln>
                      <a:noFill/>
                    </a:ln>
                  </pic:spPr>
                </pic:pic>
              </a:graphicData>
            </a:graphic>
          </wp:inline>
        </w:drawing>
      </w:r>
      <w:r>
        <w:rPr>
          <w:kern w:val="0"/>
        </w:rPr>
        <w:fldChar w:fldCharType="end"/>
      </w:r>
      <w:r>
        <w:rPr>
          <w:kern w:val="0"/>
        </w:rPr>
        <w:fldChar w:fldCharType="end"/>
      </w:r>
      <w:r>
        <w:rPr>
          <w:kern w:val="0"/>
        </w:rPr>
        <w:fldChar w:fldCharType="end"/>
      </w:r>
      <w:r>
        <w:rPr>
          <w:kern w:val="0"/>
        </w:rPr>
        <w:fldChar w:fldCharType="end"/>
      </w:r>
      <w:r>
        <w:rPr>
          <w:rFonts w:hint="eastAsia"/>
          <w:kern w:val="0"/>
        </w:rPr>
        <w:t>可以让你平移画面，如A可以让你在画面中自由标记文字， 可以自己设置买点和卖点，标明自己当时为什么这样买为什么这样卖如上图。还可以标记特殊点让你从众多股票中选出你以前留意的。画线功能均用鼠标拖动进行，先在画线工具栏中选择画线类型（按下线型按钮），在画线起点处按下鼠标左键，拖动鼠标至画线终点，然后松开左键。画线完成以后，还可用鼠标拖动画线的起点或终点，改变画线方向；也可拖动整条画线，平行移动它可以方便地调整画线位置及角度。放大缩小画面不会对画线产生影响，画线永久记忆，除非用户强制删除。画线的颜色可自行选择和定义。</w:t>
      </w:r>
    </w:p>
    <w:p>
      <w:pPr>
        <w:pStyle w:val="34"/>
        <w:ind w:firstLine="540"/>
        <w:rPr>
          <w:kern w:val="0"/>
          <w:sz w:val="27"/>
          <w:szCs w:val="27"/>
        </w:rPr>
      </w:pPr>
      <w:r>
        <w:rPr>
          <w:kern w:val="0"/>
          <w:sz w:val="27"/>
          <w:szCs w:val="27"/>
        </w:rPr>
        <w:fldChar w:fldCharType="begin"/>
      </w:r>
      <w:r>
        <w:rPr>
          <w:kern w:val="0"/>
          <w:sz w:val="27"/>
          <w:szCs w:val="27"/>
        </w:rPr>
        <w:instrText xml:space="preserve"> INCLUDEPICTURE  "https://www.tdx.com.cn/products/helpfile/tdxw/chm/%E7%AC%AC%E4%BA%8C%E7%AB%A0 %E5%8A%9F%E8%83%BD/2-3/10.png" \* MERGEFORMATINET </w:instrText>
      </w:r>
      <w:r>
        <w:rPr>
          <w:kern w:val="0"/>
          <w:sz w:val="27"/>
          <w:szCs w:val="27"/>
        </w:rPr>
        <w:fldChar w:fldCharType="separate"/>
      </w:r>
      <w:r>
        <w:rPr>
          <w:kern w:val="0"/>
          <w:sz w:val="27"/>
          <w:szCs w:val="27"/>
        </w:rPr>
        <w:fldChar w:fldCharType="begin"/>
      </w:r>
      <w:r>
        <w:rPr>
          <w:kern w:val="0"/>
          <w:sz w:val="27"/>
          <w:szCs w:val="27"/>
        </w:rPr>
        <w:instrText xml:space="preserve"> INCLUDEPICTURE  "https://www.tdx.com.cn/products/helpfile/tdxw/chm/%E7%AC%AC%E4%BA%8C%E7%AB%A0 %E5%8A%9F%E8%83%BD/2-3/10.png" \* MERGEFORMATINET </w:instrText>
      </w:r>
      <w:r>
        <w:rPr>
          <w:kern w:val="0"/>
          <w:sz w:val="27"/>
          <w:szCs w:val="27"/>
        </w:rPr>
        <w:fldChar w:fldCharType="separate"/>
      </w:r>
      <w:r>
        <w:rPr>
          <w:kern w:val="0"/>
          <w:sz w:val="27"/>
          <w:szCs w:val="27"/>
        </w:rPr>
        <w:fldChar w:fldCharType="begin"/>
      </w:r>
      <w:r>
        <w:rPr>
          <w:kern w:val="0"/>
          <w:sz w:val="27"/>
          <w:szCs w:val="27"/>
        </w:rPr>
        <w:instrText xml:space="preserve"> INCLUDEPICTURE  "https://www.tdx.com.cn/products/helpfile/tdxw/chm/%E7%AC%AC%E4%BA%8C%E7%AB%A0 %E5%8A%9F%E8%83%BD/2-3/10.png" \* MERGEFORMATINET </w:instrText>
      </w:r>
      <w:r>
        <w:rPr>
          <w:kern w:val="0"/>
          <w:sz w:val="27"/>
          <w:szCs w:val="27"/>
        </w:rPr>
        <w:fldChar w:fldCharType="separate"/>
      </w:r>
      <w:r>
        <w:rPr>
          <w:kern w:val="0"/>
          <w:sz w:val="27"/>
          <w:szCs w:val="27"/>
        </w:rPr>
        <w:fldChar w:fldCharType="begin"/>
      </w:r>
      <w:r>
        <w:rPr>
          <w:kern w:val="0"/>
          <w:sz w:val="27"/>
          <w:szCs w:val="27"/>
        </w:rPr>
        <w:instrText xml:space="preserve"> INCLUDEPICTURE  "https://www.tdx.com.cn/products/helpfile/tdxw/chm/%E7%AC%AC%E4%BA%8C%E7%AB%A0 %E5%8A%9F%E8%83%BD/2-3/10.png" \* MERGEFORMATINET </w:instrText>
      </w:r>
      <w:r>
        <w:rPr>
          <w:kern w:val="0"/>
          <w:sz w:val="27"/>
          <w:szCs w:val="27"/>
        </w:rPr>
        <w:fldChar w:fldCharType="separate"/>
      </w:r>
      <w:r>
        <w:rPr>
          <w:kern w:val="0"/>
          <w:sz w:val="27"/>
          <w:szCs w:val="27"/>
        </w:rPr>
        <w:drawing>
          <wp:inline distT="0" distB="0" distL="114300" distR="114300">
            <wp:extent cx="6962775" cy="4829175"/>
            <wp:effectExtent l="0" t="0" r="9525" b="9525"/>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93" r:link="rId94"/>
                    <a:stretch>
                      <a:fillRect/>
                    </a:stretch>
                  </pic:blipFill>
                  <pic:spPr>
                    <a:xfrm>
                      <a:off x="0" y="0"/>
                      <a:ext cx="6962775" cy="4829175"/>
                    </a:xfrm>
                    <a:prstGeom prst="rect">
                      <a:avLst/>
                    </a:prstGeom>
                    <a:noFill/>
                    <a:ln>
                      <a:noFill/>
                    </a:ln>
                  </pic:spPr>
                </pic:pic>
              </a:graphicData>
            </a:graphic>
          </wp:inline>
        </w:drawing>
      </w:r>
      <w:r>
        <w:rPr>
          <w:kern w:val="0"/>
          <w:sz w:val="27"/>
          <w:szCs w:val="27"/>
        </w:rPr>
        <w:fldChar w:fldCharType="end"/>
      </w:r>
      <w:r>
        <w:rPr>
          <w:kern w:val="0"/>
          <w:sz w:val="27"/>
          <w:szCs w:val="27"/>
        </w:rPr>
        <w:fldChar w:fldCharType="end"/>
      </w:r>
      <w:r>
        <w:rPr>
          <w:kern w:val="0"/>
          <w:sz w:val="27"/>
          <w:szCs w:val="27"/>
        </w:rPr>
        <w:fldChar w:fldCharType="end"/>
      </w:r>
      <w:r>
        <w:rPr>
          <w:kern w:val="0"/>
          <w:sz w:val="27"/>
          <w:szCs w:val="27"/>
        </w:rPr>
        <w:fldChar w:fldCharType="end"/>
      </w:r>
    </w:p>
    <w:p>
      <w:pPr>
        <w:pStyle w:val="34"/>
        <w:rPr>
          <w:kern w:val="0"/>
        </w:rPr>
      </w:pPr>
      <w:r>
        <w:rPr>
          <w:rFonts w:hint="eastAsia"/>
          <w:kern w:val="0"/>
        </w:rPr>
        <w:t>12.多周期同列</w:t>
      </w:r>
    </w:p>
    <w:p>
      <w:pPr>
        <w:pStyle w:val="34"/>
        <w:ind w:firstLine="540"/>
        <w:rPr>
          <w:kern w:val="0"/>
          <w:sz w:val="27"/>
          <w:szCs w:val="27"/>
        </w:rPr>
      </w:pPr>
      <w:r>
        <w:rPr>
          <w:kern w:val="0"/>
          <w:sz w:val="27"/>
          <w:szCs w:val="27"/>
        </w:rPr>
        <w:fldChar w:fldCharType="begin"/>
      </w:r>
      <w:r>
        <w:rPr>
          <w:kern w:val="0"/>
          <w:sz w:val="27"/>
          <w:szCs w:val="27"/>
        </w:rPr>
        <w:instrText xml:space="preserve"> INCLUDEPICTURE  "https://www.tdx.com.cn/products/helpfile/tdxw/chm/%E7%AC%AC%E4%BA%8C%E7%AB%A0 %E5%8A%9F%E8%83%BD/2-3/11.png" \* MERGEFORMATINET </w:instrText>
      </w:r>
      <w:r>
        <w:rPr>
          <w:kern w:val="0"/>
          <w:sz w:val="27"/>
          <w:szCs w:val="27"/>
        </w:rPr>
        <w:fldChar w:fldCharType="separate"/>
      </w:r>
      <w:r>
        <w:rPr>
          <w:kern w:val="0"/>
          <w:sz w:val="27"/>
          <w:szCs w:val="27"/>
        </w:rPr>
        <w:fldChar w:fldCharType="begin"/>
      </w:r>
      <w:r>
        <w:rPr>
          <w:kern w:val="0"/>
          <w:sz w:val="27"/>
          <w:szCs w:val="27"/>
        </w:rPr>
        <w:instrText xml:space="preserve"> INCLUDEPICTURE  "https://www.tdx.com.cn/products/helpfile/tdxw/chm/%E7%AC%AC%E4%BA%8C%E7%AB%A0 %E5%8A%9F%E8%83%BD/2-3/11.png" \* MERGEFORMATINET </w:instrText>
      </w:r>
      <w:r>
        <w:rPr>
          <w:kern w:val="0"/>
          <w:sz w:val="27"/>
          <w:szCs w:val="27"/>
        </w:rPr>
        <w:fldChar w:fldCharType="separate"/>
      </w:r>
      <w:r>
        <w:rPr>
          <w:kern w:val="0"/>
          <w:sz w:val="27"/>
          <w:szCs w:val="27"/>
        </w:rPr>
        <w:fldChar w:fldCharType="begin"/>
      </w:r>
      <w:r>
        <w:rPr>
          <w:kern w:val="0"/>
          <w:sz w:val="27"/>
          <w:szCs w:val="27"/>
        </w:rPr>
        <w:instrText xml:space="preserve"> INCLUDEPICTURE  "https://www.tdx.com.cn/products/helpfile/tdxw/chm/%E7%AC%AC%E4%BA%8C%E7%AB%A0 %E5%8A%9F%E8%83%BD/2-3/11.png" \* MERGEFORMATINET </w:instrText>
      </w:r>
      <w:r>
        <w:rPr>
          <w:kern w:val="0"/>
          <w:sz w:val="27"/>
          <w:szCs w:val="27"/>
        </w:rPr>
        <w:fldChar w:fldCharType="separate"/>
      </w:r>
      <w:r>
        <w:rPr>
          <w:kern w:val="0"/>
          <w:sz w:val="27"/>
          <w:szCs w:val="27"/>
        </w:rPr>
        <w:fldChar w:fldCharType="begin"/>
      </w:r>
      <w:r>
        <w:rPr>
          <w:kern w:val="0"/>
          <w:sz w:val="27"/>
          <w:szCs w:val="27"/>
        </w:rPr>
        <w:instrText xml:space="preserve"> INCLUDEPICTURE  "https://www.tdx.com.cn/products/helpfile/tdxw/chm/%E7%AC%AC%E4%BA%8C%E7%AB%A0 %E5%8A%9F%E8%83%BD/2-3/11.png" \* MERGEFORMATINET </w:instrText>
      </w:r>
      <w:r>
        <w:rPr>
          <w:kern w:val="0"/>
          <w:sz w:val="27"/>
          <w:szCs w:val="27"/>
        </w:rPr>
        <w:fldChar w:fldCharType="separate"/>
      </w:r>
      <w:r>
        <w:rPr>
          <w:kern w:val="0"/>
          <w:sz w:val="27"/>
          <w:szCs w:val="27"/>
        </w:rPr>
        <w:drawing>
          <wp:inline distT="0" distB="0" distL="114300" distR="114300">
            <wp:extent cx="6724650" cy="2828925"/>
            <wp:effectExtent l="0" t="0" r="0" b="9525"/>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95" r:link="rId96"/>
                    <a:stretch>
                      <a:fillRect/>
                    </a:stretch>
                  </pic:blipFill>
                  <pic:spPr>
                    <a:xfrm>
                      <a:off x="0" y="0"/>
                      <a:ext cx="6724650" cy="2828925"/>
                    </a:xfrm>
                    <a:prstGeom prst="rect">
                      <a:avLst/>
                    </a:prstGeom>
                    <a:noFill/>
                    <a:ln>
                      <a:noFill/>
                    </a:ln>
                  </pic:spPr>
                </pic:pic>
              </a:graphicData>
            </a:graphic>
          </wp:inline>
        </w:drawing>
      </w:r>
      <w:r>
        <w:rPr>
          <w:kern w:val="0"/>
          <w:sz w:val="27"/>
          <w:szCs w:val="27"/>
        </w:rPr>
        <w:fldChar w:fldCharType="end"/>
      </w:r>
      <w:r>
        <w:rPr>
          <w:kern w:val="0"/>
          <w:sz w:val="27"/>
          <w:szCs w:val="27"/>
        </w:rPr>
        <w:fldChar w:fldCharType="end"/>
      </w:r>
      <w:r>
        <w:rPr>
          <w:kern w:val="0"/>
          <w:sz w:val="27"/>
          <w:szCs w:val="27"/>
        </w:rPr>
        <w:fldChar w:fldCharType="end"/>
      </w:r>
      <w:r>
        <w:rPr>
          <w:kern w:val="0"/>
          <w:sz w:val="27"/>
          <w:szCs w:val="27"/>
        </w:rPr>
        <w:fldChar w:fldCharType="end"/>
      </w:r>
    </w:p>
    <w:p>
      <w:pPr>
        <w:pStyle w:val="34"/>
        <w:ind w:firstLine="540"/>
        <w:rPr>
          <w:kern w:val="0"/>
          <w:sz w:val="27"/>
          <w:szCs w:val="27"/>
        </w:rPr>
      </w:pPr>
      <w:r>
        <w:rPr>
          <w:kern w:val="0"/>
          <w:sz w:val="27"/>
          <w:szCs w:val="27"/>
        </w:rPr>
        <w:fldChar w:fldCharType="begin"/>
      </w:r>
      <w:r>
        <w:rPr>
          <w:kern w:val="0"/>
          <w:sz w:val="27"/>
          <w:szCs w:val="27"/>
        </w:rPr>
        <w:instrText xml:space="preserve"> INCLUDEPICTURE  "https://www.tdx.com.cn/products/helpfile/tdxw/chm/%E7%AC%AC%E4%BA%8C%E7%AB%A0 %E5%8A%9F%E8%83%BD/2-3/12.png" \* MERGEFORMATINET </w:instrText>
      </w:r>
      <w:r>
        <w:rPr>
          <w:kern w:val="0"/>
          <w:sz w:val="27"/>
          <w:szCs w:val="27"/>
        </w:rPr>
        <w:fldChar w:fldCharType="separate"/>
      </w:r>
      <w:r>
        <w:rPr>
          <w:kern w:val="0"/>
          <w:sz w:val="27"/>
          <w:szCs w:val="27"/>
        </w:rPr>
        <w:fldChar w:fldCharType="begin"/>
      </w:r>
      <w:r>
        <w:rPr>
          <w:kern w:val="0"/>
          <w:sz w:val="27"/>
          <w:szCs w:val="27"/>
        </w:rPr>
        <w:instrText xml:space="preserve"> INCLUDEPICTURE  "https://www.tdx.com.cn/products/helpfile/tdxw/chm/%E7%AC%AC%E4%BA%8C%E7%AB%A0 %E5%8A%9F%E8%83%BD/2-3/12.png" \* MERGEFORMATINET </w:instrText>
      </w:r>
      <w:r>
        <w:rPr>
          <w:kern w:val="0"/>
          <w:sz w:val="27"/>
          <w:szCs w:val="27"/>
        </w:rPr>
        <w:fldChar w:fldCharType="separate"/>
      </w:r>
      <w:r>
        <w:rPr>
          <w:kern w:val="0"/>
          <w:sz w:val="27"/>
          <w:szCs w:val="27"/>
        </w:rPr>
        <w:fldChar w:fldCharType="begin"/>
      </w:r>
      <w:r>
        <w:rPr>
          <w:kern w:val="0"/>
          <w:sz w:val="27"/>
          <w:szCs w:val="27"/>
        </w:rPr>
        <w:instrText xml:space="preserve"> INCLUDEPICTURE  "https://www.tdx.com.cn/products/helpfile/tdxw/chm/%E7%AC%AC%E4%BA%8C%E7%AB%A0 %E5%8A%9F%E8%83%BD/2-3/12.png" \* MERGEFORMATINET </w:instrText>
      </w:r>
      <w:r>
        <w:rPr>
          <w:kern w:val="0"/>
          <w:sz w:val="27"/>
          <w:szCs w:val="27"/>
        </w:rPr>
        <w:fldChar w:fldCharType="separate"/>
      </w:r>
      <w:r>
        <w:rPr>
          <w:kern w:val="0"/>
          <w:sz w:val="27"/>
          <w:szCs w:val="27"/>
        </w:rPr>
        <w:fldChar w:fldCharType="begin"/>
      </w:r>
      <w:r>
        <w:rPr>
          <w:kern w:val="0"/>
          <w:sz w:val="27"/>
          <w:szCs w:val="27"/>
        </w:rPr>
        <w:instrText xml:space="preserve"> INCLUDEPICTURE  "https://www.tdx.com.cn/products/helpfile/tdxw/chm/%E7%AC%AC%E4%BA%8C%E7%AB%A0 %E5%8A%9F%E8%83%BD/2-3/12.png" \* MERGEFORMATINET </w:instrText>
      </w:r>
      <w:r>
        <w:rPr>
          <w:kern w:val="0"/>
          <w:sz w:val="27"/>
          <w:szCs w:val="27"/>
        </w:rPr>
        <w:fldChar w:fldCharType="separate"/>
      </w:r>
      <w:r>
        <w:rPr>
          <w:kern w:val="0"/>
          <w:sz w:val="27"/>
          <w:szCs w:val="27"/>
        </w:rPr>
        <w:drawing>
          <wp:inline distT="0" distB="0" distL="114300" distR="114300">
            <wp:extent cx="6410325" cy="3771900"/>
            <wp:effectExtent l="0" t="0" r="9525"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97" r:link="rId98"/>
                    <a:stretch>
                      <a:fillRect/>
                    </a:stretch>
                  </pic:blipFill>
                  <pic:spPr>
                    <a:xfrm>
                      <a:off x="0" y="0"/>
                      <a:ext cx="6410325" cy="3771900"/>
                    </a:xfrm>
                    <a:prstGeom prst="rect">
                      <a:avLst/>
                    </a:prstGeom>
                    <a:noFill/>
                    <a:ln>
                      <a:noFill/>
                    </a:ln>
                  </pic:spPr>
                </pic:pic>
              </a:graphicData>
            </a:graphic>
          </wp:inline>
        </w:drawing>
      </w:r>
      <w:r>
        <w:rPr>
          <w:kern w:val="0"/>
          <w:sz w:val="27"/>
          <w:szCs w:val="27"/>
        </w:rPr>
        <w:fldChar w:fldCharType="end"/>
      </w:r>
      <w:r>
        <w:rPr>
          <w:kern w:val="0"/>
          <w:sz w:val="27"/>
          <w:szCs w:val="27"/>
        </w:rPr>
        <w:fldChar w:fldCharType="end"/>
      </w:r>
      <w:r>
        <w:rPr>
          <w:kern w:val="0"/>
          <w:sz w:val="27"/>
          <w:szCs w:val="27"/>
        </w:rPr>
        <w:fldChar w:fldCharType="end"/>
      </w:r>
      <w:r>
        <w:rPr>
          <w:kern w:val="0"/>
          <w:sz w:val="27"/>
          <w:szCs w:val="27"/>
        </w:rPr>
        <w:fldChar w:fldCharType="end"/>
      </w:r>
    </w:p>
    <w:p>
      <w:pPr>
        <w:pStyle w:val="34"/>
        <w:rPr>
          <w:kern w:val="0"/>
        </w:rPr>
      </w:pPr>
      <w:r>
        <w:rPr>
          <w:rFonts w:hint="eastAsia"/>
          <w:kern w:val="0"/>
        </w:rPr>
        <w:t>13指标模板</w:t>
      </w:r>
    </w:p>
    <w:p>
      <w:pPr>
        <w:pStyle w:val="34"/>
        <w:rPr>
          <w:kern w:val="0"/>
        </w:rPr>
      </w:pPr>
      <w:r>
        <w:rPr>
          <w:rFonts w:hint="eastAsia"/>
          <w:kern w:val="0"/>
        </w:rPr>
        <w:t>菜单分为两部分上面的“指标模板管理”“当前组合另存为模板”“当前品种绑定到模板”“取消当期品种绑定”（只可以在被绑定的证券的时候才可用其他时候此菜单为灰不可用）；下面的是系统默认的三种指标模板（MACD基本、DDE决策、SUP决策、资金决策）和用户自定义的其他的指标模板。</w:t>
      </w:r>
    </w:p>
    <w:p>
      <w:pPr>
        <w:pStyle w:val="34"/>
        <w:ind w:firstLine="540"/>
        <w:rPr>
          <w:kern w:val="0"/>
          <w:sz w:val="27"/>
          <w:szCs w:val="27"/>
        </w:rPr>
      </w:pPr>
      <w:r>
        <w:rPr>
          <w:kern w:val="0"/>
          <w:sz w:val="27"/>
          <w:szCs w:val="27"/>
        </w:rPr>
        <w:fldChar w:fldCharType="begin"/>
      </w:r>
      <w:r>
        <w:rPr>
          <w:kern w:val="0"/>
          <w:sz w:val="27"/>
          <w:szCs w:val="27"/>
        </w:rPr>
        <w:instrText xml:space="preserve"> INCLUDEPICTURE  "https://www.tdx.com.cn/products/helpfile/tdxw/chm/%E7%AC%AC%E4%BA%8C%E7%AB%A0 %E5%8A%9F%E8%83%BD/2-3/12.1.png" \* MERGEFORMATINET </w:instrText>
      </w:r>
      <w:r>
        <w:rPr>
          <w:kern w:val="0"/>
          <w:sz w:val="27"/>
          <w:szCs w:val="27"/>
        </w:rPr>
        <w:fldChar w:fldCharType="separate"/>
      </w:r>
      <w:r>
        <w:rPr>
          <w:kern w:val="0"/>
          <w:sz w:val="27"/>
          <w:szCs w:val="27"/>
        </w:rPr>
        <w:fldChar w:fldCharType="begin"/>
      </w:r>
      <w:r>
        <w:rPr>
          <w:kern w:val="0"/>
          <w:sz w:val="27"/>
          <w:szCs w:val="27"/>
        </w:rPr>
        <w:instrText xml:space="preserve"> INCLUDEPICTURE  "https://www.tdx.com.cn/products/helpfile/tdxw/chm/%E7%AC%AC%E4%BA%8C%E7%AB%A0 %E5%8A%9F%E8%83%BD/2-3/12.1.png" \* MERGEFORMATINET </w:instrText>
      </w:r>
      <w:r>
        <w:rPr>
          <w:kern w:val="0"/>
          <w:sz w:val="27"/>
          <w:szCs w:val="27"/>
        </w:rPr>
        <w:fldChar w:fldCharType="separate"/>
      </w:r>
      <w:r>
        <w:rPr>
          <w:kern w:val="0"/>
          <w:sz w:val="27"/>
          <w:szCs w:val="27"/>
        </w:rPr>
        <w:fldChar w:fldCharType="begin"/>
      </w:r>
      <w:r>
        <w:rPr>
          <w:kern w:val="0"/>
          <w:sz w:val="27"/>
          <w:szCs w:val="27"/>
        </w:rPr>
        <w:instrText xml:space="preserve"> INCLUDEPICTURE  "https://www.tdx.com.cn/products/helpfile/tdxw/chm/%E7%AC%AC%E4%BA%8C%E7%AB%A0 %E5%8A%9F%E8%83%BD/2-3/12.1.png" \* MERGEFORMATINET </w:instrText>
      </w:r>
      <w:r>
        <w:rPr>
          <w:kern w:val="0"/>
          <w:sz w:val="27"/>
          <w:szCs w:val="27"/>
        </w:rPr>
        <w:fldChar w:fldCharType="separate"/>
      </w:r>
      <w:r>
        <w:rPr>
          <w:kern w:val="0"/>
          <w:sz w:val="27"/>
          <w:szCs w:val="27"/>
        </w:rPr>
        <w:fldChar w:fldCharType="begin"/>
      </w:r>
      <w:r>
        <w:rPr>
          <w:kern w:val="0"/>
          <w:sz w:val="27"/>
          <w:szCs w:val="27"/>
        </w:rPr>
        <w:instrText xml:space="preserve"> INCLUDEPICTURE  "https://www.tdx.com.cn/products/helpfile/tdxw/chm/%E7%AC%AC%E4%BA%8C%E7%AB%A0 %E5%8A%9F%E8%83%BD/2-3/12.1.png" \* MERGEFORMATINET </w:instrText>
      </w:r>
      <w:r>
        <w:rPr>
          <w:kern w:val="0"/>
          <w:sz w:val="27"/>
          <w:szCs w:val="27"/>
        </w:rPr>
        <w:fldChar w:fldCharType="separate"/>
      </w:r>
      <w:r>
        <w:rPr>
          <w:kern w:val="0"/>
          <w:sz w:val="27"/>
          <w:szCs w:val="27"/>
        </w:rPr>
        <w:drawing>
          <wp:inline distT="0" distB="0" distL="114300" distR="114300">
            <wp:extent cx="6762750" cy="4152900"/>
            <wp:effectExtent l="0" t="0" r="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pic:cNvPicPr>
                  </pic:nvPicPr>
                  <pic:blipFill>
                    <a:blip r:embed="rId99" r:link="rId100"/>
                    <a:stretch>
                      <a:fillRect/>
                    </a:stretch>
                  </pic:blipFill>
                  <pic:spPr>
                    <a:xfrm>
                      <a:off x="0" y="0"/>
                      <a:ext cx="6762750" cy="4152900"/>
                    </a:xfrm>
                    <a:prstGeom prst="rect">
                      <a:avLst/>
                    </a:prstGeom>
                    <a:noFill/>
                    <a:ln>
                      <a:noFill/>
                    </a:ln>
                  </pic:spPr>
                </pic:pic>
              </a:graphicData>
            </a:graphic>
          </wp:inline>
        </w:drawing>
      </w:r>
      <w:r>
        <w:rPr>
          <w:kern w:val="0"/>
          <w:sz w:val="27"/>
          <w:szCs w:val="27"/>
        </w:rPr>
        <w:fldChar w:fldCharType="end"/>
      </w:r>
      <w:r>
        <w:rPr>
          <w:kern w:val="0"/>
          <w:sz w:val="27"/>
          <w:szCs w:val="27"/>
        </w:rPr>
        <w:fldChar w:fldCharType="end"/>
      </w:r>
      <w:r>
        <w:rPr>
          <w:kern w:val="0"/>
          <w:sz w:val="27"/>
          <w:szCs w:val="27"/>
        </w:rPr>
        <w:fldChar w:fldCharType="end"/>
      </w:r>
      <w:r>
        <w:rPr>
          <w:kern w:val="0"/>
          <w:sz w:val="27"/>
          <w:szCs w:val="27"/>
        </w:rPr>
        <w:fldChar w:fldCharType="end"/>
      </w:r>
    </w:p>
    <w:p>
      <w:pPr>
        <w:pStyle w:val="34"/>
        <w:rPr>
          <w:kern w:val="0"/>
        </w:rPr>
      </w:pPr>
      <w:r>
        <w:rPr>
          <w:rFonts w:hint="eastAsia"/>
          <w:kern w:val="0"/>
        </w:rPr>
        <w:t>TIP： </w:t>
      </w:r>
    </w:p>
    <w:p>
      <w:pPr>
        <w:pStyle w:val="34"/>
        <w:rPr>
          <w:kern w:val="0"/>
        </w:rPr>
      </w:pPr>
      <w:r>
        <w:rPr>
          <w:rFonts w:hint="eastAsia"/>
          <w:kern w:val="0"/>
        </w:rPr>
        <w:t>叠加品种（主图坐标—百分比坐标的解释）： </w:t>
      </w:r>
    </w:p>
    <w:p>
      <w:pPr>
        <w:pStyle w:val="34"/>
        <w:rPr>
          <w:kern w:val="0"/>
        </w:rPr>
      </w:pPr>
      <w:r>
        <w:rPr>
          <w:rFonts w:hint="eastAsia"/>
          <w:kern w:val="0"/>
        </w:rPr>
        <w:t>首先股价和大盘指数的数值在大小上有很大的差别在普通坐标中是无法同时显示的； </w:t>
      </w:r>
    </w:p>
    <w:p>
      <w:pPr>
        <w:pStyle w:val="34"/>
        <w:rPr>
          <w:kern w:val="0"/>
        </w:rPr>
      </w:pPr>
      <w:r>
        <w:rPr>
          <w:rFonts w:hint="eastAsia"/>
          <w:kern w:val="0"/>
        </w:rPr>
        <w:t>其次百分比坐标可以达到叠加品种对比查看的作用； </w:t>
      </w:r>
    </w:p>
    <w:p>
      <w:pPr>
        <w:pStyle w:val="34"/>
        <w:rPr>
          <w:kern w:val="0"/>
        </w:rPr>
      </w:pPr>
      <w:r>
        <w:rPr>
          <w:rFonts w:hint="eastAsia"/>
          <w:kern w:val="0"/>
        </w:rPr>
        <w:t>最后百分比坐标就是以K线的最左边那天K线的开盘数值作为纵轴的0%这根标准平行线的，其他的价格或指数值，都是与此品种此天的开盘比较所得的百分比来画出K线的。这时候的K线反应的都是相对于最左边那个K线的涨跌趋势的。</w:t>
      </w:r>
    </w:p>
    <w:p>
      <w:pPr>
        <w:pStyle w:val="34"/>
        <w:rPr>
          <w:kern w:val="0"/>
        </w:rPr>
      </w:pPr>
      <w:r>
        <w:rPr>
          <w:rFonts w:hint="eastAsia"/>
          <w:kern w:val="0"/>
        </w:rPr>
        <w:t>复权处理： </w:t>
      </w:r>
    </w:p>
    <w:p>
      <w:pPr>
        <w:pStyle w:val="34"/>
        <w:rPr>
          <w:kern w:val="0"/>
        </w:rPr>
      </w:pPr>
      <w:r>
        <w:rPr>
          <w:rFonts w:hint="eastAsia"/>
          <w:kern w:val="0"/>
        </w:rPr>
        <w:t>前复权：复权后的价格值=（复权前的价格-每股分红现金+配股比例*配股价格）/（1+配股比例+送股比例）（从除权除息的前一日开始往前复权 不含除权除息日） </w:t>
      </w:r>
    </w:p>
    <w:p>
      <w:pPr>
        <w:pStyle w:val="34"/>
        <w:rPr>
          <w:kern w:val="0"/>
        </w:rPr>
      </w:pPr>
      <w:r>
        <w:rPr>
          <w:rFonts w:hint="eastAsia"/>
          <w:kern w:val="0"/>
        </w:rPr>
        <w:t>后复权：复权后的价格值=复权前的价格*（1+配股比例+送股比例）-配股比例*配股价格+每股分红的现金 （从除权除息日开始向后复权，含除权除息日） </w:t>
      </w:r>
    </w:p>
    <w:p>
      <w:pPr>
        <w:pStyle w:val="34"/>
        <w:rPr>
          <w:kern w:val="0"/>
        </w:rPr>
      </w:pPr>
      <w:r>
        <w:rPr>
          <w:rFonts w:hint="eastAsia"/>
          <w:kern w:val="0"/>
        </w:rPr>
        <w:t>定点复权：和前复权和后复权相似，只是在选择日期前提下选择是前复权还是后复权。</w:t>
      </w:r>
    </w:p>
    <w:p>
      <w:pPr>
        <w:pStyle w:val="34"/>
        <w:rPr>
          <w:kern w:val="0"/>
        </w:rPr>
      </w:pPr>
      <w:r>
        <w:rPr>
          <w:rFonts w:hint="eastAsia"/>
          <w:kern w:val="0"/>
        </w:rPr>
        <w:t>锁定随动分析区：此功能使随移动鼠标到不同日期的K线时就变化的功能区不再跟着移动鼠标时而变化。是用于锁定"随时分析区"的。"随时分析区"指的是右边的移动筹码分布、主力风向标（Level2收费版）等功能，如果打开此选项，当在日K线上移动鼠标或用左右箭头时，这些功能中的数据不随之进行变化。</w:t>
      </w:r>
    </w:p>
    <w:p>
      <w:pPr>
        <w:pStyle w:val="34"/>
        <w:rPr>
          <w:kern w:val="0"/>
        </w:rPr>
      </w:pPr>
      <w:r>
        <w:rPr>
          <w:rFonts w:hint="eastAsia"/>
          <w:kern w:val="0"/>
        </w:rPr>
        <w:t> </w:t>
      </w:r>
    </w:p>
    <w:p>
      <w:pPr>
        <w:pStyle w:val="34"/>
      </w:pPr>
      <w:r>
        <w:rPr>
          <w:rFonts w:hint="eastAsia"/>
        </w:rPr>
        <w:t>附：基金中的ETF基金：通过将上证50指数与ETF的叠加对比，把握折价、溢价关系变化，捕捉更多套利机会 。</w:t>
      </w:r>
    </w:p>
    <w:p>
      <w:pPr>
        <w:pStyle w:val="34"/>
        <w:ind w:firstLine="540"/>
        <w:rPr>
          <w:kern w:val="0"/>
          <w:sz w:val="27"/>
          <w:szCs w:val="27"/>
        </w:rPr>
      </w:pPr>
      <w:r>
        <w:rPr>
          <w:kern w:val="0"/>
          <w:sz w:val="27"/>
          <w:szCs w:val="27"/>
        </w:rPr>
        <w:fldChar w:fldCharType="begin"/>
      </w:r>
      <w:r>
        <w:rPr>
          <w:kern w:val="0"/>
          <w:sz w:val="27"/>
          <w:szCs w:val="27"/>
        </w:rPr>
        <w:instrText xml:space="preserve"> INCLUDEPICTURE  "https://www.tdx.com.cn/products/helpfile/tdxw/chm/%E7%AC%AC%E4%BA%8C%E7%AB%A0 %E5%8A%9F%E8%83%BD/2-3/13.png" \* MERGEFORMATINET </w:instrText>
      </w:r>
      <w:r>
        <w:rPr>
          <w:kern w:val="0"/>
          <w:sz w:val="27"/>
          <w:szCs w:val="27"/>
        </w:rPr>
        <w:fldChar w:fldCharType="separate"/>
      </w:r>
      <w:r>
        <w:rPr>
          <w:kern w:val="0"/>
          <w:sz w:val="27"/>
          <w:szCs w:val="27"/>
        </w:rPr>
        <w:fldChar w:fldCharType="begin"/>
      </w:r>
      <w:r>
        <w:rPr>
          <w:kern w:val="0"/>
          <w:sz w:val="27"/>
          <w:szCs w:val="27"/>
        </w:rPr>
        <w:instrText xml:space="preserve"> INCLUDEPICTURE  "https://www.tdx.com.cn/products/helpfile/tdxw/chm/%E7%AC%AC%E4%BA%8C%E7%AB%A0 %E5%8A%9F%E8%83%BD/2-3/13.png" \* MERGEFORMATINET </w:instrText>
      </w:r>
      <w:r>
        <w:rPr>
          <w:kern w:val="0"/>
          <w:sz w:val="27"/>
          <w:szCs w:val="27"/>
        </w:rPr>
        <w:fldChar w:fldCharType="separate"/>
      </w:r>
      <w:r>
        <w:rPr>
          <w:kern w:val="0"/>
          <w:sz w:val="27"/>
          <w:szCs w:val="27"/>
        </w:rPr>
        <w:fldChar w:fldCharType="begin"/>
      </w:r>
      <w:r>
        <w:rPr>
          <w:kern w:val="0"/>
          <w:sz w:val="27"/>
          <w:szCs w:val="27"/>
        </w:rPr>
        <w:instrText xml:space="preserve"> INCLUDEPICTURE  "https://www.tdx.com.cn/products/helpfile/tdxw/chm/%E7%AC%AC%E4%BA%8C%E7%AB%A0 %E5%8A%9F%E8%83%BD/2-3/13.png" \* MERGEFORMATINET </w:instrText>
      </w:r>
      <w:r>
        <w:rPr>
          <w:kern w:val="0"/>
          <w:sz w:val="27"/>
          <w:szCs w:val="27"/>
        </w:rPr>
        <w:fldChar w:fldCharType="separate"/>
      </w:r>
      <w:r>
        <w:rPr>
          <w:kern w:val="0"/>
          <w:sz w:val="27"/>
          <w:szCs w:val="27"/>
        </w:rPr>
        <w:fldChar w:fldCharType="begin"/>
      </w:r>
      <w:r>
        <w:rPr>
          <w:kern w:val="0"/>
          <w:sz w:val="27"/>
          <w:szCs w:val="27"/>
        </w:rPr>
        <w:instrText xml:space="preserve"> INCLUDEPICTURE  "https://www.tdx.com.cn/products/helpfile/tdxw/chm/%E7%AC%AC%E4%BA%8C%E7%AB%A0 %E5%8A%9F%E8%83%BD/2-3/13.png" \* MERGEFORMATINET </w:instrText>
      </w:r>
      <w:r>
        <w:rPr>
          <w:kern w:val="0"/>
          <w:sz w:val="27"/>
          <w:szCs w:val="27"/>
        </w:rPr>
        <w:fldChar w:fldCharType="separate"/>
      </w:r>
      <w:r>
        <w:rPr>
          <w:kern w:val="0"/>
          <w:sz w:val="27"/>
          <w:szCs w:val="27"/>
        </w:rPr>
        <w:drawing>
          <wp:inline distT="0" distB="0" distL="114300" distR="114300">
            <wp:extent cx="7677150" cy="6086475"/>
            <wp:effectExtent l="0" t="0" r="0" b="9525"/>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101" r:link="rId102"/>
                    <a:stretch>
                      <a:fillRect/>
                    </a:stretch>
                  </pic:blipFill>
                  <pic:spPr>
                    <a:xfrm>
                      <a:off x="0" y="0"/>
                      <a:ext cx="7677150" cy="6086475"/>
                    </a:xfrm>
                    <a:prstGeom prst="rect">
                      <a:avLst/>
                    </a:prstGeom>
                    <a:noFill/>
                    <a:ln>
                      <a:noFill/>
                    </a:ln>
                  </pic:spPr>
                </pic:pic>
              </a:graphicData>
            </a:graphic>
          </wp:inline>
        </w:drawing>
      </w:r>
      <w:r>
        <w:rPr>
          <w:kern w:val="0"/>
          <w:sz w:val="27"/>
          <w:szCs w:val="27"/>
        </w:rPr>
        <w:fldChar w:fldCharType="end"/>
      </w:r>
      <w:r>
        <w:rPr>
          <w:kern w:val="0"/>
          <w:sz w:val="27"/>
          <w:szCs w:val="27"/>
        </w:rPr>
        <w:fldChar w:fldCharType="end"/>
      </w:r>
      <w:r>
        <w:rPr>
          <w:kern w:val="0"/>
          <w:sz w:val="27"/>
          <w:szCs w:val="27"/>
        </w:rPr>
        <w:fldChar w:fldCharType="end"/>
      </w:r>
      <w:r>
        <w:rPr>
          <w:kern w:val="0"/>
          <w:sz w:val="27"/>
          <w:szCs w:val="27"/>
        </w:rPr>
        <w:fldChar w:fldCharType="end"/>
      </w:r>
    </w:p>
    <w:p>
      <w:pPr>
        <w:pStyle w:val="34"/>
        <w:rPr>
          <w:kern w:val="0"/>
        </w:rPr>
      </w:pPr>
      <w:r>
        <w:rPr>
          <w:rFonts w:hint="eastAsia"/>
          <w:kern w:val="0"/>
        </w:rPr>
        <w:t>IOPV（Indicative Optimized Portfolio Value）是ETF的参考性基金单位净值，计算方法是由上海证券交易所根据基金管理人每日提供的申购赎回清单，按照清单内一篮子股票的最新成交价格计算。IOPV值每15秒计算并公告一次，作为对ETF基金单位净值的估计。 </w:t>
      </w:r>
    </w:p>
    <w:p>
      <w:pPr>
        <w:pStyle w:val="34"/>
        <w:rPr>
          <w:kern w:val="0"/>
        </w:rPr>
      </w:pPr>
      <w:r>
        <w:rPr>
          <w:rFonts w:hint="eastAsia"/>
          <w:kern w:val="0"/>
        </w:rPr>
        <w:t>昨PV:上个交易日最后的IOPV值 </w:t>
      </w:r>
    </w:p>
    <w:p>
      <w:pPr>
        <w:pStyle w:val="34"/>
        <w:rPr>
          <w:kern w:val="0"/>
        </w:rPr>
      </w:pPr>
      <w:r>
        <w:rPr>
          <w:rFonts w:hint="eastAsia"/>
          <w:kern w:val="0"/>
        </w:rPr>
        <w:t>PV涨跌:即是当时IOPV的涨跌价 </w:t>
      </w:r>
    </w:p>
    <w:p>
      <w:pPr>
        <w:pStyle w:val="34"/>
        <w:rPr>
          <w:kern w:val="0"/>
        </w:rPr>
      </w:pPr>
      <w:r>
        <w:rPr>
          <w:rFonts w:hint="eastAsia"/>
          <w:kern w:val="0"/>
        </w:rPr>
        <w:t>PV幅度:即是当时IOPV的涨跌幅度 </w:t>
      </w:r>
    </w:p>
    <w:p>
      <w:pPr>
        <w:pStyle w:val="34"/>
        <w:rPr>
          <w:kern w:val="0"/>
        </w:rPr>
      </w:pPr>
      <w:r>
        <w:rPr>
          <w:rFonts w:hint="eastAsia"/>
          <w:kern w:val="0"/>
        </w:rPr>
        <w:t>折溢价: 二级市场转让价-IOPV </w:t>
      </w:r>
    </w:p>
    <w:p>
      <w:pPr>
        <w:pStyle w:val="34"/>
        <w:rPr>
          <w:kern w:val="0"/>
        </w:rPr>
      </w:pPr>
      <w:r>
        <w:rPr>
          <w:rFonts w:hint="eastAsia"/>
          <w:kern w:val="0"/>
        </w:rPr>
        <w:t>折溢率: (二级市场转让价-IOPV)*100/IOPV </w:t>
      </w:r>
    </w:p>
    <w:p>
      <w:pPr>
        <w:pStyle w:val="34"/>
        <w:rPr>
          <w:kern w:val="0"/>
        </w:rPr>
      </w:pPr>
      <w:r>
        <w:rPr>
          <w:rFonts w:hint="eastAsia"/>
          <w:kern w:val="0"/>
        </w:rPr>
        <w:t>分笔成交中的0.919/918+ 表示当时成交时的二级市场的价格是0.919,当时申购续回的价格(IOPV)是0.918,后面的'+'号表示是溢价成交(即二级市场的价大于IOPV)</w:t>
      </w:r>
    </w:p>
    <w:p>
      <w:pPr>
        <w:pStyle w:val="3"/>
      </w:pPr>
      <w:bookmarkStart w:id="13" w:name="_Toc90646132"/>
      <w:r>
        <w:rPr>
          <w:rFonts w:hint="eastAsia"/>
        </w:rPr>
        <w:t>多股同列</w:t>
      </w:r>
      <w:bookmarkEnd w:id="13"/>
    </w:p>
    <w:p>
      <w:pPr>
        <w:pStyle w:val="34"/>
      </w:pPr>
      <w:r>
        <w:rPr>
          <w:rFonts w:hint="eastAsia"/>
        </w:rPr>
        <w:t>快捷方式： ▲ 点击工具栏动态图标按钮 </w:t>
      </w:r>
      <w:r>
        <w:fldChar w:fldCharType="begin"/>
      </w:r>
      <w:r>
        <w:instrText xml:space="preserve"> INCLUDEPICTURE  "https://www.tdx.com.cn/products/helpfile/tdxw/chm/%E7%AC%AC%E4%BA%8C%E7%AB%A0 %E5%8A%9F%E8%83%BD/2-4/1.png" \* MERGEFORMATINET </w:instrText>
      </w:r>
      <w:r>
        <w:fldChar w:fldCharType="separate"/>
      </w:r>
      <w:r>
        <w:fldChar w:fldCharType="begin"/>
      </w:r>
      <w:r>
        <w:instrText xml:space="preserve"> INCLUDEPICTURE  "https://www.tdx.com.cn/products/helpfile/tdxw/chm/%E7%AC%AC%E4%BA%8C%E7%AB%A0 %E5%8A%9F%E8%83%BD/2-4/1.png" \* MERGEFORMATINET </w:instrText>
      </w:r>
      <w:r>
        <w:fldChar w:fldCharType="separate"/>
      </w:r>
      <w:r>
        <w:fldChar w:fldCharType="begin"/>
      </w:r>
      <w:r>
        <w:instrText xml:space="preserve"> INCLUDEPICTURE  "https://www.tdx.com.cn/products/helpfile/tdxw/chm/%E7%AC%AC%E4%BA%8C%E7%AB%A0 %E5%8A%9F%E8%83%BD/2-4/1.png" \* MERGEFORMATINET </w:instrText>
      </w:r>
      <w:r>
        <w:fldChar w:fldCharType="separate"/>
      </w:r>
      <w:r>
        <w:fldChar w:fldCharType="begin"/>
      </w:r>
      <w:r>
        <w:instrText xml:space="preserve"> INCLUDEPICTURE  "https://www.tdx.com.cn/products/helpfile/tdxw/chm/%E7%AC%AC%E4%BA%8C%E7%AB%A0 %E5%8A%9F%E8%83%BD/2-4/1.png" \* MERGEFORMATINET </w:instrText>
      </w:r>
      <w:r>
        <w:fldChar w:fldCharType="separate"/>
      </w:r>
      <w:r>
        <w:drawing>
          <wp:inline distT="0" distB="0" distL="114300" distR="114300">
            <wp:extent cx="266700" cy="295275"/>
            <wp:effectExtent l="0" t="0" r="0" b="9525"/>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pic:cNvPicPr>
                  </pic:nvPicPr>
                  <pic:blipFill>
                    <a:blip r:embed="rId103" r:link="rId104"/>
                    <a:stretch>
                      <a:fillRect/>
                    </a:stretch>
                  </pic:blipFill>
                  <pic:spPr>
                    <a:xfrm>
                      <a:off x="0" y="0"/>
                      <a:ext cx="266700" cy="295275"/>
                    </a:xfrm>
                    <a:prstGeom prst="rect">
                      <a:avLst/>
                    </a:prstGeom>
                    <a:noFill/>
                    <a:ln>
                      <a:noFill/>
                    </a:ln>
                  </pic:spPr>
                </pic:pic>
              </a:graphicData>
            </a:graphic>
          </wp:inline>
        </w:drawing>
      </w:r>
      <w:r>
        <w:fldChar w:fldCharType="end"/>
      </w:r>
      <w:r>
        <w:fldChar w:fldCharType="end"/>
      </w:r>
      <w:r>
        <w:fldChar w:fldCharType="end"/>
      </w:r>
      <w:r>
        <w:fldChar w:fldCharType="end"/>
      </w:r>
      <w:r>
        <w:rPr>
          <w:rFonts w:hint="eastAsia"/>
        </w:rPr>
        <w:t>；▲ 鼠标移至分析图右上角变成嵌套小方框时单击</w:t>
      </w:r>
    </w:p>
    <w:p>
      <w:pPr>
        <w:pStyle w:val="34"/>
      </w:pPr>
      <w:r>
        <w:rPr>
          <w:rFonts w:hint="eastAsia"/>
        </w:rPr>
        <w:t>多股同列可同时显示同周期下多只证券、某证券多种周期或某证券实时走势，每个子图显示一只证券或某个周期的价量走势，方便您同时观察多只证券或多个周期。</w:t>
      </w:r>
    </w:p>
    <w:p>
      <w:pPr>
        <w:pStyle w:val="34"/>
      </w:pPr>
      <w:r>
        <w:rPr>
          <w:rFonts w:hint="eastAsia"/>
        </w:rPr>
        <w:t>右上角窗口中可设定显示数量。同时新版的多股同列/多周期同列也支持多种坐标类型，当分时图中的坐标选择百分比坐标时，进入到多股同列/多周期同列那么这些小界面的显示坐标同主K线界面选定的坐标类型一致；多股同列/多周期同列支持右键；多股同列支持双纵轴和F8切换周期。</w:t>
      </w:r>
    </w:p>
    <w:p>
      <w:pPr>
        <w:pStyle w:val="34"/>
      </w:pPr>
      <w:r>
        <w:fldChar w:fldCharType="begin"/>
      </w:r>
      <w:r>
        <w:instrText xml:space="preserve"> INCLUDEPICTURE  "https://www.tdx.com.cn/products/helpfile/tdxw/chm/%E7%AC%AC%E4%BA%8C%E7%AB%A0 %E5%8A%9F%E8%83%BD/2-4/2.png" \* MERGEFORMATINET </w:instrText>
      </w:r>
      <w:r>
        <w:fldChar w:fldCharType="separate"/>
      </w:r>
      <w:r>
        <w:fldChar w:fldCharType="begin"/>
      </w:r>
      <w:r>
        <w:instrText xml:space="preserve"> INCLUDEPICTURE  "https://www.tdx.com.cn/products/helpfile/tdxw/chm/%E7%AC%AC%E4%BA%8C%E7%AB%A0 %E5%8A%9F%E8%83%BD/2-4/2.png" \* MERGEFORMATINET </w:instrText>
      </w:r>
      <w:r>
        <w:fldChar w:fldCharType="separate"/>
      </w:r>
      <w:r>
        <w:fldChar w:fldCharType="begin"/>
      </w:r>
      <w:r>
        <w:instrText xml:space="preserve"> INCLUDEPICTURE  "https://www.tdx.com.cn/products/helpfile/tdxw/chm/%E7%AC%AC%E4%BA%8C%E7%AB%A0 %E5%8A%9F%E8%83%BD/2-4/2.png" \* MERGEFORMATINET </w:instrText>
      </w:r>
      <w:r>
        <w:fldChar w:fldCharType="separate"/>
      </w:r>
      <w:r>
        <w:fldChar w:fldCharType="begin"/>
      </w:r>
      <w:r>
        <w:instrText xml:space="preserve"> INCLUDEPICTURE  "https://www.tdx.com.cn/products/helpfile/tdxw/chm/%E7%AC%AC%E4%BA%8C%E7%AB%A0 %E5%8A%9F%E8%83%BD/2-4/2.png" \* MERGEFORMATINET </w:instrText>
      </w:r>
      <w:r>
        <w:fldChar w:fldCharType="separate"/>
      </w:r>
      <w:r>
        <w:drawing>
          <wp:inline distT="0" distB="0" distL="114300" distR="114300">
            <wp:extent cx="7210425" cy="4257675"/>
            <wp:effectExtent l="0" t="0" r="9525" b="9525"/>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pic:cNvPicPr>
                  </pic:nvPicPr>
                  <pic:blipFill>
                    <a:blip r:embed="rId105" r:link="rId106"/>
                    <a:stretch>
                      <a:fillRect/>
                    </a:stretch>
                  </pic:blipFill>
                  <pic:spPr>
                    <a:xfrm>
                      <a:off x="0" y="0"/>
                      <a:ext cx="7210425" cy="4257675"/>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按〖PageUp〗和〖PageDown〗可前后翻页快速浏览。 </w:t>
      </w:r>
    </w:p>
    <w:p>
      <w:pPr>
        <w:pStyle w:val="34"/>
      </w:pPr>
      <w:r>
        <w:rPr>
          <w:rFonts w:hint="eastAsia"/>
        </w:rPr>
        <w:t>按〖↑〗、〖↓〗可实现图形放大缩小，即改变显示天数。 </w:t>
      </w:r>
    </w:p>
    <w:p>
      <w:pPr>
        <w:pStyle w:val="34"/>
      </w:pPr>
      <w:r>
        <w:rPr>
          <w:rFonts w:hint="eastAsia"/>
        </w:rPr>
        <w:t>按〖Esc〗回到单股图形显示模式，或者双击任何一个小窗放大至满屏，对其进行单股分析。 </w:t>
      </w:r>
    </w:p>
    <w:p>
      <w:pPr>
        <w:pStyle w:val="34"/>
      </w:pPr>
      <w:r>
        <w:rPr>
          <w:rFonts w:hint="eastAsia"/>
        </w:rPr>
        <w:t>使用快捷键〖Ctrl〗＋〖M〗可快速地在多图同列和单图间进行切换。</w:t>
      </w:r>
    </w:p>
    <w:p>
      <w:pPr>
        <w:pStyle w:val="34"/>
      </w:pPr>
      <w:r>
        <w:rPr>
          <w:rFonts w:hint="eastAsia"/>
        </w:rPr>
        <w:t>按〖Esc〗，即可回到证券列表。如果是全屏显示模式，则第一次按〖Esc〗首先取消全屏显示模式。</w:t>
      </w:r>
    </w:p>
    <w:p>
      <w:pPr>
        <w:pStyle w:val="34"/>
      </w:pPr>
      <w:r>
        <w:rPr>
          <w:rFonts w:hint="eastAsia"/>
        </w:rPr>
        <w:t>注意：查看61、63、67排名报表，回车进入分析图，〖Ctrl〗+〖M〗进行多股同列翻页至报表第二页时，多图同列显示的是股票代码排序的方式进行； 如果要查看原来排序：61、63、67打开涨跌幅排序表，多翻几页后，再翻回第一页，然后进行多图同列操作，翻页到排序表的第二页时，多图顺序不会改变。</w:t>
      </w:r>
    </w:p>
    <w:p>
      <w:pPr>
        <w:pStyle w:val="3"/>
      </w:pPr>
      <w:bookmarkStart w:id="14" w:name="_Toc90646133"/>
      <w:r>
        <w:rPr>
          <w:rFonts w:hint="eastAsia"/>
        </w:rPr>
        <w:t>定制品种</w:t>
      </w:r>
      <w:bookmarkEnd w:id="14"/>
    </w:p>
    <w:p>
      <w:pPr>
        <w:pStyle w:val="34"/>
      </w:pPr>
      <w:r>
        <w:rPr>
          <w:rFonts w:hint="eastAsia"/>
        </w:rPr>
        <w:t>定制品功分为三大部分，组合品种管理，外部品种管理与退市品种管理三部分，下面分别说明。 </w:t>
      </w:r>
    </w:p>
    <w:p>
      <w:pPr>
        <w:pStyle w:val="4"/>
      </w:pPr>
      <w:r>
        <w:rPr>
          <w:rFonts w:hint="eastAsia"/>
        </w:rPr>
        <w:t>组合品种管理</w:t>
      </w:r>
    </w:p>
    <w:p>
      <w:pPr>
        <w:pStyle w:val="34"/>
      </w:pPr>
      <w:r>
        <w:drawing>
          <wp:inline distT="0" distB="0" distL="114300" distR="114300">
            <wp:extent cx="3124200" cy="4057650"/>
            <wp:effectExtent l="0" t="0" r="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pic:cNvPicPr>
                  </pic:nvPicPr>
                  <pic:blipFill>
                    <a:blip r:embed="rId107"/>
                    <a:stretch>
                      <a:fillRect/>
                    </a:stretch>
                  </pic:blipFill>
                  <pic:spPr>
                    <a:xfrm>
                      <a:off x="0" y="0"/>
                      <a:ext cx="3124200" cy="4057650"/>
                    </a:xfrm>
                    <a:prstGeom prst="rect">
                      <a:avLst/>
                    </a:prstGeom>
                    <a:noFill/>
                    <a:ln>
                      <a:noFill/>
                    </a:ln>
                  </pic:spPr>
                </pic:pic>
              </a:graphicData>
            </a:graphic>
          </wp:inline>
        </w:drawing>
      </w:r>
    </w:p>
    <w:p>
      <w:pPr>
        <w:pStyle w:val="34"/>
      </w:pPr>
      <w:r>
        <w:rPr>
          <w:rFonts w:hint="eastAsia"/>
        </w:rPr>
        <w:t>注意事项： 注意下载完整盘后日线数据，目前只支持日线及以上周期。</w:t>
      </w:r>
    </w:p>
    <w:p>
      <w:pPr>
        <w:pStyle w:val="34"/>
      </w:pPr>
      <w:r>
        <w:rPr>
          <w:rFonts w:hint="eastAsia"/>
        </w:rPr>
        <w:t>功能调出： 功能——定制品种——组合品种管理。</w:t>
      </w:r>
    </w:p>
    <w:p>
      <w:pPr>
        <w:pStyle w:val="34"/>
      </w:pPr>
      <w:r>
        <w:rPr>
          <w:rFonts w:hint="eastAsia"/>
        </w:rPr>
        <w:t>功能说明：定制品种主要为解决行业指数的问题或是自定义指数的问题 , 可以把用户所选的股票进行一定的加权处理 , 定制出用户自己的指数品种出来。</w:t>
      </w:r>
    </w:p>
    <w:p>
      <w:pPr>
        <w:pStyle w:val="34"/>
      </w:pPr>
      <w:r>
        <w:rPr>
          <w:rFonts w:hint="eastAsia"/>
        </w:rPr>
        <w:t>新增品种如下图：</w:t>
      </w:r>
    </w:p>
    <w:p>
      <w:pPr>
        <w:pStyle w:val="34"/>
      </w:pPr>
      <w:r>
        <w:fldChar w:fldCharType="begin"/>
      </w:r>
      <w:r>
        <w:instrText xml:space="preserve"> INCLUDEPICTURE  "https://www.tdx.com.cn/products/helpfile/tdxw/chm/%E7%AC%AC%E4%BA%8C%E7%AB%A0 %E5%8A%9F%E8%83%BD/2-5/2.png" \* MERGEFORMATINET </w:instrText>
      </w:r>
      <w:r>
        <w:fldChar w:fldCharType="separate"/>
      </w:r>
      <w:r>
        <w:fldChar w:fldCharType="begin"/>
      </w:r>
      <w:r>
        <w:instrText xml:space="preserve"> INCLUDEPICTURE  "https://www.tdx.com.cn/products/helpfile/tdxw/chm/%E7%AC%AC%E4%BA%8C%E7%AB%A0 %E5%8A%9F%E8%83%BD/2-5/2.png" \* MERGEFORMATINET </w:instrText>
      </w:r>
      <w:r>
        <w:fldChar w:fldCharType="separate"/>
      </w:r>
      <w:r>
        <w:fldChar w:fldCharType="begin"/>
      </w:r>
      <w:r>
        <w:instrText xml:space="preserve"> INCLUDEPICTURE  "https://www.tdx.com.cn/products/helpfile/tdxw/chm/%E7%AC%AC%E4%BA%8C%E7%AB%A0 %E5%8A%9F%E8%83%BD/2-5/2.png" \* MERGEFORMATINET </w:instrText>
      </w:r>
      <w:r>
        <w:fldChar w:fldCharType="separate"/>
      </w:r>
      <w:r>
        <w:fldChar w:fldCharType="begin"/>
      </w:r>
      <w:r>
        <w:instrText xml:space="preserve"> INCLUDEPICTURE  "https://www.tdx.com.cn/products/helpfile/tdxw/chm/%E7%AC%AC%E4%BA%8C%E7%AB%A0 %E5%8A%9F%E8%83%BD/2-5/2.png" \* MERGEFORMATINET </w:instrText>
      </w:r>
      <w:r>
        <w:fldChar w:fldCharType="separate"/>
      </w:r>
      <w:r>
        <w:drawing>
          <wp:inline distT="0" distB="0" distL="114300" distR="114300">
            <wp:extent cx="3181350" cy="3257550"/>
            <wp:effectExtent l="0" t="0" r="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108" r:link="rId109"/>
                    <a:stretch>
                      <a:fillRect/>
                    </a:stretch>
                  </pic:blipFill>
                  <pic:spPr>
                    <a:xfrm>
                      <a:off x="0" y="0"/>
                      <a:ext cx="3181350" cy="3257550"/>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输入品种代码，品种简称，基准日期，基准数值；选择加权类型，并点击“新增证券”加入组合品种的成份股，点击“确定”设置完成；设置完成后，可以通过“全部计算”或“重新计算”进行数据刷新；查看组合品种时，输入品种代码回车进行查看。</w:t>
      </w:r>
    </w:p>
    <w:p>
      <w:pPr>
        <w:pStyle w:val="4"/>
      </w:pPr>
      <w:r>
        <w:rPr>
          <w:rFonts w:hint="eastAsia"/>
        </w:rPr>
        <w:t>外部品种管理</w:t>
      </w:r>
    </w:p>
    <w:p>
      <w:pPr>
        <w:pStyle w:val="34"/>
      </w:pPr>
      <w:r>
        <w:drawing>
          <wp:inline distT="0" distB="0" distL="114300" distR="114300">
            <wp:extent cx="3390900" cy="4429125"/>
            <wp:effectExtent l="0" t="0" r="0" b="9525"/>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icPr>
                  <pic:blipFill>
                    <a:blip r:embed="rId110"/>
                    <a:stretch>
                      <a:fillRect/>
                    </a:stretch>
                  </pic:blipFill>
                  <pic:spPr>
                    <a:xfrm>
                      <a:off x="0" y="0"/>
                      <a:ext cx="3390900" cy="4429125"/>
                    </a:xfrm>
                    <a:prstGeom prst="rect">
                      <a:avLst/>
                    </a:prstGeom>
                    <a:noFill/>
                    <a:ln>
                      <a:noFill/>
                    </a:ln>
                  </pic:spPr>
                </pic:pic>
              </a:graphicData>
            </a:graphic>
          </wp:inline>
        </w:drawing>
      </w:r>
    </w:p>
    <w:p>
      <w:pPr>
        <w:pStyle w:val="34"/>
      </w:pPr>
      <w:r>
        <w:rPr>
          <w:rFonts w:hint="eastAsia"/>
        </w:rPr>
        <w:t>注意事项：导入的文本文件的内容必须符合数据字段格式。</w:t>
      </w:r>
    </w:p>
    <w:p>
      <w:pPr>
        <w:pStyle w:val="34"/>
      </w:pPr>
      <w:r>
        <w:rPr>
          <w:rFonts w:hint="eastAsia"/>
        </w:rPr>
        <w:t>功能调出： 功能—— 定制品种——外部品种管理。</w:t>
      </w:r>
    </w:p>
    <w:p>
      <w:pPr>
        <w:pStyle w:val="34"/>
      </w:pPr>
      <w:r>
        <w:rPr>
          <w:rFonts w:hint="eastAsia"/>
        </w:rPr>
        <w:t>功能说明：外部品种管理可把用户按特定格式录入的数据在客户端软件中以 K 线形式展示出来。</w:t>
      </w:r>
    </w:p>
    <w:p>
      <w:pPr>
        <w:pStyle w:val="34"/>
      </w:pPr>
      <w:r>
        <w:rPr>
          <w:rFonts w:hint="eastAsia"/>
        </w:rPr>
        <w:t>新增品种如下图：</w:t>
      </w:r>
    </w:p>
    <w:p>
      <w:pPr>
        <w:pStyle w:val="34"/>
      </w:pPr>
      <w:r>
        <w:fldChar w:fldCharType="begin"/>
      </w:r>
      <w:r>
        <w:instrText xml:space="preserve"> INCLUDEPICTURE  "https://www.tdx.com.cn/products/helpfile/tdxw/chm/%E7%AC%AC%E4%BA%8C%E7%AB%A0 %E5%8A%9F%E8%83%BD/2-5/4.png" \* MERGEFORMATINET </w:instrText>
      </w:r>
      <w:r>
        <w:fldChar w:fldCharType="separate"/>
      </w:r>
      <w:r>
        <w:fldChar w:fldCharType="begin"/>
      </w:r>
      <w:r>
        <w:instrText xml:space="preserve"> INCLUDEPICTURE  "https://www.tdx.com.cn/products/helpfile/tdxw/chm/%E7%AC%AC%E4%BA%8C%E7%AB%A0 %E5%8A%9F%E8%83%BD/2-5/4.png" \* MERGEFORMATINET </w:instrText>
      </w:r>
      <w:r>
        <w:fldChar w:fldCharType="separate"/>
      </w:r>
      <w:r>
        <w:fldChar w:fldCharType="begin"/>
      </w:r>
      <w:r>
        <w:instrText xml:space="preserve"> INCLUDEPICTURE  "https://www.tdx.com.cn/products/helpfile/tdxw/chm/%E7%AC%AC%E4%BA%8C%E7%AB%A0 %E5%8A%9F%E8%83%BD/2-5/4.png" \* MERGEFORMATINET </w:instrText>
      </w:r>
      <w:r>
        <w:fldChar w:fldCharType="separate"/>
      </w:r>
      <w:r>
        <w:fldChar w:fldCharType="begin"/>
      </w:r>
      <w:r>
        <w:instrText xml:space="preserve"> INCLUDEPICTURE  "https://www.tdx.com.cn/products/helpfile/tdxw/chm/%E7%AC%AC%E4%BA%8C%E7%AB%A0 %E5%8A%9F%E8%83%BD/2-5/4.png" \* MERGEFORMATINET </w:instrText>
      </w:r>
      <w:r>
        <w:fldChar w:fldCharType="separate"/>
      </w:r>
      <w:r>
        <w:drawing>
          <wp:inline distT="0" distB="0" distL="114300" distR="114300">
            <wp:extent cx="4076700" cy="4495800"/>
            <wp:effectExtent l="0" t="0" r="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111" r:link="rId112"/>
                    <a:stretch>
                      <a:fillRect/>
                    </a:stretch>
                  </pic:blipFill>
                  <pic:spPr>
                    <a:xfrm>
                      <a:off x="0" y="0"/>
                      <a:ext cx="4076700" cy="4495800"/>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输入品种代码，品种简称，日期格式；设定好成交量导入后的比例，字段间的间隔符，数据字段格式（不需要的字段选择无效跳过）；选择自己制定的外部数据文件 (.txt 格式 ) 导入。导入无误后，输入品种代码回车，可以查看外部数据的 K 线图。</w:t>
      </w:r>
    </w:p>
    <w:p>
      <w:pPr>
        <w:pStyle w:val="4"/>
      </w:pPr>
      <w:r>
        <w:rPr>
          <w:rFonts w:hint="eastAsia"/>
        </w:rPr>
        <w:t>退市品种管理</w:t>
      </w:r>
    </w:p>
    <w:p>
      <w:pPr>
        <w:pStyle w:val="34"/>
      </w:pPr>
      <w:r>
        <w:fldChar w:fldCharType="begin"/>
      </w:r>
      <w:r>
        <w:instrText xml:space="preserve"> INCLUDEPICTURE  "https://www.tdx.com.cn/products/helpfile/tdxw/chm/%E7%AC%AC%E4%BA%8C%E7%AB%A0 %E5%8A%9F%E8%83%BD/2-5/6.png" \* MERGEFORMATINET </w:instrText>
      </w:r>
      <w:r>
        <w:fldChar w:fldCharType="separate"/>
      </w:r>
      <w:r>
        <w:fldChar w:fldCharType="begin"/>
      </w:r>
      <w:r>
        <w:instrText xml:space="preserve"> INCLUDEPICTURE  "https://www.tdx.com.cn/products/helpfile/tdxw/chm/%E7%AC%AC%E4%BA%8C%E7%AB%A0 %E5%8A%9F%E8%83%BD/2-5/6.png" \* MERGEFORMATINET </w:instrText>
      </w:r>
      <w:r>
        <w:fldChar w:fldCharType="separate"/>
      </w:r>
      <w:r>
        <w:fldChar w:fldCharType="begin"/>
      </w:r>
      <w:r>
        <w:instrText xml:space="preserve"> INCLUDEPICTURE  "https://www.tdx.com.cn/products/helpfile/tdxw/chm/%E7%AC%AC%E4%BA%8C%E7%AB%A0 %E5%8A%9F%E8%83%BD/2-5/6.png" \* MERGEFORMATINET </w:instrText>
      </w:r>
      <w:r>
        <w:fldChar w:fldCharType="separate"/>
      </w:r>
      <w:r>
        <w:fldChar w:fldCharType="begin"/>
      </w:r>
      <w:r>
        <w:instrText xml:space="preserve"> INCLUDEPICTURE  "https://www.tdx.com.cn/products/helpfile/tdxw/chm/%E7%AC%AC%E4%BA%8C%E7%AB%A0 %E5%8A%9F%E8%83%BD/2-5/6.png" \* MERGEFORMATINET </w:instrText>
      </w:r>
      <w:r>
        <w:fldChar w:fldCharType="separate"/>
      </w:r>
      <w:r>
        <w:drawing>
          <wp:inline distT="0" distB="0" distL="114300" distR="114300">
            <wp:extent cx="3552825" cy="4629150"/>
            <wp:effectExtent l="0" t="0" r="9525"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pic:cNvPicPr>
                  </pic:nvPicPr>
                  <pic:blipFill>
                    <a:blip r:embed="rId113" r:link="rId114"/>
                    <a:stretch>
                      <a:fillRect/>
                    </a:stretch>
                  </pic:blipFill>
                  <pic:spPr>
                    <a:xfrm>
                      <a:off x="0" y="0"/>
                      <a:ext cx="3552825" cy="4629150"/>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功能调出： 功能——定制品种——退市品种管理。</w:t>
      </w:r>
    </w:p>
    <w:p>
      <w:pPr>
        <w:pStyle w:val="34"/>
      </w:pPr>
      <w:r>
        <w:rPr>
          <w:rFonts w:hint="eastAsia"/>
        </w:rPr>
        <w:t>功能说明：退市品种管理用于查看已经退市证券的 K 线数据。</w:t>
      </w:r>
    </w:p>
    <w:p>
      <w:pPr>
        <w:pStyle w:val="34"/>
      </w:pPr>
      <w:r>
        <w:rPr>
          <w:rFonts w:hint="eastAsia"/>
        </w:rPr>
        <w:t>新增品种如下图：</w:t>
      </w:r>
    </w:p>
    <w:p>
      <w:pPr>
        <w:pStyle w:val="34"/>
      </w:pPr>
      <w:r>
        <w:fldChar w:fldCharType="begin"/>
      </w:r>
      <w:r>
        <w:instrText xml:space="preserve"> INCLUDEPICTURE  "https://www.tdx.com.cn/products/helpfile/tdxw/chm/%E7%AC%AC%E4%BA%8C%E7%AB%A0 %E5%8A%9F%E8%83%BD/2-5/7.png" \* MERGEFORMATINET </w:instrText>
      </w:r>
      <w:r>
        <w:fldChar w:fldCharType="separate"/>
      </w:r>
      <w:r>
        <w:fldChar w:fldCharType="begin"/>
      </w:r>
      <w:r>
        <w:instrText xml:space="preserve"> INCLUDEPICTURE  "https://www.tdx.com.cn/products/helpfile/tdxw/chm/%E7%AC%AC%E4%BA%8C%E7%AB%A0 %E5%8A%9F%E8%83%BD/2-5/7.png" \* MERGEFORMATINET </w:instrText>
      </w:r>
      <w:r>
        <w:fldChar w:fldCharType="separate"/>
      </w:r>
      <w:r>
        <w:fldChar w:fldCharType="begin"/>
      </w:r>
      <w:r>
        <w:instrText xml:space="preserve"> INCLUDEPICTURE  "https://www.tdx.com.cn/products/helpfile/tdxw/chm/%E7%AC%AC%E4%BA%8C%E7%AB%A0 %E5%8A%9F%E8%83%BD/2-5/7.png" \* MERGEFORMATINET </w:instrText>
      </w:r>
      <w:r>
        <w:fldChar w:fldCharType="separate"/>
      </w:r>
      <w:r>
        <w:fldChar w:fldCharType="begin"/>
      </w:r>
      <w:r>
        <w:instrText xml:space="preserve"> INCLUDEPICTURE  "https://www.tdx.com.cn/products/helpfile/tdxw/chm/%E7%AC%AC%E4%BA%8C%E7%AB%A0 %E5%8A%9F%E8%83%BD/2-5/7.png" \* MERGEFORMATINET </w:instrText>
      </w:r>
      <w:r>
        <w:fldChar w:fldCharType="separate"/>
      </w:r>
      <w:r>
        <w:drawing>
          <wp:inline distT="0" distB="0" distL="114300" distR="114300">
            <wp:extent cx="4076700" cy="4495800"/>
            <wp:effectExtent l="0" t="0" r="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pic:cNvPicPr>
                  </pic:nvPicPr>
                  <pic:blipFill>
                    <a:blip r:embed="rId115" r:link="rId116"/>
                    <a:stretch>
                      <a:fillRect/>
                    </a:stretch>
                  </pic:blipFill>
                  <pic:spPr>
                    <a:xfrm>
                      <a:off x="0" y="0"/>
                      <a:ext cx="4076700" cy="4495800"/>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输入品种代码，品种简称；选择原始市场，输入原始代码；然后点击确定，对应的原始代码将会绑定到品种代码中，输入品种代码回车可查看退市品种对应的 K 线走势图。</w:t>
      </w:r>
    </w:p>
    <w:p>
      <w:pPr>
        <w:pStyle w:val="34"/>
      </w:pPr>
      <w:r>
        <w:rPr>
          <w:rFonts w:hint="eastAsia"/>
        </w:rPr>
        <w:t>点击 “定制”标签页，可以查看设定好的组合品种。如下图所示：</w:t>
      </w:r>
    </w:p>
    <w:p>
      <w:pPr>
        <w:pStyle w:val="34"/>
        <w:rPr>
          <w:sz w:val="27"/>
          <w:szCs w:val="27"/>
        </w:rPr>
      </w:pPr>
      <w:r>
        <w:drawing>
          <wp:inline distT="0" distB="0" distL="114300" distR="114300">
            <wp:extent cx="6667500" cy="323850"/>
            <wp:effectExtent l="0" t="0" r="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pic:cNvPicPr>
                  </pic:nvPicPr>
                  <pic:blipFill>
                    <a:blip r:embed="rId117"/>
                    <a:stretch>
                      <a:fillRect/>
                    </a:stretch>
                  </pic:blipFill>
                  <pic:spPr>
                    <a:xfrm>
                      <a:off x="0" y="0"/>
                      <a:ext cx="6667500" cy="323850"/>
                    </a:xfrm>
                    <a:prstGeom prst="rect">
                      <a:avLst/>
                    </a:prstGeom>
                    <a:noFill/>
                    <a:ln>
                      <a:noFill/>
                    </a:ln>
                  </pic:spPr>
                </pic:pic>
              </a:graphicData>
            </a:graphic>
          </wp:inline>
        </w:drawing>
      </w:r>
    </w:p>
    <w:p>
      <w:pPr>
        <w:pStyle w:val="34"/>
      </w:pPr>
      <w:r>
        <w:t>备注：</w:t>
      </w:r>
    </w:p>
    <w:p>
      <w:pPr>
        <w:pStyle w:val="34"/>
      </w:pPr>
      <w:r>
        <w:t>■成功查看退市品种历史k线数据（系统设置CTRL+D——设置1（分析图完全使用下载的日线数据这个设置一定不能勾选））</w:t>
      </w:r>
    </w:p>
    <w:p>
      <w:pPr>
        <w:pStyle w:val="34"/>
        <w:rPr>
          <w:szCs w:val="27"/>
        </w:rPr>
      </w:pPr>
      <w:r>
        <w:t>■实现展示导入数据的k线</w:t>
      </w:r>
      <w:r>
        <w:br w:type="textWrapping"/>
      </w:r>
      <w:r>
        <w:t>如果提示"导入成功"但是还是显示空白，要注意上面选择的日期格式、间隔符和导入的文件是否一致。</w:t>
      </w:r>
    </w:p>
    <w:p>
      <w:pPr>
        <w:pStyle w:val="3"/>
      </w:pPr>
      <w:bookmarkStart w:id="15" w:name="_Toc90646134"/>
      <w:r>
        <w:rPr>
          <w:rFonts w:hint="eastAsia"/>
        </w:rPr>
        <w:t>金融计算器</w:t>
      </w:r>
      <w:bookmarkEnd w:id="15"/>
    </w:p>
    <w:p>
      <w:pPr>
        <w:pStyle w:val="34"/>
      </w:pPr>
      <w:r>
        <w:rPr>
          <w:rFonts w:hint="eastAsia"/>
        </w:rPr>
        <w:t>在进行买卖股票之前，可方便快捷计算出自己的盈亏价位、手续费、资金额等</w:t>
      </w:r>
    </w:p>
    <w:p>
      <w:pPr>
        <w:pStyle w:val="34"/>
      </w:pPr>
      <w:r>
        <w:fldChar w:fldCharType="begin"/>
      </w:r>
      <w:r>
        <w:instrText xml:space="preserve"> INCLUDEPICTURE  "https://www.tdx.com.cn/products/helpfile/tdxw/chm/%E7%AC%AC%E4%BA%8C%E7%AB%A0 %E5%8A%9F%E8%83%BD/2-6/1.png" \* MERGEFORMATINET </w:instrText>
      </w:r>
      <w:r>
        <w:fldChar w:fldCharType="separate"/>
      </w:r>
      <w:r>
        <w:fldChar w:fldCharType="begin"/>
      </w:r>
      <w:r>
        <w:instrText xml:space="preserve"> INCLUDEPICTURE  "https://www.tdx.com.cn/products/helpfile/tdxw/chm/%E7%AC%AC%E4%BA%8C%E7%AB%A0 %E5%8A%9F%E8%83%BD/2-6/1.png" \* MERGEFORMATINET </w:instrText>
      </w:r>
      <w:r>
        <w:fldChar w:fldCharType="separate"/>
      </w:r>
      <w:r>
        <w:fldChar w:fldCharType="begin"/>
      </w:r>
      <w:r>
        <w:instrText xml:space="preserve"> INCLUDEPICTURE  "https://www.tdx.com.cn/products/helpfile/tdxw/chm/%E7%AC%AC%E4%BA%8C%E7%AB%A0 %E5%8A%9F%E8%83%BD/2-6/1.png" \* MERGEFORMATINET </w:instrText>
      </w:r>
      <w:r>
        <w:fldChar w:fldCharType="separate"/>
      </w:r>
      <w:r>
        <w:fldChar w:fldCharType="begin"/>
      </w:r>
      <w:r>
        <w:instrText xml:space="preserve"> INCLUDEPICTURE  "https://www.tdx.com.cn/products/helpfile/tdxw/chm/%E7%AC%AC%E4%BA%8C%E7%AB%A0 %E5%8A%9F%E8%83%BD/2-6/1.png" \* MERGEFORMATINET </w:instrText>
      </w:r>
      <w:r>
        <w:fldChar w:fldCharType="separate"/>
      </w:r>
      <w:r>
        <w:drawing>
          <wp:inline distT="0" distB="0" distL="114300" distR="114300">
            <wp:extent cx="6543675" cy="5153025"/>
            <wp:effectExtent l="0" t="0" r="9525" b="9525"/>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118" r:link="rId119"/>
                    <a:stretch>
                      <a:fillRect/>
                    </a:stretch>
                  </pic:blipFill>
                  <pic:spPr>
                    <a:xfrm>
                      <a:off x="0" y="0"/>
                      <a:ext cx="6543675" cy="5153025"/>
                    </a:xfrm>
                    <a:prstGeom prst="rect">
                      <a:avLst/>
                    </a:prstGeom>
                    <a:noFill/>
                    <a:ln>
                      <a:noFill/>
                    </a:ln>
                  </pic:spPr>
                </pic:pic>
              </a:graphicData>
            </a:graphic>
          </wp:inline>
        </w:drawing>
      </w:r>
      <w:r>
        <w:fldChar w:fldCharType="end"/>
      </w:r>
      <w:r>
        <w:fldChar w:fldCharType="end"/>
      </w:r>
      <w:r>
        <w:fldChar w:fldCharType="end"/>
      </w:r>
      <w:r>
        <w:fldChar w:fldCharType="end"/>
      </w:r>
    </w:p>
    <w:p>
      <w:pPr>
        <w:pStyle w:val="3"/>
      </w:pPr>
      <w:bookmarkStart w:id="16" w:name="_Toc90646135"/>
      <w:r>
        <w:rPr>
          <w:rFonts w:hint="eastAsia"/>
        </w:rPr>
        <w:t>金融记事本</w:t>
      </w:r>
      <w:bookmarkEnd w:id="16"/>
    </w:p>
    <w:p>
      <w:pPr>
        <w:pStyle w:val="34"/>
      </w:pPr>
      <w:r>
        <w:rPr>
          <w:rFonts w:hint="eastAsia"/>
        </w:rPr>
        <w:t>独立窗口不受主系统的影响的独立功能，支持文本，图像，链接等多方面的内容。使用更便捷。其中分区设置可以满足用户多方面需求。</w:t>
      </w:r>
    </w:p>
    <w:p>
      <w:pPr>
        <w:pStyle w:val="34"/>
      </w:pPr>
      <w:r>
        <w:fldChar w:fldCharType="begin"/>
      </w:r>
      <w:r>
        <w:instrText xml:space="preserve"> INCLUDEPICTURE  "https://www.tdx.com.cn/products/helpfile/tdxw/chm/%E7%AC%AC%E4%BA%8C%E7%AB%A0 %E5%8A%9F%E8%83%BD/2-7/1.png" \* MERGEFORMATINET </w:instrText>
      </w:r>
      <w:r>
        <w:fldChar w:fldCharType="separate"/>
      </w:r>
      <w:r>
        <w:fldChar w:fldCharType="begin"/>
      </w:r>
      <w:r>
        <w:instrText xml:space="preserve"> INCLUDEPICTURE  "https://www.tdx.com.cn/products/helpfile/tdxw/chm/%E7%AC%AC%E4%BA%8C%E7%AB%A0 %E5%8A%9F%E8%83%BD/2-7/1.png" \* MERGEFORMATINET </w:instrText>
      </w:r>
      <w:r>
        <w:fldChar w:fldCharType="separate"/>
      </w:r>
      <w:r>
        <w:fldChar w:fldCharType="begin"/>
      </w:r>
      <w:r>
        <w:instrText xml:space="preserve"> INCLUDEPICTURE  "https://www.tdx.com.cn/products/helpfile/tdxw/chm/%E7%AC%AC%E4%BA%8C%E7%AB%A0 %E5%8A%9F%E8%83%BD/2-7/1.png" \* MERGEFORMATINET </w:instrText>
      </w:r>
      <w:r>
        <w:fldChar w:fldCharType="separate"/>
      </w:r>
      <w:r>
        <w:fldChar w:fldCharType="begin"/>
      </w:r>
      <w:r>
        <w:instrText xml:space="preserve"> INCLUDEPICTURE  "https://www.tdx.com.cn/products/helpfile/tdxw/chm/%E7%AC%AC%E4%BA%8C%E7%AB%A0 %E5%8A%9F%E8%83%BD/2-7/1.png" \* MERGEFORMATINET </w:instrText>
      </w:r>
      <w:r>
        <w:fldChar w:fldCharType="separate"/>
      </w:r>
      <w:r>
        <w:drawing>
          <wp:inline distT="0" distB="0" distL="114300" distR="114300">
            <wp:extent cx="6562725" cy="4610100"/>
            <wp:effectExtent l="0" t="0" r="9525"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pic:cNvPicPr>
                  </pic:nvPicPr>
                  <pic:blipFill>
                    <a:blip r:embed="rId120" r:link="rId121"/>
                    <a:stretch>
                      <a:fillRect/>
                    </a:stretch>
                  </pic:blipFill>
                  <pic:spPr>
                    <a:xfrm>
                      <a:off x="0" y="0"/>
                      <a:ext cx="6562725" cy="4610100"/>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分区设置：分多个区整理同类的信息，一个区里面不同内容又可以放到不同的便签中，使用更有序，更清晰，使用上更方便。</w:t>
      </w:r>
    </w:p>
    <w:p>
      <w:pPr>
        <w:pStyle w:val="34"/>
        <w:ind w:firstLine="540"/>
        <w:rPr>
          <w:sz w:val="27"/>
          <w:szCs w:val="27"/>
        </w:rPr>
      </w:pPr>
      <w:r>
        <w:rPr>
          <w:sz w:val="27"/>
          <w:szCs w:val="27"/>
        </w:rPr>
        <w:fldChar w:fldCharType="begin"/>
      </w:r>
      <w:r>
        <w:rPr>
          <w:sz w:val="27"/>
          <w:szCs w:val="27"/>
        </w:rPr>
        <w:instrText xml:space="preserve"> INCLUDEPICTURE  "https://www.tdx.com.cn/products/helpfile/tdxw/chm/%E7%AC%AC%E4%BA%8C%E7%AB%A0 %E5%8A%9F%E8%83%BD/2-7/2.png" \* MERGEFORMATINET </w:instrText>
      </w:r>
      <w:r>
        <w:rPr>
          <w:sz w:val="27"/>
          <w:szCs w:val="27"/>
        </w:rPr>
        <w:fldChar w:fldCharType="separate"/>
      </w:r>
      <w:r>
        <w:rPr>
          <w:sz w:val="27"/>
          <w:szCs w:val="27"/>
        </w:rPr>
        <w:fldChar w:fldCharType="begin"/>
      </w:r>
      <w:r>
        <w:rPr>
          <w:sz w:val="27"/>
          <w:szCs w:val="27"/>
        </w:rPr>
        <w:instrText xml:space="preserve"> INCLUDEPICTURE  "https://www.tdx.com.cn/products/helpfile/tdxw/chm/%E7%AC%AC%E4%BA%8C%E7%AB%A0 %E5%8A%9F%E8%83%BD/2-7/2.png" \* MERGEFORMATINET </w:instrText>
      </w:r>
      <w:r>
        <w:rPr>
          <w:sz w:val="27"/>
          <w:szCs w:val="27"/>
        </w:rPr>
        <w:fldChar w:fldCharType="separate"/>
      </w:r>
      <w:r>
        <w:rPr>
          <w:sz w:val="27"/>
          <w:szCs w:val="27"/>
        </w:rPr>
        <w:fldChar w:fldCharType="begin"/>
      </w:r>
      <w:r>
        <w:rPr>
          <w:sz w:val="27"/>
          <w:szCs w:val="27"/>
        </w:rPr>
        <w:instrText xml:space="preserve"> INCLUDEPICTURE  "https://www.tdx.com.cn/products/helpfile/tdxw/chm/%E7%AC%AC%E4%BA%8C%E7%AB%A0 %E5%8A%9F%E8%83%BD/2-7/2.png" \* MERGEFORMATINET </w:instrText>
      </w:r>
      <w:r>
        <w:rPr>
          <w:sz w:val="27"/>
          <w:szCs w:val="27"/>
        </w:rPr>
        <w:fldChar w:fldCharType="separate"/>
      </w:r>
      <w:r>
        <w:rPr>
          <w:sz w:val="27"/>
          <w:szCs w:val="27"/>
        </w:rPr>
        <w:fldChar w:fldCharType="begin"/>
      </w:r>
      <w:r>
        <w:rPr>
          <w:sz w:val="27"/>
          <w:szCs w:val="27"/>
        </w:rPr>
        <w:instrText xml:space="preserve"> INCLUDEPICTURE  "https://www.tdx.com.cn/products/helpfile/tdxw/chm/%E7%AC%AC%E4%BA%8C%E7%AB%A0 %E5%8A%9F%E8%83%BD/2-7/2.png" \* MERGEFORMATINET </w:instrText>
      </w:r>
      <w:r>
        <w:rPr>
          <w:sz w:val="27"/>
          <w:szCs w:val="27"/>
        </w:rPr>
        <w:fldChar w:fldCharType="separate"/>
      </w:r>
      <w:r>
        <w:rPr>
          <w:sz w:val="27"/>
          <w:szCs w:val="27"/>
        </w:rPr>
        <w:drawing>
          <wp:inline distT="0" distB="0" distL="114300" distR="114300">
            <wp:extent cx="3838575" cy="3181350"/>
            <wp:effectExtent l="0" t="0" r="9525"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pic:cNvPicPr>
                  </pic:nvPicPr>
                  <pic:blipFill>
                    <a:blip r:embed="rId122" r:link="rId123"/>
                    <a:stretch>
                      <a:fillRect/>
                    </a:stretch>
                  </pic:blipFill>
                  <pic:spPr>
                    <a:xfrm>
                      <a:off x="0" y="0"/>
                      <a:ext cx="3838575" cy="3181350"/>
                    </a:xfrm>
                    <a:prstGeom prst="rect">
                      <a:avLst/>
                    </a:prstGeom>
                    <a:noFill/>
                    <a:ln>
                      <a:noFill/>
                    </a:ln>
                  </pic:spPr>
                </pic:pic>
              </a:graphicData>
            </a:graphic>
          </wp:inline>
        </w:drawing>
      </w:r>
      <w:r>
        <w:rPr>
          <w:sz w:val="27"/>
          <w:szCs w:val="27"/>
        </w:rPr>
        <w:fldChar w:fldCharType="end"/>
      </w:r>
      <w:r>
        <w:rPr>
          <w:sz w:val="27"/>
          <w:szCs w:val="27"/>
        </w:rPr>
        <w:fldChar w:fldCharType="end"/>
      </w:r>
      <w:r>
        <w:rPr>
          <w:sz w:val="27"/>
          <w:szCs w:val="27"/>
        </w:rPr>
        <w:fldChar w:fldCharType="end"/>
      </w:r>
      <w:r>
        <w:rPr>
          <w:sz w:val="27"/>
          <w:szCs w:val="27"/>
        </w:rPr>
        <w:fldChar w:fldCharType="end"/>
      </w:r>
    </w:p>
    <w:p>
      <w:pPr>
        <w:pStyle w:val="3"/>
      </w:pPr>
      <w:bookmarkStart w:id="17" w:name="_Toc90646136"/>
      <w:r>
        <w:rPr>
          <w:rFonts w:hint="eastAsia"/>
        </w:rPr>
        <w:t>个人理财</w:t>
      </w:r>
      <w:bookmarkEnd w:id="17"/>
    </w:p>
    <w:p>
      <w:pPr>
        <w:pStyle w:val="34"/>
        <w:rPr>
          <w:sz w:val="27"/>
          <w:szCs w:val="27"/>
        </w:rPr>
      </w:pPr>
      <w:r>
        <w:rPr>
          <w:rFonts w:hint="eastAsia"/>
        </w:rPr>
        <w:t>它充分考虑了用户的需求，并参考了市场上优秀的个人理财软件，满足股民的日常个人理财需求。</w:t>
      </w:r>
    </w:p>
    <w:p>
      <w:pPr>
        <w:pStyle w:val="34"/>
      </w:pPr>
      <w:r>
        <w:rPr>
          <w:rFonts w:hint="eastAsia"/>
        </w:rPr>
        <w:t>功能——个人理财进入个人理财菜单</w:t>
      </w:r>
    </w:p>
    <w:p>
      <w:pPr>
        <w:pStyle w:val="34"/>
      </w:pPr>
      <w:r>
        <w:fldChar w:fldCharType="begin"/>
      </w:r>
      <w:r>
        <w:instrText xml:space="preserve"> INCLUDEPICTURE  "https://www.tdx.com.cn/products/helpfile/tdxw/chm/%E7%AC%AC%E4%BA%8C%E7%AB%A0 %E5%8A%9F%E8%83%BD/2-8/1.png" \* MERGEFORMATINET </w:instrText>
      </w:r>
      <w:r>
        <w:fldChar w:fldCharType="separate"/>
      </w:r>
      <w:r>
        <w:fldChar w:fldCharType="begin"/>
      </w:r>
      <w:r>
        <w:instrText xml:space="preserve"> INCLUDEPICTURE  "https://www.tdx.com.cn/products/helpfile/tdxw/chm/%E7%AC%AC%E4%BA%8C%E7%AB%A0 %E5%8A%9F%E8%83%BD/2-8/1.png" \* MERGEFORMATINET </w:instrText>
      </w:r>
      <w:r>
        <w:fldChar w:fldCharType="separate"/>
      </w:r>
      <w:r>
        <w:fldChar w:fldCharType="begin"/>
      </w:r>
      <w:r>
        <w:instrText xml:space="preserve"> INCLUDEPICTURE  "https://www.tdx.com.cn/products/helpfile/tdxw/chm/%E7%AC%AC%E4%BA%8C%E7%AB%A0 %E5%8A%9F%E8%83%BD/2-8/1.png" \* MERGEFORMATINET </w:instrText>
      </w:r>
      <w:r>
        <w:fldChar w:fldCharType="separate"/>
      </w:r>
      <w:r>
        <w:fldChar w:fldCharType="begin"/>
      </w:r>
      <w:r>
        <w:instrText xml:space="preserve"> INCLUDEPICTURE  "https://www.tdx.com.cn/products/helpfile/tdxw/chm/%E7%AC%AC%E4%BA%8C%E7%AB%A0 %E5%8A%9F%E8%83%BD/2-8/1.png" \* MERGEFORMATINET </w:instrText>
      </w:r>
      <w:r>
        <w:fldChar w:fldCharType="separate"/>
      </w:r>
      <w:r>
        <w:drawing>
          <wp:inline distT="0" distB="0" distL="114300" distR="114300">
            <wp:extent cx="7486650" cy="4695825"/>
            <wp:effectExtent l="0" t="0" r="0" b="9525"/>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pic:cNvPicPr>
                  </pic:nvPicPr>
                  <pic:blipFill>
                    <a:blip r:embed="rId124" r:link="rId125"/>
                    <a:stretch>
                      <a:fillRect/>
                    </a:stretch>
                  </pic:blipFill>
                  <pic:spPr>
                    <a:xfrm>
                      <a:off x="0" y="0"/>
                      <a:ext cx="7486650" cy="4695825"/>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特点： </w:t>
      </w:r>
    </w:p>
    <w:p>
      <w:pPr>
        <w:pStyle w:val="34"/>
      </w:pPr>
      <w:r>
        <w:rPr>
          <w:rFonts w:hint="eastAsia"/>
        </w:rPr>
        <w:t>1.无限制新建帐户和添加记录。集成版软件个人理财可以支持无限多的帐户，这样你可以对各种股票分别新建帐户，使各种不同类的股票操作一目了然，而不必把你所有股票记录都混在一起。 </w:t>
      </w:r>
    </w:p>
    <w:p>
      <w:pPr>
        <w:pStyle w:val="34"/>
      </w:pPr>
      <w:r>
        <w:rPr>
          <w:rFonts w:hint="eastAsia"/>
        </w:rPr>
        <w:t>2.安全的保密措施。集成版软件个人理财可以供多人使用，对每一个的帐户都进行了加密，不必担心别人能够剽窃你的炒股高招。 </w:t>
      </w:r>
    </w:p>
    <w:p>
      <w:pPr>
        <w:pStyle w:val="34"/>
      </w:pPr>
      <w:r>
        <w:rPr>
          <w:rFonts w:hint="eastAsia"/>
        </w:rPr>
        <w:t>3.完善的分析功能。集成版软件个人理财提供了多种分析数据和分析手段,通过集成版软件个人理财的分析数据，你可以对单支股票也可对全部股票的历史交易记录和未成交记录作出完整分析，来指导你进行投资。除了从数字上进行分析，个人理财还提供了条状图和饼图可对每支股票和整个帐户进行分析，使你对投资的分析更加直观，让你在股票投资中运筹帏幄。 </w:t>
      </w:r>
    </w:p>
    <w:p>
      <w:pPr>
        <w:pStyle w:val="34"/>
      </w:pPr>
      <w:r>
        <w:rPr>
          <w:rFonts w:hint="eastAsia"/>
        </w:rPr>
        <w:t>4.简易快捷的操作方式。集成版软件个人理财充分考虑了股民的计算机使用习惯，尽量使个人财理的使用变得简单方便。</w:t>
      </w:r>
    </w:p>
    <w:p>
      <w:pPr>
        <w:pStyle w:val="34"/>
      </w:pPr>
      <w:r>
        <w:rPr>
          <w:rFonts w:hint="eastAsia"/>
        </w:rPr>
        <w:t>新增功能:</w:t>
      </w:r>
    </w:p>
    <w:p>
      <w:pPr>
        <w:pStyle w:val="34"/>
      </w:pPr>
      <w:r>
        <w:rPr>
          <w:rFonts w:hint="eastAsia"/>
        </w:rPr>
        <w:t>1.除了能够记录股票的买入和卖出外还增加了记录送股和配股的功能。 </w:t>
      </w:r>
    </w:p>
    <w:p>
      <w:pPr>
        <w:pStyle w:val="34"/>
      </w:pPr>
      <w:r>
        <w:rPr>
          <w:rFonts w:hint="eastAsia"/>
        </w:rPr>
        <w:t>2.增加了强大的统计功能，可以对某一支股票和整个帐户进行统计各方面的统计，还可以根据实时行情来更新统计数据，除了简单的表格统计还有条状图和饼图统计。 </w:t>
      </w:r>
    </w:p>
    <w:p>
      <w:pPr>
        <w:pStyle w:val="34"/>
      </w:pPr>
      <w:r>
        <w:rPr>
          <w:rFonts w:hint="eastAsia"/>
        </w:rPr>
        <w:t>3.增加了交易参数的修改。你可自行设定手续费率以及其他交易费用，使理财具有更大的灵活性。</w:t>
      </w:r>
    </w:p>
    <w:p>
      <w:pPr>
        <w:pStyle w:val="3"/>
      </w:pPr>
      <w:bookmarkStart w:id="18" w:name="_Toc90646137"/>
      <w:r>
        <w:rPr>
          <w:rFonts w:hint="eastAsia"/>
        </w:rPr>
        <w:t>在线人气</w:t>
      </w:r>
      <w:bookmarkEnd w:id="18"/>
    </w:p>
    <w:p>
      <w:pPr>
        <w:pStyle w:val="34"/>
      </w:pPr>
      <w:r>
        <w:rPr>
          <w:rFonts w:hint="eastAsia"/>
        </w:rPr>
        <w:t>在线人气:行情主站统计连接情况,按照一定算法统计出品种的当前关注度和持续关注度. </w:t>
      </w:r>
    </w:p>
    <w:p>
      <w:pPr>
        <w:pStyle w:val="34"/>
      </w:pPr>
      <w:r>
        <w:rPr>
          <w:rFonts w:hint="eastAsia"/>
        </w:rPr>
        <w:t>当前关注度表示品种当前被关注的程度;持续关注度表示品种一直以来被关注的程度.当前关注与当前冷门意义相反,持续关注与持续冷门意义相反。</w:t>
      </w:r>
    </w:p>
    <w:p>
      <w:pPr>
        <w:pStyle w:val="34"/>
      </w:pPr>
      <w:r>
        <w:rPr>
          <w:rFonts w:hint="eastAsia"/>
        </w:rPr>
        <w:t>在线人气帮助用户观看股票的受关注度，其操作界面：</w:t>
      </w:r>
    </w:p>
    <w:p>
      <w:pPr>
        <w:pStyle w:val="34"/>
      </w:pPr>
      <w:r>
        <w:fldChar w:fldCharType="begin"/>
      </w:r>
      <w:r>
        <w:instrText xml:space="preserve"> INCLUDEPICTURE  "https://www.tdx.com.cn/products/helpfile/tdxw/chm/%E7%AC%AC%E4%BA%8C%E7%AB%A0 %E5%8A%9F%E8%83%BD/2-9/1.png" \* MERGEFORMATINET </w:instrText>
      </w:r>
      <w:r>
        <w:fldChar w:fldCharType="separate"/>
      </w:r>
      <w:r>
        <w:fldChar w:fldCharType="begin"/>
      </w:r>
      <w:r>
        <w:instrText xml:space="preserve"> INCLUDEPICTURE  "https://www.tdx.com.cn/products/helpfile/tdxw/chm/%E7%AC%AC%E4%BA%8C%E7%AB%A0 %E5%8A%9F%E8%83%BD/2-9/1.png" \* MERGEFORMATINET </w:instrText>
      </w:r>
      <w:r>
        <w:fldChar w:fldCharType="separate"/>
      </w:r>
      <w:r>
        <w:fldChar w:fldCharType="begin"/>
      </w:r>
      <w:r>
        <w:instrText xml:space="preserve"> INCLUDEPICTURE  "https://www.tdx.com.cn/products/helpfile/tdxw/chm/%E7%AC%AC%E4%BA%8C%E7%AB%A0 %E5%8A%9F%E8%83%BD/2-9/1.png" \* MERGEFORMATINET </w:instrText>
      </w:r>
      <w:r>
        <w:fldChar w:fldCharType="separate"/>
      </w:r>
      <w:r>
        <w:fldChar w:fldCharType="begin"/>
      </w:r>
      <w:r>
        <w:instrText xml:space="preserve"> INCLUDEPICTURE  "https://www.tdx.com.cn/products/helpfile/tdxw/chm/%E7%AC%AC%E4%BA%8C%E7%AB%A0 %E5%8A%9F%E8%83%BD/2-9/1.png" \* MERGEFORMATINET </w:instrText>
      </w:r>
      <w:r>
        <w:fldChar w:fldCharType="separate"/>
      </w:r>
      <w:r>
        <w:drawing>
          <wp:inline distT="0" distB="0" distL="114300" distR="114300">
            <wp:extent cx="3867150" cy="3609975"/>
            <wp:effectExtent l="0" t="0" r="0" b="9525"/>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pic:cNvPicPr>
                  </pic:nvPicPr>
                  <pic:blipFill>
                    <a:blip r:embed="rId126" r:link="rId127"/>
                    <a:stretch>
                      <a:fillRect/>
                    </a:stretch>
                  </pic:blipFill>
                  <pic:spPr>
                    <a:xfrm>
                      <a:off x="0" y="0"/>
                      <a:ext cx="3867150" cy="3609975"/>
                    </a:xfrm>
                    <a:prstGeom prst="rect">
                      <a:avLst/>
                    </a:prstGeom>
                    <a:noFill/>
                    <a:ln>
                      <a:noFill/>
                    </a:ln>
                  </pic:spPr>
                </pic:pic>
              </a:graphicData>
            </a:graphic>
          </wp:inline>
        </w:drawing>
      </w:r>
      <w:r>
        <w:fldChar w:fldCharType="end"/>
      </w:r>
      <w:r>
        <w:fldChar w:fldCharType="end"/>
      </w:r>
      <w:r>
        <w:fldChar w:fldCharType="end"/>
      </w:r>
      <w:r>
        <w:fldChar w:fldCharType="end"/>
      </w:r>
    </w:p>
    <w:p>
      <w:pPr>
        <w:pStyle w:val="3"/>
      </w:pPr>
      <w:bookmarkStart w:id="19" w:name="_Toc90646138"/>
      <w:r>
        <w:rPr>
          <w:rFonts w:hint="eastAsia"/>
        </w:rPr>
        <w:t>报表分析</w:t>
      </w:r>
      <w:bookmarkEnd w:id="19"/>
    </w:p>
    <w:p>
      <w:pPr>
        <w:pStyle w:val="4"/>
      </w:pPr>
      <w:r>
        <w:rPr>
          <w:rFonts w:hint="eastAsia"/>
        </w:rPr>
        <w:t>板块分析</w:t>
      </w:r>
    </w:p>
    <w:p>
      <w:pPr>
        <w:pStyle w:val="34"/>
      </w:pPr>
      <w:r>
        <w:rPr>
          <w:rFonts w:hint="eastAsia"/>
        </w:rPr>
        <w:t>快捷键：【.400】 或功能——报表分析——板块分析</w:t>
      </w:r>
    </w:p>
    <w:p>
      <w:pPr>
        <w:pStyle w:val="34"/>
      </w:pPr>
      <w:r>
        <w:drawing>
          <wp:inline distT="0" distB="0" distL="114300" distR="114300">
            <wp:extent cx="8858250" cy="4867275"/>
            <wp:effectExtent l="0" t="0" r="0" b="9525"/>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pic:cNvPicPr>
                  </pic:nvPicPr>
                  <pic:blipFill>
                    <a:blip r:embed="rId128"/>
                    <a:stretch>
                      <a:fillRect/>
                    </a:stretch>
                  </pic:blipFill>
                  <pic:spPr>
                    <a:xfrm>
                      <a:off x="0" y="0"/>
                      <a:ext cx="8858250" cy="4867275"/>
                    </a:xfrm>
                    <a:prstGeom prst="rect">
                      <a:avLst/>
                    </a:prstGeom>
                    <a:noFill/>
                    <a:ln>
                      <a:noFill/>
                    </a:ln>
                  </pic:spPr>
                </pic:pic>
              </a:graphicData>
            </a:graphic>
          </wp:inline>
        </w:drawing>
      </w:r>
    </w:p>
    <w:p>
      <w:pPr>
        <w:pStyle w:val="34"/>
      </w:pPr>
      <w:r>
        <w:rPr>
          <w:rFonts w:hint="eastAsia"/>
        </w:rPr>
        <w:t>功能说明: 主要以市场上成交活跃程度作为报表分析对象，以区间换手为主要手段，对板块涨跌幅进行动态排序，并设有“板块领涨股“栏目，点击“涨跌幅排序“便于及时发现热门板块、领涨的龙头股，点击“板块”名称，进入板块内的个股排序报价表，可对板块内的个股进行多种排序操作。在捕捉个股行情行情方面有独到的功效，也是板块联动战法的必备工具。 </w:t>
      </w:r>
    </w:p>
    <w:p>
      <w:pPr>
        <w:pStyle w:val="34"/>
        <w:numPr>
          <w:ilvl w:val="0"/>
          <w:numId w:val="2"/>
        </w:numPr>
        <w:ind w:firstLineChars="0"/>
      </w:pPr>
      <w:r>
        <w:rPr>
          <w:rFonts w:hint="eastAsia"/>
        </w:rPr>
        <w:t>相关字段的说明</w:t>
      </w:r>
    </w:p>
    <w:p>
      <w:pPr>
        <w:pStyle w:val="34"/>
        <w:ind w:left="840" w:firstLine="0" w:firstLineChars="0"/>
      </w:pPr>
      <w:r>
        <w:drawing>
          <wp:inline distT="0" distB="0" distL="114300" distR="114300">
            <wp:extent cx="5581650" cy="2505075"/>
            <wp:effectExtent l="0" t="0" r="0" b="9525"/>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pic:cNvPicPr>
                  </pic:nvPicPr>
                  <pic:blipFill>
                    <a:blip r:embed="rId129"/>
                    <a:stretch>
                      <a:fillRect/>
                    </a:stretch>
                  </pic:blipFill>
                  <pic:spPr>
                    <a:xfrm>
                      <a:off x="0" y="0"/>
                      <a:ext cx="5581650" cy="2505075"/>
                    </a:xfrm>
                    <a:prstGeom prst="rect">
                      <a:avLst/>
                    </a:prstGeom>
                    <a:noFill/>
                    <a:ln>
                      <a:noFill/>
                    </a:ln>
                  </pic:spPr>
                </pic:pic>
              </a:graphicData>
            </a:graphic>
          </wp:inline>
        </w:drawing>
      </w:r>
    </w:p>
    <w:p>
      <w:pPr>
        <w:pStyle w:val="34"/>
      </w:pPr>
      <w:r>
        <w:rPr>
          <w:rFonts w:hint="eastAsia"/>
        </w:rPr>
        <w:t>2、 当日热门板块分析</w:t>
      </w:r>
    </w:p>
    <w:p>
      <w:pPr>
        <w:pStyle w:val="34"/>
      </w:pPr>
      <w:r>
        <w:rPr>
          <w:rFonts w:hint="eastAsia"/>
        </w:rPr>
        <w:t>.400进入热门板块分析，重进软件最开始都是默认的对当日的板块信息进行统计，右键点击数据报表区域出现下图功能菜单可对统计的板块范围进行切换；若进入了区间板块分析界面，点鼠标右键选择当日热门板块可进入到当日热门板块界面。如下图： </w:t>
      </w:r>
    </w:p>
    <w:p>
      <w:pPr>
        <w:pStyle w:val="34"/>
      </w:pPr>
      <w:r>
        <w:fldChar w:fldCharType="begin"/>
      </w:r>
      <w:r>
        <w:instrText xml:space="preserve"> INCLUDEPICTURE  "https://www.tdx.com.cn/products/helpfile/tdxw/chm/%E7%AC%AC%E4%BA%8C%E7%AB%A0 %E5%8A%9F%E8%83%BD/2-10/2-10-1/3-2-3-8_clip_image002.jpg" \* MERGEFORMATINET </w:instrText>
      </w:r>
      <w:r>
        <w:fldChar w:fldCharType="separate"/>
      </w:r>
      <w:r>
        <w:fldChar w:fldCharType="begin"/>
      </w:r>
      <w:r>
        <w:instrText xml:space="preserve"> INCLUDEPICTURE  "https://www.tdx.com.cn/products/helpfile/tdxw/chm/%E7%AC%AC%E4%BA%8C%E7%AB%A0 %E5%8A%9F%E8%83%BD/2-10/2-10-1/3-2-3-8_clip_image002.jpg" \* MERGEFORMATINET </w:instrText>
      </w:r>
      <w:r>
        <w:fldChar w:fldCharType="separate"/>
      </w:r>
      <w:r>
        <w:fldChar w:fldCharType="begin"/>
      </w:r>
      <w:r>
        <w:instrText xml:space="preserve"> INCLUDEPICTURE  "https://www.tdx.com.cn/products/helpfile/tdxw/chm/%E7%AC%AC%E4%BA%8C%E7%AB%A0 %E5%8A%9F%E8%83%BD/2-10/2-10-1/3-2-3-8_clip_image002.jpg" \* MERGEFORMATINET </w:instrText>
      </w:r>
      <w:r>
        <w:fldChar w:fldCharType="separate"/>
      </w:r>
      <w:r>
        <w:fldChar w:fldCharType="begin"/>
      </w:r>
      <w:r>
        <w:instrText xml:space="preserve"> INCLUDEPICTURE  "https://www.tdx.com.cn/products/helpfile/tdxw/chm/%E7%AC%AC%E4%BA%8C%E7%AB%A0 %E5%8A%9F%E8%83%BD/2-10/2-10-1/3-2-3-8_clip_image002.jpg" \* MERGEFORMATINET </w:instrText>
      </w:r>
      <w:r>
        <w:fldChar w:fldCharType="separate"/>
      </w:r>
      <w:r>
        <w:drawing>
          <wp:inline distT="0" distB="0" distL="114300" distR="114300">
            <wp:extent cx="1276350" cy="2609850"/>
            <wp:effectExtent l="0" t="0" r="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130" r:link="rId131"/>
                    <a:stretch>
                      <a:fillRect/>
                    </a:stretch>
                  </pic:blipFill>
                  <pic:spPr>
                    <a:xfrm>
                      <a:off x="0" y="0"/>
                      <a:ext cx="1276350" cy="2609850"/>
                    </a:xfrm>
                    <a:prstGeom prst="rect">
                      <a:avLst/>
                    </a:prstGeom>
                    <a:noFill/>
                    <a:ln>
                      <a:noFill/>
                    </a:ln>
                  </pic:spPr>
                </pic:pic>
              </a:graphicData>
            </a:graphic>
          </wp:inline>
        </w:drawing>
      </w:r>
      <w:r>
        <w:fldChar w:fldCharType="end"/>
      </w:r>
      <w:r>
        <w:fldChar w:fldCharType="end"/>
      </w:r>
      <w:r>
        <w:fldChar w:fldCharType="end"/>
      </w:r>
      <w:r>
        <w:fldChar w:fldCharType="end"/>
      </w:r>
    </w:p>
    <w:p>
      <w:pPr>
        <w:pStyle w:val="34"/>
        <w:ind w:firstLine="540"/>
      </w:pPr>
      <w:r>
        <w:rPr>
          <w:rFonts w:hint="eastAsia"/>
          <w:sz w:val="27"/>
          <w:szCs w:val="27"/>
        </w:rPr>
        <w:t> </w:t>
      </w:r>
      <w:r>
        <w:rPr>
          <w:rFonts w:hint="eastAsia"/>
        </w:rPr>
        <w:t>3、区间热门板块分析</w:t>
      </w:r>
    </w:p>
    <w:p>
      <w:pPr>
        <w:pStyle w:val="34"/>
      </w:pPr>
      <w:r>
        <w:rPr>
          <w:rFonts w:hint="eastAsia"/>
        </w:rPr>
        <w:t>选择区间热门板块出现下面菜单 </w:t>
      </w:r>
    </w:p>
    <w:p>
      <w:pPr>
        <w:pStyle w:val="34"/>
      </w:pPr>
      <w:r>
        <w:drawing>
          <wp:inline distT="0" distB="0" distL="114300" distR="114300">
            <wp:extent cx="2752725" cy="1457325"/>
            <wp:effectExtent l="0" t="0" r="9525" b="9525"/>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pic:cNvPicPr>
                  </pic:nvPicPr>
                  <pic:blipFill>
                    <a:blip r:embed="rId132"/>
                    <a:stretch>
                      <a:fillRect/>
                    </a:stretch>
                  </pic:blipFill>
                  <pic:spPr>
                    <a:xfrm>
                      <a:off x="0" y="0"/>
                      <a:ext cx="2752725" cy="1457325"/>
                    </a:xfrm>
                    <a:prstGeom prst="rect">
                      <a:avLst/>
                    </a:prstGeom>
                    <a:noFill/>
                    <a:ln>
                      <a:noFill/>
                    </a:ln>
                  </pic:spPr>
                </pic:pic>
              </a:graphicData>
            </a:graphic>
          </wp:inline>
        </w:drawing>
      </w:r>
      <w:r>
        <w:rPr>
          <w:rFonts w:hint="eastAsia"/>
        </w:rPr>
        <w:t> </w:t>
      </w:r>
    </w:p>
    <w:p>
      <w:pPr>
        <w:pStyle w:val="34"/>
      </w:pPr>
      <w:r>
        <w:rPr>
          <w:rFonts w:hint="eastAsia"/>
        </w:rPr>
        <w:t>输入统计日期区间后点击确定按钮即可进行统计。 </w:t>
      </w:r>
    </w:p>
    <w:p>
      <w:pPr>
        <w:pStyle w:val="34"/>
      </w:pPr>
      <w:r>
        <w:rPr>
          <w:rFonts w:hint="eastAsia"/>
        </w:rPr>
        <w:t>然后可以在报表空白区域右键出现下图功能菜单选择其他板块分析： </w:t>
      </w:r>
    </w:p>
    <w:p>
      <w:pPr>
        <w:pStyle w:val="34"/>
      </w:pPr>
      <w:r>
        <w:fldChar w:fldCharType="begin"/>
      </w:r>
      <w:r>
        <w:instrText xml:space="preserve"> INCLUDEPICTURE  "https://www.tdx.com.cn/products/helpfile/tdxw/chm/%E7%AC%AC%E4%BA%8C%E7%AB%A0 %E5%8A%9F%E8%83%BD/2-10/2-10-1/3-2-3-8_clip_image012.jpg" \* MERGEFORMATINET </w:instrText>
      </w:r>
      <w:r>
        <w:fldChar w:fldCharType="separate"/>
      </w:r>
      <w:r>
        <w:fldChar w:fldCharType="begin"/>
      </w:r>
      <w:r>
        <w:instrText xml:space="preserve"> INCLUDEPICTURE  "https://www.tdx.com.cn/products/helpfile/tdxw/chm/%E7%AC%AC%E4%BA%8C%E7%AB%A0 %E5%8A%9F%E8%83%BD/2-10/2-10-1/3-2-3-8_clip_image012.jpg" \* MERGEFORMATINET </w:instrText>
      </w:r>
      <w:r>
        <w:fldChar w:fldCharType="separate"/>
      </w:r>
      <w:r>
        <w:fldChar w:fldCharType="begin"/>
      </w:r>
      <w:r>
        <w:instrText xml:space="preserve"> INCLUDEPICTURE  "https://www.tdx.com.cn/products/helpfile/tdxw/chm/%E7%AC%AC%E4%BA%8C%E7%AB%A0 %E5%8A%9F%E8%83%BD/2-10/2-10-1/3-2-3-8_clip_image012.jpg" \* MERGEFORMATINET </w:instrText>
      </w:r>
      <w:r>
        <w:fldChar w:fldCharType="separate"/>
      </w:r>
      <w:r>
        <w:fldChar w:fldCharType="begin"/>
      </w:r>
      <w:r>
        <w:instrText xml:space="preserve"> INCLUDEPICTURE  "https://www.tdx.com.cn/products/helpfile/tdxw/chm/%E7%AC%AC%E4%BA%8C%E7%AB%A0 %E5%8A%9F%E8%83%BD/2-10/2-10-1/3-2-3-8_clip_image012.jpg" \* MERGEFORMATINET </w:instrText>
      </w:r>
      <w:r>
        <w:fldChar w:fldCharType="separate"/>
      </w:r>
      <w:r>
        <w:drawing>
          <wp:inline distT="0" distB="0" distL="114300" distR="114300">
            <wp:extent cx="1257300" cy="2581275"/>
            <wp:effectExtent l="0" t="0" r="0" b="9525"/>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pic:cNvPicPr>
                  </pic:nvPicPr>
                  <pic:blipFill>
                    <a:blip r:embed="rId133" r:link="rId134"/>
                    <a:stretch>
                      <a:fillRect/>
                    </a:stretch>
                  </pic:blipFill>
                  <pic:spPr>
                    <a:xfrm>
                      <a:off x="0" y="0"/>
                      <a:ext cx="1257300" cy="2581275"/>
                    </a:xfrm>
                    <a:prstGeom prst="rect">
                      <a:avLst/>
                    </a:prstGeom>
                    <a:noFill/>
                    <a:ln>
                      <a:noFill/>
                    </a:ln>
                  </pic:spPr>
                </pic:pic>
              </a:graphicData>
            </a:graphic>
          </wp:inline>
        </w:drawing>
      </w:r>
      <w:r>
        <w:fldChar w:fldCharType="end"/>
      </w:r>
      <w:r>
        <w:fldChar w:fldCharType="end"/>
      </w:r>
      <w:r>
        <w:fldChar w:fldCharType="end"/>
      </w:r>
      <w:r>
        <w:fldChar w:fldCharType="end"/>
      </w:r>
    </w:p>
    <w:p>
      <w:pPr>
        <w:pStyle w:val="34"/>
        <w:ind w:firstLine="540"/>
      </w:pPr>
      <w:r>
        <w:rPr>
          <w:rFonts w:hint="eastAsia"/>
          <w:sz w:val="27"/>
          <w:szCs w:val="27"/>
        </w:rPr>
        <w:t> </w:t>
      </w:r>
      <w:r>
        <w:rPr>
          <w:rFonts w:hint="eastAsia"/>
        </w:rPr>
        <w:t>4、可在K线界面的区间统计中直接进入此界面。</w:t>
      </w:r>
    </w:p>
    <w:p>
      <w:pPr>
        <w:pStyle w:val="34"/>
      </w:pPr>
      <w:r>
        <w:rPr>
          <w:rFonts w:hint="eastAsia"/>
        </w:rPr>
        <w:t>进入K线界面——两次空白键</w:t>
      </w:r>
    </w:p>
    <w:p>
      <w:pPr>
        <w:pStyle w:val="34"/>
      </w:pPr>
      <w:r>
        <w:rPr>
          <w:rFonts w:hint="eastAsia"/>
        </w:rPr>
        <w:t>进入K线界面——CTRL+W</w:t>
      </w:r>
    </w:p>
    <w:p>
      <w:pPr>
        <w:pStyle w:val="34"/>
      </w:pPr>
      <w:r>
        <w:rPr>
          <w:rFonts w:hint="eastAsia"/>
        </w:rPr>
        <w:t>进入K线界面——鼠标右键拖出一个小框，然后选择统计区间</w:t>
      </w:r>
    </w:p>
    <w:p>
      <w:pPr>
        <w:pStyle w:val="34"/>
      </w:pPr>
      <w:r>
        <w:rPr>
          <w:rFonts w:hint="eastAsia"/>
        </w:rPr>
        <w:t>区间统计界面点击“板块排行”可直接进入此界面。如下图：</w:t>
      </w:r>
    </w:p>
    <w:p>
      <w:pPr>
        <w:pStyle w:val="34"/>
      </w:pPr>
      <w:r>
        <w:drawing>
          <wp:inline distT="0" distB="0" distL="114300" distR="114300">
            <wp:extent cx="2828925" cy="3905250"/>
            <wp:effectExtent l="0" t="0" r="9525"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icPr>
                  <pic:blipFill>
                    <a:blip r:embed="rId135"/>
                    <a:stretch>
                      <a:fillRect/>
                    </a:stretch>
                  </pic:blipFill>
                  <pic:spPr>
                    <a:xfrm>
                      <a:off x="0" y="0"/>
                      <a:ext cx="2828925" cy="3905250"/>
                    </a:xfrm>
                    <a:prstGeom prst="rect">
                      <a:avLst/>
                    </a:prstGeom>
                    <a:noFill/>
                    <a:ln>
                      <a:noFill/>
                    </a:ln>
                  </pic:spPr>
                </pic:pic>
              </a:graphicData>
            </a:graphic>
          </wp:inline>
        </w:drawing>
      </w:r>
    </w:p>
    <w:p>
      <w:pPr>
        <w:pStyle w:val="34"/>
      </w:pPr>
    </w:p>
    <w:p>
      <w:pPr>
        <w:pStyle w:val="34"/>
      </w:pPr>
      <w:r>
        <w:rPr>
          <w:rFonts w:hint="eastAsia"/>
        </w:rPr>
        <w:t>功能使用技巧</w:t>
      </w:r>
    </w:p>
    <w:tbl>
      <w:tblPr>
        <w:tblStyle w:val="25"/>
        <w:tblW w:w="0" w:type="auto"/>
        <w:tblCellSpacing w:w="0" w:type="dxa"/>
        <w:tblInd w:w="0" w:type="dxa"/>
        <w:tblBorders>
          <w:top w:val="outset" w:color="auto" w:sz="6" w:space="0"/>
          <w:left w:val="outset" w:color="auto" w:sz="6" w:space="0"/>
          <w:bottom w:val="outset" w:color="auto" w:sz="6" w:space="0"/>
          <w:right w:val="outset" w:color="auto" w:sz="6" w:space="0"/>
          <w:insideH w:val="none" w:color="auto" w:sz="0" w:space="0"/>
          <w:insideV w:val="none" w:color="auto" w:sz="0" w:space="0"/>
        </w:tblBorders>
        <w:tblLayout w:type="autofit"/>
        <w:tblCellMar>
          <w:top w:w="0" w:type="dxa"/>
          <w:left w:w="0" w:type="dxa"/>
          <w:bottom w:w="0" w:type="dxa"/>
          <w:right w:w="0" w:type="dxa"/>
        </w:tblCellMar>
      </w:tblPr>
      <w:tblGrid>
        <w:gridCol w:w="3825"/>
        <w:gridCol w:w="9798"/>
      </w:tblGrid>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3825"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操作</w:t>
            </w:r>
          </w:p>
        </w:tc>
        <w:tc>
          <w:tcPr>
            <w:tcW w:w="9798"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效果</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3825"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报表界面键盘精灵键入个股代码</w:t>
            </w:r>
          </w:p>
        </w:tc>
        <w:tc>
          <w:tcPr>
            <w:tcW w:w="9798"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鼠标黄色定位线自动定位此个股</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3825"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.400中的市场比和.403--.406中的市场比</w:t>
            </w:r>
          </w:p>
        </w:tc>
        <w:tc>
          <w:tcPr>
            <w:tcW w:w="9798"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.400统计的是板块，板块中可以含上海也可以含深圳市场的股票所以是相对于</w:t>
            </w:r>
            <w:r>
              <w:rPr>
                <w:rStyle w:val="28"/>
                <w:rFonts w:hint="eastAsia" w:ascii="微软雅黑" w:hAnsi="微软雅黑" w:eastAsia="微软雅黑"/>
                <w:sz w:val="18"/>
                <w:szCs w:val="18"/>
              </w:rPr>
              <w:t>两个市场的总成交金额</w:t>
            </w:r>
            <w:r>
              <w:rPr>
                <w:rFonts w:hint="eastAsia"/>
              </w:rPr>
              <w:t>的，后者则是个股的市场比情况所以是相对于</w:t>
            </w:r>
            <w:r>
              <w:rPr>
                <w:rStyle w:val="28"/>
                <w:rFonts w:hint="eastAsia" w:ascii="微软雅黑" w:hAnsi="微软雅黑" w:eastAsia="微软雅黑"/>
                <w:sz w:val="18"/>
                <w:szCs w:val="18"/>
              </w:rPr>
              <w:t>各自市场的总成交金额</w:t>
            </w:r>
          </w:p>
        </w:tc>
      </w:tr>
    </w:tbl>
    <w:p>
      <w:pPr>
        <w:pStyle w:val="4"/>
        <w:rPr>
          <w:rFonts w:ascii="微软雅黑" w:eastAsia="微软雅黑"/>
          <w:color w:val="000000"/>
        </w:rPr>
      </w:pPr>
      <w:r>
        <w:rPr>
          <w:rFonts w:hint="eastAsia" w:ascii="微软雅黑" w:eastAsia="微软雅黑"/>
          <w:color w:val="000000"/>
        </w:rPr>
        <w:t>历史行情指标排序</w:t>
      </w:r>
    </w:p>
    <w:p>
      <w:pPr>
        <w:pStyle w:val="34"/>
        <w:rPr>
          <w:kern w:val="0"/>
        </w:rPr>
      </w:pPr>
      <w:r>
        <w:rPr>
          <w:rFonts w:hint="eastAsia"/>
          <w:kern w:val="0"/>
        </w:rPr>
        <w:t>调出方式：功能——报表分析——历史行情报表或用键盘精灵输入.401</w:t>
      </w:r>
    </w:p>
    <w:p>
      <w:pPr>
        <w:pStyle w:val="34"/>
        <w:rPr>
          <w:kern w:val="0"/>
        </w:rPr>
      </w:pPr>
      <w:r>
        <w:rPr>
          <w:rFonts w:hint="eastAsia"/>
          <w:kern w:val="0"/>
        </w:rPr>
        <w:t>功能说明: 用于查看历史上某一天的行情报表。 </w:t>
      </w:r>
    </w:p>
    <w:p>
      <w:pPr>
        <w:pStyle w:val="34"/>
        <w:rPr>
          <w:kern w:val="0"/>
        </w:rPr>
      </w:pPr>
      <w:r>
        <w:rPr>
          <w:rFonts w:hint="eastAsia"/>
          <w:kern w:val="0"/>
        </w:rPr>
        <w:t>Tip：可以最多添加3个指标公式。对于单个公式的输出的个数不再有16个最大输出的限制。</w:t>
      </w:r>
    </w:p>
    <w:p>
      <w:pPr>
        <w:pStyle w:val="34"/>
        <w:rPr>
          <w:kern w:val="0"/>
        </w:rPr>
      </w:pPr>
      <w:r>
        <w:rPr>
          <w:rFonts w:hint="eastAsia"/>
          <w:kern w:val="0"/>
        </w:rPr>
        <w:t>查看历史行情，有助于投资者分析和观察某些股票在过去一段时期的行情统计或某一日的行情，以便对以后的操作做出一个正确的判断。</w:t>
      </w:r>
    </w:p>
    <w:p>
      <w:pPr>
        <w:pStyle w:val="34"/>
        <w:rPr>
          <w:kern w:val="0"/>
        </w:rPr>
      </w:pPr>
      <w:r>
        <w:rPr>
          <w:kern w:val="0"/>
        </w:rPr>
        <w:drawing>
          <wp:inline distT="0" distB="0" distL="114300" distR="114300">
            <wp:extent cx="6962775" cy="5486400"/>
            <wp:effectExtent l="0" t="0" r="9525" b="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pic:cNvPicPr>
                  </pic:nvPicPr>
                  <pic:blipFill>
                    <a:blip r:embed="rId136"/>
                    <a:stretch>
                      <a:fillRect/>
                    </a:stretch>
                  </pic:blipFill>
                  <pic:spPr>
                    <a:xfrm>
                      <a:off x="0" y="0"/>
                      <a:ext cx="6962775" cy="5486400"/>
                    </a:xfrm>
                    <a:prstGeom prst="rect">
                      <a:avLst/>
                    </a:prstGeom>
                    <a:noFill/>
                    <a:ln>
                      <a:noFill/>
                    </a:ln>
                  </pic:spPr>
                </pic:pic>
              </a:graphicData>
            </a:graphic>
          </wp:inline>
        </w:drawing>
      </w:r>
    </w:p>
    <w:p>
      <w:pPr>
        <w:pStyle w:val="34"/>
        <w:ind w:firstLine="540"/>
        <w:rPr>
          <w:kern w:val="0"/>
          <w:sz w:val="27"/>
          <w:szCs w:val="27"/>
        </w:rPr>
      </w:pPr>
      <w:r>
        <w:rPr>
          <w:rFonts w:hint="eastAsia"/>
          <w:kern w:val="0"/>
          <w:sz w:val="27"/>
          <w:szCs w:val="27"/>
        </w:rPr>
        <w:t> </w:t>
      </w:r>
    </w:p>
    <w:p>
      <w:pPr>
        <w:pStyle w:val="34"/>
        <w:rPr>
          <w:kern w:val="0"/>
        </w:rPr>
      </w:pPr>
      <w:r>
        <w:rPr>
          <w:rFonts w:hint="eastAsia"/>
          <w:kern w:val="0"/>
        </w:rPr>
        <w:t>查看历史某一天的行情报表</w:t>
      </w:r>
    </w:p>
    <w:p>
      <w:pPr>
        <w:pStyle w:val="34"/>
        <w:rPr>
          <w:kern w:val="0"/>
        </w:rPr>
      </w:pPr>
      <w:r>
        <w:rPr>
          <w:rFonts w:hint="eastAsia"/>
          <w:kern w:val="0"/>
        </w:rPr>
        <w:t>点击鼠标右键，如下图：</w:t>
      </w:r>
    </w:p>
    <w:p>
      <w:pPr>
        <w:pStyle w:val="34"/>
        <w:rPr>
          <w:kern w:val="0"/>
        </w:rPr>
      </w:pPr>
      <w:r>
        <w:rPr>
          <w:kern w:val="0"/>
        </w:rPr>
        <w:fldChar w:fldCharType="begin"/>
      </w:r>
      <w:r>
        <w:rPr>
          <w:kern w:val="0"/>
        </w:rPr>
        <w:instrText xml:space="preserve"> INCLUDEPICTURE  "https://www.tdx.com.cn/products/helpfile/tdxw/chm/%E7%AC%AC%E4%BA%8C%E7%AB%A0 %E5%8A%9F%E8%83%BD/2-10/2-10-2/3-2-3-9_clip_image002.jpg"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"https://www.tdx.com.cn/products/helpfile/tdxw/chm/%E7%AC%AC%E4%BA%8C%E7%AB%A0 %E5%8A%9F%E8%83%BD/2-10/2-10-2/3-2-3-9_clip_image002.jpg"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"https://www.tdx.com.cn/products/helpfile/tdxw/chm/%E7%AC%AC%E4%BA%8C%E7%AB%A0 %E5%8A%9F%E8%83%BD/2-10/2-10-2/3-2-3-9_clip_image002.jpg"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"https://www.tdx.com.cn/products/helpfile/tdxw/chm/%E7%AC%AC%E4%BA%8C%E7%AB%A0 %E5%8A%9F%E8%83%BD/2-10/2-10-2/3-2-3-9_clip_image002.jpg" \* MERGEFORMATINET </w:instrText>
      </w:r>
      <w:r>
        <w:rPr>
          <w:kern w:val="0"/>
        </w:rPr>
        <w:fldChar w:fldCharType="separate"/>
      </w:r>
      <w:r>
        <w:rPr>
          <w:kern w:val="0"/>
        </w:rPr>
        <w:drawing>
          <wp:inline distT="0" distB="0" distL="114300" distR="114300">
            <wp:extent cx="1295400" cy="2171700"/>
            <wp:effectExtent l="0" t="0" r="0"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pic:cNvPicPr>
                  </pic:nvPicPr>
                  <pic:blipFill>
                    <a:blip r:embed="rId137" r:link="rId138"/>
                    <a:stretch>
                      <a:fillRect/>
                    </a:stretch>
                  </pic:blipFill>
                  <pic:spPr>
                    <a:xfrm>
                      <a:off x="0" y="0"/>
                      <a:ext cx="1295400" cy="2171700"/>
                    </a:xfrm>
                    <a:prstGeom prst="rect">
                      <a:avLst/>
                    </a:prstGeom>
                    <a:noFill/>
                    <a:ln>
                      <a:noFill/>
                    </a:ln>
                  </pic:spPr>
                </pic:pic>
              </a:graphicData>
            </a:graphic>
          </wp:inline>
        </w:drawing>
      </w:r>
      <w:r>
        <w:rPr>
          <w:kern w:val="0"/>
        </w:rPr>
        <w:fldChar w:fldCharType="end"/>
      </w:r>
      <w:r>
        <w:rPr>
          <w:kern w:val="0"/>
        </w:rPr>
        <w:fldChar w:fldCharType="end"/>
      </w:r>
      <w:r>
        <w:rPr>
          <w:kern w:val="0"/>
        </w:rPr>
        <w:fldChar w:fldCharType="end"/>
      </w:r>
      <w:r>
        <w:rPr>
          <w:kern w:val="0"/>
        </w:rPr>
        <w:fldChar w:fldCharType="end"/>
      </w:r>
    </w:p>
    <w:p>
      <w:pPr>
        <w:pStyle w:val="34"/>
        <w:rPr>
          <w:kern w:val="0"/>
        </w:rPr>
      </w:pPr>
      <w:r>
        <w:rPr>
          <w:rFonts w:hint="eastAsia"/>
          <w:kern w:val="0"/>
        </w:rPr>
        <w:t>点击“选择交易日”</w:t>
      </w:r>
    </w:p>
    <w:p>
      <w:pPr>
        <w:pStyle w:val="34"/>
        <w:rPr>
          <w:kern w:val="0"/>
        </w:rPr>
      </w:pPr>
      <w:r>
        <w:rPr>
          <w:kern w:val="0"/>
        </w:rPr>
        <w:fldChar w:fldCharType="begin"/>
      </w:r>
      <w:r>
        <w:rPr>
          <w:kern w:val="0"/>
        </w:rPr>
        <w:instrText xml:space="preserve"> INCLUDEPICTURE  "https://www.tdx.com.cn/products/helpfile/tdxw/chm/%E7%AC%AC%E4%BA%8C%E7%AB%A0 %E5%8A%9F%E8%83%BD/2-10/2-10-2/3-2-3-9_clip_image004.jpg"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"https://www.tdx.com.cn/products/helpfile/tdxw/chm/%E7%AC%AC%E4%BA%8C%E7%AB%A0 %E5%8A%9F%E8%83%BD/2-10/2-10-2/3-2-3-9_clip_image004.jpg"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"https://www.tdx.com.cn/products/helpfile/tdxw/chm/%E7%AC%AC%E4%BA%8C%E7%AB%A0 %E5%8A%9F%E8%83%BD/2-10/2-10-2/3-2-3-9_clip_image004.jpg"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"https://www.tdx.com.cn/products/helpfile/tdxw/chm/%E7%AC%AC%E4%BA%8C%E7%AB%A0 %E5%8A%9F%E8%83%BD/2-10/2-10-2/3-2-3-9_clip_image004.jpg" \* MERGEFORMATINET </w:instrText>
      </w:r>
      <w:r>
        <w:rPr>
          <w:kern w:val="0"/>
        </w:rPr>
        <w:fldChar w:fldCharType="separate"/>
      </w:r>
      <w:r>
        <w:rPr>
          <w:kern w:val="0"/>
        </w:rPr>
        <w:drawing>
          <wp:inline distT="0" distB="0" distL="114300" distR="114300">
            <wp:extent cx="2676525" cy="1524000"/>
            <wp:effectExtent l="0" t="0" r="9525"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pic:cNvPicPr>
                  </pic:nvPicPr>
                  <pic:blipFill>
                    <a:blip r:embed="rId139" r:link="rId140"/>
                    <a:stretch>
                      <a:fillRect/>
                    </a:stretch>
                  </pic:blipFill>
                  <pic:spPr>
                    <a:xfrm>
                      <a:off x="0" y="0"/>
                      <a:ext cx="2676525" cy="1524000"/>
                    </a:xfrm>
                    <a:prstGeom prst="rect">
                      <a:avLst/>
                    </a:prstGeom>
                    <a:noFill/>
                    <a:ln>
                      <a:noFill/>
                    </a:ln>
                  </pic:spPr>
                </pic:pic>
              </a:graphicData>
            </a:graphic>
          </wp:inline>
        </w:drawing>
      </w:r>
      <w:r>
        <w:rPr>
          <w:kern w:val="0"/>
        </w:rPr>
        <w:fldChar w:fldCharType="end"/>
      </w:r>
      <w:r>
        <w:rPr>
          <w:kern w:val="0"/>
        </w:rPr>
        <w:fldChar w:fldCharType="end"/>
      </w:r>
      <w:r>
        <w:rPr>
          <w:kern w:val="0"/>
        </w:rPr>
        <w:fldChar w:fldCharType="end"/>
      </w:r>
      <w:r>
        <w:rPr>
          <w:kern w:val="0"/>
        </w:rPr>
        <w:fldChar w:fldCharType="end"/>
      </w:r>
    </w:p>
    <w:p>
      <w:pPr>
        <w:pStyle w:val="34"/>
        <w:rPr>
          <w:kern w:val="0"/>
        </w:rPr>
      </w:pPr>
      <w:r>
        <w:rPr>
          <w:rFonts w:hint="eastAsia"/>
          <w:kern w:val="0"/>
        </w:rPr>
        <w:t>在弹出的窗口中选择要查看的日期，点击“确定”铵钮。</w:t>
      </w:r>
    </w:p>
    <w:p>
      <w:pPr>
        <w:pStyle w:val="34"/>
        <w:rPr>
          <w:kern w:val="0"/>
        </w:rPr>
      </w:pPr>
      <w:r>
        <w:rPr>
          <w:rFonts w:hint="eastAsia"/>
          <w:kern w:val="0"/>
        </w:rPr>
        <w:t>重新计算</w:t>
      </w:r>
    </w:p>
    <w:p>
      <w:pPr>
        <w:pStyle w:val="34"/>
        <w:rPr>
          <w:kern w:val="0"/>
        </w:rPr>
      </w:pPr>
      <w:r>
        <w:rPr>
          <w:rFonts w:hint="eastAsia"/>
          <w:kern w:val="0"/>
        </w:rPr>
        <w:t>刷新当前报表数据和最新行情数据保持同步</w:t>
      </w:r>
    </w:p>
    <w:p>
      <w:pPr>
        <w:pStyle w:val="34"/>
        <w:rPr>
          <w:kern w:val="0"/>
        </w:rPr>
      </w:pPr>
      <w:r>
        <w:rPr>
          <w:rFonts w:hint="eastAsia"/>
          <w:kern w:val="0"/>
        </w:rPr>
        <w:t>动态股票池模式</w:t>
      </w:r>
    </w:p>
    <w:p>
      <w:pPr>
        <w:pStyle w:val="34"/>
        <w:rPr>
          <w:kern w:val="0"/>
        </w:rPr>
      </w:pPr>
      <w:r>
        <w:rPr>
          <w:rFonts w:hint="eastAsia"/>
          <w:kern w:val="0"/>
        </w:rPr>
        <w:t>可以1分钟自动刷新一次结果。</w:t>
      </w:r>
    </w:p>
    <w:p>
      <w:pPr>
        <w:pStyle w:val="34"/>
        <w:rPr>
          <w:kern w:val="0"/>
        </w:rPr>
      </w:pPr>
      <w:r>
        <w:rPr>
          <w:rFonts w:hint="eastAsia"/>
          <w:kern w:val="0"/>
        </w:rPr>
        <w:t>更改排序指标</w:t>
      </w:r>
    </w:p>
    <w:p>
      <w:pPr>
        <w:pStyle w:val="34"/>
        <w:rPr>
          <w:kern w:val="0"/>
        </w:rPr>
      </w:pPr>
      <w:r>
        <w:rPr>
          <w:rFonts w:hint="eastAsia"/>
          <w:kern w:val="0"/>
        </w:rPr>
        <w:t>更改当前附加指标为其他指标，使更改后的指标输出变量数据展示在报表中</w:t>
      </w:r>
    </w:p>
    <w:p>
      <w:pPr>
        <w:pStyle w:val="34"/>
        <w:rPr>
          <w:kern w:val="0"/>
        </w:rPr>
      </w:pPr>
      <w:r>
        <w:rPr>
          <w:kern w:val="0"/>
        </w:rPr>
        <w:fldChar w:fldCharType="begin"/>
      </w:r>
      <w:r>
        <w:rPr>
          <w:kern w:val="0"/>
        </w:rPr>
        <w:instrText xml:space="preserve"> INCLUDEPICTURE  "https://www.tdx.com.cn/products/helpfile/tdxw/chm/%E7%AC%AC%E4%BA%8C%E7%AB%A0 %E5%8A%9F%E8%83%BD/2-10/2-10-2/3-2-3-9_clip_image006.jpg"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"https://www.tdx.com.cn/products/helpfile/tdxw/chm/%E7%AC%AC%E4%BA%8C%E7%AB%A0 %E5%8A%9F%E8%83%BD/2-10/2-10-2/3-2-3-9_clip_image006.jpg"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"https://www.tdx.com.cn/products/helpfile/tdxw/chm/%E7%AC%AC%E4%BA%8C%E7%AB%A0 %E5%8A%9F%E8%83%BD/2-10/2-10-2/3-2-3-9_clip_image006.jpg"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"https://www.tdx.com.cn/products/helpfile/tdxw/chm/%E7%AC%AC%E4%BA%8C%E7%AB%A0 %E5%8A%9F%E8%83%BD/2-10/2-10-2/3-2-3-9_clip_image006.jpg" \* MERGEFORMATINET </w:instrText>
      </w:r>
      <w:r>
        <w:rPr>
          <w:kern w:val="0"/>
        </w:rPr>
        <w:fldChar w:fldCharType="separate"/>
      </w:r>
      <w:r>
        <w:rPr>
          <w:kern w:val="0"/>
        </w:rPr>
        <w:drawing>
          <wp:inline distT="0" distB="0" distL="114300" distR="114300">
            <wp:extent cx="4486275" cy="3352800"/>
            <wp:effectExtent l="0" t="0" r="9525"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pic:cNvPicPr>
                  </pic:nvPicPr>
                  <pic:blipFill>
                    <a:blip r:embed="rId141" r:link="rId142"/>
                    <a:stretch>
                      <a:fillRect/>
                    </a:stretch>
                  </pic:blipFill>
                  <pic:spPr>
                    <a:xfrm>
                      <a:off x="0" y="0"/>
                      <a:ext cx="4486275" cy="3352800"/>
                    </a:xfrm>
                    <a:prstGeom prst="rect">
                      <a:avLst/>
                    </a:prstGeom>
                    <a:noFill/>
                    <a:ln>
                      <a:noFill/>
                    </a:ln>
                  </pic:spPr>
                </pic:pic>
              </a:graphicData>
            </a:graphic>
          </wp:inline>
        </w:drawing>
      </w:r>
      <w:r>
        <w:rPr>
          <w:kern w:val="0"/>
        </w:rPr>
        <w:fldChar w:fldCharType="end"/>
      </w:r>
      <w:r>
        <w:rPr>
          <w:kern w:val="0"/>
        </w:rPr>
        <w:fldChar w:fldCharType="end"/>
      </w:r>
      <w:r>
        <w:rPr>
          <w:kern w:val="0"/>
        </w:rPr>
        <w:fldChar w:fldCharType="end"/>
      </w:r>
      <w:r>
        <w:rPr>
          <w:kern w:val="0"/>
        </w:rPr>
        <w:fldChar w:fldCharType="end"/>
      </w:r>
    </w:p>
    <w:p>
      <w:pPr>
        <w:pStyle w:val="34"/>
        <w:rPr>
          <w:kern w:val="0"/>
        </w:rPr>
      </w:pPr>
      <w:r>
        <w:rPr>
          <w:rFonts w:hint="eastAsia"/>
          <w:kern w:val="0"/>
        </w:rPr>
        <w:t>选择要排序的指标，点击“确定”按钮。</w:t>
      </w:r>
    </w:p>
    <w:p>
      <w:pPr>
        <w:pStyle w:val="34"/>
        <w:rPr>
          <w:kern w:val="0"/>
        </w:rPr>
      </w:pPr>
      <w:r>
        <w:rPr>
          <w:rFonts w:hint="eastAsia"/>
          <w:kern w:val="0"/>
        </w:rPr>
        <w:t>附加排序指标</w:t>
      </w:r>
    </w:p>
    <w:p>
      <w:pPr>
        <w:pStyle w:val="34"/>
        <w:rPr>
          <w:kern w:val="0"/>
        </w:rPr>
      </w:pPr>
      <w:r>
        <w:rPr>
          <w:rFonts w:hint="eastAsia"/>
          <w:kern w:val="0"/>
        </w:rPr>
        <w:t>在显示输出一个指标公式输出的基础上还可以添加2个指标公式并输出他们的输出变量的值。（值必须是数值字符串不可显示或显示异常）</w:t>
      </w:r>
    </w:p>
    <w:p>
      <w:pPr>
        <w:pStyle w:val="34"/>
        <w:rPr>
          <w:kern w:val="0"/>
        </w:rPr>
      </w:pPr>
      <w:r>
        <w:rPr>
          <w:rFonts w:hint="eastAsia"/>
          <w:kern w:val="0"/>
        </w:rPr>
        <w:t>删除排序指标</w:t>
      </w:r>
    </w:p>
    <w:p>
      <w:pPr>
        <w:pStyle w:val="34"/>
        <w:rPr>
          <w:kern w:val="0"/>
        </w:rPr>
      </w:pPr>
      <w:r>
        <w:rPr>
          <w:rFonts w:hint="eastAsia"/>
          <w:kern w:val="0"/>
        </w:rPr>
        <w:t>可删除当前的排序指标</w:t>
      </w:r>
    </w:p>
    <w:p>
      <w:pPr>
        <w:pStyle w:val="34"/>
        <w:rPr>
          <w:kern w:val="0"/>
        </w:rPr>
      </w:pPr>
      <w:r>
        <w:rPr>
          <w:rFonts w:hint="eastAsia"/>
          <w:kern w:val="0"/>
        </w:rPr>
        <w:t>处理报表排序结果</w:t>
      </w:r>
    </w:p>
    <w:p>
      <w:pPr>
        <w:pStyle w:val="34"/>
        <w:rPr>
          <w:kern w:val="0"/>
        </w:rPr>
      </w:pPr>
      <w:r>
        <w:rPr>
          <w:rFonts w:hint="eastAsia"/>
          <w:kern w:val="0"/>
        </w:rPr>
        <w:t>对于排序的结果，点击“批量操作”可把其中的关注的个股加入自定义板块，如下图：</w:t>
      </w:r>
    </w:p>
    <w:p>
      <w:pPr>
        <w:pStyle w:val="34"/>
        <w:rPr>
          <w:kern w:val="0"/>
        </w:rPr>
      </w:pPr>
      <w:r>
        <w:rPr>
          <w:kern w:val="0"/>
        </w:rPr>
        <w:fldChar w:fldCharType="begin"/>
      </w:r>
      <w:r>
        <w:rPr>
          <w:kern w:val="0"/>
        </w:rPr>
        <w:instrText xml:space="preserve"> INCLUDEPICTURE  "https://www.tdx.com.cn/products/helpfile/tdxw/chm/%E7%AC%AC%E4%BA%8C%E7%AB%A0 %E5%8A%9F%E8%83%BD/2-10/2-10-2/3-2-3-9_clip_image008.jpg"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"https://www.tdx.com.cn/products/helpfile/tdxw/chm/%E7%AC%AC%E4%BA%8C%E7%AB%A0 %E5%8A%9F%E8%83%BD/2-10/2-10-2/3-2-3-9_clip_image008.jpg"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"https://www.tdx.com.cn/products/helpfile/tdxw/chm/%E7%AC%AC%E4%BA%8C%E7%AB%A0 %E5%8A%9F%E8%83%BD/2-10/2-10-2/3-2-3-9_clip_image008.jpg"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"https://www.tdx.com.cn/products/helpfile/tdxw/chm/%E7%AC%AC%E4%BA%8C%E7%AB%A0 %E5%8A%9F%E8%83%BD/2-10/2-10-2/3-2-3-9_clip_image008.jpg" \* MERGEFORMATINET </w:instrText>
      </w:r>
      <w:r>
        <w:rPr>
          <w:kern w:val="0"/>
        </w:rPr>
        <w:fldChar w:fldCharType="separate"/>
      </w:r>
      <w:r>
        <w:rPr>
          <w:kern w:val="0"/>
        </w:rPr>
        <w:drawing>
          <wp:inline distT="0" distB="0" distL="114300" distR="114300">
            <wp:extent cx="3800475" cy="1247775"/>
            <wp:effectExtent l="0" t="0" r="9525" b="9525"/>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pic:cNvPicPr>
                  </pic:nvPicPr>
                  <pic:blipFill>
                    <a:blip r:embed="rId143" r:link="rId144"/>
                    <a:stretch>
                      <a:fillRect/>
                    </a:stretch>
                  </pic:blipFill>
                  <pic:spPr>
                    <a:xfrm>
                      <a:off x="0" y="0"/>
                      <a:ext cx="3800475" cy="1247775"/>
                    </a:xfrm>
                    <a:prstGeom prst="rect">
                      <a:avLst/>
                    </a:prstGeom>
                    <a:noFill/>
                    <a:ln>
                      <a:noFill/>
                    </a:ln>
                  </pic:spPr>
                </pic:pic>
              </a:graphicData>
            </a:graphic>
          </wp:inline>
        </w:drawing>
      </w:r>
      <w:r>
        <w:rPr>
          <w:kern w:val="0"/>
        </w:rPr>
        <w:fldChar w:fldCharType="end"/>
      </w:r>
      <w:r>
        <w:rPr>
          <w:kern w:val="0"/>
        </w:rPr>
        <w:fldChar w:fldCharType="end"/>
      </w:r>
      <w:r>
        <w:rPr>
          <w:kern w:val="0"/>
        </w:rPr>
        <w:fldChar w:fldCharType="end"/>
      </w:r>
      <w:r>
        <w:rPr>
          <w:kern w:val="0"/>
        </w:rPr>
        <w:fldChar w:fldCharType="end"/>
      </w:r>
    </w:p>
    <w:p>
      <w:pPr>
        <w:pStyle w:val="34"/>
        <w:rPr>
          <w:kern w:val="0"/>
        </w:rPr>
      </w:pPr>
      <w:r>
        <w:rPr>
          <w:rFonts w:hint="eastAsia"/>
          <w:kern w:val="0"/>
        </w:rPr>
        <w:t>点击“是”可以下方图形可选择对象为报表所有品种，点击“否”下方图形可选对象只为本屏品种。</w:t>
      </w:r>
    </w:p>
    <w:p>
      <w:pPr>
        <w:pStyle w:val="34"/>
        <w:rPr>
          <w:kern w:val="0"/>
        </w:rPr>
      </w:pPr>
      <w:r>
        <w:rPr>
          <w:kern w:val="0"/>
        </w:rPr>
        <w:fldChar w:fldCharType="begin"/>
      </w:r>
      <w:r>
        <w:rPr>
          <w:kern w:val="0"/>
        </w:rPr>
        <w:instrText xml:space="preserve"> INCLUDEPICTURE  "https://www.tdx.com.cn/products/helpfile/tdxw/chm/%E7%AC%AC%E4%BA%8C%E7%AB%A0 %E5%8A%9F%E8%83%BD/2-10/2-10-2/3-2-3-9_clip_image010.jpg"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"https://www.tdx.com.cn/products/helpfile/tdxw/chm/%E7%AC%AC%E4%BA%8C%E7%AB%A0 %E5%8A%9F%E8%83%BD/2-10/2-10-2/3-2-3-9_clip_image010.jpg"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"https://www.tdx.com.cn/products/helpfile/tdxw/chm/%E7%AC%AC%E4%BA%8C%E7%AB%A0 %E5%8A%9F%E8%83%BD/2-10/2-10-2/3-2-3-9_clip_image010.jpg"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"https://www.tdx.com.cn/products/helpfile/tdxw/chm/%E7%AC%AC%E4%BA%8C%E7%AB%A0 %E5%8A%9F%E8%83%BD/2-10/2-10-2/3-2-3-9_clip_image010.jpg" \* MERGEFORMATINET </w:instrText>
      </w:r>
      <w:r>
        <w:rPr>
          <w:kern w:val="0"/>
        </w:rPr>
        <w:fldChar w:fldCharType="separate"/>
      </w:r>
      <w:r>
        <w:rPr>
          <w:kern w:val="0"/>
        </w:rPr>
        <w:drawing>
          <wp:inline distT="0" distB="0" distL="114300" distR="114300">
            <wp:extent cx="2914650" cy="3752850"/>
            <wp:effectExtent l="0" t="0" r="0"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pic:cNvPicPr>
                  </pic:nvPicPr>
                  <pic:blipFill>
                    <a:blip r:embed="rId145" r:link="rId146"/>
                    <a:stretch>
                      <a:fillRect/>
                    </a:stretch>
                  </pic:blipFill>
                  <pic:spPr>
                    <a:xfrm>
                      <a:off x="0" y="0"/>
                      <a:ext cx="2914650" cy="3752850"/>
                    </a:xfrm>
                    <a:prstGeom prst="rect">
                      <a:avLst/>
                    </a:prstGeom>
                    <a:noFill/>
                    <a:ln>
                      <a:noFill/>
                    </a:ln>
                  </pic:spPr>
                </pic:pic>
              </a:graphicData>
            </a:graphic>
          </wp:inline>
        </w:drawing>
      </w:r>
      <w:r>
        <w:rPr>
          <w:kern w:val="0"/>
        </w:rPr>
        <w:fldChar w:fldCharType="end"/>
      </w:r>
      <w:r>
        <w:rPr>
          <w:kern w:val="0"/>
        </w:rPr>
        <w:fldChar w:fldCharType="end"/>
      </w:r>
      <w:r>
        <w:rPr>
          <w:kern w:val="0"/>
        </w:rPr>
        <w:fldChar w:fldCharType="end"/>
      </w:r>
      <w:r>
        <w:rPr>
          <w:kern w:val="0"/>
        </w:rPr>
        <w:fldChar w:fldCharType="end"/>
      </w:r>
    </w:p>
    <w:p>
      <w:pPr>
        <w:pStyle w:val="4"/>
      </w:pPr>
      <w:r>
        <w:rPr>
          <w:rFonts w:hint="eastAsia"/>
        </w:rPr>
        <w:t>强弱分析</w:t>
      </w:r>
    </w:p>
    <w:p>
      <w:pPr>
        <w:pStyle w:val="34"/>
      </w:pPr>
      <w:r>
        <w:rPr>
          <w:rFonts w:hint="eastAsia"/>
        </w:rPr>
        <w:t>快捷键</w:t>
      </w:r>
      <w:r>
        <w:rPr>
          <w:rStyle w:val="51"/>
          <w:rFonts w:hint="eastAsia"/>
          <w:szCs w:val="18"/>
        </w:rPr>
        <w:t>　【.402】或　　功能——报表分析——强弱分析报表。用于查看个股与基准个股或基准指数在不同周期内的涨幅之差。</w:t>
      </w:r>
    </w:p>
    <w:p>
      <w:pPr>
        <w:pStyle w:val="34"/>
      </w:pPr>
      <w:r>
        <w:rPr>
          <w:rFonts w:hint="eastAsia"/>
        </w:rPr>
        <w:t>操作图示 </w:t>
      </w:r>
    </w:p>
    <w:p>
      <w:pPr>
        <w:pStyle w:val="34"/>
      </w:pPr>
      <w:r>
        <w:fldChar w:fldCharType="begin"/>
      </w:r>
      <w:r>
        <w:instrText xml:space="preserve"> INCLUDEPICTURE  "https://www.tdx.com.cn/products/helpfile/tdxw/chm/%E7%AC%AC%E4%BA%8C%E7%AB%A0 %E5%8A%9F%E8%83%BD/2-10/2-10-3/1.png" \* MERGEFORMATINET </w:instrText>
      </w:r>
      <w:r>
        <w:fldChar w:fldCharType="separate"/>
      </w:r>
      <w:r>
        <w:fldChar w:fldCharType="begin"/>
      </w:r>
      <w:r>
        <w:instrText xml:space="preserve"> INCLUDEPICTURE  "https://www.tdx.com.cn/products/helpfile/tdxw/chm/%E7%AC%AC%E4%BA%8C%E7%AB%A0 %E5%8A%9F%E8%83%BD/2-10/2-10-3/1.png" \* MERGEFORMATINET </w:instrText>
      </w:r>
      <w:r>
        <w:fldChar w:fldCharType="separate"/>
      </w:r>
      <w:r>
        <w:fldChar w:fldCharType="begin"/>
      </w:r>
      <w:r>
        <w:instrText xml:space="preserve"> INCLUDEPICTURE  "https://www.tdx.com.cn/products/helpfile/tdxw/chm/%E7%AC%AC%E4%BA%8C%E7%AB%A0 %E5%8A%9F%E8%83%BD/2-10/2-10-3/1.png" \* MERGEFORMATINET </w:instrText>
      </w:r>
      <w:r>
        <w:fldChar w:fldCharType="separate"/>
      </w:r>
      <w:r>
        <w:fldChar w:fldCharType="begin"/>
      </w:r>
      <w:r>
        <w:instrText xml:space="preserve"> INCLUDEPICTURE  "https://www.tdx.com.cn/products/helpfile/tdxw/chm/%E7%AC%AC%E4%BA%8C%E7%AB%A0 %E5%8A%9F%E8%83%BD/2-10/2-10-3/1.png" \* MERGEFORMATINET </w:instrText>
      </w:r>
      <w:r>
        <w:fldChar w:fldCharType="separate"/>
      </w:r>
      <w:r>
        <w:drawing>
          <wp:inline distT="0" distB="0" distL="114300" distR="114300">
            <wp:extent cx="7524750" cy="4552950"/>
            <wp:effectExtent l="0" t="0" r="0" b="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pic:cNvPicPr>
                  </pic:nvPicPr>
                  <pic:blipFill>
                    <a:blip r:embed="rId147" r:link="rId148"/>
                    <a:stretch>
                      <a:fillRect/>
                    </a:stretch>
                  </pic:blipFill>
                  <pic:spPr>
                    <a:xfrm>
                      <a:off x="0" y="0"/>
                      <a:ext cx="7524750" cy="4552950"/>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强弱比较表示股票在不同周期内的强弱程度为分析对象，对股票的不同区间涨跌情况进行统计。列出了个股的今日强度、3日强度、5日强度、10日强度、20日强度、60日强度及年线强度，是证券综合分析的主要工具。配合“强弱”、RSI指标、拖动鼠标右键的“涨跌幅统计”功能，可进行任意区间的强弱统计分析，方便的找寻强势股、超跌股。还可对任意一只股票进行相关性、联动分析。投资者通过强度比较能够轻易的发现今日强势股、弱势股，决定投资方向。 </w:t>
      </w:r>
    </w:p>
    <w:p>
      <w:pPr>
        <w:pStyle w:val="34"/>
      </w:pPr>
      <w:r>
        <w:rPr>
          <w:rFonts w:hint="eastAsia"/>
        </w:rPr>
        <w:t>用户可在工具栏或报表菜单中选中强弱分析报表，或通过键盘精灵.402进入强弱分析。</w:t>
      </w:r>
    </w:p>
    <w:p>
      <w:pPr>
        <w:pStyle w:val="34"/>
      </w:pPr>
    </w:p>
    <w:p>
      <w:pPr>
        <w:pStyle w:val="34"/>
      </w:pPr>
      <w:r>
        <w:rPr>
          <w:rFonts w:hint="eastAsia"/>
        </w:rPr>
        <w:t>选择基准股票 </w:t>
      </w:r>
    </w:p>
    <w:p>
      <w:pPr>
        <w:pStyle w:val="34"/>
      </w:pPr>
      <w:r>
        <w:rPr>
          <w:rFonts w:hint="eastAsia"/>
        </w:rPr>
        <w:t>点击动态图标按钮“选择基准股票”弹出对话框，可以将某只股票（鼠标点击或用健盘精灵敲入该股票代码选中）的强度参数设置为零，从而得出其余股票的相对强度值。</w:t>
      </w:r>
    </w:p>
    <w:p>
      <w:pPr>
        <w:pStyle w:val="34"/>
      </w:pPr>
      <w:r>
        <w:rPr>
          <w:rFonts w:hint="eastAsia"/>
        </w:rPr>
        <w:t>右键菜单 </w:t>
      </w:r>
    </w:p>
    <w:p>
      <w:pPr>
        <w:pStyle w:val="34"/>
      </w:pPr>
      <w:r>
        <w:rPr>
          <w:rFonts w:hint="eastAsia"/>
        </w:rPr>
        <w:t>【设为基准】 </w:t>
      </w:r>
    </w:p>
    <w:p>
      <w:pPr>
        <w:pStyle w:val="34"/>
      </w:pPr>
      <w:r>
        <w:rPr>
          <w:rFonts w:hint="eastAsia"/>
        </w:rPr>
        <w:t>将当前选中的股票设为基准，其所有强度参数值为零。</w:t>
      </w:r>
    </w:p>
    <w:p>
      <w:pPr>
        <w:pStyle w:val="34"/>
      </w:pPr>
      <w:r>
        <w:rPr>
          <w:rFonts w:hint="eastAsia"/>
        </w:rPr>
        <w:t>【设定强度参数】 </w:t>
      </w:r>
    </w:p>
    <w:p>
      <w:pPr>
        <w:pStyle w:val="34"/>
      </w:pPr>
      <w:r>
        <w:rPr>
          <w:rFonts w:hint="eastAsia"/>
        </w:rPr>
        <w:t>弹出设定参数对话框，可修改强度的5个参数，系统默认值为3、5、10、20、60天。 </w:t>
      </w:r>
      <w:r>
        <w:fldChar w:fldCharType="begin"/>
      </w:r>
      <w:r>
        <w:instrText xml:space="preserve"> INCLUDEPICTURE  "https://www.tdx.com.cn/products/helpfile/tdxw/chm/%E7%AC%AC%E4%BA%8C%E7%AB%A0 %E5%8A%9F%E8%83%BD/2-10/2-10-3/%EF%BC%92.jpg" \* MERGEFORMATINET </w:instrText>
      </w:r>
      <w:r>
        <w:fldChar w:fldCharType="separate"/>
      </w:r>
      <w:r>
        <w:fldChar w:fldCharType="begin"/>
      </w:r>
      <w:r>
        <w:instrText xml:space="preserve"> INCLUDEPICTURE  "https://www.tdx.com.cn/products/helpfile/tdxw/chm/%E7%AC%AC%E4%BA%8C%E7%AB%A0 %E5%8A%9F%E8%83%BD/2-10/2-10-3/%EF%BC%92.jpg" \* MERGEFORMATINET </w:instrText>
      </w:r>
      <w:r>
        <w:fldChar w:fldCharType="separate"/>
      </w:r>
      <w:r>
        <w:fldChar w:fldCharType="begin"/>
      </w:r>
      <w:r>
        <w:instrText xml:space="preserve"> INCLUDEPICTURE  "https://www.tdx.com.cn/products/helpfile/tdxw/chm/%E7%AC%AC%E4%BA%8C%E7%AB%A0 %E5%8A%9F%E8%83%BD/2-10/2-10-3/%EF%BC%92.jpg" \* MERGEFORMATINET </w:instrText>
      </w:r>
      <w:r>
        <w:fldChar w:fldCharType="separate"/>
      </w:r>
      <w:r>
        <w:fldChar w:fldCharType="begin"/>
      </w:r>
      <w:r>
        <w:instrText xml:space="preserve"> INCLUDEPICTURE  "https://www.tdx.com.cn/products/helpfile/tdxw/chm/%E7%AC%AC%E4%BA%8C%E7%AB%A0 %E5%8A%9F%E8%83%BD/2-10/2-10-3/%EF%BC%92.jpg" \* MERGEFORMATINET </w:instrText>
      </w:r>
      <w:r>
        <w:fldChar w:fldCharType="separate"/>
      </w:r>
      <w:r>
        <w:drawing>
          <wp:inline distT="0" distB="0" distL="114300" distR="114300">
            <wp:extent cx="2390775" cy="1781175"/>
            <wp:effectExtent l="0" t="0" r="9525" b="9525"/>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pic:cNvPicPr>
                  </pic:nvPicPr>
                  <pic:blipFill>
                    <a:blip r:embed="rId149" r:link="rId150"/>
                    <a:stretch>
                      <a:fillRect/>
                    </a:stretch>
                  </pic:blipFill>
                  <pic:spPr>
                    <a:xfrm>
                      <a:off x="0" y="0"/>
                      <a:ext cx="2390775" cy="1781175"/>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【批量操作】可将当前屏幕所显示多品种另存为板块；</w:t>
      </w:r>
    </w:p>
    <w:p>
      <w:pPr>
        <w:pStyle w:val="34"/>
      </w:pPr>
      <w:r>
        <w:rPr>
          <w:rFonts w:hint="eastAsia"/>
        </w:rPr>
        <w:t>例：要研究目标股“000002深万科A”近8日走势，步骤如下： </w:t>
      </w:r>
    </w:p>
    <w:p>
      <w:pPr>
        <w:pStyle w:val="34"/>
      </w:pPr>
      <w:r>
        <w:rPr>
          <w:rFonts w:hint="eastAsia"/>
        </w:rPr>
        <w:t>1．【.402】进入强弱分析报表； </w:t>
      </w:r>
    </w:p>
    <w:p>
      <w:pPr>
        <w:pStyle w:val="34"/>
      </w:pPr>
      <w:r>
        <w:rPr>
          <w:rFonts w:hint="eastAsia"/>
        </w:rPr>
        <w:t>2．将“000002”设为基准股：鼠标右键点击“深万科”在弹出对话框中选中“设为基准”；设定“强度参数”为8； </w:t>
      </w:r>
    </w:p>
    <w:p>
      <w:pPr>
        <w:pStyle w:val="34"/>
      </w:pPr>
      <w:r>
        <w:rPr>
          <w:rFonts w:hint="eastAsia"/>
        </w:rPr>
        <w:t>3．点击“8日强度”排序，翻页到数据都为0（白色显示）的“深万科”； </w:t>
      </w:r>
    </w:p>
    <w:p>
      <w:pPr>
        <w:pStyle w:val="34"/>
      </w:pPr>
      <w:r>
        <w:rPr>
          <w:rFonts w:hint="eastAsia"/>
        </w:rPr>
        <w:t>4．回车就进入8日涨跌幅与“深万科A”相近的股票分析图； </w:t>
      </w:r>
    </w:p>
    <w:p>
      <w:pPr>
        <w:pStyle w:val="34"/>
      </w:pPr>
      <w:r>
        <w:rPr>
          <w:rFonts w:hint="eastAsia"/>
        </w:rPr>
        <w:t>5．也可点击右键选择“批量操作”选项，将“深万科A”附近的股票另存为：新建板块“51”，简称“51”； </w:t>
      </w:r>
    </w:p>
    <w:p>
      <w:pPr>
        <w:pStyle w:val="34"/>
      </w:pPr>
      <w:r>
        <w:rPr>
          <w:rFonts w:hint="eastAsia"/>
        </w:rPr>
        <w:t>6．敲击“51”集合，进入“51版块”。 </w:t>
      </w:r>
    </w:p>
    <w:p>
      <w:pPr>
        <w:pStyle w:val="34"/>
      </w:pPr>
      <w:r>
        <w:rPr>
          <w:rFonts w:hint="eastAsia"/>
        </w:rPr>
        <w:t>强弱分析报表的今日强,3日强,5日强,10,20,60强的含义： </w:t>
      </w:r>
    </w:p>
    <w:p>
      <w:pPr>
        <w:pStyle w:val="34"/>
      </w:pPr>
      <w:r>
        <w:rPr>
          <w:rFonts w:hint="eastAsia"/>
        </w:rPr>
        <w:t>如果没有设置基准,相当于股票的今日涨幅,3日来涨幅,5日来涨幅等 </w:t>
      </w:r>
    </w:p>
    <w:p>
      <w:pPr>
        <w:pStyle w:val="34"/>
      </w:pPr>
      <w:r>
        <w:rPr>
          <w:rFonts w:hint="eastAsia"/>
        </w:rPr>
        <w:t>如果设置有基准(比如是上证指数),则为涨幅与基准品种的同期涨幅之差。</w:t>
      </w:r>
    </w:p>
    <w:p>
      <w:pPr>
        <w:pStyle w:val="4"/>
      </w:pPr>
      <w:r>
        <w:rPr>
          <w:rFonts w:hint="eastAsia"/>
        </w:rPr>
        <w:t>阶段排行</w:t>
      </w:r>
    </w:p>
    <w:p>
      <w:pPr>
        <w:pStyle w:val="34"/>
      </w:pPr>
      <w:r>
        <w:rPr>
          <w:rFonts w:hint="eastAsia"/>
        </w:rPr>
        <w:t>调出方式： </w:t>
      </w:r>
    </w:p>
    <w:p>
      <w:pPr>
        <w:pStyle w:val="34"/>
      </w:pPr>
      <w:r>
        <w:rPr>
          <w:rFonts w:hint="eastAsia"/>
        </w:rPr>
        <w:t>进入K线界面——两次空格键</w:t>
      </w:r>
    </w:p>
    <w:p>
      <w:pPr>
        <w:pStyle w:val="34"/>
      </w:pPr>
      <w:r>
        <w:rPr>
          <w:rFonts w:hint="eastAsia"/>
        </w:rPr>
        <w:t>进入K线界面——CTRL+W</w:t>
      </w:r>
    </w:p>
    <w:p>
      <w:pPr>
        <w:pStyle w:val="34"/>
      </w:pPr>
      <w:r>
        <w:rPr>
          <w:rFonts w:hint="eastAsia"/>
        </w:rPr>
        <w:t>进入K线界面——鼠标右键拖出一个小框，然后选择统计区间</w:t>
      </w:r>
    </w:p>
    <w:p>
      <w:pPr>
        <w:pStyle w:val="34"/>
      </w:pPr>
      <w:r>
        <w:rPr>
          <w:rFonts w:hint="eastAsia"/>
        </w:rPr>
        <w:t>区间统计界面点击“板块排行”可直接进入此界面。如下图：</w:t>
      </w:r>
    </w:p>
    <w:p>
      <w:pPr>
        <w:pStyle w:val="34"/>
      </w:pPr>
      <w:r>
        <w:fldChar w:fldCharType="begin"/>
      </w:r>
      <w:r>
        <w:instrText xml:space="preserve"> INCLUDEPICTURE  "https://www.tdx.com.cn/products/helpfile/tdxw/chm/%E7%AC%AC%E4%BA%8C%E7%AB%A0 %E5%8A%9F%E8%83%BD/2-10/2-10-4/1.png" \* MERGEFORMATINET </w:instrText>
      </w:r>
      <w:r>
        <w:fldChar w:fldCharType="separate"/>
      </w:r>
      <w:r>
        <w:fldChar w:fldCharType="begin"/>
      </w:r>
      <w:r>
        <w:instrText xml:space="preserve"> INCLUDEPICTURE  "https://www.tdx.com.cn/products/helpfile/tdxw/chm/%E7%AC%AC%E4%BA%8C%E7%AB%A0 %E5%8A%9F%E8%83%BD/2-10/2-10-4/1.png" \* MERGEFORMATINET </w:instrText>
      </w:r>
      <w:r>
        <w:fldChar w:fldCharType="separate"/>
      </w:r>
      <w:r>
        <w:fldChar w:fldCharType="begin"/>
      </w:r>
      <w:r>
        <w:instrText xml:space="preserve"> INCLUDEPICTURE  "https://www.tdx.com.cn/products/helpfile/tdxw/chm/%E7%AC%AC%E4%BA%8C%E7%AB%A0 %E5%8A%9F%E8%83%BD/2-10/2-10-4/1.png" \* MERGEFORMATINET </w:instrText>
      </w:r>
      <w:r>
        <w:fldChar w:fldCharType="separate"/>
      </w:r>
      <w:r>
        <w:fldChar w:fldCharType="begin"/>
      </w:r>
      <w:r>
        <w:instrText xml:space="preserve"> INCLUDEPICTURE  "https://www.tdx.com.cn/products/helpfile/tdxw/chm/%E7%AC%AC%E4%BA%8C%E7%AB%A0 %E5%8A%9F%E8%83%BD/2-10/2-10-4/1.png" \* MERGEFORMATINET </w:instrText>
      </w:r>
      <w:r>
        <w:fldChar w:fldCharType="separate"/>
      </w:r>
      <w:r>
        <w:drawing>
          <wp:inline distT="0" distB="0" distL="114300" distR="114300">
            <wp:extent cx="2905125" cy="3895725"/>
            <wp:effectExtent l="0" t="0" r="9525" b="9525"/>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pic:cNvPicPr>
                  </pic:nvPicPr>
                  <pic:blipFill>
                    <a:blip r:embed="rId151" r:link="rId152"/>
                    <a:stretch>
                      <a:fillRect/>
                    </a:stretch>
                  </pic:blipFill>
                  <pic:spPr>
                    <a:xfrm>
                      <a:off x="0" y="0"/>
                      <a:ext cx="2905125" cy="3895725"/>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进入了区间统计界面点击“阶段排行”： </w:t>
      </w:r>
    </w:p>
    <w:p>
      <w:pPr>
        <w:pStyle w:val="34"/>
      </w:pPr>
      <w:r>
        <w:fldChar w:fldCharType="begin"/>
      </w:r>
      <w:r>
        <w:instrText xml:space="preserve"> INCLUDEPICTURE  "https://www.tdx.com.cn/products/helpfile/tdxw/chm/%E7%AC%AC%E4%BA%8C%E7%AB%A0 %E5%8A%9F%E8%83%BD/2-10/2-10-4/2.png" \* MERGEFORMATINET </w:instrText>
      </w:r>
      <w:r>
        <w:fldChar w:fldCharType="separate"/>
      </w:r>
      <w:r>
        <w:fldChar w:fldCharType="begin"/>
      </w:r>
      <w:r>
        <w:instrText xml:space="preserve"> INCLUDEPICTURE  "https://www.tdx.com.cn/products/helpfile/tdxw/chm/%E7%AC%AC%E4%BA%8C%E7%AB%A0 %E5%8A%9F%E8%83%BD/2-10/2-10-4/2.png" \* MERGEFORMATINET </w:instrText>
      </w:r>
      <w:r>
        <w:fldChar w:fldCharType="separate"/>
      </w:r>
      <w:r>
        <w:fldChar w:fldCharType="begin"/>
      </w:r>
      <w:r>
        <w:instrText xml:space="preserve"> INCLUDEPICTURE  "https://www.tdx.com.cn/products/helpfile/tdxw/chm/%E7%AC%AC%E4%BA%8C%E7%AB%A0 %E5%8A%9F%E8%83%BD/2-10/2-10-4/2.png" \* MERGEFORMATINET </w:instrText>
      </w:r>
      <w:r>
        <w:fldChar w:fldCharType="separate"/>
      </w:r>
      <w:r>
        <w:fldChar w:fldCharType="begin"/>
      </w:r>
      <w:r>
        <w:instrText xml:space="preserve"> INCLUDEPICTURE  "https://www.tdx.com.cn/products/helpfile/tdxw/chm/%E7%AC%AC%E4%BA%8C%E7%AB%A0 %E5%8A%9F%E8%83%BD/2-10/2-10-4/2.png" \* MERGEFORMATINET </w:instrText>
      </w:r>
      <w:r>
        <w:fldChar w:fldCharType="separate"/>
      </w:r>
      <w:r>
        <w:drawing>
          <wp:inline distT="0" distB="0" distL="114300" distR="114300">
            <wp:extent cx="3676650" cy="2581275"/>
            <wp:effectExtent l="0" t="0" r="0" b="9525"/>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pic:cNvPicPr>
                  </pic:nvPicPr>
                  <pic:blipFill>
                    <a:blip r:embed="rId153" r:link="rId154"/>
                    <a:stretch>
                      <a:fillRect/>
                    </a:stretch>
                  </pic:blipFill>
                  <pic:spPr>
                    <a:xfrm>
                      <a:off x="0" y="0"/>
                      <a:ext cx="3676650" cy="2581275"/>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起始日期、终止日期设置数据统计区间； </w:t>
      </w:r>
    </w:p>
    <w:p>
      <w:pPr>
        <w:pStyle w:val="34"/>
      </w:pPr>
      <w:r>
        <w:rPr>
          <w:rFonts w:hint="eastAsia"/>
        </w:rPr>
        <w:t>排行类型可以选择涨跌幅度、换手率排名、量变幅度、振荡幅度四种类型； </w:t>
      </w:r>
    </w:p>
    <w:p>
      <w:pPr>
        <w:pStyle w:val="34"/>
      </w:pPr>
      <w:r>
        <w:rPr>
          <w:rFonts w:hint="eastAsia"/>
        </w:rPr>
        <w:t>排行范围选择阶段排行股票范围，可为系统常见分类和常见板块包括自定义板块； </w:t>
      </w:r>
    </w:p>
    <w:p>
      <w:pPr>
        <w:pStyle w:val="34"/>
      </w:pPr>
      <w:r>
        <w:rPr>
          <w:rFonts w:hint="eastAsia"/>
        </w:rPr>
        <w:t>复权方式设置数据统计复权方式。</w:t>
      </w:r>
    </w:p>
    <w:p>
      <w:pPr>
        <w:pStyle w:val="34"/>
      </w:pPr>
      <w:r>
        <w:rPr>
          <w:rFonts w:hint="eastAsia"/>
        </w:rPr>
        <w:t>区间涨跌幅度 </w:t>
      </w:r>
    </w:p>
    <w:p>
      <w:pPr>
        <w:pStyle w:val="34"/>
      </w:pPr>
      <w:r>
        <w:rPr>
          <w:rFonts w:hint="eastAsia"/>
        </w:rPr>
        <w:t>调出方式：报价——区间涨跌幅度 或 用键盘精灵输入.403进入了区间统计界面</w:t>
      </w:r>
    </w:p>
    <w:p>
      <w:pPr>
        <w:pStyle w:val="34"/>
      </w:pPr>
      <w:r>
        <w:fldChar w:fldCharType="begin"/>
      </w:r>
      <w:r>
        <w:instrText xml:space="preserve"> INCLUDEPICTURE  "https://www.tdx.com.cn/products/helpfile/tdxw/chm/%E7%AC%AC%E4%BA%8C%E7%AB%A0 %E5%8A%9F%E8%83%BD/2-10/2-10-4/3.png" \* MERGEFORMATINET </w:instrText>
      </w:r>
      <w:r>
        <w:fldChar w:fldCharType="separate"/>
      </w:r>
      <w:r>
        <w:fldChar w:fldCharType="begin"/>
      </w:r>
      <w:r>
        <w:instrText xml:space="preserve"> INCLUDEPICTURE  "https://www.tdx.com.cn/products/helpfile/tdxw/chm/%E7%AC%AC%E4%BA%8C%E7%AB%A0 %E5%8A%9F%E8%83%BD/2-10/2-10-4/3.png" \* MERGEFORMATINET </w:instrText>
      </w:r>
      <w:r>
        <w:fldChar w:fldCharType="separate"/>
      </w:r>
      <w:r>
        <w:fldChar w:fldCharType="begin"/>
      </w:r>
      <w:r>
        <w:instrText xml:space="preserve"> INCLUDEPICTURE  "https://www.tdx.com.cn/products/helpfile/tdxw/chm/%E7%AC%AC%E4%BA%8C%E7%AB%A0 %E5%8A%9F%E8%83%BD/2-10/2-10-4/3.png" \* MERGEFORMATINET </w:instrText>
      </w:r>
      <w:r>
        <w:fldChar w:fldCharType="separate"/>
      </w:r>
      <w:r>
        <w:fldChar w:fldCharType="begin"/>
      </w:r>
      <w:r>
        <w:instrText xml:space="preserve"> INCLUDEPICTURE  "https://www.tdx.com.cn/products/helpfile/tdxw/chm/%E7%AC%AC%E4%BA%8C%E7%AB%A0 %E5%8A%9F%E8%83%BD/2-10/2-10-4/3.png" \* MERGEFORMATINET </w:instrText>
      </w:r>
      <w:r>
        <w:fldChar w:fldCharType="separate"/>
      </w:r>
      <w:r>
        <w:drawing>
          <wp:inline distT="0" distB="0" distL="114300" distR="114300">
            <wp:extent cx="7239000" cy="4552950"/>
            <wp:effectExtent l="0" t="0" r="0" b="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pic:cNvPicPr>
                  </pic:nvPicPr>
                  <pic:blipFill>
                    <a:blip r:embed="rId155" r:link="rId156"/>
                    <a:stretch>
                      <a:fillRect/>
                    </a:stretch>
                  </pic:blipFill>
                  <pic:spPr>
                    <a:xfrm>
                      <a:off x="0" y="0"/>
                      <a:ext cx="7239000" cy="4552950"/>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p>
    <w:p>
      <w:pPr>
        <w:pStyle w:val="34"/>
      </w:pPr>
      <w:r>
        <w:rPr>
          <w:rFonts w:hint="eastAsia"/>
        </w:rPr>
        <w:t>功能说明: 用于查看个股区间内的涨跌幅度等信息</w:t>
      </w:r>
    </w:p>
    <w:p>
      <w:pPr>
        <w:pStyle w:val="34"/>
      </w:pPr>
    </w:p>
    <w:p>
      <w:pPr>
        <w:pStyle w:val="34"/>
      </w:pPr>
      <w:r>
        <w:rPr>
          <w:rFonts w:hint="eastAsia"/>
        </w:rPr>
        <w:t>涨跌幅度：上面白色数值为涨跌幅度差值，下面红色数值为涨幅幅度百分比值。图中为20130306的收盘价和20130313的收盘。区间内20130306的收盘就是昨收（前收盘），20130313的收盘就是今日收盘 </w:t>
      </w:r>
    </w:p>
    <w:p>
      <w:pPr>
        <w:pStyle w:val="34"/>
      </w:pPr>
      <w:r>
        <w:rPr>
          <w:rFonts w:hint="eastAsia"/>
        </w:rPr>
        <w:t>振荡幅度：上面白色数值为振荡幅度差值(最高最低差值)，下面灰色数值为振荡幅度百分比值 </w:t>
      </w:r>
    </w:p>
    <w:p>
      <w:pPr>
        <w:pStyle w:val="34"/>
      </w:pPr>
      <w:r>
        <w:rPr>
          <w:rFonts w:hint="eastAsia"/>
        </w:rPr>
        <w:t>成交量：区间内的成交量之和 </w:t>
      </w:r>
    </w:p>
    <w:p>
      <w:pPr>
        <w:pStyle w:val="34"/>
      </w:pPr>
      <w:r>
        <w:rPr>
          <w:rFonts w:hint="eastAsia"/>
        </w:rPr>
        <w:t>总金额：区间内的成交金额之和 </w:t>
      </w:r>
    </w:p>
    <w:p>
      <w:pPr>
        <w:pStyle w:val="34"/>
      </w:pPr>
      <w:r>
        <w:rPr>
          <w:rFonts w:hint="eastAsia"/>
        </w:rPr>
        <w:t>市场比： 表示当前区间内的该股票的总成交金额占所在市场(上海股票就占上海市场或深圳股票就是深圳市场)的总成交金额的比例。即100＊区间总成交额／所属市场区间总成交额； </w:t>
      </w:r>
    </w:p>
    <w:p>
      <w:pPr>
        <w:pStyle w:val="34"/>
      </w:pPr>
      <w:r>
        <w:rPr>
          <w:rFonts w:hint="eastAsia"/>
        </w:rPr>
        <w:t>换手率：区间内总成家量/流通股本*100</w:t>
      </w:r>
    </w:p>
    <w:p>
      <w:pPr>
        <w:pStyle w:val="34"/>
      </w:pPr>
      <w:r>
        <w:rPr>
          <w:rFonts w:hint="eastAsia"/>
        </w:rPr>
        <w:t>5日量变% : 期末前5日累积量相对于期初前5日累积量的变化幅度, 计算公式为(期末前5日累积成交量-期初前5日累积成交量)*100.0/期初前5日累积成交量</w:t>
      </w:r>
    </w:p>
    <w:p>
      <w:pPr>
        <w:pStyle w:val="34"/>
      </w:pPr>
      <w:r>
        <w:rPr>
          <w:rFonts w:hint="eastAsia"/>
        </w:rPr>
        <w:t>设置统计区间时，点击鼠标右键，在弹出的菜单中选择“选择区间”，输入统计区间后点击“确定”按钮。如下图：</w:t>
      </w:r>
    </w:p>
    <w:p>
      <w:pPr>
        <w:pStyle w:val="34"/>
      </w:pPr>
      <w:r>
        <w:fldChar w:fldCharType="begin"/>
      </w:r>
      <w:r>
        <w:instrText xml:space="preserve"> INCLUDEPICTURE  "https://www.tdx.com.cn/products/helpfile/tdxw/chm/%E7%AC%AC%E4%BA%8C%E7%AB%A0 %E5%8A%9F%E8%83%BD/2-10/2-10-4/4.png" \* MERGEFORMATINET </w:instrText>
      </w:r>
      <w:r>
        <w:fldChar w:fldCharType="separate"/>
      </w:r>
      <w:r>
        <w:fldChar w:fldCharType="begin"/>
      </w:r>
      <w:r>
        <w:instrText xml:space="preserve"> INCLUDEPICTURE  "https://www.tdx.com.cn/products/helpfile/tdxw/chm/%E7%AC%AC%E4%BA%8C%E7%AB%A0 %E5%8A%9F%E8%83%BD/2-10/2-10-4/4.png" \* MERGEFORMATINET </w:instrText>
      </w:r>
      <w:r>
        <w:fldChar w:fldCharType="separate"/>
      </w:r>
      <w:r>
        <w:fldChar w:fldCharType="begin"/>
      </w:r>
      <w:r>
        <w:instrText xml:space="preserve"> INCLUDEPICTURE  "https://www.tdx.com.cn/products/helpfile/tdxw/chm/%E7%AC%AC%E4%BA%8C%E7%AB%A0 %E5%8A%9F%E8%83%BD/2-10/2-10-4/4.png" \* MERGEFORMATINET </w:instrText>
      </w:r>
      <w:r>
        <w:fldChar w:fldCharType="separate"/>
      </w:r>
      <w:r>
        <w:fldChar w:fldCharType="begin"/>
      </w:r>
      <w:r>
        <w:instrText xml:space="preserve"> INCLUDEPICTURE  "https://www.tdx.com.cn/products/helpfile/tdxw/chm/%E7%AC%AC%E4%BA%8C%E7%AB%A0 %E5%8A%9F%E8%83%BD/2-10/2-10-4/4.png" \* MERGEFORMATINET </w:instrText>
      </w:r>
      <w:r>
        <w:fldChar w:fldCharType="separate"/>
      </w:r>
      <w:r>
        <w:drawing>
          <wp:inline distT="0" distB="0" distL="114300" distR="114300">
            <wp:extent cx="1752600" cy="2619375"/>
            <wp:effectExtent l="0" t="0" r="0" b="9525"/>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pic:cNvPicPr>
                  </pic:nvPicPr>
                  <pic:blipFill>
                    <a:blip r:embed="rId157" r:link="rId158"/>
                    <a:stretch>
                      <a:fillRect/>
                    </a:stretch>
                  </pic:blipFill>
                  <pic:spPr>
                    <a:xfrm>
                      <a:off x="0" y="0"/>
                      <a:ext cx="1752600" cy="2619375"/>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fldChar w:fldCharType="begin"/>
      </w:r>
      <w:r>
        <w:instrText xml:space="preserve"> INCLUDEPICTURE  "https://www.tdx.com.cn/products/helpfile/tdxw/chm/%E7%AC%AC%E4%BA%8C%E7%AB%A0 %E5%8A%9F%E8%83%BD/2-10/2-10-4/5.png" \* MERGEFORMATINET </w:instrText>
      </w:r>
      <w:r>
        <w:fldChar w:fldCharType="separate"/>
      </w:r>
      <w:r>
        <w:fldChar w:fldCharType="begin"/>
      </w:r>
      <w:r>
        <w:instrText xml:space="preserve"> INCLUDEPICTURE  "https://www.tdx.com.cn/products/helpfile/tdxw/chm/%E7%AC%AC%E4%BA%8C%E7%AB%A0 %E5%8A%9F%E8%83%BD/2-10/2-10-4/5.png" \* MERGEFORMATINET </w:instrText>
      </w:r>
      <w:r>
        <w:fldChar w:fldCharType="separate"/>
      </w:r>
      <w:r>
        <w:fldChar w:fldCharType="begin"/>
      </w:r>
      <w:r>
        <w:instrText xml:space="preserve"> INCLUDEPICTURE  "https://www.tdx.com.cn/products/helpfile/tdxw/chm/%E7%AC%AC%E4%BA%8C%E7%AB%A0 %E5%8A%9F%E8%83%BD/2-10/2-10-4/5.png" \* MERGEFORMATINET </w:instrText>
      </w:r>
      <w:r>
        <w:fldChar w:fldCharType="separate"/>
      </w:r>
      <w:r>
        <w:fldChar w:fldCharType="begin"/>
      </w:r>
      <w:r>
        <w:instrText xml:space="preserve"> INCLUDEPICTURE  "https://www.tdx.com.cn/products/helpfile/tdxw/chm/%E7%AC%AC%E4%BA%8C%E7%AB%A0 %E5%8A%9F%E8%83%BD/2-10/2-10-4/5.png" \* MERGEFORMATINET </w:instrText>
      </w:r>
      <w:r>
        <w:fldChar w:fldCharType="separate"/>
      </w:r>
      <w:r>
        <w:drawing>
          <wp:inline distT="0" distB="0" distL="114300" distR="114300">
            <wp:extent cx="2638425" cy="1438275"/>
            <wp:effectExtent l="0" t="0" r="9525" b="9525"/>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1"/>
                    </pic:cNvPicPr>
                  </pic:nvPicPr>
                  <pic:blipFill>
                    <a:blip r:embed="rId159" r:link="rId160"/>
                    <a:stretch>
                      <a:fillRect/>
                    </a:stretch>
                  </pic:blipFill>
                  <pic:spPr>
                    <a:xfrm>
                      <a:off x="0" y="0"/>
                      <a:ext cx="2638425" cy="1438275"/>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处理报表排序结果：</w:t>
      </w:r>
    </w:p>
    <w:p>
      <w:pPr>
        <w:pStyle w:val="34"/>
      </w:pPr>
      <w:r>
        <w:rPr>
          <w:rFonts w:hint="eastAsia"/>
        </w:rPr>
        <w:t>同“历史行情报表”结果处理方法。</w:t>
      </w:r>
    </w:p>
    <w:p>
      <w:pPr>
        <w:pStyle w:val="34"/>
      </w:pPr>
    </w:p>
    <w:p>
      <w:pPr>
        <w:pStyle w:val="34"/>
      </w:pPr>
      <w:r>
        <w:rPr>
          <w:rFonts w:hint="eastAsia"/>
        </w:rPr>
        <w:t>区间换手排名</w:t>
      </w:r>
    </w:p>
    <w:p>
      <w:pPr>
        <w:pStyle w:val="34"/>
      </w:pPr>
      <w:r>
        <w:rPr>
          <w:rFonts w:hint="eastAsia"/>
        </w:rPr>
        <w:t>调出方式：报价——区间涨跌幅度  或 用键盘精灵输入.404</w:t>
      </w:r>
    </w:p>
    <w:p>
      <w:pPr>
        <w:pStyle w:val="34"/>
      </w:pPr>
      <w:r>
        <w:rPr>
          <w:rFonts w:hint="eastAsia"/>
        </w:rPr>
        <w:t>功能说明: 用于查看个股区间内的区间换手等信息。 </w:t>
      </w:r>
    </w:p>
    <w:p>
      <w:pPr>
        <w:pStyle w:val="34"/>
      </w:pPr>
      <w:r>
        <w:rPr>
          <w:rFonts w:hint="eastAsia"/>
        </w:rPr>
        <w:t>其他数据项同区间涨跌幅度,只是首列强调展示换手率%；具体操作参见区间涨跌幅度内容。</w:t>
      </w:r>
    </w:p>
    <w:p>
      <w:pPr>
        <w:pStyle w:val="34"/>
      </w:pPr>
    </w:p>
    <w:p>
      <w:pPr>
        <w:pStyle w:val="34"/>
      </w:pPr>
      <w:r>
        <w:rPr>
          <w:rFonts w:hint="eastAsia"/>
        </w:rPr>
        <w:t>区间量变幅度</w:t>
      </w:r>
    </w:p>
    <w:p>
      <w:pPr>
        <w:pStyle w:val="34"/>
      </w:pPr>
      <w:r>
        <w:rPr>
          <w:rFonts w:hint="eastAsia"/>
        </w:rPr>
        <w:t>调出方式：报价——区间涨跌幅度  或 用键盘精灵输入.405</w:t>
      </w:r>
    </w:p>
    <w:p>
      <w:pPr>
        <w:pStyle w:val="34"/>
      </w:pPr>
      <w:r>
        <w:rPr>
          <w:rFonts w:hint="eastAsia"/>
        </w:rPr>
        <w:t>功能说明: 用于查看个股区间内的区间量变幅度等信息。</w:t>
      </w:r>
    </w:p>
    <w:p>
      <w:pPr>
        <w:pStyle w:val="34"/>
      </w:pPr>
      <w:r>
        <w:rPr>
          <w:rFonts w:hint="eastAsia"/>
        </w:rPr>
        <w:t>其他数据项同区间涨跌幅度,只是首列强调展示5日量变%；具体操作参见区间涨跌幅度内容。</w:t>
      </w:r>
    </w:p>
    <w:p>
      <w:pPr>
        <w:pStyle w:val="34"/>
      </w:pPr>
    </w:p>
    <w:p>
      <w:pPr>
        <w:pStyle w:val="34"/>
      </w:pPr>
      <w:r>
        <w:rPr>
          <w:rFonts w:hint="eastAsia"/>
        </w:rPr>
        <w:t>区间振荡幅度</w:t>
      </w:r>
    </w:p>
    <w:p>
      <w:pPr>
        <w:pStyle w:val="34"/>
      </w:pPr>
      <w:r>
        <w:rPr>
          <w:rFonts w:hint="eastAsia"/>
        </w:rPr>
        <w:t>调出方式：报价——区间涨跌幅度  或 用键盘精灵输入.406</w:t>
      </w:r>
    </w:p>
    <w:p>
      <w:pPr>
        <w:pStyle w:val="34"/>
      </w:pPr>
      <w:r>
        <w:rPr>
          <w:rFonts w:hint="eastAsia"/>
        </w:rPr>
        <w:t>功能说明: 用于查看个股区间内的区间振荡幅度等信息。</w:t>
      </w:r>
    </w:p>
    <w:p>
      <w:pPr>
        <w:pStyle w:val="34"/>
      </w:pPr>
      <w:r>
        <w:rPr>
          <w:rFonts w:hint="eastAsia"/>
        </w:rPr>
        <w:t>其他数据项同区间涨跌幅度,只是首列强调展示振荡幅度；具体操作参见区间涨跌幅度内容。</w:t>
      </w:r>
    </w:p>
    <w:p>
      <w:pPr>
        <w:pStyle w:val="34"/>
        <w:rPr>
          <w:sz w:val="27"/>
          <w:szCs w:val="27"/>
        </w:rPr>
      </w:pPr>
      <w:r>
        <w:rPr>
          <w:rFonts w:hint="eastAsia"/>
        </w:rPr>
        <w:t> </w:t>
      </w:r>
    </w:p>
    <w:p>
      <w:pPr>
        <w:pStyle w:val="34"/>
      </w:pPr>
      <w:r>
        <w:rPr>
          <w:rFonts w:hint="eastAsia"/>
        </w:rPr>
        <w:t>使用注意事项</w:t>
      </w:r>
    </w:p>
    <w:p>
      <w:pPr>
        <w:pStyle w:val="34"/>
      </w:pPr>
      <w:r>
        <w:rPr>
          <w:rFonts w:hint="eastAsia"/>
        </w:rPr>
        <w:t>■对于区间数据统计功能使用前请下载盘后日线数据,当日的数据统计功能不需要下载盘后日线数据，系统会自动刷新当日数据。 </w:t>
      </w:r>
    </w:p>
    <w:p>
      <w:pPr>
        <w:pStyle w:val="34"/>
      </w:pPr>
      <w:r>
        <w:rPr>
          <w:rFonts w:hint="eastAsia"/>
        </w:rPr>
        <w:t>■报表数据支持不同复权方式： </w:t>
      </w:r>
    </w:p>
    <w:p>
      <w:pPr>
        <w:pStyle w:val="34"/>
      </w:pPr>
      <w:r>
        <w:rPr>
          <w:rFonts w:hint="eastAsia"/>
        </w:rPr>
        <w:t>ctrl+D 系统设置—设置1(报表分析中复权：不复权、前复权、后复权)</w:t>
      </w:r>
    </w:p>
    <w:p>
      <w:pPr>
        <w:pStyle w:val="34"/>
      </w:pPr>
      <w:r>
        <w:fldChar w:fldCharType="begin"/>
      </w:r>
      <w:r>
        <w:instrText xml:space="preserve"> INCLUDEPICTURE  "https://www.tdx.com.cn/products/helpfile/tdxw/chm/%E7%AC%AC%E4%BA%8C%E7%AB%A0 %E5%8A%9F%E8%83%BD/2-10/2-10-4/6.png" \* MERGEFORMATINET </w:instrText>
      </w:r>
      <w:r>
        <w:fldChar w:fldCharType="separate"/>
      </w:r>
      <w:r>
        <w:fldChar w:fldCharType="begin"/>
      </w:r>
      <w:r>
        <w:instrText xml:space="preserve"> INCLUDEPICTURE  "https://www.tdx.com.cn/products/helpfile/tdxw/chm/%E7%AC%AC%E4%BA%8C%E7%AB%A0 %E5%8A%9F%E8%83%BD/2-10/2-10-4/6.png" \* MERGEFORMATINET </w:instrText>
      </w:r>
      <w:r>
        <w:fldChar w:fldCharType="separate"/>
      </w:r>
      <w:r>
        <w:fldChar w:fldCharType="begin"/>
      </w:r>
      <w:r>
        <w:instrText xml:space="preserve"> INCLUDEPICTURE  "https://www.tdx.com.cn/products/helpfile/tdxw/chm/%E7%AC%AC%E4%BA%8C%E7%AB%A0 %E5%8A%9F%E8%83%BD/2-10/2-10-4/6.png" \* MERGEFORMATINET </w:instrText>
      </w:r>
      <w:r>
        <w:fldChar w:fldCharType="separate"/>
      </w:r>
      <w:r>
        <w:fldChar w:fldCharType="begin"/>
      </w:r>
      <w:r>
        <w:instrText xml:space="preserve"> INCLUDEPICTURE  "https://www.tdx.com.cn/products/helpfile/tdxw/chm/%E7%AC%AC%E4%BA%8C%E7%AB%A0 %E5%8A%9F%E8%83%BD/2-10/2-10-4/6.png" \* MERGEFORMATINET </w:instrText>
      </w:r>
      <w:r>
        <w:fldChar w:fldCharType="separate"/>
      </w:r>
      <w:r>
        <w:drawing>
          <wp:inline distT="0" distB="0" distL="114300" distR="114300">
            <wp:extent cx="5067300" cy="4038600"/>
            <wp:effectExtent l="0" t="0" r="0" b="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pic:cNvPicPr>
                  </pic:nvPicPr>
                  <pic:blipFill>
                    <a:blip r:embed="rId161" r:link="rId162"/>
                    <a:stretch>
                      <a:fillRect/>
                    </a:stretch>
                  </pic:blipFill>
                  <pic:spPr>
                    <a:xfrm>
                      <a:off x="0" y="0"/>
                      <a:ext cx="5067300" cy="4038600"/>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■功能相关设置：如果勾选了“分析图中成交量复权”那么复权方式下成交量会有别于当天真实的成交量，显示复权成交量。 </w:t>
      </w:r>
    </w:p>
    <w:p>
      <w:pPr>
        <w:pStyle w:val="34"/>
      </w:pPr>
      <w:r>
        <w:fldChar w:fldCharType="begin"/>
      </w:r>
      <w:r>
        <w:instrText xml:space="preserve"> INCLUDEPICTURE  "https://www.tdx.com.cn/products/helpfile/tdxw/chm/%E7%AC%AC%E4%BA%8C%E7%AB%A0 %E5%8A%9F%E8%83%BD/2-10/2-10-4/7.png" \* MERGEFORMATINET </w:instrText>
      </w:r>
      <w:r>
        <w:fldChar w:fldCharType="separate"/>
      </w:r>
      <w:r>
        <w:fldChar w:fldCharType="begin"/>
      </w:r>
      <w:r>
        <w:instrText xml:space="preserve"> INCLUDEPICTURE  "https://www.tdx.com.cn/products/helpfile/tdxw/chm/%E7%AC%AC%E4%BA%8C%E7%AB%A0 %E5%8A%9F%E8%83%BD/2-10/2-10-4/7.png" \* MERGEFORMATINET </w:instrText>
      </w:r>
      <w:r>
        <w:fldChar w:fldCharType="separate"/>
      </w:r>
      <w:r>
        <w:fldChar w:fldCharType="begin"/>
      </w:r>
      <w:r>
        <w:instrText xml:space="preserve"> INCLUDEPICTURE  "https://www.tdx.com.cn/products/helpfile/tdxw/chm/%E7%AC%AC%E4%BA%8C%E7%AB%A0 %E5%8A%9F%E8%83%BD/2-10/2-10-4/7.png" \* MERGEFORMATINET </w:instrText>
      </w:r>
      <w:r>
        <w:fldChar w:fldCharType="separate"/>
      </w:r>
      <w:r>
        <w:fldChar w:fldCharType="begin"/>
      </w:r>
      <w:r>
        <w:instrText xml:space="preserve"> INCLUDEPICTURE  "https://www.tdx.com.cn/products/helpfile/tdxw/chm/%E7%AC%AC%E4%BA%8C%E7%AB%A0 %E5%8A%9F%E8%83%BD/2-10/2-10-4/7.png" \* MERGEFORMATINET </w:instrText>
      </w:r>
      <w:r>
        <w:fldChar w:fldCharType="separate"/>
      </w:r>
      <w:r>
        <w:drawing>
          <wp:inline distT="0" distB="0" distL="114300" distR="114300">
            <wp:extent cx="5334000" cy="4257675"/>
            <wp:effectExtent l="0" t="0" r="0" b="9525"/>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pic:cNvPicPr>
                      <a:picLocks noChangeAspect="1"/>
                    </pic:cNvPicPr>
                  </pic:nvPicPr>
                  <pic:blipFill>
                    <a:blip r:embed="rId163" r:link="rId164"/>
                    <a:stretch>
                      <a:fillRect/>
                    </a:stretch>
                  </pic:blipFill>
                  <pic:spPr>
                    <a:xfrm>
                      <a:off x="0" y="0"/>
                      <a:ext cx="5334000" cy="4257675"/>
                    </a:xfrm>
                    <a:prstGeom prst="rect">
                      <a:avLst/>
                    </a:prstGeom>
                    <a:noFill/>
                    <a:ln>
                      <a:noFill/>
                    </a:ln>
                  </pic:spPr>
                </pic:pic>
              </a:graphicData>
            </a:graphic>
          </wp:inline>
        </w:drawing>
      </w:r>
      <w:r>
        <w:fldChar w:fldCharType="end"/>
      </w:r>
      <w:r>
        <w:fldChar w:fldCharType="end"/>
      </w:r>
      <w:r>
        <w:fldChar w:fldCharType="end"/>
      </w:r>
      <w:r>
        <w:fldChar w:fldCharType="end"/>
      </w:r>
    </w:p>
    <w:p>
      <w:pPr>
        <w:pStyle w:val="3"/>
      </w:pPr>
      <w:bookmarkStart w:id="20" w:name="_Toc90646139"/>
      <w:r>
        <w:rPr>
          <w:rFonts w:hint="eastAsia"/>
        </w:rPr>
        <w:t>预警系统</w:t>
      </w:r>
      <w:bookmarkEnd w:id="20"/>
    </w:p>
    <w:p>
      <w:r>
        <w:rPr>
          <w:rFonts w:hint="eastAsia"/>
        </w:rPr>
        <w:t>一个人的精力是有限的，不可能随时监控所有股票，这样在瞬息万变的股市上难免会错失良机。用户可以通过预警系统监控任何值得注意的情况。</w:t>
      </w:r>
    </w:p>
    <w:p>
      <w:r>
        <w:rPr>
          <w:rFonts w:hint="eastAsia"/>
        </w:rPr>
        <w:t>快捷方式： </w:t>
      </w:r>
    </w:p>
    <w:p>
      <w:r>
        <w:rPr>
          <w:rFonts w:hint="eastAsia"/>
        </w:rPr>
        <w:t>▲ 点击状态栏右下角空白栏</w:t>
      </w:r>
      <w:r>
        <w:fldChar w:fldCharType="begin"/>
      </w:r>
      <w:r>
        <w:instrText xml:space="preserve"> INCLUDEPICTURE  "https://www.tdx.com.cn/products/helpfile/tdxw/chm/%E7%AC%AC%E4%BA%8C%E7%AB%A0 %E5%8A%9F%E8%83%BD/2-11/1.png" \* MERGEFORMATINET </w:instrText>
      </w:r>
      <w:r>
        <w:fldChar w:fldCharType="separate"/>
      </w:r>
      <w:r>
        <w:fldChar w:fldCharType="begin"/>
      </w:r>
      <w:r>
        <w:instrText xml:space="preserve"> INCLUDEPICTURE  "https://www.tdx.com.cn/products/helpfile/tdxw/chm/%E7%AC%AC%E4%BA%8C%E7%AB%A0 %E5%8A%9F%E8%83%BD/2-11/1.png" \* MERGEFORMATINET </w:instrText>
      </w:r>
      <w:r>
        <w:fldChar w:fldCharType="separate"/>
      </w:r>
      <w:r>
        <w:fldChar w:fldCharType="begin"/>
      </w:r>
      <w:r>
        <w:instrText xml:space="preserve"> INCLUDEPICTURE  "https://www.tdx.com.cn/products/helpfile/tdxw/chm/%E7%AC%AC%E4%BA%8C%E7%AB%A0 %E5%8A%9F%E8%83%BD/2-11/1.png" \* MERGEFORMATINET </w:instrText>
      </w:r>
      <w:r>
        <w:fldChar w:fldCharType="separate"/>
      </w:r>
      <w:r>
        <w:fldChar w:fldCharType="begin"/>
      </w:r>
      <w:r>
        <w:instrText xml:space="preserve"> INCLUDEPICTURE  "https://www.tdx.com.cn/products/helpfile/tdxw/chm/%E7%AC%AC%E4%BA%8C%E7%AB%A0 %E5%8A%9F%E8%83%BD/2-11/1.png" \* MERGEFORMATINET </w:instrText>
      </w:r>
      <w:r>
        <w:fldChar w:fldCharType="separate"/>
      </w:r>
      <w:r>
        <w:drawing>
          <wp:inline distT="0" distB="0" distL="114300" distR="114300">
            <wp:extent cx="295275" cy="238125"/>
            <wp:effectExtent l="0" t="0" r="9525" b="9525"/>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pic:cNvPicPr>
                      <a:picLocks noChangeAspect="1"/>
                    </pic:cNvPicPr>
                  </pic:nvPicPr>
                  <pic:blipFill>
                    <a:blip r:embed="rId165" r:link="rId166"/>
                    <a:stretch>
                      <a:fillRect/>
                    </a:stretch>
                  </pic:blipFill>
                  <pic:spPr>
                    <a:xfrm>
                      <a:off x="0" y="0"/>
                      <a:ext cx="295275" cy="238125"/>
                    </a:xfrm>
                    <a:prstGeom prst="rect">
                      <a:avLst/>
                    </a:prstGeom>
                    <a:noFill/>
                    <a:ln>
                      <a:noFill/>
                    </a:ln>
                  </pic:spPr>
                </pic:pic>
              </a:graphicData>
            </a:graphic>
          </wp:inline>
        </w:drawing>
      </w:r>
      <w:r>
        <w:fldChar w:fldCharType="end"/>
      </w:r>
      <w:r>
        <w:fldChar w:fldCharType="end"/>
      </w:r>
      <w:r>
        <w:fldChar w:fldCharType="end"/>
      </w:r>
      <w:r>
        <w:fldChar w:fldCharType="end"/>
      </w:r>
    </w:p>
    <w:p>
      <w:r>
        <w:rPr>
          <w:rFonts w:hint="eastAsia"/>
        </w:rPr>
        <w:t>▲功能---预警系统</w:t>
      </w:r>
    </w:p>
    <w:p>
      <w:pPr>
        <w:pStyle w:val="4"/>
      </w:pPr>
      <w:r>
        <w:rPr>
          <w:rFonts w:hint="eastAsia"/>
        </w:rPr>
        <w:t>市场雷达设置</w:t>
      </w:r>
    </w:p>
    <w:p>
      <w:r>
        <w:rPr>
          <w:rFonts w:hint="eastAsia"/>
        </w:rPr>
        <w:t>用户设置市场雷达预警后，对市场上大单成交，封涨跌停情况，大买卖盘成交等信息可以及时了解。</w:t>
      </w:r>
    </w:p>
    <w:p>
      <w:r>
        <w:rPr>
          <w:rFonts w:hint="eastAsia"/>
        </w:rPr>
        <w:t>1进入方式 </w:t>
      </w:r>
    </w:p>
    <w:p>
      <w:r>
        <w:rPr>
          <w:rFonts w:hint="eastAsia"/>
        </w:rPr>
        <w:t>.910 市场雷达设置</w:t>
      </w:r>
    </w:p>
    <w:p>
      <w:r>
        <w:rPr>
          <w:rFonts w:hint="eastAsia"/>
        </w:rPr>
        <w:t>.911市场雷达列表</w:t>
      </w:r>
    </w:p>
    <w:p>
      <w:r>
        <w:rPr>
          <w:rFonts w:hint="eastAsia"/>
        </w:rPr>
        <w:t>功能——预警系统——市场雷达开关/设置/列表</w:t>
      </w:r>
    </w:p>
    <w:p>
      <w:r>
        <w:rPr>
          <w:rFonts w:hint="eastAsia"/>
        </w:rPr>
        <w:t>2展示界面</w:t>
      </w:r>
    </w:p>
    <w:p>
      <w:r>
        <w:fldChar w:fldCharType="begin"/>
      </w:r>
      <w:r>
        <w:instrText xml:space="preserve"> INCLUDEPICTURE  "https://www.tdx.com.cn/products/helpfile/tdxw/chm/%E7%AC%AC%E4%BA%8C%E7%AB%A0 %E5%8A%9F%E8%83%BD/2-11/2.png" \* MERGEFORMATINET </w:instrText>
      </w:r>
      <w:r>
        <w:fldChar w:fldCharType="separate"/>
      </w:r>
      <w:r>
        <w:fldChar w:fldCharType="begin"/>
      </w:r>
      <w:r>
        <w:instrText xml:space="preserve"> INCLUDEPICTURE  "https://www.tdx.com.cn/products/helpfile/tdxw/chm/%E7%AC%AC%E4%BA%8C%E7%AB%A0 %E5%8A%9F%E8%83%BD/2-11/2.png" \* MERGEFORMATINET </w:instrText>
      </w:r>
      <w:r>
        <w:fldChar w:fldCharType="separate"/>
      </w:r>
      <w:r>
        <w:fldChar w:fldCharType="begin"/>
      </w:r>
      <w:r>
        <w:instrText xml:space="preserve"> INCLUDEPICTURE  "https://www.tdx.com.cn/products/helpfile/tdxw/chm/%E7%AC%AC%E4%BA%8C%E7%AB%A0 %E5%8A%9F%E8%83%BD/2-11/2.png" \* MERGEFORMATINET </w:instrText>
      </w:r>
      <w:r>
        <w:fldChar w:fldCharType="separate"/>
      </w:r>
      <w:r>
        <w:fldChar w:fldCharType="begin"/>
      </w:r>
      <w:r>
        <w:instrText xml:space="preserve"> INCLUDEPICTURE  "https://www.tdx.com.cn/products/helpfile/tdxw/chm/%E7%AC%AC%E4%BA%8C%E7%AB%A0 %E5%8A%9F%E8%83%BD/2-11/2.png" \* MERGEFORMATINET </w:instrText>
      </w:r>
      <w:r>
        <w:fldChar w:fldCharType="separate"/>
      </w:r>
      <w:r>
        <w:drawing>
          <wp:inline distT="0" distB="0" distL="114300" distR="114300">
            <wp:extent cx="4352925" cy="4276725"/>
            <wp:effectExtent l="0" t="0" r="9525" b="9525"/>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pic:cNvPicPr>
                  </pic:nvPicPr>
                  <pic:blipFill>
                    <a:blip r:embed="rId167" r:link="rId168"/>
                    <a:stretch>
                      <a:fillRect/>
                    </a:stretch>
                  </pic:blipFill>
                  <pic:spPr>
                    <a:xfrm>
                      <a:off x="0" y="0"/>
                      <a:ext cx="4352925" cy="4276725"/>
                    </a:xfrm>
                    <a:prstGeom prst="rect">
                      <a:avLst/>
                    </a:prstGeom>
                    <a:noFill/>
                    <a:ln>
                      <a:noFill/>
                    </a:ln>
                  </pic:spPr>
                </pic:pic>
              </a:graphicData>
            </a:graphic>
          </wp:inline>
        </w:drawing>
      </w:r>
      <w:r>
        <w:fldChar w:fldCharType="end"/>
      </w:r>
      <w:r>
        <w:fldChar w:fldCharType="end"/>
      </w:r>
      <w:r>
        <w:fldChar w:fldCharType="end"/>
      </w:r>
      <w:r>
        <w:fldChar w:fldCharType="end"/>
      </w:r>
    </w:p>
    <w:p>
      <w:r>
        <w:rPr>
          <w:rFonts w:hint="eastAsia"/>
        </w:rPr>
        <w:t>（1）点击功能菜单-&gt;预警系统-&gt;市场雷达设置，进入雷达项的设置，在需要预警的雷达项前打上勾，点其它设置可对雷达项监控的范围做设置，设定好后，打开雷达开关，符合雷达条件的个股会自动在列表中显示出来，如下图：</w:t>
      </w:r>
    </w:p>
    <w:p>
      <w:r>
        <w:fldChar w:fldCharType="begin"/>
      </w:r>
      <w:r>
        <w:instrText xml:space="preserve"> INCLUDEPICTURE  "https://www.tdx.com.cn/products/helpfile/tdxw/chm/%E7%AC%AC%E4%BA%8C%E7%AB%A0 %E5%8A%9F%E8%83%BD/2-11/3.png" \* MERGEFORMATINET </w:instrText>
      </w:r>
      <w:r>
        <w:fldChar w:fldCharType="separate"/>
      </w:r>
      <w:r>
        <w:fldChar w:fldCharType="begin"/>
      </w:r>
      <w:r>
        <w:instrText xml:space="preserve"> INCLUDEPICTURE  "https://www.tdx.com.cn/products/helpfile/tdxw/chm/%E7%AC%AC%E4%BA%8C%E7%AB%A0 %E5%8A%9F%E8%83%BD/2-11/3.png" \* MERGEFORMATINET </w:instrText>
      </w:r>
      <w:r>
        <w:fldChar w:fldCharType="separate"/>
      </w:r>
      <w:r>
        <w:fldChar w:fldCharType="begin"/>
      </w:r>
      <w:r>
        <w:instrText xml:space="preserve"> INCLUDEPICTURE  "https://www.tdx.com.cn/products/helpfile/tdxw/chm/%E7%AC%AC%E4%BA%8C%E7%AB%A0 %E5%8A%9F%E8%83%BD/2-11/3.png" \* MERGEFORMATINET </w:instrText>
      </w:r>
      <w:r>
        <w:fldChar w:fldCharType="separate"/>
      </w:r>
      <w:r>
        <w:fldChar w:fldCharType="begin"/>
      </w:r>
      <w:r>
        <w:instrText xml:space="preserve"> INCLUDEPICTURE  "https://www.tdx.com.cn/products/helpfile/tdxw/chm/%E7%AC%AC%E4%BA%8C%E7%AB%A0 %E5%8A%9F%E8%83%BD/2-11/3.png" \* MERGEFORMATINET </w:instrText>
      </w:r>
      <w:r>
        <w:fldChar w:fldCharType="separate"/>
      </w:r>
      <w:r>
        <w:drawing>
          <wp:inline distT="0" distB="0" distL="114300" distR="114300">
            <wp:extent cx="3524250" cy="2095500"/>
            <wp:effectExtent l="0" t="0" r="0"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169" r:link="rId170"/>
                    <a:stretch>
                      <a:fillRect/>
                    </a:stretch>
                  </pic:blipFill>
                  <pic:spPr>
                    <a:xfrm>
                      <a:off x="0" y="0"/>
                      <a:ext cx="3524250" cy="2095500"/>
                    </a:xfrm>
                    <a:prstGeom prst="rect">
                      <a:avLst/>
                    </a:prstGeom>
                    <a:noFill/>
                    <a:ln>
                      <a:noFill/>
                    </a:ln>
                  </pic:spPr>
                </pic:pic>
              </a:graphicData>
            </a:graphic>
          </wp:inline>
        </w:drawing>
      </w:r>
      <w:r>
        <w:fldChar w:fldCharType="end"/>
      </w:r>
      <w:r>
        <w:fldChar w:fldCharType="end"/>
      </w:r>
      <w:r>
        <w:fldChar w:fldCharType="end"/>
      </w:r>
      <w:r>
        <w:fldChar w:fldCharType="end"/>
      </w:r>
    </w:p>
    <w:p/>
    <w:p>
      <w:r>
        <w:rPr>
          <w:rFonts w:hint="eastAsia"/>
        </w:rPr>
        <w:t>（2）市场雷达中含“自” 表示为自选股的雷达预警，红色铃铛表示偏好的雷达预警（比如封涨停板等），绿色铃铛表示偏坏的雷达预警（比如价幅跌破），黄色铃铛表示中性的雷达预警；市场雷达预警列表项依次为： 铃铛，股票，时间，价格，笔成交量，雷达信息；</w:t>
      </w:r>
    </w:p>
    <w:p>
      <w:r>
        <w:rPr>
          <w:rFonts w:hint="eastAsia"/>
        </w:rPr>
        <w:t>（3）点击“操作”</w:t>
      </w:r>
      <w:r>
        <w:fldChar w:fldCharType="begin"/>
      </w:r>
      <w:r>
        <w:instrText xml:space="preserve"> INCLUDEPICTURE  "https://www.tdx.com.cn/products/helpfile/tdxw/chm/%E7%AC%AC%E4%BA%8C%E7%AB%A0 %E5%8A%9F%E8%83%BD/2-11/4.png" \* MERGEFORMATINET </w:instrText>
      </w:r>
      <w:r>
        <w:fldChar w:fldCharType="separate"/>
      </w:r>
      <w:r>
        <w:fldChar w:fldCharType="begin"/>
      </w:r>
      <w:r>
        <w:instrText xml:space="preserve"> INCLUDEPICTURE  "https://www.tdx.com.cn/products/helpfile/tdxw/chm/%E7%AC%AC%E4%BA%8C%E7%AB%A0 %E5%8A%9F%E8%83%BD/2-11/4.png" \* MERGEFORMATINET </w:instrText>
      </w:r>
      <w:r>
        <w:fldChar w:fldCharType="separate"/>
      </w:r>
      <w:r>
        <w:fldChar w:fldCharType="begin"/>
      </w:r>
      <w:r>
        <w:instrText xml:space="preserve"> INCLUDEPICTURE  "https://www.tdx.com.cn/products/helpfile/tdxw/chm/%E7%AC%AC%E4%BA%8C%E7%AB%A0 %E5%8A%9F%E8%83%BD/2-11/4.png" \* MERGEFORMATINET </w:instrText>
      </w:r>
      <w:r>
        <w:fldChar w:fldCharType="separate"/>
      </w:r>
      <w:r>
        <w:fldChar w:fldCharType="begin"/>
      </w:r>
      <w:r>
        <w:instrText xml:space="preserve"> INCLUDEPICTURE  "https://www.tdx.com.cn/products/helpfile/tdxw/chm/%E7%AC%AC%E4%BA%8C%E7%AB%A0 %E5%8A%9F%E8%83%BD/2-11/4.png" \* MERGEFORMATINET </w:instrText>
      </w:r>
      <w:r>
        <w:fldChar w:fldCharType="separate"/>
      </w:r>
      <w:r>
        <w:drawing>
          <wp:inline distT="0" distB="0" distL="114300" distR="114300">
            <wp:extent cx="1752600" cy="904875"/>
            <wp:effectExtent l="0" t="0" r="0" b="9525"/>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pic:cNvPicPr>
                  </pic:nvPicPr>
                  <pic:blipFill>
                    <a:blip r:embed="rId171" r:link="rId172"/>
                    <a:stretch>
                      <a:fillRect/>
                    </a:stretch>
                  </pic:blipFill>
                  <pic:spPr>
                    <a:xfrm>
                      <a:off x="0" y="0"/>
                      <a:ext cx="1752600" cy="904875"/>
                    </a:xfrm>
                    <a:prstGeom prst="rect">
                      <a:avLst/>
                    </a:prstGeom>
                    <a:noFill/>
                    <a:ln>
                      <a:noFill/>
                    </a:ln>
                  </pic:spPr>
                </pic:pic>
              </a:graphicData>
            </a:graphic>
          </wp:inline>
        </w:drawing>
      </w:r>
      <w:r>
        <w:fldChar w:fldCharType="end"/>
      </w:r>
      <w:r>
        <w:fldChar w:fldCharType="end"/>
      </w:r>
      <w:r>
        <w:fldChar w:fldCharType="end"/>
      </w:r>
      <w:r>
        <w:fldChar w:fldCharType="end"/>
      </w:r>
      <w:r>
        <w:rPr>
          <w:rFonts w:hint="eastAsia"/>
        </w:rPr>
        <w:t>可以清除当前时刻之前的预警信息列表；可将市场雷达预警的股票存为板块；也可将市场雷达预警的内容存为文件</w:t>
      </w:r>
    </w:p>
    <w:p>
      <w:r>
        <w:rPr>
          <w:rFonts w:hint="eastAsia"/>
        </w:rPr>
        <w:t>；</w:t>
      </w:r>
    </w:p>
    <w:p>
      <w:r>
        <w:rPr>
          <w:rFonts w:hint="eastAsia"/>
        </w:rPr>
        <w:t>（4）鼠标选中某雷达预警个股，点击“分析”可进入对应个股的分析图（或者是分时图）；或者直接双击预警个股进入。</w:t>
      </w:r>
    </w:p>
    <w:p>
      <w:r>
        <w:rPr>
          <w:rFonts w:hint="eastAsia"/>
        </w:rPr>
        <w:t>（5）点击“其它设置”可以设置市场雷达监控范围。如下图：</w:t>
      </w:r>
    </w:p>
    <w:p>
      <w:r>
        <w:rPr>
          <w:rFonts w:hint="eastAsia"/>
        </w:rPr>
        <w:t>自设监控品种：点击下方的“添加”自定义板块为监测品种</w:t>
      </w:r>
    </w:p>
    <w:p>
      <w:r>
        <w:fldChar w:fldCharType="begin"/>
      </w:r>
      <w:r>
        <w:instrText xml:space="preserve"> INCLUDEPICTURE  "https://www.tdx.com.cn/products/helpfile/tdxw/chm/%E7%AC%AC%E4%BA%8C%E7%AB%A0 %E5%8A%9F%E8%83%BD/2-11/5.png" \* MERGEFORMATINET </w:instrText>
      </w:r>
      <w:r>
        <w:fldChar w:fldCharType="separate"/>
      </w:r>
      <w:r>
        <w:fldChar w:fldCharType="begin"/>
      </w:r>
      <w:r>
        <w:instrText xml:space="preserve"> INCLUDEPICTURE  "https://www.tdx.com.cn/products/helpfile/tdxw/chm/%E7%AC%AC%E4%BA%8C%E7%AB%A0 %E5%8A%9F%E8%83%BD/2-11/5.png" \* MERGEFORMATINET </w:instrText>
      </w:r>
      <w:r>
        <w:fldChar w:fldCharType="separate"/>
      </w:r>
      <w:r>
        <w:fldChar w:fldCharType="begin"/>
      </w:r>
      <w:r>
        <w:instrText xml:space="preserve"> INCLUDEPICTURE  "https://www.tdx.com.cn/products/helpfile/tdxw/chm/%E7%AC%AC%E4%BA%8C%E7%AB%A0 %E5%8A%9F%E8%83%BD/2-11/5.png" \* MERGEFORMATINET </w:instrText>
      </w:r>
      <w:r>
        <w:fldChar w:fldCharType="separate"/>
      </w:r>
      <w:r>
        <w:fldChar w:fldCharType="begin"/>
      </w:r>
      <w:r>
        <w:instrText xml:space="preserve"> INCLUDEPICTURE  "https://www.tdx.com.cn/products/helpfile/tdxw/chm/%E7%AC%AC%E4%BA%8C%E7%AB%A0 %E5%8A%9F%E8%83%BD/2-11/5.png" \* MERGEFORMATINET </w:instrText>
      </w:r>
      <w:r>
        <w:fldChar w:fldCharType="separate"/>
      </w:r>
      <w:r>
        <w:drawing>
          <wp:inline distT="0" distB="0" distL="114300" distR="114300">
            <wp:extent cx="4352925" cy="4276725"/>
            <wp:effectExtent l="0" t="0" r="9525" b="9525"/>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pic:cNvPicPr>
                      <a:picLocks noChangeAspect="1"/>
                    </pic:cNvPicPr>
                  </pic:nvPicPr>
                  <pic:blipFill>
                    <a:blip r:embed="rId173" r:link="rId174"/>
                    <a:stretch>
                      <a:fillRect/>
                    </a:stretch>
                  </pic:blipFill>
                  <pic:spPr>
                    <a:xfrm>
                      <a:off x="0" y="0"/>
                      <a:ext cx="4352925" cy="4276725"/>
                    </a:xfrm>
                    <a:prstGeom prst="rect">
                      <a:avLst/>
                    </a:prstGeom>
                    <a:noFill/>
                    <a:ln>
                      <a:noFill/>
                    </a:ln>
                  </pic:spPr>
                </pic:pic>
              </a:graphicData>
            </a:graphic>
          </wp:inline>
        </w:drawing>
      </w:r>
      <w:r>
        <w:fldChar w:fldCharType="end"/>
      </w:r>
      <w:r>
        <w:fldChar w:fldCharType="end"/>
      </w:r>
      <w:r>
        <w:fldChar w:fldCharType="end"/>
      </w:r>
      <w:r>
        <w:fldChar w:fldCharType="end"/>
      </w:r>
    </w:p>
    <w:p>
      <w:r>
        <w:rPr>
          <w:rFonts w:hint="eastAsia"/>
        </w:rPr>
        <w:t>（6）附注信息即 市场雷达项说明：</w:t>
      </w:r>
    </w:p>
    <w:tbl>
      <w:tblPr>
        <w:tblStyle w:val="25"/>
        <w:tblW w:w="0" w:type="auto"/>
        <w:tblCellSpacing w:w="0" w:type="dxa"/>
        <w:tblInd w:w="0" w:type="dxa"/>
        <w:tblBorders>
          <w:top w:val="outset" w:color="auto" w:sz="6" w:space="0"/>
          <w:left w:val="outset" w:color="auto" w:sz="6" w:space="0"/>
          <w:bottom w:val="outset" w:color="auto" w:sz="6" w:space="0"/>
          <w:right w:val="outset" w:color="auto" w:sz="6" w:space="0"/>
          <w:insideH w:val="none" w:color="auto" w:sz="0" w:space="0"/>
          <w:insideV w:val="none" w:color="auto" w:sz="0" w:space="0"/>
        </w:tblBorders>
        <w:tblLayout w:type="autofit"/>
        <w:tblCellMar>
          <w:top w:w="0" w:type="dxa"/>
          <w:left w:w="0" w:type="dxa"/>
          <w:bottom w:w="0" w:type="dxa"/>
          <w:right w:w="0" w:type="dxa"/>
        </w:tblCellMar>
      </w:tblPr>
      <w:tblGrid>
        <w:gridCol w:w="1560"/>
        <w:gridCol w:w="9654"/>
      </w:tblGrid>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560" w:type="dxa"/>
            <w:tcBorders>
              <w:top w:val="outset" w:color="auto" w:sz="6" w:space="0"/>
              <w:left w:val="outset" w:color="auto" w:sz="6" w:space="0"/>
              <w:bottom w:val="outset" w:color="auto" w:sz="6" w:space="0"/>
              <w:right w:val="outset" w:color="auto" w:sz="6" w:space="0"/>
            </w:tcBorders>
            <w:vAlign w:val="center"/>
          </w:tcPr>
          <w:p/>
          <w:p>
            <w:r>
              <w:rPr>
                <w:rFonts w:hint="eastAsia"/>
              </w:rPr>
              <w:t>雷达可预警项</w:t>
            </w:r>
          </w:p>
        </w:tc>
        <w:tc>
          <w:tcPr>
            <w:tcW w:w="9654" w:type="dxa"/>
            <w:tcBorders>
              <w:top w:val="outset" w:color="auto" w:sz="6" w:space="0"/>
              <w:left w:val="outset" w:color="auto" w:sz="6" w:space="0"/>
              <w:bottom w:val="outset" w:color="auto" w:sz="6" w:space="0"/>
              <w:right w:val="outset" w:color="auto" w:sz="6" w:space="0"/>
            </w:tcBorders>
            <w:vAlign w:val="center"/>
          </w:tcPr>
          <w:p>
            <w:r>
              <w:rPr>
                <w:rFonts w:hint="eastAsia"/>
              </w:rPr>
              <w:t>预警项说明</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560" w:type="dxa"/>
            <w:tcBorders>
              <w:top w:val="outset" w:color="auto" w:sz="6" w:space="0"/>
              <w:left w:val="outset" w:color="auto" w:sz="6" w:space="0"/>
              <w:bottom w:val="outset" w:color="auto" w:sz="6" w:space="0"/>
              <w:right w:val="outset" w:color="auto" w:sz="6" w:space="0"/>
            </w:tcBorders>
            <w:vAlign w:val="center"/>
          </w:tcPr>
          <w:p>
            <w:r>
              <w:rPr>
                <w:rFonts w:hint="eastAsia"/>
              </w:rPr>
              <w:t>创今日新高</w:t>
            </w:r>
          </w:p>
        </w:tc>
        <w:tc>
          <w:tcPr>
            <w:tcW w:w="9654" w:type="dxa"/>
            <w:tcBorders>
              <w:top w:val="outset" w:color="auto" w:sz="6" w:space="0"/>
              <w:left w:val="outset" w:color="auto" w:sz="6" w:space="0"/>
              <w:bottom w:val="outset" w:color="auto" w:sz="6" w:space="0"/>
              <w:right w:val="outset" w:color="auto" w:sz="6" w:space="0"/>
            </w:tcBorders>
            <w:vAlign w:val="center"/>
          </w:tcPr>
          <w:p>
            <w:r>
              <w:rPr>
                <w:rFonts w:hint="eastAsia"/>
              </w:rPr>
              <w:t>创今日新高的个股或指数</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560" w:type="dxa"/>
            <w:tcBorders>
              <w:top w:val="outset" w:color="auto" w:sz="6" w:space="0"/>
              <w:left w:val="outset" w:color="auto" w:sz="6" w:space="0"/>
              <w:bottom w:val="outset" w:color="auto" w:sz="6" w:space="0"/>
              <w:right w:val="outset" w:color="auto" w:sz="6" w:space="0"/>
            </w:tcBorders>
            <w:vAlign w:val="center"/>
          </w:tcPr>
          <w:p>
            <w:r>
              <w:rPr>
                <w:rFonts w:hint="eastAsia"/>
              </w:rPr>
              <w:t>创今日新低</w:t>
            </w:r>
          </w:p>
        </w:tc>
        <w:tc>
          <w:tcPr>
            <w:tcW w:w="9654" w:type="dxa"/>
            <w:tcBorders>
              <w:top w:val="outset" w:color="auto" w:sz="6" w:space="0"/>
              <w:left w:val="outset" w:color="auto" w:sz="6" w:space="0"/>
              <w:bottom w:val="outset" w:color="auto" w:sz="6" w:space="0"/>
              <w:right w:val="outset" w:color="auto" w:sz="6" w:space="0"/>
            </w:tcBorders>
            <w:vAlign w:val="center"/>
          </w:tcPr>
          <w:p>
            <w:r>
              <w:rPr>
                <w:rFonts w:hint="eastAsia"/>
              </w:rPr>
              <w:t>创今日新低的个股或指数</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560" w:type="dxa"/>
            <w:tcBorders>
              <w:top w:val="outset" w:color="auto" w:sz="6" w:space="0"/>
              <w:left w:val="outset" w:color="auto" w:sz="6" w:space="0"/>
              <w:bottom w:val="outset" w:color="auto" w:sz="6" w:space="0"/>
              <w:right w:val="outset" w:color="auto" w:sz="6" w:space="0"/>
            </w:tcBorders>
            <w:vAlign w:val="center"/>
          </w:tcPr>
          <w:p>
            <w:r>
              <w:rPr>
                <w:rFonts w:hint="eastAsia"/>
              </w:rPr>
              <w:t>出现大买挂盘</w:t>
            </w:r>
          </w:p>
        </w:tc>
        <w:tc>
          <w:tcPr>
            <w:tcW w:w="9654" w:type="dxa"/>
            <w:tcBorders>
              <w:top w:val="outset" w:color="auto" w:sz="6" w:space="0"/>
              <w:left w:val="outset" w:color="auto" w:sz="6" w:space="0"/>
              <w:bottom w:val="outset" w:color="auto" w:sz="6" w:space="0"/>
              <w:right w:val="outset" w:color="auto" w:sz="6" w:space="0"/>
            </w:tcBorders>
            <w:vAlign w:val="center"/>
          </w:tcPr>
          <w:p>
            <w:r>
              <w:rPr>
                <w:rFonts w:hint="eastAsia"/>
              </w:rPr>
              <w:t>买一挂单中出现大量挂单的个股。大量就是系统设置里面高亮显示设置，但是挂买、挂卖队列大单数更大者作为信息输出优先</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560" w:type="dxa"/>
            <w:tcBorders>
              <w:top w:val="outset" w:color="auto" w:sz="6" w:space="0"/>
              <w:left w:val="outset" w:color="auto" w:sz="6" w:space="0"/>
              <w:bottom w:val="outset" w:color="auto" w:sz="6" w:space="0"/>
              <w:right w:val="outset" w:color="auto" w:sz="6" w:space="0"/>
            </w:tcBorders>
            <w:vAlign w:val="center"/>
          </w:tcPr>
          <w:p>
            <w:r>
              <w:rPr>
                <w:rFonts w:hint="eastAsia"/>
              </w:rPr>
              <w:t>出现大卖挂盘</w:t>
            </w:r>
          </w:p>
        </w:tc>
        <w:tc>
          <w:tcPr>
            <w:tcW w:w="9654" w:type="dxa"/>
            <w:tcBorders>
              <w:top w:val="outset" w:color="auto" w:sz="6" w:space="0"/>
              <w:left w:val="outset" w:color="auto" w:sz="6" w:space="0"/>
              <w:bottom w:val="outset" w:color="auto" w:sz="6" w:space="0"/>
              <w:right w:val="outset" w:color="auto" w:sz="6" w:space="0"/>
            </w:tcBorders>
            <w:vAlign w:val="center"/>
          </w:tcPr>
          <w:p>
            <w:r>
              <w:rPr>
                <w:rFonts w:hint="eastAsia"/>
              </w:rPr>
              <w:t>卖一挂单中出现大量挂单的个股。大量就是系统设置里面高亮显示设置，但是挂买、挂卖队列大单数更大者作为信息输出优先</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560" w:type="dxa"/>
            <w:tcBorders>
              <w:top w:val="outset" w:color="auto" w:sz="6" w:space="0"/>
              <w:left w:val="outset" w:color="auto" w:sz="6" w:space="0"/>
              <w:bottom w:val="outset" w:color="auto" w:sz="6" w:space="0"/>
              <w:right w:val="outset" w:color="auto" w:sz="6" w:space="0"/>
            </w:tcBorders>
            <w:vAlign w:val="center"/>
          </w:tcPr>
          <w:p>
            <w:r>
              <w:rPr>
                <w:rFonts w:hint="eastAsia"/>
              </w:rPr>
              <w:t>低开长阳</w:t>
            </w:r>
          </w:p>
        </w:tc>
        <w:tc>
          <w:tcPr>
            <w:tcW w:w="9654" w:type="dxa"/>
            <w:tcBorders>
              <w:top w:val="outset" w:color="auto" w:sz="6" w:space="0"/>
              <w:left w:val="outset" w:color="auto" w:sz="6" w:space="0"/>
              <w:bottom w:val="outset" w:color="auto" w:sz="6" w:space="0"/>
              <w:right w:val="outset" w:color="auto" w:sz="6" w:space="0"/>
            </w:tcBorders>
            <w:vAlign w:val="center"/>
          </w:tcPr>
          <w:p>
            <w:r>
              <w:rPr>
                <w:rFonts w:hint="eastAsia"/>
              </w:rPr>
              <w:t>低开2%,但当前涨幅超过3%</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560" w:type="dxa"/>
            <w:tcBorders>
              <w:top w:val="outset" w:color="auto" w:sz="6" w:space="0"/>
              <w:left w:val="outset" w:color="auto" w:sz="6" w:space="0"/>
              <w:bottom w:val="outset" w:color="auto" w:sz="6" w:space="0"/>
              <w:right w:val="outset" w:color="auto" w:sz="6" w:space="0"/>
            </w:tcBorders>
            <w:vAlign w:val="center"/>
          </w:tcPr>
          <w:p>
            <w:r>
              <w:rPr>
                <w:rFonts w:hint="eastAsia"/>
              </w:rPr>
              <w:t>高开长阴</w:t>
            </w:r>
          </w:p>
        </w:tc>
        <w:tc>
          <w:tcPr>
            <w:tcW w:w="9654" w:type="dxa"/>
            <w:tcBorders>
              <w:top w:val="outset" w:color="auto" w:sz="6" w:space="0"/>
              <w:left w:val="outset" w:color="auto" w:sz="6" w:space="0"/>
              <w:bottom w:val="outset" w:color="auto" w:sz="6" w:space="0"/>
              <w:right w:val="outset" w:color="auto" w:sz="6" w:space="0"/>
            </w:tcBorders>
            <w:vAlign w:val="center"/>
          </w:tcPr>
          <w:p>
            <w:r>
              <w:rPr>
                <w:rFonts w:hint="eastAsia"/>
              </w:rPr>
              <w:t>高开2%,但当前跌幅超过3%</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560" w:type="dxa"/>
            <w:tcBorders>
              <w:top w:val="outset" w:color="auto" w:sz="6" w:space="0"/>
              <w:left w:val="outset" w:color="auto" w:sz="6" w:space="0"/>
              <w:bottom w:val="outset" w:color="auto" w:sz="6" w:space="0"/>
              <w:right w:val="outset" w:color="auto" w:sz="6" w:space="0"/>
            </w:tcBorders>
            <w:vAlign w:val="center"/>
          </w:tcPr>
          <w:p>
            <w:r>
              <w:rPr>
                <w:rFonts w:hint="eastAsia"/>
              </w:rPr>
              <w:t>涨幅突破</w:t>
            </w:r>
          </w:p>
        </w:tc>
        <w:tc>
          <w:tcPr>
            <w:tcW w:w="9654" w:type="dxa"/>
            <w:tcBorders>
              <w:top w:val="outset" w:color="auto" w:sz="6" w:space="0"/>
              <w:left w:val="outset" w:color="auto" w:sz="6" w:space="0"/>
              <w:bottom w:val="outset" w:color="auto" w:sz="6" w:space="0"/>
              <w:right w:val="outset" w:color="auto" w:sz="6" w:space="0"/>
            </w:tcBorders>
            <w:vAlign w:val="center"/>
          </w:tcPr>
          <w:p>
            <w:r>
              <w:rPr>
                <w:rFonts w:hint="eastAsia"/>
              </w:rPr>
              <w:t>涨幅突破临界比率 X% (设置X值)</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560" w:type="dxa"/>
            <w:tcBorders>
              <w:top w:val="outset" w:color="auto" w:sz="6" w:space="0"/>
              <w:left w:val="outset" w:color="auto" w:sz="6" w:space="0"/>
              <w:bottom w:val="outset" w:color="auto" w:sz="6" w:space="0"/>
              <w:right w:val="outset" w:color="auto" w:sz="6" w:space="0"/>
            </w:tcBorders>
            <w:vAlign w:val="center"/>
          </w:tcPr>
          <w:p>
            <w:r>
              <w:rPr>
                <w:rFonts w:hint="eastAsia"/>
              </w:rPr>
              <w:t>跌幅跌破</w:t>
            </w:r>
          </w:p>
        </w:tc>
        <w:tc>
          <w:tcPr>
            <w:tcW w:w="9654" w:type="dxa"/>
            <w:tcBorders>
              <w:top w:val="outset" w:color="auto" w:sz="6" w:space="0"/>
              <w:left w:val="outset" w:color="auto" w:sz="6" w:space="0"/>
              <w:bottom w:val="outset" w:color="auto" w:sz="6" w:space="0"/>
              <w:right w:val="outset" w:color="auto" w:sz="6" w:space="0"/>
            </w:tcBorders>
            <w:vAlign w:val="center"/>
          </w:tcPr>
          <w:p>
            <w:r>
              <w:rPr>
                <w:rFonts w:hint="eastAsia"/>
              </w:rPr>
              <w:t>涨幅跌破临界比率 X% (设置X值)</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560" w:type="dxa"/>
            <w:tcBorders>
              <w:top w:val="outset" w:color="auto" w:sz="6" w:space="0"/>
              <w:left w:val="outset" w:color="auto" w:sz="6" w:space="0"/>
              <w:bottom w:val="outset" w:color="auto" w:sz="6" w:space="0"/>
              <w:right w:val="outset" w:color="auto" w:sz="6" w:space="0"/>
            </w:tcBorders>
            <w:vAlign w:val="center"/>
          </w:tcPr>
          <w:p>
            <w:r>
              <w:rPr>
                <w:rFonts w:hint="eastAsia"/>
              </w:rPr>
              <w:t>单笔异涨</w:t>
            </w:r>
          </w:p>
        </w:tc>
        <w:tc>
          <w:tcPr>
            <w:tcW w:w="9654" w:type="dxa"/>
            <w:tcBorders>
              <w:top w:val="outset" w:color="auto" w:sz="6" w:space="0"/>
              <w:left w:val="outset" w:color="auto" w:sz="6" w:space="0"/>
              <w:bottom w:val="outset" w:color="auto" w:sz="6" w:space="0"/>
              <w:right w:val="outset" w:color="auto" w:sz="6" w:space="0"/>
            </w:tcBorders>
            <w:vAlign w:val="center"/>
          </w:tcPr>
          <w:p>
            <w:r>
              <w:rPr>
                <w:rFonts w:hint="eastAsia"/>
              </w:rPr>
              <w:t>异常单笔涨跌比率X% (设置X值)</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560" w:type="dxa"/>
            <w:tcBorders>
              <w:top w:val="outset" w:color="auto" w:sz="6" w:space="0"/>
              <w:left w:val="outset" w:color="auto" w:sz="6" w:space="0"/>
              <w:bottom w:val="outset" w:color="auto" w:sz="6" w:space="0"/>
              <w:right w:val="outset" w:color="auto" w:sz="6" w:space="0"/>
            </w:tcBorders>
            <w:vAlign w:val="center"/>
          </w:tcPr>
          <w:p>
            <w:r>
              <w:rPr>
                <w:rFonts w:hint="eastAsia"/>
              </w:rPr>
              <w:t>单笔异跌</w:t>
            </w:r>
          </w:p>
        </w:tc>
        <w:tc>
          <w:tcPr>
            <w:tcW w:w="9654" w:type="dxa"/>
            <w:tcBorders>
              <w:top w:val="outset" w:color="auto" w:sz="6" w:space="0"/>
              <w:left w:val="outset" w:color="auto" w:sz="6" w:space="0"/>
              <w:bottom w:val="outset" w:color="auto" w:sz="6" w:space="0"/>
              <w:right w:val="outset" w:color="auto" w:sz="6" w:space="0"/>
            </w:tcBorders>
            <w:vAlign w:val="center"/>
          </w:tcPr>
          <w:p>
            <w:r>
              <w:rPr>
                <w:rFonts w:hint="eastAsia"/>
              </w:rPr>
              <w:t>异常单笔涨跌比率X% (设置X值)</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560" w:type="dxa"/>
            <w:tcBorders>
              <w:top w:val="outset" w:color="auto" w:sz="6" w:space="0"/>
              <w:left w:val="outset" w:color="auto" w:sz="6" w:space="0"/>
              <w:bottom w:val="outset" w:color="auto" w:sz="6" w:space="0"/>
              <w:right w:val="outset" w:color="auto" w:sz="6" w:space="0"/>
            </w:tcBorders>
            <w:vAlign w:val="center"/>
          </w:tcPr>
          <w:p>
            <w:r>
              <w:rPr>
                <w:rFonts w:hint="eastAsia"/>
              </w:rPr>
              <w:t>巨额成交</w:t>
            </w:r>
          </w:p>
        </w:tc>
        <w:tc>
          <w:tcPr>
            <w:tcW w:w="9654" w:type="dxa"/>
            <w:tcBorders>
              <w:top w:val="outset" w:color="auto" w:sz="6" w:space="0"/>
              <w:left w:val="outset" w:color="auto" w:sz="6" w:space="0"/>
              <w:bottom w:val="outset" w:color="auto" w:sz="6" w:space="0"/>
              <w:right w:val="outset" w:color="auto" w:sz="6" w:space="0"/>
            </w:tcBorders>
            <w:vAlign w:val="center"/>
          </w:tcPr>
          <w:p>
            <w:r>
              <w:rPr>
                <w:rFonts w:hint="eastAsia"/>
              </w:rPr>
              <w:t>巨额成交门限值X万元 (设置X值)</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560" w:type="dxa"/>
            <w:tcBorders>
              <w:top w:val="outset" w:color="auto" w:sz="6" w:space="0"/>
              <w:left w:val="outset" w:color="auto" w:sz="6" w:space="0"/>
              <w:bottom w:val="outset" w:color="auto" w:sz="6" w:space="0"/>
              <w:right w:val="outset" w:color="auto" w:sz="6" w:space="0"/>
            </w:tcBorders>
            <w:vAlign w:val="center"/>
          </w:tcPr>
          <w:p>
            <w:r>
              <w:rPr>
                <w:rFonts w:hint="eastAsia"/>
              </w:rPr>
              <w:t>大量成交</w:t>
            </w:r>
          </w:p>
        </w:tc>
        <w:tc>
          <w:tcPr>
            <w:tcW w:w="9654" w:type="dxa"/>
            <w:tcBorders>
              <w:top w:val="outset" w:color="auto" w:sz="6" w:space="0"/>
              <w:left w:val="outset" w:color="auto" w:sz="6" w:space="0"/>
              <w:bottom w:val="outset" w:color="auto" w:sz="6" w:space="0"/>
              <w:right w:val="outset" w:color="auto" w:sz="6" w:space="0"/>
            </w:tcBorders>
            <w:vAlign w:val="center"/>
          </w:tcPr>
          <w:p>
            <w:r>
              <w:rPr>
                <w:rFonts w:hint="eastAsia"/>
              </w:rPr>
              <w:t>参数设置：量份额占流通盘X%为大量，并设置X值</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560" w:type="dxa"/>
            <w:tcBorders>
              <w:top w:val="outset" w:color="auto" w:sz="6" w:space="0"/>
              <w:left w:val="outset" w:color="auto" w:sz="6" w:space="0"/>
              <w:bottom w:val="outset" w:color="auto" w:sz="6" w:space="0"/>
              <w:right w:val="outset" w:color="auto" w:sz="6" w:space="0"/>
            </w:tcBorders>
            <w:vAlign w:val="center"/>
          </w:tcPr>
          <w:p>
            <w:r>
              <w:rPr>
                <w:rFonts w:hint="eastAsia"/>
              </w:rPr>
              <w:t>封涨停板</w:t>
            </w:r>
          </w:p>
        </w:tc>
        <w:tc>
          <w:tcPr>
            <w:tcW w:w="9654" w:type="dxa"/>
            <w:tcBorders>
              <w:top w:val="outset" w:color="auto" w:sz="6" w:space="0"/>
              <w:left w:val="outset" w:color="auto" w:sz="6" w:space="0"/>
              <w:bottom w:val="outset" w:color="auto" w:sz="6" w:space="0"/>
              <w:right w:val="outset" w:color="auto" w:sz="6" w:space="0"/>
            </w:tcBorders>
            <w:vAlign w:val="center"/>
          </w:tcPr>
          <w:p>
            <w:r>
              <w:rPr>
                <w:rFonts w:hint="eastAsia"/>
              </w:rPr>
              <w:t>现价=涨停价,且卖一量为0的个股</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560" w:type="dxa"/>
            <w:tcBorders>
              <w:top w:val="outset" w:color="auto" w:sz="6" w:space="0"/>
              <w:left w:val="outset" w:color="auto" w:sz="6" w:space="0"/>
              <w:bottom w:val="outset" w:color="auto" w:sz="6" w:space="0"/>
              <w:right w:val="outset" w:color="auto" w:sz="6" w:space="0"/>
            </w:tcBorders>
            <w:vAlign w:val="center"/>
          </w:tcPr>
          <w:p>
            <w:r>
              <w:rPr>
                <w:rFonts w:hint="eastAsia"/>
              </w:rPr>
              <w:t>打开涨停</w:t>
            </w:r>
          </w:p>
        </w:tc>
        <w:tc>
          <w:tcPr>
            <w:tcW w:w="9654" w:type="dxa"/>
            <w:tcBorders>
              <w:top w:val="outset" w:color="auto" w:sz="6" w:space="0"/>
              <w:left w:val="outset" w:color="auto" w:sz="6" w:space="0"/>
              <w:bottom w:val="outset" w:color="auto" w:sz="6" w:space="0"/>
              <w:right w:val="outset" w:color="auto" w:sz="6" w:space="0"/>
            </w:tcBorders>
            <w:vAlign w:val="center"/>
          </w:tcPr>
          <w:p>
            <w:r>
              <w:rPr>
                <w:rFonts w:hint="eastAsia"/>
              </w:rPr>
              <w:t>涨停后开板的个股</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560" w:type="dxa"/>
            <w:tcBorders>
              <w:top w:val="outset" w:color="auto" w:sz="6" w:space="0"/>
              <w:left w:val="outset" w:color="auto" w:sz="6" w:space="0"/>
              <w:bottom w:val="outset" w:color="auto" w:sz="6" w:space="0"/>
              <w:right w:val="outset" w:color="auto" w:sz="6" w:space="0"/>
            </w:tcBorders>
            <w:vAlign w:val="center"/>
          </w:tcPr>
          <w:p>
            <w:r>
              <w:rPr>
                <w:rFonts w:hint="eastAsia"/>
              </w:rPr>
              <w:t>封跌停板</w:t>
            </w:r>
          </w:p>
        </w:tc>
        <w:tc>
          <w:tcPr>
            <w:tcW w:w="9654" w:type="dxa"/>
            <w:tcBorders>
              <w:top w:val="outset" w:color="auto" w:sz="6" w:space="0"/>
              <w:left w:val="outset" w:color="auto" w:sz="6" w:space="0"/>
              <w:bottom w:val="outset" w:color="auto" w:sz="6" w:space="0"/>
              <w:right w:val="outset" w:color="auto" w:sz="6" w:space="0"/>
            </w:tcBorders>
            <w:vAlign w:val="center"/>
          </w:tcPr>
          <w:p>
            <w:r>
              <w:rPr>
                <w:rFonts w:hint="eastAsia"/>
              </w:rPr>
              <w:t>现价=跌停价,且买一量为0的个股</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560" w:type="dxa"/>
            <w:tcBorders>
              <w:top w:val="outset" w:color="auto" w:sz="6" w:space="0"/>
              <w:left w:val="outset" w:color="auto" w:sz="6" w:space="0"/>
              <w:bottom w:val="outset" w:color="auto" w:sz="6" w:space="0"/>
              <w:right w:val="outset" w:color="auto" w:sz="6" w:space="0"/>
            </w:tcBorders>
            <w:vAlign w:val="center"/>
          </w:tcPr>
          <w:p>
            <w:r>
              <w:rPr>
                <w:rFonts w:hint="eastAsia"/>
              </w:rPr>
              <w:t>打开跌停</w:t>
            </w:r>
          </w:p>
        </w:tc>
        <w:tc>
          <w:tcPr>
            <w:tcW w:w="9654" w:type="dxa"/>
            <w:tcBorders>
              <w:top w:val="outset" w:color="auto" w:sz="6" w:space="0"/>
              <w:left w:val="outset" w:color="auto" w:sz="6" w:space="0"/>
              <w:bottom w:val="outset" w:color="auto" w:sz="6" w:space="0"/>
              <w:right w:val="outset" w:color="auto" w:sz="6" w:space="0"/>
            </w:tcBorders>
            <w:vAlign w:val="center"/>
          </w:tcPr>
          <w:p>
            <w:r>
              <w:rPr>
                <w:rFonts w:hint="eastAsia"/>
              </w:rPr>
              <w:t>跌停后开板的个股</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560" w:type="dxa"/>
            <w:tcBorders>
              <w:top w:val="outset" w:color="auto" w:sz="6" w:space="0"/>
              <w:left w:val="outset" w:color="auto" w:sz="6" w:space="0"/>
              <w:bottom w:val="outset" w:color="auto" w:sz="6" w:space="0"/>
              <w:right w:val="outset" w:color="auto" w:sz="6" w:space="0"/>
            </w:tcBorders>
            <w:vAlign w:val="center"/>
          </w:tcPr>
          <w:p>
            <w:r>
              <w:rPr>
                <w:rFonts w:hint="eastAsia"/>
              </w:rPr>
              <w:t>分时线金叉</w:t>
            </w:r>
          </w:p>
        </w:tc>
        <w:tc>
          <w:tcPr>
            <w:tcW w:w="9654" w:type="dxa"/>
            <w:tcBorders>
              <w:top w:val="outset" w:color="auto" w:sz="6" w:space="0"/>
              <w:left w:val="outset" w:color="auto" w:sz="6" w:space="0"/>
              <w:bottom w:val="outset" w:color="auto" w:sz="6" w:space="0"/>
              <w:right w:val="outset" w:color="auto" w:sz="6" w:space="0"/>
            </w:tcBorders>
            <w:vAlign w:val="center"/>
          </w:tcPr>
          <w:p>
            <w:r>
              <w:rPr>
                <w:rFonts w:hint="eastAsia"/>
              </w:rPr>
              <w:t>白线上穿黄线的个股或指数</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560" w:type="dxa"/>
            <w:tcBorders>
              <w:top w:val="outset" w:color="auto" w:sz="6" w:space="0"/>
              <w:left w:val="outset" w:color="auto" w:sz="6" w:space="0"/>
              <w:bottom w:val="outset" w:color="auto" w:sz="6" w:space="0"/>
              <w:right w:val="outset" w:color="auto" w:sz="6" w:space="0"/>
            </w:tcBorders>
            <w:vAlign w:val="center"/>
          </w:tcPr>
          <w:p>
            <w:r>
              <w:rPr>
                <w:rFonts w:hint="eastAsia"/>
              </w:rPr>
              <w:t>分时线死叉</w:t>
            </w:r>
          </w:p>
        </w:tc>
        <w:tc>
          <w:tcPr>
            <w:tcW w:w="9654" w:type="dxa"/>
            <w:tcBorders>
              <w:top w:val="outset" w:color="auto" w:sz="6" w:space="0"/>
              <w:left w:val="outset" w:color="auto" w:sz="6" w:space="0"/>
              <w:bottom w:val="outset" w:color="auto" w:sz="6" w:space="0"/>
              <w:right w:val="outset" w:color="auto" w:sz="6" w:space="0"/>
            </w:tcBorders>
            <w:vAlign w:val="center"/>
          </w:tcPr>
          <w:p>
            <w:r>
              <w:rPr>
                <w:rFonts w:hint="eastAsia"/>
              </w:rPr>
              <w:t>白线下穿黄线的个股或指数</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560" w:type="dxa"/>
            <w:tcBorders>
              <w:top w:val="outset" w:color="auto" w:sz="6" w:space="0"/>
              <w:left w:val="outset" w:color="auto" w:sz="6" w:space="0"/>
              <w:bottom w:val="outset" w:color="auto" w:sz="6" w:space="0"/>
              <w:right w:val="outset" w:color="auto" w:sz="6" w:space="0"/>
            </w:tcBorders>
            <w:vAlign w:val="center"/>
          </w:tcPr>
          <w:p>
            <w:r>
              <w:rPr>
                <w:rFonts w:hint="eastAsia"/>
              </w:rPr>
              <w:t>盘中快涨</w:t>
            </w:r>
          </w:p>
        </w:tc>
        <w:tc>
          <w:tcPr>
            <w:tcW w:w="9654" w:type="dxa"/>
            <w:tcBorders>
              <w:top w:val="outset" w:color="auto" w:sz="6" w:space="0"/>
              <w:left w:val="outset" w:color="auto" w:sz="6" w:space="0"/>
              <w:bottom w:val="outset" w:color="auto" w:sz="6" w:space="0"/>
              <w:right w:val="outset" w:color="auto" w:sz="6" w:space="0"/>
            </w:tcBorders>
            <w:vAlign w:val="center"/>
          </w:tcPr>
          <w:p>
            <w:r>
              <w:rPr>
                <w:rFonts w:hint="eastAsia"/>
              </w:rPr>
              <w:t>当前涨速超过1%个股或指数</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560" w:type="dxa"/>
            <w:tcBorders>
              <w:top w:val="outset" w:color="auto" w:sz="6" w:space="0"/>
              <w:left w:val="outset" w:color="auto" w:sz="6" w:space="0"/>
              <w:bottom w:val="outset" w:color="auto" w:sz="6" w:space="0"/>
              <w:right w:val="outset" w:color="auto" w:sz="6" w:space="0"/>
            </w:tcBorders>
            <w:vAlign w:val="center"/>
          </w:tcPr>
          <w:p>
            <w:r>
              <w:rPr>
                <w:rFonts w:hint="eastAsia"/>
              </w:rPr>
              <w:t>盘中快跌</w:t>
            </w:r>
          </w:p>
        </w:tc>
        <w:tc>
          <w:tcPr>
            <w:tcW w:w="9654" w:type="dxa"/>
            <w:tcBorders>
              <w:top w:val="outset" w:color="auto" w:sz="6" w:space="0"/>
              <w:left w:val="outset" w:color="auto" w:sz="6" w:space="0"/>
              <w:bottom w:val="outset" w:color="auto" w:sz="6" w:space="0"/>
              <w:right w:val="outset" w:color="auto" w:sz="6" w:space="0"/>
            </w:tcBorders>
            <w:vAlign w:val="center"/>
          </w:tcPr>
          <w:p>
            <w:r>
              <w:rPr>
                <w:rFonts w:hint="eastAsia"/>
              </w:rPr>
              <w:t>当前涨速低于-1%个股或指数</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560" w:type="dxa"/>
            <w:tcBorders>
              <w:top w:val="outset" w:color="auto" w:sz="6" w:space="0"/>
              <w:left w:val="outset" w:color="auto" w:sz="6" w:space="0"/>
              <w:bottom w:val="outset" w:color="auto" w:sz="6" w:space="0"/>
              <w:right w:val="outset" w:color="auto" w:sz="6" w:space="0"/>
            </w:tcBorders>
            <w:vAlign w:val="center"/>
          </w:tcPr>
          <w:p>
            <w:r>
              <w:rPr>
                <w:rFonts w:hint="eastAsia"/>
              </w:rPr>
              <w:t>连续大量</w:t>
            </w:r>
          </w:p>
        </w:tc>
        <w:tc>
          <w:tcPr>
            <w:tcW w:w="9654" w:type="dxa"/>
            <w:tcBorders>
              <w:top w:val="outset" w:color="auto" w:sz="6" w:space="0"/>
              <w:left w:val="outset" w:color="auto" w:sz="6" w:space="0"/>
              <w:bottom w:val="outset" w:color="auto" w:sz="6" w:space="0"/>
              <w:right w:val="outset" w:color="auto" w:sz="6" w:space="0"/>
            </w:tcBorders>
            <w:vAlign w:val="center"/>
          </w:tcPr>
          <w:p>
            <w:r>
              <w:rPr>
                <w:rFonts w:hint="eastAsia"/>
              </w:rPr>
              <w:t>.910进入雷达选项中 </w:t>
            </w:r>
          </w:p>
          <w:p>
            <w:r>
              <w:rPr>
                <w:rFonts w:hint="eastAsia"/>
              </w:rPr>
              <w:t>勾选设置N分钟大量成交&gt;M次 并设置N、M值</w:t>
            </w:r>
          </w:p>
          <w:p>
            <w:r>
              <w:rPr>
                <w:rFonts w:hint="eastAsia"/>
              </w:rPr>
              <w:t>参数设置：量份额占流通盘X%为大量 并设置X值</w:t>
            </w:r>
          </w:p>
        </w:tc>
      </w:tr>
    </w:tbl>
    <w:p>
      <w:pPr>
        <w:pStyle w:val="4"/>
        <w:rPr>
          <w:color w:val="000000"/>
          <w:sz w:val="18"/>
          <w:szCs w:val="18"/>
        </w:rPr>
      </w:pPr>
      <w:r>
        <w:rPr>
          <w:rFonts w:hint="eastAsia"/>
          <w:color w:val="000000"/>
          <w:sz w:val="18"/>
          <w:szCs w:val="18"/>
        </w:rPr>
        <w:t> </w:t>
      </w:r>
      <w:r>
        <w:rPr>
          <w:rFonts w:hint="eastAsia"/>
        </w:rPr>
        <w:t>条件预警设置</w:t>
      </w:r>
    </w:p>
    <w:p>
      <w:pPr>
        <w:pStyle w:val="34"/>
      </w:pPr>
      <w:r>
        <w:rPr>
          <w:rFonts w:hint="eastAsia"/>
        </w:rPr>
        <w:t>进入方式 </w:t>
      </w:r>
    </w:p>
    <w:p>
      <w:pPr>
        <w:pStyle w:val="34"/>
      </w:pPr>
      <w:r>
        <w:rPr>
          <w:rFonts w:hint="eastAsia"/>
        </w:rPr>
        <w:t>Ctrl+Y</w:t>
      </w:r>
    </w:p>
    <w:p>
      <w:pPr>
        <w:pStyle w:val="34"/>
      </w:pPr>
      <w:r>
        <w:rPr>
          <w:rFonts w:hint="eastAsia"/>
        </w:rPr>
        <w:t>功能——预警系统——条件预警开关/设置/列表</w:t>
      </w:r>
    </w:p>
    <w:p>
      <w:pPr>
        <w:pStyle w:val="34"/>
        <w:ind w:firstLine="360"/>
      </w:pPr>
      <w:r>
        <w:rPr>
          <w:rStyle w:val="28"/>
          <w:rFonts w:hint="eastAsia" w:ascii="微软雅黑" w:hAnsi="微软雅黑" w:eastAsia="微软雅黑"/>
          <w:color w:val="000000"/>
          <w:sz w:val="18"/>
          <w:szCs w:val="18"/>
        </w:rPr>
        <w:t>操作说明</w:t>
      </w:r>
      <w:r>
        <w:rPr>
          <w:rFonts w:hint="eastAsia"/>
        </w:rPr>
        <w:t> </w:t>
      </w:r>
    </w:p>
    <w:p>
      <w:pPr>
        <w:pStyle w:val="34"/>
      </w:pPr>
      <w:r>
        <w:rPr>
          <w:rFonts w:hint="eastAsia"/>
        </w:rPr>
        <w:t>■预警品种范围设置</w:t>
      </w:r>
    </w:p>
    <w:p>
      <w:pPr>
        <w:pStyle w:val="34"/>
      </w:pPr>
      <w:r>
        <w:rPr>
          <w:rFonts w:hint="eastAsia"/>
        </w:rPr>
        <w:t>预警品种设置—添加品种</w:t>
      </w:r>
    </w:p>
    <w:p>
      <w:pPr>
        <w:pStyle w:val="34"/>
      </w:pPr>
      <w:r>
        <w:fldChar w:fldCharType="begin"/>
      </w:r>
      <w:r>
        <w:instrText xml:space="preserve"> INCLUDEPICTURE  "https://www.tdx.com.cn/products/helpfile/tdxw/chm/%E7%AC%AC%E4%BA%8C%E7%AB%A0 %E5%8A%9F%E8%83%BD/2-11/6.png" \* MERGEFORMATINET </w:instrText>
      </w:r>
      <w:r>
        <w:fldChar w:fldCharType="separate"/>
      </w:r>
      <w:r>
        <w:fldChar w:fldCharType="begin"/>
      </w:r>
      <w:r>
        <w:instrText xml:space="preserve"> INCLUDEPICTURE  "https://www.tdx.com.cn/products/helpfile/tdxw/chm/%E7%AC%AC%E4%BA%8C%E7%AB%A0 %E5%8A%9F%E8%83%BD/2-11/6.png" \* MERGEFORMATINET </w:instrText>
      </w:r>
      <w:r>
        <w:fldChar w:fldCharType="separate"/>
      </w:r>
      <w:r>
        <w:fldChar w:fldCharType="begin"/>
      </w:r>
      <w:r>
        <w:instrText xml:space="preserve"> INCLUDEPICTURE  "https://www.tdx.com.cn/products/helpfile/tdxw/chm/%E7%AC%AC%E4%BA%8C%E7%AB%A0 %E5%8A%9F%E8%83%BD/2-11/6.png" \* MERGEFORMATINET </w:instrText>
      </w:r>
      <w:r>
        <w:fldChar w:fldCharType="separate"/>
      </w:r>
      <w:r>
        <w:fldChar w:fldCharType="begin"/>
      </w:r>
      <w:r>
        <w:instrText xml:space="preserve"> INCLUDEPICTURE  "https://www.tdx.com.cn/products/helpfile/tdxw/chm/%E7%AC%AC%E4%BA%8C%E7%AB%A0 %E5%8A%9F%E8%83%BD/2-11/6.png" \* MERGEFORMATINET </w:instrText>
      </w:r>
      <w:r>
        <w:fldChar w:fldCharType="separate"/>
      </w:r>
      <w:r>
        <w:drawing>
          <wp:inline distT="0" distB="0" distL="114300" distR="114300">
            <wp:extent cx="5210175" cy="3305175"/>
            <wp:effectExtent l="0" t="0" r="9525" b="9525"/>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pic:cNvPicPr>
                      <a:picLocks noChangeAspect="1"/>
                    </pic:cNvPicPr>
                  </pic:nvPicPr>
                  <pic:blipFill>
                    <a:blip r:embed="rId175" r:link="rId176"/>
                    <a:stretch>
                      <a:fillRect/>
                    </a:stretch>
                  </pic:blipFill>
                  <pic:spPr>
                    <a:xfrm>
                      <a:off x="0" y="0"/>
                      <a:ext cx="5210175" cy="3305175"/>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■预警品种个股的价量设置</w:t>
      </w:r>
    </w:p>
    <w:p>
      <w:pPr>
        <w:pStyle w:val="34"/>
      </w:pPr>
      <w:r>
        <w:rPr>
          <w:rFonts w:hint="eastAsia"/>
        </w:rPr>
        <w:t>“双击”添加的品种弹出“修改价量条件预警”对话框，可对个股进行价格和换手率条件预警（相当于“修改设置”按钮功能），如下图所示：</w:t>
      </w:r>
    </w:p>
    <w:p>
      <w:pPr>
        <w:pStyle w:val="34"/>
      </w:pPr>
      <w:r>
        <w:fldChar w:fldCharType="begin"/>
      </w:r>
      <w:r>
        <w:instrText xml:space="preserve"> INCLUDEPICTURE  "https://www.tdx.com.cn/products/helpfile/tdxw/chm/%E7%AC%AC%E4%BA%8C%E7%AB%A0 %E5%8A%9F%E8%83%BD/2-11/7.png" \* MERGEFORMATINET </w:instrText>
      </w:r>
      <w:r>
        <w:fldChar w:fldCharType="separate"/>
      </w:r>
      <w:r>
        <w:fldChar w:fldCharType="begin"/>
      </w:r>
      <w:r>
        <w:instrText xml:space="preserve"> INCLUDEPICTURE  "https://www.tdx.com.cn/products/helpfile/tdxw/chm/%E7%AC%AC%E4%BA%8C%E7%AB%A0 %E5%8A%9F%E8%83%BD/2-11/7.png" \* MERGEFORMATINET </w:instrText>
      </w:r>
      <w:r>
        <w:fldChar w:fldCharType="separate"/>
      </w:r>
      <w:r>
        <w:fldChar w:fldCharType="begin"/>
      </w:r>
      <w:r>
        <w:instrText xml:space="preserve"> INCLUDEPICTURE  "https://www.tdx.com.cn/products/helpfile/tdxw/chm/%E7%AC%AC%E4%BA%8C%E7%AB%A0 %E5%8A%9F%E8%83%BD/2-11/7.png" \* MERGEFORMATINET </w:instrText>
      </w:r>
      <w:r>
        <w:fldChar w:fldCharType="separate"/>
      </w:r>
      <w:r>
        <w:fldChar w:fldCharType="begin"/>
      </w:r>
      <w:r>
        <w:instrText xml:space="preserve"> INCLUDEPICTURE  "https://www.tdx.com.cn/products/helpfile/tdxw/chm/%E7%AC%AC%E4%BA%8C%E7%AB%A0 %E5%8A%9F%E8%83%BD/2-11/7.png" \* MERGEFORMATINET </w:instrText>
      </w:r>
      <w:r>
        <w:fldChar w:fldCharType="separate"/>
      </w:r>
      <w:r>
        <w:drawing>
          <wp:inline distT="0" distB="0" distL="114300" distR="114300">
            <wp:extent cx="4057650" cy="3219450"/>
            <wp:effectExtent l="0" t="0" r="0" b="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pic:cNvPicPr>
                      <a:picLocks noChangeAspect="1"/>
                    </pic:cNvPicPr>
                  </pic:nvPicPr>
                  <pic:blipFill>
                    <a:blip r:embed="rId177" r:link="rId178"/>
                    <a:stretch>
                      <a:fillRect/>
                    </a:stretch>
                  </pic:blipFill>
                  <pic:spPr>
                    <a:xfrm>
                      <a:off x="0" y="0"/>
                      <a:ext cx="4057650" cy="3219450"/>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设定好上破价或是下破价及交易提示，达到条件后系统会弹出对话框进行提示； </w:t>
      </w:r>
    </w:p>
    <w:p>
      <w:pPr>
        <w:pStyle w:val="34"/>
      </w:pPr>
      <w:r>
        <w:rPr>
          <w:rFonts w:hint="eastAsia"/>
        </w:rPr>
        <w:t>设定好当日涨幅超过参数，达到条件后相应个股会被预警出； </w:t>
      </w:r>
    </w:p>
    <w:p>
      <w:pPr>
        <w:pStyle w:val="34"/>
      </w:pPr>
      <w:r>
        <w:rPr>
          <w:rFonts w:hint="eastAsia"/>
        </w:rPr>
        <w:t>勾选“启用分时线上穿和下破均线预警（分时线金叉和死叉）”在分时线和现价线金叉、死叉时警报。 </w:t>
      </w:r>
    </w:p>
    <w:p>
      <w:pPr>
        <w:pStyle w:val="34"/>
      </w:pPr>
      <w:r>
        <w:rPr>
          <w:rFonts w:hint="eastAsia"/>
        </w:rPr>
        <w:t>在分时图/分析图上鼠标右键选择设置条件预警（ctrl+y）也可调出此价量条件预警功能； </w:t>
      </w:r>
    </w:p>
    <w:p>
      <w:pPr>
        <w:pStyle w:val="34"/>
      </w:pPr>
      <w:r>
        <w:rPr>
          <w:rFonts w:hint="eastAsia"/>
        </w:rPr>
        <w:t>“换手达到”指股票的换手率达到设定值警报；“ETF基金折/溢率达到”当ETF的折溢价率达到设定值的时候警报。</w:t>
      </w:r>
    </w:p>
    <w:p>
      <w:pPr>
        <w:pStyle w:val="34"/>
      </w:pPr>
      <w:r>
        <w:rPr>
          <w:rFonts w:hint="eastAsia"/>
        </w:rPr>
        <w:t>■预警公式设置 </w:t>
      </w:r>
    </w:p>
    <w:p>
      <w:pPr>
        <w:pStyle w:val="34"/>
      </w:pPr>
      <w:r>
        <w:rPr>
          <w:rFonts w:hint="eastAsia"/>
        </w:rPr>
        <w:t>  预警公式设置—添加公式 </w:t>
      </w:r>
    </w:p>
    <w:p>
      <w:pPr>
        <w:pStyle w:val="34"/>
      </w:pPr>
      <w:r>
        <w:rPr>
          <w:rFonts w:hint="eastAsia"/>
        </w:rPr>
        <w:t>（注：公式预警必须为条件选股公式，当前支持的预警周期为日线周期）。如下图所示： </w:t>
      </w:r>
    </w:p>
    <w:p>
      <w:pPr>
        <w:pStyle w:val="34"/>
      </w:pPr>
      <w:r>
        <w:fldChar w:fldCharType="begin"/>
      </w:r>
      <w:r>
        <w:instrText xml:space="preserve"> INCLUDEPICTURE  "https://www.tdx.com.cn/products/helpfile/tdxw/chm/%E7%AC%AC%E4%BA%8C%E7%AB%A0 %E5%8A%9F%E8%83%BD/2-11/8.png" \* MERGEFORMATINET </w:instrText>
      </w:r>
      <w:r>
        <w:fldChar w:fldCharType="separate"/>
      </w:r>
      <w:r>
        <w:fldChar w:fldCharType="begin"/>
      </w:r>
      <w:r>
        <w:instrText xml:space="preserve"> INCLUDEPICTURE  "https://www.tdx.com.cn/products/helpfile/tdxw/chm/%E7%AC%AC%E4%BA%8C%E7%AB%A0 %E5%8A%9F%E8%83%BD/2-11/8.png" \* MERGEFORMATINET </w:instrText>
      </w:r>
      <w:r>
        <w:fldChar w:fldCharType="separate"/>
      </w:r>
      <w:r>
        <w:fldChar w:fldCharType="begin"/>
      </w:r>
      <w:r>
        <w:instrText xml:space="preserve"> INCLUDEPICTURE  "https://www.tdx.com.cn/products/helpfile/tdxw/chm/%E7%AC%AC%E4%BA%8C%E7%AB%A0 %E5%8A%9F%E8%83%BD/2-11/8.png" \* MERGEFORMATINET </w:instrText>
      </w:r>
      <w:r>
        <w:fldChar w:fldCharType="separate"/>
      </w:r>
      <w:r>
        <w:fldChar w:fldCharType="begin"/>
      </w:r>
      <w:r>
        <w:instrText xml:space="preserve"> INCLUDEPICTURE  "https://www.tdx.com.cn/products/helpfile/tdxw/chm/%E7%AC%AC%E4%BA%8C%E7%AB%A0 %E5%8A%9F%E8%83%BD/2-11/8.png" \* MERGEFORMATINET </w:instrText>
      </w:r>
      <w:r>
        <w:fldChar w:fldCharType="separate"/>
      </w:r>
      <w:r>
        <w:drawing>
          <wp:inline distT="0" distB="0" distL="114300" distR="114300">
            <wp:extent cx="5210175" cy="3305175"/>
            <wp:effectExtent l="0" t="0" r="9525" b="9525"/>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pic:cNvPicPr>
                      <a:picLocks noChangeAspect="1"/>
                    </pic:cNvPicPr>
                  </pic:nvPicPr>
                  <pic:blipFill>
                    <a:blip r:embed="rId179" r:link="rId180"/>
                    <a:stretch>
                      <a:fillRect/>
                    </a:stretch>
                  </pic:blipFill>
                  <pic:spPr>
                    <a:xfrm>
                      <a:off x="0" y="0"/>
                      <a:ext cx="5210175" cy="3305175"/>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在需要预警的条件选股公式前面打上钩，那么在满足相应条件选股的条件的时候就会警报。</w:t>
      </w:r>
    </w:p>
    <w:p>
      <w:pPr>
        <w:pStyle w:val="34"/>
      </w:pPr>
      <w:r>
        <w:rPr>
          <w:rFonts w:hint="eastAsia"/>
        </w:rPr>
        <w:t>双击该公式，会出现预警公式的进一步设置： </w:t>
      </w:r>
    </w:p>
    <w:p>
      <w:pPr>
        <w:pStyle w:val="34"/>
      </w:pPr>
      <w:r>
        <w:fldChar w:fldCharType="begin"/>
      </w:r>
      <w:r>
        <w:instrText xml:space="preserve"> INCLUDEPICTURE  "https://www.tdx.com.cn/products/helpfile/tdxw/chm/%E7%AC%AC%E4%BA%8C%E7%AB%A0 %E5%8A%9F%E8%83%BD/2-11/9.png" \* MERGEFORMATINET </w:instrText>
      </w:r>
      <w:r>
        <w:fldChar w:fldCharType="separate"/>
      </w:r>
      <w:r>
        <w:fldChar w:fldCharType="begin"/>
      </w:r>
      <w:r>
        <w:instrText xml:space="preserve"> INCLUDEPICTURE  "https://www.tdx.com.cn/products/helpfile/tdxw/chm/%E7%AC%AC%E4%BA%8C%E7%AB%A0 %E5%8A%9F%E8%83%BD/2-11/9.png" \* MERGEFORMATINET </w:instrText>
      </w:r>
      <w:r>
        <w:fldChar w:fldCharType="separate"/>
      </w:r>
      <w:r>
        <w:fldChar w:fldCharType="begin"/>
      </w:r>
      <w:r>
        <w:instrText xml:space="preserve"> INCLUDEPICTURE  "https://www.tdx.com.cn/products/helpfile/tdxw/chm/%E7%AC%AC%E4%BA%8C%E7%AB%A0 %E5%8A%9F%E8%83%BD/2-11/9.png" \* MERGEFORMATINET </w:instrText>
      </w:r>
      <w:r>
        <w:fldChar w:fldCharType="separate"/>
      </w:r>
      <w:r>
        <w:fldChar w:fldCharType="begin"/>
      </w:r>
      <w:r>
        <w:instrText xml:space="preserve"> INCLUDEPICTURE  "https://www.tdx.com.cn/products/helpfile/tdxw/chm/%E7%AC%AC%E4%BA%8C%E7%AB%A0 %E5%8A%9F%E8%83%BD/2-11/9.png" \* MERGEFORMATINET </w:instrText>
      </w:r>
      <w:r>
        <w:fldChar w:fldCharType="separate"/>
      </w:r>
      <w:r>
        <w:drawing>
          <wp:inline distT="0" distB="0" distL="114300" distR="114300">
            <wp:extent cx="3819525" cy="3695700"/>
            <wp:effectExtent l="0" t="0" r="9525" b="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pic:cNvPicPr>
                      <a:picLocks noChangeAspect="1"/>
                    </pic:cNvPicPr>
                  </pic:nvPicPr>
                  <pic:blipFill>
                    <a:blip r:embed="rId181" r:link="rId182"/>
                    <a:stretch>
                      <a:fillRect/>
                    </a:stretch>
                  </pic:blipFill>
                  <pic:spPr>
                    <a:xfrm>
                      <a:off x="0" y="0"/>
                      <a:ext cx="3819525" cy="3695700"/>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可以设置公式参数；</w:t>
      </w:r>
    </w:p>
    <w:p>
      <w:pPr>
        <w:pStyle w:val="34"/>
      </w:pPr>
      <w:r>
        <w:rPr>
          <w:rFonts w:hint="eastAsia"/>
        </w:rPr>
        <w:t>预警范围选“预设预警品种”，预警范围即是上面预警品种设置里添加的品种；预警范围选“指定范围”——“选择范围”，可预警所有分类或板块，且预警范围随板块成分变动而同步变动。</w:t>
      </w:r>
    </w:p>
    <w:p>
      <w:pPr>
        <w:pStyle w:val="34"/>
      </w:pPr>
      <w:r>
        <w:fldChar w:fldCharType="begin"/>
      </w:r>
      <w:r>
        <w:instrText xml:space="preserve"> INCLUDEPICTURE  "https://www.tdx.com.cn/products/helpfile/tdxw/chm/%E7%AC%AC%E4%BA%8C%E7%AB%A0 %E5%8A%9F%E8%83%BD/2-11/10.png" \* MERGEFORMATINET </w:instrText>
      </w:r>
      <w:r>
        <w:fldChar w:fldCharType="separate"/>
      </w:r>
      <w:r>
        <w:fldChar w:fldCharType="begin"/>
      </w:r>
      <w:r>
        <w:instrText xml:space="preserve"> INCLUDEPICTURE  "https://www.tdx.com.cn/products/helpfile/tdxw/chm/%E7%AC%AC%E4%BA%8C%E7%AB%A0 %E5%8A%9F%E8%83%BD/2-11/10.png" \* MERGEFORMATINET </w:instrText>
      </w:r>
      <w:r>
        <w:fldChar w:fldCharType="separate"/>
      </w:r>
      <w:r>
        <w:fldChar w:fldCharType="begin"/>
      </w:r>
      <w:r>
        <w:instrText xml:space="preserve"> INCLUDEPICTURE  "https://www.tdx.com.cn/products/helpfile/tdxw/chm/%E7%AC%AC%E4%BA%8C%E7%AB%A0 %E5%8A%9F%E8%83%BD/2-11/10.png" \* MERGEFORMATINET </w:instrText>
      </w:r>
      <w:r>
        <w:fldChar w:fldCharType="separate"/>
      </w:r>
      <w:r>
        <w:fldChar w:fldCharType="begin"/>
      </w:r>
      <w:r>
        <w:instrText xml:space="preserve"> INCLUDEPICTURE  "https://www.tdx.com.cn/products/helpfile/tdxw/chm/%E7%AC%AC%E4%BA%8C%E7%AB%A0 %E5%8A%9F%E8%83%BD/2-11/10.png" \* MERGEFORMATINET </w:instrText>
      </w:r>
      <w:r>
        <w:fldChar w:fldCharType="separate"/>
      </w:r>
      <w:r>
        <w:drawing>
          <wp:inline distT="0" distB="0" distL="114300" distR="114300">
            <wp:extent cx="5667375" cy="4095750"/>
            <wp:effectExtent l="0" t="0" r="9525" b="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pic:cNvPicPr>
                      <a:picLocks noChangeAspect="1"/>
                    </pic:cNvPicPr>
                  </pic:nvPicPr>
                  <pic:blipFill>
                    <a:blip r:embed="rId183" r:link="rId184"/>
                    <a:stretch>
                      <a:fillRect/>
                    </a:stretch>
                  </pic:blipFill>
                  <pic:spPr>
                    <a:xfrm>
                      <a:off x="0" y="0"/>
                      <a:ext cx="5667375" cy="4095750"/>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 </w:t>
      </w:r>
    </w:p>
    <w:p>
      <w:pPr>
        <w:pStyle w:val="34"/>
      </w:pPr>
      <w:r>
        <w:rPr>
          <w:rFonts w:hint="eastAsia"/>
        </w:rPr>
        <w:t>■套利预警设置 </w:t>
      </w:r>
    </w:p>
    <w:p>
      <w:pPr>
        <w:pStyle w:val="34"/>
      </w:pPr>
      <w:r>
        <w:rPr>
          <w:rFonts w:hint="eastAsia"/>
        </w:rPr>
        <w:t>套利预警设置—条件条件 </w:t>
      </w:r>
    </w:p>
    <w:p>
      <w:pPr>
        <w:pStyle w:val="34"/>
      </w:pPr>
      <w:r>
        <w:fldChar w:fldCharType="begin"/>
      </w:r>
      <w:r>
        <w:instrText xml:space="preserve"> INCLUDEPICTURE  "https://www.tdx.com.cn/products/helpfile/tdxw/chm/%E7%AC%AC%E4%BA%8C%E7%AB%A0 %E5%8A%9F%E8%83%BD/2-11/11.png" \* MERGEFORMATINET </w:instrText>
      </w:r>
      <w:r>
        <w:fldChar w:fldCharType="separate"/>
      </w:r>
      <w:r>
        <w:fldChar w:fldCharType="begin"/>
      </w:r>
      <w:r>
        <w:instrText xml:space="preserve"> INCLUDEPICTURE  "https://www.tdx.com.cn/products/helpfile/tdxw/chm/%E7%AC%AC%E4%BA%8C%E7%AB%A0 %E5%8A%9F%E8%83%BD/2-11/11.png" \* MERGEFORMATINET </w:instrText>
      </w:r>
      <w:r>
        <w:fldChar w:fldCharType="separate"/>
      </w:r>
      <w:r>
        <w:fldChar w:fldCharType="begin"/>
      </w:r>
      <w:r>
        <w:instrText xml:space="preserve"> INCLUDEPICTURE  "https://www.tdx.com.cn/products/helpfile/tdxw/chm/%E7%AC%AC%E4%BA%8C%E7%AB%A0 %E5%8A%9F%E8%83%BD/2-11/11.png" \* MERGEFORMATINET </w:instrText>
      </w:r>
      <w:r>
        <w:fldChar w:fldCharType="separate"/>
      </w:r>
      <w:r>
        <w:fldChar w:fldCharType="begin"/>
      </w:r>
      <w:r>
        <w:instrText xml:space="preserve"> INCLUDEPICTURE  "https://www.tdx.com.cn/products/helpfile/tdxw/chm/%E7%AC%AC%E4%BA%8C%E7%AB%A0 %E5%8A%9F%E8%83%BD/2-11/11.png" \* MERGEFORMATINET </w:instrText>
      </w:r>
      <w:r>
        <w:fldChar w:fldCharType="separate"/>
      </w:r>
      <w:r>
        <w:drawing>
          <wp:inline distT="0" distB="0" distL="114300" distR="114300">
            <wp:extent cx="4257675" cy="1419225"/>
            <wp:effectExtent l="0" t="0" r="9525" b="9525"/>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pic:cNvPicPr>
                      <a:picLocks noChangeAspect="1"/>
                    </pic:cNvPicPr>
                  </pic:nvPicPr>
                  <pic:blipFill>
                    <a:blip r:embed="rId185" r:link="rId186"/>
                    <a:stretch>
                      <a:fillRect/>
                    </a:stretch>
                  </pic:blipFill>
                  <pic:spPr>
                    <a:xfrm>
                      <a:off x="0" y="0"/>
                      <a:ext cx="4257675" cy="1419225"/>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 </w:t>
      </w:r>
    </w:p>
    <w:p>
      <w:pPr>
        <w:pStyle w:val="34"/>
      </w:pPr>
      <w:r>
        <w:rPr>
          <w:rFonts w:hint="eastAsia"/>
        </w:rPr>
        <w:t>选择个股和运算法则，最后满足预警价格条件的股票被选出。</w:t>
      </w:r>
    </w:p>
    <w:p>
      <w:pPr>
        <w:pStyle w:val="34"/>
      </w:pPr>
      <w:r>
        <w:rPr>
          <w:rFonts w:hint="eastAsia"/>
        </w:rPr>
        <w:t>■其他个性化设置 </w:t>
      </w:r>
    </w:p>
    <w:p>
      <w:pPr>
        <w:pStyle w:val="34"/>
      </w:pPr>
      <w:r>
        <w:rPr>
          <w:rFonts w:hint="eastAsia"/>
        </w:rPr>
        <w:t>“其它设置”下面预警的声音可以进行设置。如下图所示支持将预警股票自动加入到自定义板块;所有的预警设置可以放在同一板块中，注意勾选“全部预警结果输出到以下板块” </w:t>
      </w:r>
    </w:p>
    <w:p>
      <w:pPr>
        <w:pStyle w:val="34"/>
      </w:pPr>
      <w:r>
        <w:fldChar w:fldCharType="begin"/>
      </w:r>
      <w:r>
        <w:instrText xml:space="preserve"> INCLUDEPICTURE  "https://www.tdx.com.cn/products/helpfile/tdxw/chm/%E7%AC%AC%E4%BA%8C%E7%AB%A0 %E5%8A%9F%E8%83%BD/2-11/12.png" \* MERGEFORMATINET </w:instrText>
      </w:r>
      <w:r>
        <w:fldChar w:fldCharType="separate"/>
      </w:r>
      <w:r>
        <w:fldChar w:fldCharType="begin"/>
      </w:r>
      <w:r>
        <w:instrText xml:space="preserve"> INCLUDEPICTURE  "https://www.tdx.com.cn/products/helpfile/tdxw/chm/%E7%AC%AC%E4%BA%8C%E7%AB%A0 %E5%8A%9F%E8%83%BD/2-11/12.png" \* MERGEFORMATINET </w:instrText>
      </w:r>
      <w:r>
        <w:fldChar w:fldCharType="separate"/>
      </w:r>
      <w:r>
        <w:fldChar w:fldCharType="begin"/>
      </w:r>
      <w:r>
        <w:instrText xml:space="preserve"> INCLUDEPICTURE  "https://www.tdx.com.cn/products/helpfile/tdxw/chm/%E7%AC%AC%E4%BA%8C%E7%AB%A0 %E5%8A%9F%E8%83%BD/2-11/12.png" \* MERGEFORMATINET </w:instrText>
      </w:r>
      <w:r>
        <w:fldChar w:fldCharType="separate"/>
      </w:r>
      <w:r>
        <w:fldChar w:fldCharType="begin"/>
      </w:r>
      <w:r>
        <w:instrText xml:space="preserve"> INCLUDEPICTURE  "https://www.tdx.com.cn/products/helpfile/tdxw/chm/%E7%AC%AC%E4%BA%8C%E7%AB%A0 %E5%8A%9F%E8%83%BD/2-11/12.png" \* MERGEFORMATINET </w:instrText>
      </w:r>
      <w:r>
        <w:fldChar w:fldCharType="separate"/>
      </w:r>
      <w:r>
        <w:drawing>
          <wp:inline distT="0" distB="0" distL="114300" distR="114300">
            <wp:extent cx="5210175" cy="3305175"/>
            <wp:effectExtent l="0" t="0" r="9525" b="9525"/>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pic:cNvPicPr>
                      <a:picLocks noChangeAspect="1"/>
                    </pic:cNvPicPr>
                  </pic:nvPicPr>
                  <pic:blipFill>
                    <a:blip r:embed="rId187" r:link="rId188"/>
                    <a:stretch>
                      <a:fillRect/>
                    </a:stretch>
                  </pic:blipFill>
                  <pic:spPr>
                    <a:xfrm>
                      <a:off x="0" y="0"/>
                      <a:ext cx="5210175" cy="3305175"/>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■设置完成后展示预警列表 </w:t>
      </w:r>
    </w:p>
    <w:p>
      <w:pPr>
        <w:pStyle w:val="34"/>
      </w:pPr>
      <w:r>
        <w:fldChar w:fldCharType="begin"/>
      </w:r>
      <w:r>
        <w:instrText xml:space="preserve"> INCLUDEPICTURE  "https://www.tdx.com.cn/products/helpfile/tdxw/chm/%E7%AC%AC%E4%BA%8C%E7%AB%A0 %E5%8A%9F%E8%83%BD/2-11/13.png" \* MERGEFORMATINET </w:instrText>
      </w:r>
      <w:r>
        <w:fldChar w:fldCharType="separate"/>
      </w:r>
      <w:r>
        <w:fldChar w:fldCharType="begin"/>
      </w:r>
      <w:r>
        <w:instrText xml:space="preserve"> INCLUDEPICTURE  "https://www.tdx.com.cn/products/helpfile/tdxw/chm/%E7%AC%AC%E4%BA%8C%E7%AB%A0 %E5%8A%9F%E8%83%BD/2-11/13.png" \* MERGEFORMATINET </w:instrText>
      </w:r>
      <w:r>
        <w:fldChar w:fldCharType="separate"/>
      </w:r>
      <w:r>
        <w:fldChar w:fldCharType="begin"/>
      </w:r>
      <w:r>
        <w:instrText xml:space="preserve"> INCLUDEPICTURE  "https://www.tdx.com.cn/products/helpfile/tdxw/chm/%E7%AC%AC%E4%BA%8C%E7%AB%A0 %E5%8A%9F%E8%83%BD/2-11/13.png" \* MERGEFORMATINET </w:instrText>
      </w:r>
      <w:r>
        <w:fldChar w:fldCharType="separate"/>
      </w:r>
      <w:r>
        <w:fldChar w:fldCharType="begin"/>
      </w:r>
      <w:r>
        <w:instrText xml:space="preserve"> INCLUDEPICTURE  "https://www.tdx.com.cn/products/helpfile/tdxw/chm/%E7%AC%AC%E4%BA%8C%E7%AB%A0 %E5%8A%9F%E8%83%BD/2-11/13.png" \* MERGEFORMATINET </w:instrText>
      </w:r>
      <w:r>
        <w:fldChar w:fldCharType="separate"/>
      </w:r>
      <w:r>
        <w:drawing>
          <wp:inline distT="0" distB="0" distL="114300" distR="114300">
            <wp:extent cx="3524250" cy="2095500"/>
            <wp:effectExtent l="0" t="0" r="0" b="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pic:cNvPicPr>
                      <a:picLocks noChangeAspect="1"/>
                    </pic:cNvPicPr>
                  </pic:nvPicPr>
                  <pic:blipFill>
                    <a:blip r:embed="rId189" r:link="rId190"/>
                    <a:stretch>
                      <a:fillRect/>
                    </a:stretch>
                  </pic:blipFill>
                  <pic:spPr>
                    <a:xfrm>
                      <a:off x="0" y="0"/>
                      <a:ext cx="3524250" cy="2095500"/>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展示预警的条数和品种数，以及预警结果。点击操作可进行“清空预警列表”“将结果存为板块”“将内容导为文件”的操作；点击分析可以进入列表中选中个股的分析图界面；点击设置又可以进行条件预警设置。 </w:t>
      </w:r>
    </w:p>
    <w:p>
      <w:pPr>
        <w:pStyle w:val="34"/>
      </w:pPr>
      <w:r>
        <w:rPr>
          <w:rFonts w:hint="eastAsia"/>
        </w:rPr>
        <w:t>■被设置预警的个股的分时特别标识显示（如果预警的价格设置在分时纵轴坐标以内也会显示上破价下破线两条虚线） </w:t>
      </w:r>
    </w:p>
    <w:p>
      <w:pPr>
        <w:pStyle w:val="34"/>
      </w:pPr>
      <w:r>
        <w:fldChar w:fldCharType="begin"/>
      </w:r>
      <w:r>
        <w:instrText xml:space="preserve"> INCLUDEPICTURE  "https://www.tdx.com.cn/products/helpfile/tdxw/chm/%E7%AC%AC%E4%BA%8C%E7%AB%A0 %E5%8A%9F%E8%83%BD/2-11/14.png" \* MERGEFORMATINET </w:instrText>
      </w:r>
      <w:r>
        <w:fldChar w:fldCharType="separate"/>
      </w:r>
      <w:r>
        <w:fldChar w:fldCharType="begin"/>
      </w:r>
      <w:r>
        <w:instrText xml:space="preserve"> INCLUDEPICTURE  "https://www.tdx.com.cn/products/helpfile/tdxw/chm/%E7%AC%AC%E4%BA%8C%E7%AB%A0 %E5%8A%9F%E8%83%BD/2-11/14.png" \* MERGEFORMATINET </w:instrText>
      </w:r>
      <w:r>
        <w:fldChar w:fldCharType="separate"/>
      </w:r>
      <w:r>
        <w:fldChar w:fldCharType="begin"/>
      </w:r>
      <w:r>
        <w:instrText xml:space="preserve"> INCLUDEPICTURE  "https://www.tdx.com.cn/products/helpfile/tdxw/chm/%E7%AC%AC%E4%BA%8C%E7%AB%A0 %E5%8A%9F%E8%83%BD/2-11/14.png" \* MERGEFORMATINET </w:instrText>
      </w:r>
      <w:r>
        <w:fldChar w:fldCharType="separate"/>
      </w:r>
      <w:r>
        <w:fldChar w:fldCharType="begin"/>
      </w:r>
      <w:r>
        <w:instrText xml:space="preserve"> INCLUDEPICTURE  "https://www.tdx.com.cn/products/helpfile/tdxw/chm/%E7%AC%AC%E4%BA%8C%E7%AB%A0 %E5%8A%9F%E8%83%BD/2-11/14.png" \* MERGEFORMATINET </w:instrText>
      </w:r>
      <w:r>
        <w:fldChar w:fldCharType="separate"/>
      </w:r>
      <w:r>
        <w:drawing>
          <wp:inline distT="0" distB="0" distL="114300" distR="114300">
            <wp:extent cx="5695950" cy="3724275"/>
            <wp:effectExtent l="0" t="0" r="0" b="9525"/>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pic:cNvPicPr>
                  </pic:nvPicPr>
                  <pic:blipFill>
                    <a:blip r:embed="rId191" r:link="rId192"/>
                    <a:stretch>
                      <a:fillRect/>
                    </a:stretch>
                  </pic:blipFill>
                  <pic:spPr>
                    <a:xfrm>
                      <a:off x="0" y="0"/>
                      <a:ext cx="5695950" cy="3724275"/>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附注信息：</w:t>
      </w:r>
      <w:r>
        <w:rPr>
          <w:rStyle w:val="51"/>
          <w:rFonts w:hint="eastAsia" w:ascii="微软雅黑" w:hAnsi="微软雅黑" w:eastAsia="微软雅黑"/>
          <w:color w:val="000000"/>
          <w:sz w:val="18"/>
          <w:szCs w:val="18"/>
        </w:rPr>
        <w:t>条件预警功能勾选预警公式预警的时候需要保持完整的日线数据</w:t>
      </w:r>
    </w:p>
    <w:p>
      <w:pPr>
        <w:pStyle w:val="4"/>
      </w:pPr>
      <w:r>
        <w:rPr>
          <w:rFonts w:hint="eastAsia"/>
        </w:rPr>
        <w:t xml:space="preserve">主力监控精灵 </w:t>
      </w:r>
    </w:p>
    <w:p>
      <w:r>
        <w:rPr>
          <w:rFonts w:hint="eastAsia"/>
        </w:rPr>
        <w:t>用户可以监控股票的主力买卖，涨跌等情况。</w:t>
      </w:r>
    </w:p>
    <w:p>
      <w:r>
        <w:rPr>
          <w:rFonts w:hint="eastAsia"/>
        </w:rPr>
        <w:t>功能调出：点击功能菜单-&gt;主力监控精灵 或是快捷键 CTRL + J。</w:t>
      </w:r>
    </w:p>
    <w:p>
      <w:r>
        <w:fldChar w:fldCharType="begin"/>
      </w:r>
      <w:r>
        <w:instrText xml:space="preserve"> INCLUDEPICTURE  "https://www.tdx.com.cn/products/helpfile/tdxw/chm/%E7%AC%AC%E4%BA%8C%E7%AB%A0 %E5%8A%9F%E8%83%BD/2-11/16.png" \* MERGEFORMATINET </w:instrText>
      </w:r>
      <w:r>
        <w:fldChar w:fldCharType="separate"/>
      </w:r>
      <w:r>
        <w:fldChar w:fldCharType="begin"/>
      </w:r>
      <w:r>
        <w:instrText xml:space="preserve"> INCLUDEPICTURE  "https://www.tdx.com.cn/products/helpfile/tdxw/chm/%E7%AC%AC%E4%BA%8C%E7%AB%A0 %E5%8A%9F%E8%83%BD/2-11/16.png" \* MERGEFORMATINET </w:instrText>
      </w:r>
      <w:r>
        <w:fldChar w:fldCharType="separate"/>
      </w:r>
      <w:r>
        <w:fldChar w:fldCharType="begin"/>
      </w:r>
      <w:r>
        <w:instrText xml:space="preserve"> INCLUDEPICTURE  "https://www.tdx.com.cn/products/helpfile/tdxw/chm/%E7%AC%AC%E4%BA%8C%E7%AB%A0 %E5%8A%9F%E8%83%BD/2-11/16.png" \* MERGEFORMATINET </w:instrText>
      </w:r>
      <w:r>
        <w:fldChar w:fldCharType="separate"/>
      </w:r>
      <w:r>
        <w:fldChar w:fldCharType="begin"/>
      </w:r>
      <w:r>
        <w:instrText xml:space="preserve"> INCLUDEPICTURE  "https://www.tdx.com.cn/products/helpfile/tdxw/chm/%E7%AC%AC%E4%BA%8C%E7%AB%A0 %E5%8A%9F%E8%83%BD/2-11/16.png" \* MERGEFORMATINET </w:instrText>
      </w:r>
      <w:r>
        <w:fldChar w:fldCharType="separate"/>
      </w:r>
      <w:r>
        <w:drawing>
          <wp:inline distT="0" distB="0" distL="114300" distR="114300">
            <wp:extent cx="2305050" cy="247650"/>
            <wp:effectExtent l="0" t="0" r="0" b="0"/>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pic:cNvPicPr>
                      <a:picLocks noChangeAspect="1"/>
                    </pic:cNvPicPr>
                  </pic:nvPicPr>
                  <pic:blipFill>
                    <a:blip r:embed="rId193" r:link="rId194"/>
                    <a:stretch>
                      <a:fillRect/>
                    </a:stretch>
                  </pic:blipFill>
                  <pic:spPr>
                    <a:xfrm>
                      <a:off x="0" y="0"/>
                      <a:ext cx="2305050" cy="247650"/>
                    </a:xfrm>
                    <a:prstGeom prst="rect">
                      <a:avLst/>
                    </a:prstGeom>
                    <a:noFill/>
                    <a:ln>
                      <a:noFill/>
                    </a:ln>
                  </pic:spPr>
                </pic:pic>
              </a:graphicData>
            </a:graphic>
          </wp:inline>
        </w:drawing>
      </w:r>
      <w:r>
        <w:fldChar w:fldCharType="end"/>
      </w:r>
      <w:r>
        <w:fldChar w:fldCharType="end"/>
      </w:r>
      <w:r>
        <w:fldChar w:fldCharType="end"/>
      </w:r>
      <w:r>
        <w:fldChar w:fldCharType="end"/>
      </w:r>
    </w:p>
    <w:p>
      <w:r>
        <w:rPr>
          <w:rFonts w:hint="eastAsia"/>
        </w:rPr>
        <w:t>点击“300”查看沪深 300主力监控信息，点击 “自选”查看自选股的主力监控信息，点击“当前”查看当前个股的主力监控信息，点击“浮出”主力监控信息将会以浮动窗口展示。</w:t>
      </w:r>
    </w:p>
    <w:p>
      <w:r>
        <w:rPr>
          <w:rFonts w:hint="eastAsia"/>
        </w:rPr>
        <w:t>主力监控设置：可以勾掉不需要监控的信息项目，还可以把监控沪深300成分股的项换成其他自己定义的板块股（由“300”变为“自定”）。</w:t>
      </w:r>
    </w:p>
    <w:p>
      <w:r>
        <w:fldChar w:fldCharType="begin"/>
      </w:r>
      <w:r>
        <w:instrText xml:space="preserve"> INCLUDEPICTURE  "https://www.tdx.com.cn/products/helpfile/tdxw/chm/%E7%AC%AC%E4%BA%8C%E7%AB%A0 %E5%8A%9F%E8%83%BD/2-11/15.png" \* MERGEFORMATINET </w:instrText>
      </w:r>
      <w:r>
        <w:fldChar w:fldCharType="separate"/>
      </w:r>
      <w:r>
        <w:fldChar w:fldCharType="begin"/>
      </w:r>
      <w:r>
        <w:instrText xml:space="preserve"> INCLUDEPICTURE  "https://www.tdx.com.cn/products/helpfile/tdxw/chm/%E7%AC%AC%E4%BA%8C%E7%AB%A0 %E5%8A%9F%E8%83%BD/2-11/15.png" \* MERGEFORMATINET </w:instrText>
      </w:r>
      <w:r>
        <w:fldChar w:fldCharType="separate"/>
      </w:r>
      <w:r>
        <w:fldChar w:fldCharType="begin"/>
      </w:r>
      <w:r>
        <w:instrText xml:space="preserve"> INCLUDEPICTURE  "https://www.tdx.com.cn/products/helpfile/tdxw/chm/%E7%AC%AC%E4%BA%8C%E7%AB%A0 %E5%8A%9F%E8%83%BD/2-11/15.png" \* MERGEFORMATINET </w:instrText>
      </w:r>
      <w:r>
        <w:fldChar w:fldCharType="separate"/>
      </w:r>
      <w:r>
        <w:fldChar w:fldCharType="begin"/>
      </w:r>
      <w:r>
        <w:instrText xml:space="preserve"> INCLUDEPICTURE  "https://www.tdx.com.cn/products/helpfile/tdxw/chm/%E7%AC%AC%E4%BA%8C%E7%AB%A0 %E5%8A%9F%E8%83%BD/2-11/15.png" \* MERGEFORMATINET </w:instrText>
      </w:r>
      <w:r>
        <w:fldChar w:fldCharType="separate"/>
      </w:r>
      <w:r>
        <w:drawing>
          <wp:inline distT="0" distB="0" distL="114300" distR="114300">
            <wp:extent cx="2981325" cy="3943350"/>
            <wp:effectExtent l="0" t="0" r="9525" b="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a:picLocks noChangeAspect="1"/>
                    </pic:cNvPicPr>
                  </pic:nvPicPr>
                  <pic:blipFill>
                    <a:blip r:embed="rId195" r:link="rId196"/>
                    <a:stretch>
                      <a:fillRect/>
                    </a:stretch>
                  </pic:blipFill>
                  <pic:spPr>
                    <a:xfrm>
                      <a:off x="0" y="0"/>
                      <a:ext cx="2981325" cy="3943350"/>
                    </a:xfrm>
                    <a:prstGeom prst="rect">
                      <a:avLst/>
                    </a:prstGeom>
                    <a:noFill/>
                    <a:ln>
                      <a:noFill/>
                    </a:ln>
                  </pic:spPr>
                </pic:pic>
              </a:graphicData>
            </a:graphic>
          </wp:inline>
        </w:drawing>
      </w:r>
      <w:r>
        <w:fldChar w:fldCharType="end"/>
      </w:r>
      <w:r>
        <w:fldChar w:fldCharType="end"/>
      </w:r>
      <w:r>
        <w:fldChar w:fldCharType="end"/>
      </w:r>
      <w:r>
        <w:fldChar w:fldCharType="end"/>
      </w:r>
    </w:p>
    <w:p>
      <w:r>
        <w:rPr>
          <w:rFonts w:hint="eastAsia"/>
        </w:rPr>
        <w:t>监控自动输出到板块：勾选此项，再双击某个监控项，则此监控项的股票会自动进入某个自定义板块。</w:t>
      </w:r>
      <w:r>
        <w:fldChar w:fldCharType="begin"/>
      </w:r>
      <w:r>
        <w:instrText xml:space="preserve"> INCLUDEPICTURE  "https://www.tdx.com.cn/products/helpfile/tdxw/chm/%E7%AC%AC%E4%BA%8C%E7%AB%A0 %E5%8A%9F%E8%83%BD/2-11/17.png" \* MERGEFORMATINET </w:instrText>
      </w:r>
      <w:r>
        <w:fldChar w:fldCharType="separate"/>
      </w:r>
      <w:r>
        <w:fldChar w:fldCharType="begin"/>
      </w:r>
      <w:r>
        <w:instrText xml:space="preserve"> INCLUDEPICTURE  "https://www.tdx.com.cn/products/helpfile/tdxw/chm/%E7%AC%AC%E4%BA%8C%E7%AB%A0 %E5%8A%9F%E8%83%BD/2-11/17.png" \* MERGEFORMATINET </w:instrText>
      </w:r>
      <w:r>
        <w:fldChar w:fldCharType="separate"/>
      </w:r>
      <w:r>
        <w:fldChar w:fldCharType="begin"/>
      </w:r>
      <w:r>
        <w:instrText xml:space="preserve"> INCLUDEPICTURE  "https://www.tdx.com.cn/products/helpfile/tdxw/chm/%E7%AC%AC%E4%BA%8C%E7%AB%A0 %E5%8A%9F%E8%83%BD/2-11/17.png" \* MERGEFORMATINET </w:instrText>
      </w:r>
      <w:r>
        <w:fldChar w:fldCharType="separate"/>
      </w:r>
      <w:r>
        <w:fldChar w:fldCharType="begin"/>
      </w:r>
      <w:r>
        <w:instrText xml:space="preserve"> INCLUDEPICTURE  "https://www.tdx.com.cn/products/helpfile/tdxw/chm/%E7%AC%AC%E4%BA%8C%E7%AB%A0 %E5%8A%9F%E8%83%BD/2-11/17.png" \* MERGEFORMATINET </w:instrText>
      </w:r>
      <w:r>
        <w:fldChar w:fldCharType="separate"/>
      </w:r>
      <w:r>
        <w:drawing>
          <wp:inline distT="0" distB="0" distL="114300" distR="114300">
            <wp:extent cx="4067175" cy="2200275"/>
            <wp:effectExtent l="0" t="0" r="9525" b="9525"/>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pic:cNvPicPr>
                      <a:picLocks noChangeAspect="1"/>
                    </pic:cNvPicPr>
                  </pic:nvPicPr>
                  <pic:blipFill>
                    <a:blip r:embed="rId197" r:link="rId198"/>
                    <a:stretch>
                      <a:fillRect/>
                    </a:stretch>
                  </pic:blipFill>
                  <pic:spPr>
                    <a:xfrm>
                      <a:off x="0" y="0"/>
                      <a:ext cx="4067175" cy="2200275"/>
                    </a:xfrm>
                    <a:prstGeom prst="rect">
                      <a:avLst/>
                    </a:prstGeom>
                    <a:noFill/>
                    <a:ln>
                      <a:noFill/>
                    </a:ln>
                  </pic:spPr>
                </pic:pic>
              </a:graphicData>
            </a:graphic>
          </wp:inline>
        </w:drawing>
      </w:r>
      <w:r>
        <w:fldChar w:fldCharType="end"/>
      </w:r>
      <w:r>
        <w:fldChar w:fldCharType="end"/>
      </w:r>
      <w:r>
        <w:fldChar w:fldCharType="end"/>
      </w:r>
      <w:r>
        <w:fldChar w:fldCharType="end"/>
      </w:r>
    </w:p>
    <w:p>
      <w:r>
        <w:rPr>
          <w:rFonts w:hint="eastAsia"/>
        </w:rPr>
        <w:t>查看主力监控信息，包含主力买入，主力卖出，区间放量等等。 详细描述如下表：</w:t>
      </w:r>
    </w:p>
    <w:tbl>
      <w:tblPr>
        <w:tblStyle w:val="25"/>
        <w:tblW w:w="0" w:type="auto"/>
        <w:tblCellSpacing w:w="0" w:type="dxa"/>
        <w:tblInd w:w="0" w:type="dxa"/>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Layout w:type="autofit"/>
        <w:tblCellMar>
          <w:top w:w="0" w:type="dxa"/>
          <w:left w:w="0" w:type="dxa"/>
          <w:bottom w:w="0" w:type="dxa"/>
          <w:right w:w="0" w:type="dxa"/>
        </w:tblCellMar>
      </w:tblPr>
      <w:tblGrid>
        <w:gridCol w:w="2701"/>
        <w:gridCol w:w="11287"/>
      </w:tblGrid>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Header/>
          <w:tblCellSpacing w:w="0" w:type="dxa"/>
        </w:trPr>
        <w:tc>
          <w:tcPr>
            <w:tcW w:w="3225" w:type="dxa"/>
            <w:tcBorders>
              <w:top w:val="outset" w:color="000000" w:sz="6" w:space="0"/>
              <w:left w:val="outset" w:color="000000" w:sz="6" w:space="0"/>
              <w:bottom w:val="outset" w:color="000000" w:sz="6" w:space="0"/>
              <w:right w:val="outset" w:color="000000" w:sz="6" w:space="0"/>
            </w:tcBorders>
            <w:vAlign w:val="center"/>
          </w:tcPr>
          <w:p>
            <w:pPr>
              <w:widowControl/>
              <w:spacing w:line="240" w:lineRule="auto"/>
              <w:jc w:val="center"/>
              <w:rPr>
                <w:rFonts w:ascii="微软雅黑" w:hAnsi="微软雅黑" w:eastAsia="微软雅黑" w:cs="宋体"/>
                <w:b/>
                <w:bCs/>
                <w:kern w:val="0"/>
                <w:sz w:val="18"/>
                <w:szCs w:val="18"/>
              </w:rPr>
            </w:pPr>
            <w:r>
              <w:rPr>
                <w:rFonts w:hint="eastAsia" w:ascii="微软雅黑" w:hAnsi="微软雅黑" w:eastAsia="微软雅黑" w:cs="宋体"/>
                <w:b/>
                <w:bCs/>
                <w:kern w:val="0"/>
                <w:sz w:val="18"/>
                <w:szCs w:val="18"/>
              </w:rPr>
              <w:t>监控类型</w:t>
            </w:r>
          </w:p>
        </w:tc>
        <w:tc>
          <w:tcPr>
            <w:tcW w:w="15090" w:type="dxa"/>
            <w:tcBorders>
              <w:top w:val="outset" w:color="000000" w:sz="6" w:space="0"/>
              <w:left w:val="outset" w:color="000000" w:sz="6" w:space="0"/>
              <w:bottom w:val="outset" w:color="000000" w:sz="6" w:space="0"/>
              <w:right w:val="outset" w:color="000000" w:sz="6" w:space="0"/>
            </w:tcBorders>
            <w:vAlign w:val="center"/>
          </w:tcPr>
          <w:p>
            <w:pPr>
              <w:widowControl/>
              <w:spacing w:line="240" w:lineRule="auto"/>
              <w:jc w:val="center"/>
              <w:rPr>
                <w:rFonts w:ascii="微软雅黑" w:hAnsi="微软雅黑" w:eastAsia="微软雅黑" w:cs="宋体"/>
                <w:b/>
                <w:bCs/>
                <w:kern w:val="0"/>
                <w:sz w:val="18"/>
                <w:szCs w:val="18"/>
              </w:rPr>
            </w:pPr>
            <w:r>
              <w:rPr>
                <w:rFonts w:hint="eastAsia" w:ascii="微软雅黑" w:hAnsi="微软雅黑" w:eastAsia="微软雅黑" w:cs="宋体"/>
                <w:b/>
                <w:bCs/>
                <w:kern w:val="0"/>
                <w:sz w:val="18"/>
                <w:szCs w:val="18"/>
              </w:rPr>
              <w:t>监控说明</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tcBorders>
              <w:top w:val="outset" w:color="000000" w:sz="6" w:space="0"/>
              <w:left w:val="outset" w:color="000000" w:sz="6" w:space="0"/>
              <w:bottom w:val="outset" w:color="000000" w:sz="6" w:space="0"/>
              <w:right w:val="outset" w:color="000000" w:sz="6" w:space="0"/>
            </w:tcBorders>
            <w:vAlign w:val="center"/>
          </w:tcPr>
          <w:p>
            <w:pPr>
              <w:widowControl/>
              <w:spacing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拖拉机买         </w:t>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"http://www.tdx.com.cn/products/helpfile/tdxjysm/images/1_%E6%8B%96%E6%8B%89%E6%9C%BA%E4%B9%B0.jpg"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"http://www.tdx.com.cn/products/helpfile/tdxjysm/images/1_%E6%8B%96%E6%8B%89%E6%9C%BA%E4%B9%B0.jpg"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"http://www.tdx.com.cn/products/helpfile/tdxjysm/images/1_%E6%8B%96%E6%8B%89%E6%9C%BA%E4%B9%B0.jpg"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"http://www.tdx.com.cn/products/helpfile/tdxjysm/images/1_%E6%8B%96%E6%8B%89%E6%9C%BA%E4%B9%B0.jpg"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drawing>
                <wp:inline distT="0" distB="0" distL="114300" distR="114300">
                  <wp:extent cx="219075" cy="114300"/>
                  <wp:effectExtent l="0" t="0" r="9525" b="0"/>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pic:cNvPicPr>
                            <a:picLocks noChangeAspect="1"/>
                          </pic:cNvPicPr>
                        </pic:nvPicPr>
                        <pic:blipFill>
                          <a:blip r:embed="rId199" r:link="rId200"/>
                          <a:stretch>
                            <a:fillRect/>
                          </a:stretch>
                        </pic:blipFill>
                        <pic:spPr>
                          <a:xfrm>
                            <a:off x="0" y="0"/>
                            <a:ext cx="219075" cy="114300"/>
                          </a:xfrm>
                          <a:prstGeom prst="rect">
                            <a:avLst/>
                          </a:prstGeom>
                          <a:noFill/>
                          <a:ln>
                            <a:noFill/>
                          </a:ln>
                        </pic:spPr>
                      </pic:pic>
                    </a:graphicData>
                  </a:graphic>
                </wp:inline>
              </w:drawing>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p>
          <w:p>
            <w:pPr>
              <w:widowControl/>
              <w:spacing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拖拉机卖         </w:t>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"http://www.tdx.com.cn/products/helpfile/tdxjysm/images/2_%E6%8B%96%E6%8B%89%E6%9C%BA%E5%8D%96.jpg"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"http://www.tdx.com.cn/products/helpfile/tdxjysm/images/2_%E6%8B%96%E6%8B%89%E6%9C%BA%E5%8D%96.jpg"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"http://www.tdx.com.cn/products/helpfile/tdxjysm/images/2_%E6%8B%96%E6%8B%89%E6%9C%BA%E5%8D%96.jpg"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"http://www.tdx.com.cn/products/helpfile/tdxjysm/images/2_%E6%8B%96%E6%8B%89%E6%9C%BA%E5%8D%96.jpg"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drawing>
                <wp:inline distT="0" distB="0" distL="114300" distR="114300">
                  <wp:extent cx="219075" cy="114300"/>
                  <wp:effectExtent l="0" t="0" r="9525" b="0"/>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pic:cNvPicPr>
                            <a:picLocks noChangeAspect="1"/>
                          </pic:cNvPicPr>
                        </pic:nvPicPr>
                        <pic:blipFill>
                          <a:blip r:embed="rId201" r:link="rId202"/>
                          <a:stretch>
                            <a:fillRect/>
                          </a:stretch>
                        </pic:blipFill>
                        <pic:spPr>
                          <a:xfrm>
                            <a:off x="0" y="0"/>
                            <a:ext cx="219075" cy="114300"/>
                          </a:xfrm>
                          <a:prstGeom prst="rect">
                            <a:avLst/>
                          </a:prstGeom>
                          <a:noFill/>
                          <a:ln>
                            <a:noFill/>
                          </a:ln>
                        </pic:spPr>
                      </pic:pic>
                    </a:graphicData>
                  </a:graphic>
                </wp:inline>
              </w:drawing>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p>
          <w:p>
            <w:pPr>
              <w:widowControl/>
              <w:spacing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(仅L2)</w:t>
            </w:r>
          </w:p>
        </w:tc>
        <w:tc>
          <w:tcPr>
            <w:tcW w:w="0" w:type="auto"/>
            <w:tcBorders>
              <w:top w:val="outset" w:color="000000" w:sz="6" w:space="0"/>
              <w:left w:val="outset" w:color="000000" w:sz="6" w:space="0"/>
              <w:bottom w:val="outset" w:color="000000" w:sz="6" w:space="0"/>
              <w:right w:val="outset" w:color="000000" w:sz="6" w:space="0"/>
            </w:tcBorders>
            <w:vAlign w:val="center"/>
          </w:tcPr>
          <w:p>
            <w:pPr>
              <w:widowControl/>
              <w:spacing w:before="100" w:beforeAutospacing="1" w:after="100" w:afterAutospacing="1"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1. 单个委托单不小于50手； </w:t>
            </w:r>
          </w:p>
          <w:p>
            <w:pPr>
              <w:widowControl/>
              <w:spacing w:before="100" w:beforeAutospacing="1" w:after="100" w:afterAutospacing="1"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2. 相邻委托单同价等差委托单； </w:t>
            </w:r>
          </w:p>
          <w:p>
            <w:pPr>
              <w:widowControl/>
              <w:spacing w:before="100" w:beforeAutospacing="1" w:after="100" w:afterAutospacing="1"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3. 价格为买一或者卖一； </w:t>
            </w:r>
          </w:p>
          <w:p>
            <w:pPr>
              <w:widowControl/>
              <w:spacing w:before="100" w:beforeAutospacing="1" w:after="100" w:afterAutospacing="1"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4. 差值符合一定条件； </w:t>
            </w:r>
          </w:p>
          <w:p>
            <w:pPr>
              <w:widowControl/>
              <w:spacing w:before="100" w:beforeAutospacing="1" w:after="100" w:afterAutospacing="1"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5. 拖拉机委托的累积金额不低于50万元；</w:t>
            </w:r>
          </w:p>
          <w:p>
            <w:pPr>
              <w:widowControl/>
              <w:spacing w:before="100" w:beforeAutospacing="1" w:after="100" w:afterAutospacing="1"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6. 如果可能是之前报告过的,那么不再重新报告,若是撤单后再委托,可能因信息缺乏不再报告,除非确认是新的委托； </w:t>
            </w:r>
          </w:p>
          <w:p>
            <w:pPr>
              <w:widowControl/>
              <w:spacing w:before="100" w:beforeAutospacing="1" w:after="100" w:afterAutospacing="1"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7. 揭示格式：价格/(首个拖拉机委托单－最末拖拉机委托单)×拖拉机单个数,一般买方拖拉机单会以红色为主,卖方则以绿色为主.</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tcBorders>
              <w:top w:val="outset" w:color="000000" w:sz="6" w:space="0"/>
              <w:left w:val="outset" w:color="000000" w:sz="6" w:space="0"/>
              <w:bottom w:val="outset" w:color="000000" w:sz="6" w:space="0"/>
              <w:right w:val="outset" w:color="000000" w:sz="6" w:space="0"/>
            </w:tcBorders>
            <w:vAlign w:val="center"/>
          </w:tcPr>
          <w:p>
            <w:pPr>
              <w:widowControl/>
              <w:spacing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挂大买量         </w:t>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"http://www.tdx.com.cn/products/helpfile/tdxjysm/images/3_%E6%8C%82%E5%A4%A7%E4%B9%B0%E9%87%8F.jpg"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"http://www.tdx.com.cn/products/helpfile/tdxjysm/images/3_%E6%8C%82%E5%A4%A7%E4%B9%B0%E9%87%8F.jpg"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"http://www.tdx.com.cn/products/helpfile/tdxjysm/images/3_%E6%8C%82%E5%A4%A7%E4%B9%B0%E9%87%8F.jpg"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"http://www.tdx.com.cn/products/helpfile/tdxjysm/images/3_%E6%8C%82%E5%A4%A7%E4%B9%B0%E9%87%8F.jpg"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drawing>
                <wp:inline distT="0" distB="0" distL="114300" distR="114300">
                  <wp:extent cx="219075" cy="114300"/>
                  <wp:effectExtent l="0" t="0" r="9525" b="0"/>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pic:cNvPicPr>
                            <a:picLocks noChangeAspect="1"/>
                          </pic:cNvPicPr>
                        </pic:nvPicPr>
                        <pic:blipFill>
                          <a:blip r:embed="rId203" r:link="rId204"/>
                          <a:stretch>
                            <a:fillRect/>
                          </a:stretch>
                        </pic:blipFill>
                        <pic:spPr>
                          <a:xfrm>
                            <a:off x="0" y="0"/>
                            <a:ext cx="219075" cy="114300"/>
                          </a:xfrm>
                          <a:prstGeom prst="rect">
                            <a:avLst/>
                          </a:prstGeom>
                          <a:noFill/>
                          <a:ln>
                            <a:noFill/>
                          </a:ln>
                        </pic:spPr>
                      </pic:pic>
                    </a:graphicData>
                  </a:graphic>
                </wp:inline>
              </w:drawing>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p>
          <w:p>
            <w:pPr>
              <w:widowControl/>
              <w:spacing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挂大卖量         </w:t>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"http://www.tdx.com.cn/products/helpfile/tdxjysm/images/5_%E6%8C%82%E5%A4%A7%E5%8D%96%E9%87%8F.jpg"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"http://www.tdx.com.cn/products/helpfile/tdxjysm/images/5_%E6%8C%82%E5%A4%A7%E5%8D%96%E9%87%8F.jpg"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"http://www.tdx.com.cn/products/helpfile/tdxjysm/images/5_%E6%8C%82%E5%A4%A7%E5%8D%96%E9%87%8F.jpg"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"http://www.tdx.com.cn/products/helpfile/tdxjysm/images/5_%E6%8C%82%E5%A4%A7%E5%8D%96%E9%87%8F.jpg"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drawing>
                <wp:inline distT="0" distB="0" distL="114300" distR="114300">
                  <wp:extent cx="219075" cy="114300"/>
                  <wp:effectExtent l="0" t="0" r="9525" b="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pic:cNvPicPr>
                            <a:picLocks noChangeAspect="1"/>
                          </pic:cNvPicPr>
                        </pic:nvPicPr>
                        <pic:blipFill>
                          <a:blip r:embed="rId205" r:link="rId206"/>
                          <a:stretch>
                            <a:fillRect/>
                          </a:stretch>
                        </pic:blipFill>
                        <pic:spPr>
                          <a:xfrm>
                            <a:off x="0" y="0"/>
                            <a:ext cx="219075" cy="114300"/>
                          </a:xfrm>
                          <a:prstGeom prst="rect">
                            <a:avLst/>
                          </a:prstGeom>
                          <a:noFill/>
                          <a:ln>
                            <a:noFill/>
                          </a:ln>
                        </pic:spPr>
                      </pic:pic>
                    </a:graphicData>
                  </a:graphic>
                </wp:inline>
              </w:drawing>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p>
          <w:p>
            <w:pPr>
              <w:widowControl/>
              <w:spacing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撤大买量         </w:t>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"http://www.tdx.com.cn/products/helpfile/tdxjysm/images/4_%E6%92%A4%E5%A4%A7%E4%B9%B0%E9%87%8F.jpg"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"http://www.tdx.com.cn/products/helpfile/tdxjysm/images/4_%E6%92%A4%E5%A4%A7%E4%B9%B0%E9%87%8F.jpg"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"http://www.tdx.com.cn/products/helpfile/tdxjysm/images/4_%E6%92%A4%E5%A4%A7%E4%B9%B0%E9%87%8F.jpg"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"http://www.tdx.com.cn/products/helpfile/tdxjysm/images/4_%E6%92%A4%E5%A4%A7%E4%B9%B0%E9%87%8F.jpg"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drawing>
                <wp:inline distT="0" distB="0" distL="114300" distR="114300">
                  <wp:extent cx="219075" cy="114300"/>
                  <wp:effectExtent l="0" t="0" r="9525" b="0"/>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pic:cNvPicPr>
                            <a:picLocks noChangeAspect="1"/>
                          </pic:cNvPicPr>
                        </pic:nvPicPr>
                        <pic:blipFill>
                          <a:blip r:embed="rId207" r:link="rId208"/>
                          <a:stretch>
                            <a:fillRect/>
                          </a:stretch>
                        </pic:blipFill>
                        <pic:spPr>
                          <a:xfrm>
                            <a:off x="0" y="0"/>
                            <a:ext cx="219075" cy="114300"/>
                          </a:xfrm>
                          <a:prstGeom prst="rect">
                            <a:avLst/>
                          </a:prstGeom>
                          <a:noFill/>
                          <a:ln>
                            <a:noFill/>
                          </a:ln>
                        </pic:spPr>
                      </pic:pic>
                    </a:graphicData>
                  </a:graphic>
                </wp:inline>
              </w:drawing>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p>
          <w:p>
            <w:pPr>
              <w:widowControl/>
              <w:spacing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撤大卖量         </w:t>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"http://www.tdx.com.cn/products/helpfile/tdxjysm/images/6_%E6%92%A4%E5%A4%A7%E5%8D%96%E9%87%8F.jpg"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"http://www.tdx.com.cn/products/helpfile/tdxjysm/images/6_%E6%92%A4%E5%A4%A7%E5%8D%96%E9%87%8F.jpg"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"http://www.tdx.com.cn/products/helpfile/tdxjysm/images/6_%E6%92%A4%E5%A4%A7%E5%8D%96%E9%87%8F.jpg"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"http://www.tdx.com.cn/products/helpfile/tdxjysm/images/6_%E6%92%A4%E5%A4%A7%E5%8D%96%E9%87%8F.jpg"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drawing>
                <wp:inline distT="0" distB="0" distL="114300" distR="114300">
                  <wp:extent cx="219075" cy="114300"/>
                  <wp:effectExtent l="0" t="0" r="9525" b="0"/>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pic:cNvPicPr>
                            <a:picLocks noChangeAspect="1"/>
                          </pic:cNvPicPr>
                        </pic:nvPicPr>
                        <pic:blipFill>
                          <a:blip r:embed="rId209" r:link="rId210"/>
                          <a:stretch>
                            <a:fillRect/>
                          </a:stretch>
                        </pic:blipFill>
                        <pic:spPr>
                          <a:xfrm>
                            <a:off x="0" y="0"/>
                            <a:ext cx="219075" cy="114300"/>
                          </a:xfrm>
                          <a:prstGeom prst="rect">
                            <a:avLst/>
                          </a:prstGeom>
                          <a:noFill/>
                          <a:ln>
                            <a:noFill/>
                          </a:ln>
                        </pic:spPr>
                      </pic:pic>
                    </a:graphicData>
                  </a:graphic>
                </wp:inline>
              </w:drawing>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p>
          <w:p>
            <w:pPr>
              <w:widowControl/>
              <w:spacing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(仅L2)</w:t>
            </w:r>
          </w:p>
        </w:tc>
        <w:tc>
          <w:tcPr>
            <w:tcW w:w="0" w:type="auto"/>
            <w:tcBorders>
              <w:top w:val="outset" w:color="000000" w:sz="6" w:space="0"/>
              <w:left w:val="outset" w:color="000000" w:sz="6" w:space="0"/>
              <w:bottom w:val="outset" w:color="000000" w:sz="6" w:space="0"/>
              <w:right w:val="outset" w:color="000000" w:sz="6" w:space="0"/>
            </w:tcBorders>
            <w:vAlign w:val="center"/>
          </w:tcPr>
          <w:p>
            <w:pPr>
              <w:widowControl/>
              <w:spacing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1.用于判断的基础数据,是根据已知信息数据计算盘口总体变动得到； </w:t>
            </w:r>
          </w:p>
          <w:p>
            <w:pPr>
              <w:widowControl/>
              <w:spacing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2.因信息不足,会产生偏差,可能因精度问题造成估计价格有轻微波动,甚至可能略高于涨停价格或者略低于跌停价格,也可能将若干次短时变动合并为一次,数量为各次变动算术和,价格为加权价； </w:t>
            </w:r>
          </w:p>
          <w:p>
            <w:pPr>
              <w:widowControl/>
              <w:spacing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3.委托变动量要求数量变动不少于10000手,或者金额不低于1000万元； </w:t>
            </w:r>
          </w:p>
          <w:p>
            <w:pPr>
              <w:widowControl/>
              <w:spacing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4.对于新增委托,要求新增量不少于已有的与其买卖方向相同的委托总量的5%； </w:t>
            </w:r>
          </w:p>
          <w:p>
            <w:pPr>
              <w:widowControl/>
              <w:spacing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5.集合竞价时段不报告,最近15分钟无成交的也不报告；</w:t>
            </w:r>
          </w:p>
          <w:p>
            <w:pPr>
              <w:widowControl/>
              <w:spacing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6.揭示格式：[挂|撤][买|卖](估) 估计委托价格/估计委托数量.</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tcBorders>
              <w:top w:val="outset" w:color="000000" w:sz="6" w:space="0"/>
              <w:left w:val="outset" w:color="000000" w:sz="6" w:space="0"/>
              <w:bottom w:val="outset" w:color="000000" w:sz="6" w:space="0"/>
              <w:right w:val="outset" w:color="000000" w:sz="6" w:space="0"/>
            </w:tcBorders>
            <w:vAlign w:val="center"/>
          </w:tcPr>
          <w:p>
            <w:pPr>
              <w:widowControl/>
              <w:spacing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主力买入         </w:t>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"http://www.tdx.com.cn/products/helpfile/tdxjysm/images/7_%E4%B8%BB%E5%8A%9B%E4%B9%B0%E5%85%A5.jpg"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"http://www.tdx.com.cn/products/helpfile/tdxjysm/images/7_%E4%B8%BB%E5%8A%9B%E4%B9%B0%E5%85%A5.jpg"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"http://www.tdx.com.cn/products/helpfile/tdxjysm/images/7_%E4%B8%BB%E5%8A%9B%E4%B9%B0%E5%85%A5.jpg"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"http://www.tdx.com.cn/products/helpfile/tdxjysm/images/7_%E4%B8%BB%E5%8A%9B%E4%B9%B0%E5%85%A5.jpg"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drawing>
                <wp:inline distT="0" distB="0" distL="114300" distR="114300">
                  <wp:extent cx="219075" cy="114300"/>
                  <wp:effectExtent l="0" t="0" r="9525" b="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pic:cNvPicPr>
                            <a:picLocks noChangeAspect="1"/>
                          </pic:cNvPicPr>
                        </pic:nvPicPr>
                        <pic:blipFill>
                          <a:blip r:embed="rId211" r:link="rId212"/>
                          <a:stretch>
                            <a:fillRect/>
                          </a:stretch>
                        </pic:blipFill>
                        <pic:spPr>
                          <a:xfrm>
                            <a:off x="0" y="0"/>
                            <a:ext cx="219075" cy="114300"/>
                          </a:xfrm>
                          <a:prstGeom prst="rect">
                            <a:avLst/>
                          </a:prstGeom>
                          <a:noFill/>
                          <a:ln>
                            <a:noFill/>
                          </a:ln>
                        </pic:spPr>
                      </pic:pic>
                    </a:graphicData>
                  </a:graphic>
                </wp:inline>
              </w:drawing>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p>
          <w:p>
            <w:pPr>
              <w:widowControl/>
              <w:spacing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主力卖出         </w:t>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"http://www.tdx.com.cn/products/helpfile/tdxjysm/images/8_%E4%B8%BB%E5%8A%9B%E5%8D%96%E5%87%BA.jpg"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"http://www.tdx.com.cn/products/helpfile/tdxjysm/images/8_%E4%B8%BB%E5%8A%9B%E5%8D%96%E5%87%BA.jpg"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"http://www.tdx.com.cn/products/helpfile/tdxjysm/images/8_%E4%B8%BB%E5%8A%9B%E5%8D%96%E5%87%BA.jpg"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"http://www.tdx.com.cn/products/helpfile/tdxjysm/images/8_%E4%B8%BB%E5%8A%9B%E5%8D%96%E5%87%BA.jpg"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drawing>
                <wp:inline distT="0" distB="0" distL="114300" distR="114300">
                  <wp:extent cx="219075" cy="114300"/>
                  <wp:effectExtent l="0" t="0" r="9525" b="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pic:cNvPicPr>
                            <a:picLocks noChangeAspect="1"/>
                          </pic:cNvPicPr>
                        </pic:nvPicPr>
                        <pic:blipFill>
                          <a:blip r:embed="rId213" r:link="rId214"/>
                          <a:stretch>
                            <a:fillRect/>
                          </a:stretch>
                        </pic:blipFill>
                        <pic:spPr>
                          <a:xfrm>
                            <a:off x="0" y="0"/>
                            <a:ext cx="219075" cy="114300"/>
                          </a:xfrm>
                          <a:prstGeom prst="rect">
                            <a:avLst/>
                          </a:prstGeom>
                          <a:noFill/>
                          <a:ln>
                            <a:noFill/>
                          </a:ln>
                        </pic:spPr>
                      </pic:pic>
                    </a:graphicData>
                  </a:graphic>
                </wp:inline>
              </w:drawing>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p>
        </w:tc>
        <w:tc>
          <w:tcPr>
            <w:tcW w:w="0" w:type="auto"/>
            <w:tcBorders>
              <w:top w:val="outset" w:color="000000" w:sz="6" w:space="0"/>
              <w:left w:val="outset" w:color="000000" w:sz="6" w:space="0"/>
              <w:bottom w:val="outset" w:color="000000" w:sz="6" w:space="0"/>
              <w:right w:val="outset" w:color="000000" w:sz="6" w:space="0"/>
            </w:tcBorders>
            <w:vAlign w:val="center"/>
          </w:tcPr>
          <w:p>
            <w:pPr>
              <w:widowControl/>
              <w:spacing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1. 基本标准：成交量≥500手and成交金额≥500万元；或者成交量≥3000手并且成交金额≥200万元. </w:t>
            </w:r>
          </w:p>
          <w:p>
            <w:pPr>
              <w:widowControl/>
              <w:spacing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2. 不活跃个股标准减半：前5日的日平均成交量&lt;1.2万手,成交量标准减半；日平均成交额&lt;2400万,成交额标准减半. </w:t>
            </w:r>
          </w:p>
          <w:p>
            <w:pPr>
              <w:widowControl/>
              <w:spacing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3. 活跃个股标准加倍：前5日的日平均成交量&gt;12万手,成交量标准加倍；日平均成交额&gt;14400万,成交额标准加倍. </w:t>
            </w:r>
          </w:p>
          <w:p>
            <w:pPr>
              <w:widowControl/>
              <w:spacing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4. 极度活跃个股标准再加倍：前5日的日平均成交量&gt;48万手,成交量标准再加倍；日平均成交额&gt;60000万,成交额标准再加倍. </w:t>
            </w:r>
          </w:p>
          <w:p>
            <w:pPr>
              <w:widowControl/>
              <w:spacing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5. 揭示格式：成交价格/成交数量.</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tcBorders>
              <w:top w:val="outset" w:color="000000" w:sz="6" w:space="0"/>
              <w:left w:val="outset" w:color="000000" w:sz="6" w:space="0"/>
              <w:bottom w:val="outset" w:color="000000" w:sz="6" w:space="0"/>
              <w:right w:val="outset" w:color="000000" w:sz="6" w:space="0"/>
            </w:tcBorders>
            <w:vAlign w:val="center"/>
          </w:tcPr>
          <w:p>
            <w:pPr>
              <w:widowControl/>
              <w:spacing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加速拉升         </w:t>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"http://www.tdx.com.cn/products/helpfile/tdxjysm/images/9_%E5%8A%A0%E9%80%9F%E6%8B%89%E5%8D%87.jpg"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"http://www.tdx.com.cn/products/helpfile/tdxjysm/images/9_%E5%8A%A0%E9%80%9F%E6%8B%89%E5%8D%87.jpg"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"http://www.tdx.com.cn/products/helpfile/tdxjysm/images/9_%E5%8A%A0%E9%80%9F%E6%8B%89%E5%8D%87.jpg"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"http://www.tdx.com.cn/products/helpfile/tdxjysm/images/9_%E5%8A%A0%E9%80%9F%E6%8B%89%E5%8D%87.jpg"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drawing>
                <wp:inline distT="0" distB="0" distL="114300" distR="114300">
                  <wp:extent cx="219075" cy="114300"/>
                  <wp:effectExtent l="0" t="0" r="9525" b="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pic:cNvPicPr>
                            <a:picLocks noChangeAspect="1"/>
                          </pic:cNvPicPr>
                        </pic:nvPicPr>
                        <pic:blipFill>
                          <a:blip r:embed="rId215" r:link="rId216"/>
                          <a:stretch>
                            <a:fillRect/>
                          </a:stretch>
                        </pic:blipFill>
                        <pic:spPr>
                          <a:xfrm>
                            <a:off x="0" y="0"/>
                            <a:ext cx="219075" cy="114300"/>
                          </a:xfrm>
                          <a:prstGeom prst="rect">
                            <a:avLst/>
                          </a:prstGeom>
                          <a:noFill/>
                          <a:ln>
                            <a:noFill/>
                          </a:ln>
                        </pic:spPr>
                      </pic:pic>
                    </a:graphicData>
                  </a:graphic>
                </wp:inline>
              </w:drawing>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p>
          <w:p>
            <w:pPr>
              <w:widowControl/>
              <w:spacing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加速下跌         </w:t>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"http://www.tdx.com.cn/products/helpfile/tdxjysm/images/10_%E5%8A%A0%E9%80%9F%E4%B8%8B%E8%B7%8C.jpg"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"http://www.tdx.com.cn/products/helpfile/tdxjysm/images/10_%E5%8A%A0%E9%80%9F%E4%B8%8B%E8%B7%8C.jpg"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"http://www.tdx.com.cn/products/helpfile/tdxjysm/images/10_%E5%8A%A0%E9%80%9F%E4%B8%8B%E8%B7%8C.jpg"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"http://www.tdx.com.cn/products/helpfile/tdxjysm/images/10_%E5%8A%A0%E9%80%9F%E4%B8%8B%E8%B7%8C.jpg"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drawing>
                <wp:inline distT="0" distB="0" distL="114300" distR="114300">
                  <wp:extent cx="219075" cy="114300"/>
                  <wp:effectExtent l="0" t="0" r="9525" b="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pic:cNvPicPr>
                            <a:picLocks noChangeAspect="1"/>
                          </pic:cNvPicPr>
                        </pic:nvPicPr>
                        <pic:blipFill>
                          <a:blip r:embed="rId217" r:link="rId218"/>
                          <a:stretch>
                            <a:fillRect/>
                          </a:stretch>
                        </pic:blipFill>
                        <pic:spPr>
                          <a:xfrm>
                            <a:off x="0" y="0"/>
                            <a:ext cx="219075" cy="114300"/>
                          </a:xfrm>
                          <a:prstGeom prst="rect">
                            <a:avLst/>
                          </a:prstGeom>
                          <a:noFill/>
                          <a:ln>
                            <a:noFill/>
                          </a:ln>
                        </pic:spPr>
                      </pic:pic>
                    </a:graphicData>
                  </a:graphic>
                </wp:inline>
              </w:drawing>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p>
        </w:tc>
        <w:tc>
          <w:tcPr>
            <w:tcW w:w="0" w:type="auto"/>
            <w:tcBorders>
              <w:top w:val="outset" w:color="000000" w:sz="6" w:space="0"/>
              <w:left w:val="outset" w:color="000000" w:sz="6" w:space="0"/>
              <w:bottom w:val="outset" w:color="000000" w:sz="6" w:space="0"/>
              <w:right w:val="outset" w:color="000000" w:sz="6" w:space="0"/>
            </w:tcBorders>
            <w:vAlign w:val="center"/>
          </w:tcPr>
          <w:p>
            <w:pPr>
              <w:widowControl/>
              <w:spacing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1. 最近连续5分钟有成交(考察样本)； </w:t>
            </w:r>
          </w:p>
          <w:p>
            <w:pPr>
              <w:widowControl/>
              <w:spacing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2. 对于深沪A/B股,最近1分钟上涨(下跌)达到0.8%；最近5分钟内,最近的上涨(下跌)累计幅度达到1.5%； </w:t>
            </w:r>
          </w:p>
          <w:p>
            <w:pPr>
              <w:widowControl/>
              <w:spacing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3. 对于板块指数,最近1分钟上涨(下跌)达到0.3%；最近5分钟内,最近的上涨(下跌)累计幅度达到0.6%； </w:t>
            </w:r>
          </w:p>
          <w:p>
            <w:pPr>
              <w:widowControl/>
              <w:spacing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4. 创当日新高(低)； </w:t>
            </w:r>
          </w:p>
          <w:p>
            <w:pPr>
              <w:widowControl/>
              <w:spacing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5. 5分钟内不重复报告.</w:t>
            </w:r>
          </w:p>
          <w:p>
            <w:pPr>
              <w:widowControl/>
              <w:spacing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6. 揭示格式：最近5分钟内,最近上涨(下跌)累计幅度</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tcBorders>
              <w:top w:val="outset" w:color="000000" w:sz="6" w:space="0"/>
              <w:left w:val="outset" w:color="000000" w:sz="6" w:space="0"/>
              <w:bottom w:val="outset" w:color="000000" w:sz="6" w:space="0"/>
              <w:right w:val="outset" w:color="000000" w:sz="6" w:space="0"/>
            </w:tcBorders>
            <w:vAlign w:val="center"/>
          </w:tcPr>
          <w:p>
            <w:pPr>
              <w:widowControl/>
              <w:spacing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高位回落         </w:t>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"http://www.tdx.com.cn/products/helpfile/tdxjysm/images/12_%E9%AB%98%E4%BD%8D%E5%9B%9E%E8%90%BD.jpg"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"http://www.tdx.com.cn/products/helpfile/tdxjysm/images/12_%E9%AB%98%E4%BD%8D%E5%9B%9E%E8%90%BD.jpg"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"http://www.tdx.com.cn/products/helpfile/tdxjysm/images/12_%E9%AB%98%E4%BD%8D%E5%9B%9E%E8%90%BD.jpg"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"http://www.tdx.com.cn/products/helpfile/tdxjysm/images/12_%E9%AB%98%E4%BD%8D%E5%9B%9E%E8%90%BD.jpg"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drawing>
                <wp:inline distT="0" distB="0" distL="114300" distR="114300">
                  <wp:extent cx="219075" cy="114300"/>
                  <wp:effectExtent l="0" t="0" r="9525" b="0"/>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pic:cNvPicPr>
                            <a:picLocks noChangeAspect="1"/>
                          </pic:cNvPicPr>
                        </pic:nvPicPr>
                        <pic:blipFill>
                          <a:blip r:embed="rId219" r:link="rId220"/>
                          <a:stretch>
                            <a:fillRect/>
                          </a:stretch>
                        </pic:blipFill>
                        <pic:spPr>
                          <a:xfrm>
                            <a:off x="0" y="0"/>
                            <a:ext cx="219075" cy="114300"/>
                          </a:xfrm>
                          <a:prstGeom prst="rect">
                            <a:avLst/>
                          </a:prstGeom>
                          <a:noFill/>
                          <a:ln>
                            <a:noFill/>
                          </a:ln>
                        </pic:spPr>
                      </pic:pic>
                    </a:graphicData>
                  </a:graphic>
                </wp:inline>
              </w:drawing>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p>
          <w:p>
            <w:pPr>
              <w:widowControl/>
              <w:spacing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低位反弹         </w:t>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"http://www.tdx.com.cn/products/helpfile/tdxjysm/images/11_%E4%BD%8E%E4%BD%8D%E5%8F%8D%E5%BC%B9.jpg"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"http://www.tdx.com.cn/products/helpfile/tdxjysm/images/11_%E4%BD%8E%E4%BD%8D%E5%8F%8D%E5%BC%B9.jpg"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"http://www.tdx.com.cn/products/helpfile/tdxjysm/images/11_%E4%BD%8E%E4%BD%8D%E5%8F%8D%E5%BC%B9.jpg"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"http://www.tdx.com.cn/products/helpfile/tdxjysm/images/11_%E4%BD%8E%E4%BD%8D%E5%8F%8D%E5%BC%B9.jpg"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drawing>
                <wp:inline distT="0" distB="0" distL="114300" distR="114300">
                  <wp:extent cx="219075" cy="114300"/>
                  <wp:effectExtent l="0" t="0" r="9525" b="0"/>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pic:cNvPicPr>
                            <a:picLocks noChangeAspect="1"/>
                          </pic:cNvPicPr>
                        </pic:nvPicPr>
                        <pic:blipFill>
                          <a:blip r:embed="rId221" r:link="rId222"/>
                          <a:stretch>
                            <a:fillRect/>
                          </a:stretch>
                        </pic:blipFill>
                        <pic:spPr>
                          <a:xfrm>
                            <a:off x="0" y="0"/>
                            <a:ext cx="219075" cy="114300"/>
                          </a:xfrm>
                          <a:prstGeom prst="rect">
                            <a:avLst/>
                          </a:prstGeom>
                          <a:noFill/>
                          <a:ln>
                            <a:noFill/>
                          </a:ln>
                        </pic:spPr>
                      </pic:pic>
                    </a:graphicData>
                  </a:graphic>
                </wp:inline>
              </w:drawing>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p>
        </w:tc>
        <w:tc>
          <w:tcPr>
            <w:tcW w:w="0" w:type="auto"/>
            <w:tcBorders>
              <w:top w:val="outset" w:color="000000" w:sz="6" w:space="0"/>
              <w:left w:val="outset" w:color="000000" w:sz="6" w:space="0"/>
              <w:bottom w:val="outset" w:color="000000" w:sz="6" w:space="0"/>
              <w:right w:val="outset" w:color="000000" w:sz="6" w:space="0"/>
            </w:tcBorders>
            <w:vAlign w:val="center"/>
          </w:tcPr>
          <w:p>
            <w:pPr>
              <w:widowControl/>
              <w:spacing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1. 最近连续5分钟有成交(考察样本)； </w:t>
            </w:r>
          </w:p>
          <w:p>
            <w:pPr>
              <w:widowControl/>
              <w:spacing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2. 对于深沪A/B股,最近1分钟下跌(上涨)达到0.8%；最近5分钟内,最近的下跌(上涨)累计幅度达到1.5%；5分钟前涨(跌)幅达到1.5%； </w:t>
            </w:r>
          </w:p>
          <w:p>
            <w:pPr>
              <w:widowControl/>
              <w:spacing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3. 对于板块指数,最近1分钟下跌(上涨)达到0.3%；最近5分钟内,最近的下跌(上涨)累计幅度达到0.6%；5分钟前涨(跌)幅达到0.6%； </w:t>
            </w:r>
          </w:p>
          <w:p>
            <w:pPr>
              <w:widowControl/>
              <w:spacing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4. 5分钟内不重复报告.</w:t>
            </w:r>
          </w:p>
          <w:p>
            <w:pPr>
              <w:widowControl/>
              <w:spacing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5. 揭示格式：最近5分钟内,最近的下跌(上涨)累计幅度</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tcBorders>
              <w:top w:val="outset" w:color="000000" w:sz="6" w:space="0"/>
              <w:left w:val="outset" w:color="000000" w:sz="6" w:space="0"/>
              <w:bottom w:val="outset" w:color="000000" w:sz="6" w:space="0"/>
              <w:right w:val="outset" w:color="000000" w:sz="6" w:space="0"/>
            </w:tcBorders>
            <w:vAlign w:val="center"/>
          </w:tcPr>
          <w:p>
            <w:pPr>
              <w:widowControl/>
              <w:spacing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撑杆跳高         </w:t>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"http://www.tdx.com.cn/products/helpfile/tdxjysm/images/13_%E6%92%91%E6%9D%86%E8%B7%B3%E9%AB%98.jpg"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"http://www.tdx.com.cn/products/helpfile/tdxjysm/images/13_%E6%92%91%E6%9D%86%E8%B7%B3%E9%AB%98.jpg"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"http://www.tdx.com.cn/products/helpfile/tdxjysm/images/13_%E6%92%91%E6%9D%86%E8%B7%B3%E9%AB%98.jpg"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"http://www.tdx.com.cn/products/helpfile/tdxjysm/images/13_%E6%92%91%E6%9D%86%E8%B7%B3%E9%AB%98.jpg"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drawing>
                <wp:inline distT="0" distB="0" distL="114300" distR="114300">
                  <wp:extent cx="219075" cy="114300"/>
                  <wp:effectExtent l="0" t="0" r="9525" b="0"/>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pic:cNvPicPr>
                            <a:picLocks noChangeAspect="1"/>
                          </pic:cNvPicPr>
                        </pic:nvPicPr>
                        <pic:blipFill>
                          <a:blip r:embed="rId223" r:link="rId224"/>
                          <a:stretch>
                            <a:fillRect/>
                          </a:stretch>
                        </pic:blipFill>
                        <pic:spPr>
                          <a:xfrm>
                            <a:off x="0" y="0"/>
                            <a:ext cx="219075" cy="114300"/>
                          </a:xfrm>
                          <a:prstGeom prst="rect">
                            <a:avLst/>
                          </a:prstGeom>
                          <a:noFill/>
                          <a:ln>
                            <a:noFill/>
                          </a:ln>
                        </pic:spPr>
                      </pic:pic>
                    </a:graphicData>
                  </a:graphic>
                </wp:inline>
              </w:drawing>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p>
          <w:p>
            <w:pPr>
              <w:widowControl/>
              <w:spacing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平台跳水         </w:t>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"http://www.tdx.com.cn/products/helpfile/tdxjysm/images/14_%E5%B9%B3%E5%8F%B0%E8%B7%B3%E6%B0%B4.jpg"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"http://www.tdx.com.cn/products/helpfile/tdxjysm/images/14_%E5%B9%B3%E5%8F%B0%E8%B7%B3%E6%B0%B4.jpg"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"http://www.tdx.com.cn/products/helpfile/tdxjysm/images/14_%E5%B9%B3%E5%8F%B0%E8%B7%B3%E6%B0%B4.jpg"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"http://www.tdx.com.cn/products/helpfile/tdxjysm/images/14_%E5%B9%B3%E5%8F%B0%E8%B7%B3%E6%B0%B4.jpg"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drawing>
                <wp:inline distT="0" distB="0" distL="114300" distR="114300">
                  <wp:extent cx="219075" cy="114300"/>
                  <wp:effectExtent l="0" t="0" r="9525" b="0"/>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pic:cNvPicPr>
                            <a:picLocks noChangeAspect="1"/>
                          </pic:cNvPicPr>
                        </pic:nvPicPr>
                        <pic:blipFill>
                          <a:blip r:embed="rId225" r:link="rId226"/>
                          <a:stretch>
                            <a:fillRect/>
                          </a:stretch>
                        </pic:blipFill>
                        <pic:spPr>
                          <a:xfrm>
                            <a:off x="0" y="0"/>
                            <a:ext cx="219075" cy="114300"/>
                          </a:xfrm>
                          <a:prstGeom prst="rect">
                            <a:avLst/>
                          </a:prstGeom>
                          <a:noFill/>
                          <a:ln>
                            <a:noFill/>
                          </a:ln>
                        </pic:spPr>
                      </pic:pic>
                    </a:graphicData>
                  </a:graphic>
                </wp:inline>
              </w:drawing>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p>
        </w:tc>
        <w:tc>
          <w:tcPr>
            <w:tcW w:w="0" w:type="auto"/>
            <w:tcBorders>
              <w:top w:val="outset" w:color="000000" w:sz="6" w:space="0"/>
              <w:left w:val="outset" w:color="000000" w:sz="6" w:space="0"/>
              <w:bottom w:val="outset" w:color="000000" w:sz="6" w:space="0"/>
              <w:right w:val="outset" w:color="000000" w:sz="6" w:space="0"/>
            </w:tcBorders>
            <w:vAlign w:val="center"/>
          </w:tcPr>
          <w:p>
            <w:pPr>
              <w:widowControl/>
              <w:spacing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1. 最近连续15分钟有成交(考察样本)； </w:t>
            </w:r>
          </w:p>
          <w:p>
            <w:pPr>
              <w:widowControl/>
              <w:spacing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2. 对于深沪A/B股,最近不超过5分钟的时间内,上涨(下跌)达到2%,而在此之前的10多分钟内振幅不超过1.2%； </w:t>
            </w:r>
          </w:p>
          <w:p>
            <w:pPr>
              <w:widowControl/>
              <w:spacing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3. 对于板块指数,最近不超过5分钟的时间内,上涨(下跌)达到0.8%,而在此之前的10多分钟内振幅不超过0.4%； </w:t>
            </w:r>
          </w:p>
          <w:p>
            <w:pPr>
              <w:widowControl/>
              <w:spacing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4. 上述涨(跌)幅不少于振幅的2倍； </w:t>
            </w:r>
          </w:p>
          <w:p>
            <w:pPr>
              <w:widowControl/>
              <w:spacing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5. 5分钟内不重复报告.</w:t>
            </w:r>
          </w:p>
          <w:p>
            <w:pPr>
              <w:widowControl/>
              <w:spacing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6. 揭示格式：最近不超过5分钟的上涨(下跌)累计幅度</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tcBorders>
              <w:top w:val="outset" w:color="000000" w:sz="6" w:space="0"/>
              <w:left w:val="outset" w:color="000000" w:sz="6" w:space="0"/>
              <w:bottom w:val="outset" w:color="000000" w:sz="6" w:space="0"/>
              <w:right w:val="outset" w:color="000000" w:sz="6" w:space="0"/>
            </w:tcBorders>
            <w:vAlign w:val="center"/>
          </w:tcPr>
          <w:p>
            <w:pPr>
              <w:widowControl/>
              <w:spacing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单笔冲涨         </w:t>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"http://www.tdx.com.cn/products/helpfile/tdxjysm/images/15_%E5%8D%95%E7%AC%94%E5%86%B2%E6%B6%A8.jpg"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"http://www.tdx.com.cn/products/helpfile/tdxjysm/images/15_%E5%8D%95%E7%AC%94%E5%86%B2%E6%B6%A8.jpg"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"http://www.tdx.com.cn/products/helpfile/tdxjysm/images/15_%E5%8D%95%E7%AC%94%E5%86%B2%E6%B6%A8.jpg"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"http://www.tdx.com.cn/products/helpfile/tdxjysm/images/15_%E5%8D%95%E7%AC%94%E5%86%B2%E6%B6%A8.jpg"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drawing>
                <wp:inline distT="0" distB="0" distL="114300" distR="114300">
                  <wp:extent cx="219075" cy="114300"/>
                  <wp:effectExtent l="0" t="0" r="9525" b="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pic:cNvPicPr>
                            <a:picLocks noChangeAspect="1"/>
                          </pic:cNvPicPr>
                        </pic:nvPicPr>
                        <pic:blipFill>
                          <a:blip r:embed="rId227" r:link="rId228"/>
                          <a:stretch>
                            <a:fillRect/>
                          </a:stretch>
                        </pic:blipFill>
                        <pic:spPr>
                          <a:xfrm>
                            <a:off x="0" y="0"/>
                            <a:ext cx="219075" cy="114300"/>
                          </a:xfrm>
                          <a:prstGeom prst="rect">
                            <a:avLst/>
                          </a:prstGeom>
                          <a:noFill/>
                          <a:ln>
                            <a:noFill/>
                          </a:ln>
                        </pic:spPr>
                      </pic:pic>
                    </a:graphicData>
                  </a:graphic>
                </wp:inline>
              </w:drawing>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p>
          <w:p>
            <w:pPr>
              <w:widowControl/>
              <w:spacing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单笔冲跌         </w:t>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"http://www.tdx.com.cn/products/helpfile/tdxjysm/images/16_%E5%8D%95%E7%AC%94%E5%86%B2%E8%B7%8C.jpg"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"http://www.tdx.com.cn/products/helpfile/tdxjysm/images/16_%E5%8D%95%E7%AC%94%E5%86%B2%E8%B7%8C.jpg"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"http://www.tdx.com.cn/products/helpfile/tdxjysm/images/16_%E5%8D%95%E7%AC%94%E5%86%B2%E8%B7%8C.jpg"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"http://www.tdx.com.cn/products/helpfile/tdxjysm/images/16_%E5%8D%95%E7%AC%94%E5%86%B2%E8%B7%8C.jpg"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drawing>
                <wp:inline distT="0" distB="0" distL="114300" distR="114300">
                  <wp:extent cx="219075" cy="114300"/>
                  <wp:effectExtent l="0" t="0" r="9525" b="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pic:cNvPicPr>
                            <a:picLocks noChangeAspect="1"/>
                          </pic:cNvPicPr>
                        </pic:nvPicPr>
                        <pic:blipFill>
                          <a:blip r:embed="rId229" r:link="rId230"/>
                          <a:stretch>
                            <a:fillRect/>
                          </a:stretch>
                        </pic:blipFill>
                        <pic:spPr>
                          <a:xfrm>
                            <a:off x="0" y="0"/>
                            <a:ext cx="219075" cy="114300"/>
                          </a:xfrm>
                          <a:prstGeom prst="rect">
                            <a:avLst/>
                          </a:prstGeom>
                          <a:noFill/>
                          <a:ln>
                            <a:noFill/>
                          </a:ln>
                        </pic:spPr>
                      </pic:pic>
                    </a:graphicData>
                  </a:graphic>
                </wp:inline>
              </w:drawing>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p>
        </w:tc>
        <w:tc>
          <w:tcPr>
            <w:tcW w:w="0" w:type="auto"/>
            <w:tcBorders>
              <w:top w:val="outset" w:color="000000" w:sz="6" w:space="0"/>
              <w:left w:val="outset" w:color="000000" w:sz="6" w:space="0"/>
              <w:bottom w:val="outset" w:color="000000" w:sz="6" w:space="0"/>
              <w:right w:val="outset" w:color="000000" w:sz="6" w:space="0"/>
            </w:tcBorders>
            <w:vAlign w:val="center"/>
          </w:tcPr>
          <w:p>
            <w:pPr>
              <w:widowControl/>
              <w:spacing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1. 最近连续3分钟有成交； </w:t>
            </w:r>
          </w:p>
          <w:p>
            <w:pPr>
              <w:widowControl/>
              <w:spacing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2. 单笔成交量达到100手 并且 单笔成交额达到50000元； </w:t>
            </w:r>
          </w:p>
          <w:p>
            <w:pPr>
              <w:widowControl/>
              <w:spacing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3. 单笔价格在上一笔的基础上的上涨/下跌的绝对值达到昨收的2%； </w:t>
            </w:r>
          </w:p>
          <w:p>
            <w:pPr>
              <w:widowControl/>
              <w:spacing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4. 3分钟内不重复报告.</w:t>
            </w:r>
          </w:p>
          <w:p>
            <w:pPr>
              <w:widowControl/>
              <w:spacing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5. 揭示格式：单笔价格在上一笔的基础上的波动幅度.</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tcBorders>
              <w:top w:val="outset" w:color="000000" w:sz="6" w:space="0"/>
              <w:left w:val="outset" w:color="000000" w:sz="6" w:space="0"/>
              <w:bottom w:val="outset" w:color="000000" w:sz="6" w:space="0"/>
              <w:right w:val="outset" w:color="000000" w:sz="6" w:space="0"/>
            </w:tcBorders>
            <w:vAlign w:val="center"/>
          </w:tcPr>
          <w:p>
            <w:pPr>
              <w:widowControl/>
              <w:spacing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区间放量(涨)   </w:t>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"http://www.tdx.com.cn/products/helpfile/tdxjysm/images/17_%E5%8C%BA%E9%97%B4%E6%94%BE%E9%87%8F(%E6%B6%A8).jpg"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"http://www.tdx.com.cn/products/helpfile/tdxjysm/images/17_%E5%8C%BA%E9%97%B4%E6%94%BE%E9%87%8F(%E6%B6%A8).jpg"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"http://www.tdx.com.cn/products/helpfile/tdxjysm/images/17_%E5%8C%BA%E9%97%B4%E6%94%BE%E9%87%8F(%E6%B6%A8).jpg"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"http://www.tdx.com.cn/products/helpfile/tdxjysm/images/17_%E5%8C%BA%E9%97%B4%E6%94%BE%E9%87%8F(%E6%B6%A8).jpg"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drawing>
                <wp:inline distT="0" distB="0" distL="114300" distR="114300">
                  <wp:extent cx="219075" cy="114300"/>
                  <wp:effectExtent l="0" t="0" r="9525" b="0"/>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pic:cNvPicPr>
                            <a:picLocks noChangeAspect="1"/>
                          </pic:cNvPicPr>
                        </pic:nvPicPr>
                        <pic:blipFill>
                          <a:blip r:embed="rId231" r:link="rId232"/>
                          <a:stretch>
                            <a:fillRect/>
                          </a:stretch>
                        </pic:blipFill>
                        <pic:spPr>
                          <a:xfrm>
                            <a:off x="0" y="0"/>
                            <a:ext cx="219075" cy="114300"/>
                          </a:xfrm>
                          <a:prstGeom prst="rect">
                            <a:avLst/>
                          </a:prstGeom>
                          <a:noFill/>
                          <a:ln>
                            <a:noFill/>
                          </a:ln>
                        </pic:spPr>
                      </pic:pic>
                    </a:graphicData>
                  </a:graphic>
                </wp:inline>
              </w:drawing>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p>
          <w:p>
            <w:pPr>
              <w:widowControl/>
              <w:spacing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区间放量(跌)   </w:t>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"http://www.tdx.com.cn/products/helpfile/tdxjysm/images/18_%E5%8C%BA%E9%97%B4%E6%94%BE%E9%87%8F(%E8%B7%8C).jpg"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"http://www.tdx.com.cn/products/helpfile/tdxjysm/images/18_%E5%8C%BA%E9%97%B4%E6%94%BE%E9%87%8F(%E8%B7%8C).jpg"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"http://www.tdx.com.cn/products/helpfile/tdxjysm/images/18_%E5%8C%BA%E9%97%B4%E6%94%BE%E9%87%8F(%E8%B7%8C).jpg"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"http://www.tdx.com.cn/products/helpfile/tdxjysm/images/18_%E5%8C%BA%E9%97%B4%E6%94%BE%E9%87%8F(%E8%B7%8C).jpg"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drawing>
                <wp:inline distT="0" distB="0" distL="114300" distR="114300">
                  <wp:extent cx="219075" cy="114300"/>
                  <wp:effectExtent l="0" t="0" r="9525" b="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pic:cNvPicPr>
                            <a:picLocks noChangeAspect="1"/>
                          </pic:cNvPicPr>
                        </pic:nvPicPr>
                        <pic:blipFill>
                          <a:blip r:embed="rId233" r:link="rId234"/>
                          <a:stretch>
                            <a:fillRect/>
                          </a:stretch>
                        </pic:blipFill>
                        <pic:spPr>
                          <a:xfrm>
                            <a:off x="0" y="0"/>
                            <a:ext cx="219075" cy="114300"/>
                          </a:xfrm>
                          <a:prstGeom prst="rect">
                            <a:avLst/>
                          </a:prstGeom>
                          <a:noFill/>
                          <a:ln>
                            <a:noFill/>
                          </a:ln>
                        </pic:spPr>
                      </pic:pic>
                    </a:graphicData>
                  </a:graphic>
                </wp:inline>
              </w:drawing>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p>
          <w:p>
            <w:pPr>
              <w:widowControl/>
              <w:spacing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区间放量(平)   </w:t>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"http://www.tdx.com.cn/products/helpfile/tdxjysm/images/19_%E5%8C%BA%E9%97%B4%E6%94%BE%E9%87%8F(%E5%B9%B3).jpg"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"http://www.tdx.com.cn/products/helpfile/tdxjysm/images/19_%E5%8C%BA%E9%97%B4%E6%94%BE%E9%87%8F(%E5%B9%B3).jpg"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"http://www.tdx.com.cn/products/helpfile/tdxjysm/images/19_%E5%8C%BA%E9%97%B4%E6%94%BE%E9%87%8F(%E5%B9%B3).jpg"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"http://www.tdx.com.cn/products/helpfile/tdxjysm/images/19_%E5%8C%BA%E9%97%B4%E6%94%BE%E9%87%8F(%E5%B9%B3).jpg"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drawing>
                <wp:inline distT="0" distB="0" distL="114300" distR="114300">
                  <wp:extent cx="219075" cy="114300"/>
                  <wp:effectExtent l="0" t="0" r="9525" b="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pic:cNvPicPr>
                            <a:picLocks noChangeAspect="1"/>
                          </pic:cNvPicPr>
                        </pic:nvPicPr>
                        <pic:blipFill>
                          <a:blip r:embed="rId235" r:link="rId236"/>
                          <a:stretch>
                            <a:fillRect/>
                          </a:stretch>
                        </pic:blipFill>
                        <pic:spPr>
                          <a:xfrm>
                            <a:off x="0" y="0"/>
                            <a:ext cx="219075" cy="114300"/>
                          </a:xfrm>
                          <a:prstGeom prst="rect">
                            <a:avLst/>
                          </a:prstGeom>
                          <a:noFill/>
                          <a:ln>
                            <a:noFill/>
                          </a:ln>
                        </pic:spPr>
                      </pic:pic>
                    </a:graphicData>
                  </a:graphic>
                </wp:inline>
              </w:drawing>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p>
        </w:tc>
        <w:tc>
          <w:tcPr>
            <w:tcW w:w="0" w:type="auto"/>
            <w:tcBorders>
              <w:top w:val="outset" w:color="000000" w:sz="6" w:space="0"/>
              <w:left w:val="outset" w:color="000000" w:sz="6" w:space="0"/>
              <w:bottom w:val="outset" w:color="000000" w:sz="6" w:space="0"/>
              <w:right w:val="outset" w:color="000000" w:sz="6" w:space="0"/>
            </w:tcBorders>
            <w:vAlign w:val="center"/>
          </w:tcPr>
          <w:p>
            <w:pPr>
              <w:widowControl/>
              <w:spacing w:before="100" w:beforeAutospacing="1" w:after="100" w:afterAutospacing="1"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1. 最近连续15分钟有成交(考察样本)； </w:t>
            </w:r>
          </w:p>
          <w:p>
            <w:pPr>
              <w:widowControl/>
              <w:spacing w:before="100" w:beforeAutospacing="1" w:after="100" w:afterAutospacing="1"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2. 以前面12分钟的分钟成交均量为基础,最近3分钟的每分钟成交量都不低于该均量的3倍,并且最近3分钟的分钟均量达到该均量的6倍； </w:t>
            </w:r>
          </w:p>
          <w:p>
            <w:pPr>
              <w:widowControl/>
              <w:spacing w:before="100" w:beforeAutospacing="1" w:after="100" w:afterAutospacing="1"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3. 3分钟内不重复报告.</w:t>
            </w:r>
          </w:p>
          <w:p>
            <w:pPr>
              <w:widowControl/>
              <w:spacing w:before="100" w:beforeAutospacing="1" w:after="100" w:afterAutospacing="1"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4. 揭示格式：3分钟均量倍数 3分钟上涨(下跌)累计幅度(平盘无)</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tcBorders>
              <w:top w:val="outset" w:color="000000" w:sz="6" w:space="0"/>
              <w:left w:val="outset" w:color="000000" w:sz="6" w:space="0"/>
              <w:bottom w:val="outset" w:color="000000" w:sz="6" w:space="0"/>
              <w:right w:val="outset" w:color="000000" w:sz="6" w:space="0"/>
            </w:tcBorders>
            <w:vAlign w:val="center"/>
          </w:tcPr>
          <w:p>
            <w:pPr>
              <w:widowControl/>
              <w:spacing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大单托盘         </w:t>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"http://www.tdx.com.cn/products/helpfile/tdxjysm/images/20_%E5%A4%A7%E5%8D%95%E6%89%98%E7%9B%98.jpg"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"http://www.tdx.com.cn/products/helpfile/tdxjysm/images/20_%E5%A4%A7%E5%8D%95%E6%89%98%E7%9B%98.jpg"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"http://www.tdx.com.cn/products/helpfile/tdxjysm/images/20_%E5%A4%A7%E5%8D%95%E6%89%98%E7%9B%98.jpg"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"http://www.tdx.com.cn/products/helpfile/tdxjysm/images/20_%E5%A4%A7%E5%8D%95%E6%89%98%E7%9B%98.jpg"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drawing>
                <wp:inline distT="0" distB="0" distL="114300" distR="114300">
                  <wp:extent cx="219075" cy="114300"/>
                  <wp:effectExtent l="0" t="0" r="9525" b="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pic:cNvPicPr>
                            <a:picLocks noChangeAspect="1"/>
                          </pic:cNvPicPr>
                        </pic:nvPicPr>
                        <pic:blipFill>
                          <a:blip r:embed="rId237" r:link="rId238"/>
                          <a:stretch>
                            <a:fillRect/>
                          </a:stretch>
                        </pic:blipFill>
                        <pic:spPr>
                          <a:xfrm>
                            <a:off x="0" y="0"/>
                            <a:ext cx="219075" cy="114300"/>
                          </a:xfrm>
                          <a:prstGeom prst="rect">
                            <a:avLst/>
                          </a:prstGeom>
                          <a:noFill/>
                          <a:ln>
                            <a:noFill/>
                          </a:ln>
                        </pic:spPr>
                      </pic:pic>
                    </a:graphicData>
                  </a:graphic>
                </wp:inline>
              </w:drawing>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p>
          <w:p>
            <w:pPr>
              <w:widowControl/>
              <w:spacing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大单压盘         </w:t>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"http://www.tdx.com.cn/products/helpfile/tdxjysm/images/21_%E5%A4%A7%E5%8D%95%E5%8E%8B%E7%9B%98.jpg"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"http://www.tdx.com.cn/products/helpfile/tdxjysm/images/21_%E5%A4%A7%E5%8D%95%E5%8E%8B%E7%9B%98.jpg"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"http://www.tdx.com.cn/products/helpfile/tdxjysm/images/21_%E5%A4%A7%E5%8D%95%E5%8E%8B%E7%9B%98.jpg"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"http://www.tdx.com.cn/products/helpfile/tdxjysm/images/21_%E5%A4%A7%E5%8D%95%E5%8E%8B%E7%9B%98.jpg"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drawing>
                <wp:inline distT="0" distB="0" distL="114300" distR="114300">
                  <wp:extent cx="219075" cy="114300"/>
                  <wp:effectExtent l="0" t="0" r="9525" b="0"/>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pic:cNvPicPr>
                            <a:picLocks noChangeAspect="1"/>
                          </pic:cNvPicPr>
                        </pic:nvPicPr>
                        <pic:blipFill>
                          <a:blip r:embed="rId239" r:link="rId240"/>
                          <a:stretch>
                            <a:fillRect/>
                          </a:stretch>
                        </pic:blipFill>
                        <pic:spPr>
                          <a:xfrm>
                            <a:off x="0" y="0"/>
                            <a:ext cx="219075" cy="114300"/>
                          </a:xfrm>
                          <a:prstGeom prst="rect">
                            <a:avLst/>
                          </a:prstGeom>
                          <a:noFill/>
                          <a:ln>
                            <a:noFill/>
                          </a:ln>
                        </pic:spPr>
                      </pic:pic>
                    </a:graphicData>
                  </a:graphic>
                </wp:inline>
              </w:drawing>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p>
          <w:p>
            <w:pPr>
              <w:widowControl/>
              <w:spacing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大单锁盘         </w:t>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"http://www.tdx.com.cn/products/helpfile/tdxjysm/images/22_%E5%A4%A7%E5%8D%95%E9%94%81%E7%9B%98.jpg"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"http://www.tdx.com.cn/products/helpfile/tdxjysm/images/22_%E5%A4%A7%E5%8D%95%E9%94%81%E7%9B%98.jpg"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"http://www.tdx.com.cn/products/helpfile/tdxjysm/images/22_%E5%A4%A7%E5%8D%95%E9%94%81%E7%9B%98.jpg"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"http://www.tdx.com.cn/products/helpfile/tdxjysm/images/22_%E5%A4%A7%E5%8D%95%E9%94%81%E7%9B%98.jpg"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drawing>
                <wp:inline distT="0" distB="0" distL="114300" distR="114300">
                  <wp:extent cx="219075" cy="114300"/>
                  <wp:effectExtent l="0" t="0" r="9525" b="0"/>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pic:cNvPicPr>
                            <a:picLocks noChangeAspect="1"/>
                          </pic:cNvPicPr>
                        </pic:nvPicPr>
                        <pic:blipFill>
                          <a:blip r:embed="rId241" r:link="rId242"/>
                          <a:stretch>
                            <a:fillRect/>
                          </a:stretch>
                        </pic:blipFill>
                        <pic:spPr>
                          <a:xfrm>
                            <a:off x="0" y="0"/>
                            <a:ext cx="219075" cy="114300"/>
                          </a:xfrm>
                          <a:prstGeom prst="rect">
                            <a:avLst/>
                          </a:prstGeom>
                          <a:noFill/>
                          <a:ln>
                            <a:noFill/>
                          </a:ln>
                        </pic:spPr>
                      </pic:pic>
                    </a:graphicData>
                  </a:graphic>
                </wp:inline>
              </w:drawing>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p>
        </w:tc>
        <w:tc>
          <w:tcPr>
            <w:tcW w:w="0" w:type="auto"/>
            <w:tcBorders>
              <w:top w:val="outset" w:color="000000" w:sz="6" w:space="0"/>
              <w:left w:val="outset" w:color="000000" w:sz="6" w:space="0"/>
              <w:bottom w:val="outset" w:color="000000" w:sz="6" w:space="0"/>
              <w:right w:val="outset" w:color="000000" w:sz="6" w:space="0"/>
            </w:tcBorders>
            <w:vAlign w:val="center"/>
          </w:tcPr>
          <w:p>
            <w:pPr>
              <w:widowControl/>
              <w:spacing w:before="100" w:beforeAutospacing="1" w:after="100" w:afterAutospacing="1"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1. 一个价位上的委托数量达到所有价位平均委托数量的4倍且达到最近5分钟每分钟平均成交的3倍,委托金额达到500万元的最优价位入选.</w:t>
            </w:r>
          </w:p>
          <w:p>
            <w:pPr>
              <w:widowControl/>
              <w:spacing w:before="100" w:beforeAutospacing="1" w:after="100" w:afterAutospacing="1"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2. 如果在买盘方,则为托盘,在卖盘方,则为压盘,双方都有,则为锁盘.</w:t>
            </w:r>
          </w:p>
          <w:p>
            <w:pPr>
              <w:widowControl/>
              <w:spacing w:before="100" w:beforeAutospacing="1" w:after="100" w:afterAutospacing="1"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3. 托盘/压盘揭示格式：价位价格/价位数量</w:t>
            </w:r>
          </w:p>
          <w:p>
            <w:pPr>
              <w:widowControl/>
              <w:spacing w:before="100" w:beforeAutospacing="1" w:after="100" w:afterAutospacing="1"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4. 锁盘揭示格式：卖方价位价格/买方价位价格</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tcBorders>
              <w:top w:val="outset" w:color="000000" w:sz="6" w:space="0"/>
              <w:left w:val="outset" w:color="000000" w:sz="6" w:space="0"/>
              <w:bottom w:val="outset" w:color="000000" w:sz="6" w:space="0"/>
              <w:right w:val="outset" w:color="000000" w:sz="6" w:space="0"/>
            </w:tcBorders>
            <w:vAlign w:val="center"/>
          </w:tcPr>
          <w:p>
            <w:pPr>
              <w:widowControl/>
              <w:spacing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竞价试买         </w:t>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"http://www.tdx.com.cn/products/helpfile/tdxjysm/images/23_%E7%AB%9E%E4%BB%B7%E8%AF%95%E4%B9%B0.jpg"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"http://www.tdx.com.cn/products/helpfile/tdxjysm/images/23_%E7%AB%9E%E4%BB%B7%E8%AF%95%E4%B9%B0.jpg"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"http://www.tdx.com.cn/products/helpfile/tdxjysm/images/23_%E7%AB%9E%E4%BB%B7%E8%AF%95%E4%B9%B0.jpg"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"http://www.tdx.com.cn/products/helpfile/tdxjysm/images/23_%E7%AB%9E%E4%BB%B7%E8%AF%95%E4%B9%B0.jpg"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drawing>
                <wp:inline distT="0" distB="0" distL="114300" distR="114300">
                  <wp:extent cx="219075" cy="114300"/>
                  <wp:effectExtent l="0" t="0" r="9525" b="0"/>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pic:cNvPicPr>
                            <a:picLocks noChangeAspect="1"/>
                          </pic:cNvPicPr>
                        </pic:nvPicPr>
                        <pic:blipFill>
                          <a:blip r:embed="rId243" r:link="rId244"/>
                          <a:stretch>
                            <a:fillRect/>
                          </a:stretch>
                        </pic:blipFill>
                        <pic:spPr>
                          <a:xfrm>
                            <a:off x="0" y="0"/>
                            <a:ext cx="219075" cy="114300"/>
                          </a:xfrm>
                          <a:prstGeom prst="rect">
                            <a:avLst/>
                          </a:prstGeom>
                          <a:noFill/>
                          <a:ln>
                            <a:noFill/>
                          </a:ln>
                        </pic:spPr>
                      </pic:pic>
                    </a:graphicData>
                  </a:graphic>
                </wp:inline>
              </w:drawing>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p>
          <w:p>
            <w:pPr>
              <w:widowControl/>
              <w:spacing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竞价试卖         </w:t>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"http://www.tdx.com.cn/products/helpfile/tdxjysm/images/24_%E7%AB%9E%E4%BB%B7%E8%AF%95%E5%8D%96.jpg"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"http://www.tdx.com.cn/products/helpfile/tdxjysm/images/24_%E7%AB%9E%E4%BB%B7%E8%AF%95%E5%8D%96.jpg"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"http://www.tdx.com.cn/products/helpfile/tdxjysm/images/24_%E7%AB%9E%E4%BB%B7%E8%AF%95%E5%8D%96.jpg"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"http://www.tdx.com.cn/products/helpfile/tdxjysm/images/24_%E7%AB%9E%E4%BB%B7%E8%AF%95%E5%8D%96.jpg"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drawing>
                <wp:inline distT="0" distB="0" distL="114300" distR="114300">
                  <wp:extent cx="219075" cy="114300"/>
                  <wp:effectExtent l="0" t="0" r="9525" b="0"/>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pic:cNvPicPr>
                            <a:picLocks noChangeAspect="1"/>
                          </pic:cNvPicPr>
                        </pic:nvPicPr>
                        <pic:blipFill>
                          <a:blip r:embed="rId245" r:link="rId246"/>
                          <a:stretch>
                            <a:fillRect/>
                          </a:stretch>
                        </pic:blipFill>
                        <pic:spPr>
                          <a:xfrm>
                            <a:off x="0" y="0"/>
                            <a:ext cx="219075" cy="114300"/>
                          </a:xfrm>
                          <a:prstGeom prst="rect">
                            <a:avLst/>
                          </a:prstGeom>
                          <a:noFill/>
                          <a:ln>
                            <a:noFill/>
                          </a:ln>
                        </pic:spPr>
                      </pic:pic>
                    </a:graphicData>
                  </a:graphic>
                </wp:inline>
              </w:drawing>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p>
        </w:tc>
        <w:tc>
          <w:tcPr>
            <w:tcW w:w="0" w:type="auto"/>
            <w:tcBorders>
              <w:top w:val="outset" w:color="000000" w:sz="6" w:space="0"/>
              <w:left w:val="outset" w:color="000000" w:sz="6" w:space="0"/>
              <w:bottom w:val="outset" w:color="000000" w:sz="6" w:space="0"/>
              <w:right w:val="outset" w:color="000000" w:sz="6" w:space="0"/>
            </w:tcBorders>
            <w:vAlign w:val="center"/>
          </w:tcPr>
          <w:p>
            <w:pPr>
              <w:widowControl/>
              <w:spacing w:before="100" w:beforeAutospacing="1" w:after="100" w:afterAutospacing="1"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1. 指利用开盘集合竞价前5分钟可以撤单的规则,挂出价格偏离昨收较多的委托单并进行撤单,以试探跟风、抛压等市场反应.</w:t>
            </w:r>
          </w:p>
          <w:p>
            <w:pPr>
              <w:widowControl/>
              <w:spacing w:before="100" w:beforeAutospacing="1" w:after="100" w:afterAutospacing="1"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2. 试买为有明显的撤销买单行为；试卖为有明显的撤销卖单行为.</w:t>
            </w:r>
          </w:p>
          <w:p>
            <w:pPr>
              <w:widowControl/>
              <w:spacing w:before="100" w:beforeAutospacing="1" w:after="100" w:afterAutospacing="1"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3. 根据盘口信息估算</w:t>
            </w:r>
          </w:p>
          <w:p>
            <w:pPr>
              <w:widowControl/>
              <w:spacing w:before="100" w:beforeAutospacing="1" w:after="100" w:afterAutospacing="1"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4. 揭示格式：试盘价格/试盘数量</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tcBorders>
              <w:top w:val="outset" w:color="000000" w:sz="6" w:space="0"/>
              <w:left w:val="outset" w:color="000000" w:sz="6" w:space="0"/>
              <w:bottom w:val="outset" w:color="000000" w:sz="6" w:space="0"/>
              <w:right w:val="outset" w:color="000000" w:sz="6" w:space="0"/>
            </w:tcBorders>
            <w:vAlign w:val="center"/>
          </w:tcPr>
          <w:p>
            <w:pPr>
              <w:widowControl/>
              <w:spacing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竞价（尾盘）对倒     </w:t>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"http://www.tdx.com.cn/products/helpfile/tdxjysm/images/25_%E7%AB%9E%E4%BB%B7%E5%AF%B9%E5%80%92.jpg"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"http://www.tdx.com.cn/products/helpfile/tdxjysm/images/25_%E7%AB%9E%E4%BB%B7%E5%AF%B9%E5%80%92.jpg"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"http://www.tdx.com.cn/products/helpfile/tdxjysm/images/25_%E7%AB%9E%E4%BB%B7%E5%AF%B9%E5%80%92.jpg"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"http://www.tdx.com.cn/products/helpfile/tdxjysm/images/25_%E7%AB%9E%E4%BB%B7%E5%AF%B9%E5%80%92.jpg"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drawing>
                <wp:inline distT="0" distB="0" distL="114300" distR="114300">
                  <wp:extent cx="219075" cy="114300"/>
                  <wp:effectExtent l="0" t="0" r="9525" b="0"/>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pic:cNvPicPr>
                            <a:picLocks noChangeAspect="1"/>
                          </pic:cNvPicPr>
                        </pic:nvPicPr>
                        <pic:blipFill>
                          <a:blip r:embed="rId247" r:link="rId248"/>
                          <a:stretch>
                            <a:fillRect/>
                          </a:stretch>
                        </pic:blipFill>
                        <pic:spPr>
                          <a:xfrm>
                            <a:off x="0" y="0"/>
                            <a:ext cx="219075" cy="114300"/>
                          </a:xfrm>
                          <a:prstGeom prst="rect">
                            <a:avLst/>
                          </a:prstGeom>
                          <a:noFill/>
                          <a:ln>
                            <a:noFill/>
                          </a:ln>
                        </pic:spPr>
                      </pic:pic>
                    </a:graphicData>
                  </a:graphic>
                </wp:inline>
              </w:drawing>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r>
              <w:rPr>
                <w:rFonts w:hint="eastAsia" w:ascii="微软雅黑" w:hAnsi="微软雅黑" w:eastAsia="微软雅黑" w:cs="宋体"/>
                <w:kern w:val="0"/>
                <w:sz w:val="18"/>
                <w:szCs w:val="18"/>
              </w:rPr>
              <w:t> </w:t>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"https://www.tdx.com.cn/products/helpfile/tdxw/chm/%E7%AC%AC%E4%B8%83%E7%AB%A0  %E6%99%AE%E5%8F%8A%E5%A2%9E%E5%BC%BA%E7%89%88/7-1/14.png"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"https://www.tdx.com.cn/products/helpfile/tdxw/chm/%E7%AC%AC%E4%B8%83%E7%AB%A0  %E6%99%AE%E5%8F%8A%E5%A2%9E%E5%BC%BA%E7%89%88/7-1/14.png"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"https://www.tdx.com.cn/products/helpfile/tdxw/chm/%E7%AC%AC%E4%B8%83%E7%AB%A0  %E6%99%AE%E5%8F%8A%E5%A2%9E%E5%BC%BA%E7%89%88/7-1/14.png"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"https://www.tdx.com.cn/products/helpfile/tdxw/chm/%E7%AC%AC%E4%B8%83%E7%AB%A0  %E6%99%AE%E5%8F%8A%E5%A2%9E%E5%BC%BA%E7%89%88/7-1/14.png"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drawing>
                <wp:inline distT="0" distB="0" distL="114300" distR="114300">
                  <wp:extent cx="247650" cy="133350"/>
                  <wp:effectExtent l="0" t="0" r="0" b="0"/>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pic:cNvPicPr>
                            <a:picLocks noChangeAspect="1"/>
                          </pic:cNvPicPr>
                        </pic:nvPicPr>
                        <pic:blipFill>
                          <a:blip r:embed="rId249" r:link="rId250"/>
                          <a:stretch>
                            <a:fillRect/>
                          </a:stretch>
                        </pic:blipFill>
                        <pic:spPr>
                          <a:xfrm>
                            <a:off x="0" y="0"/>
                            <a:ext cx="247650" cy="133350"/>
                          </a:xfrm>
                          <a:prstGeom prst="rect">
                            <a:avLst/>
                          </a:prstGeom>
                          <a:noFill/>
                          <a:ln>
                            <a:noFill/>
                          </a:ln>
                        </pic:spPr>
                      </pic:pic>
                    </a:graphicData>
                  </a:graphic>
                </wp:inline>
              </w:drawing>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p>
          <w:p>
            <w:pPr>
              <w:widowControl/>
              <w:spacing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竞价（尾盘）拉升     </w:t>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"http://www.tdx.com.cn/products/helpfile/tdxjysm/images/26_%E7%AB%9E%E4%BB%B7%E6%8B%89%E5%8D%87.jpg"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"http://www.tdx.com.cn/products/helpfile/tdxjysm/images/26_%E7%AB%9E%E4%BB%B7%E6%8B%89%E5%8D%87.jpg"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"http://www.tdx.com.cn/products/helpfile/tdxjysm/images/26_%E7%AB%9E%E4%BB%B7%E6%8B%89%E5%8D%87.jpg"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"http://www.tdx.com.cn/products/helpfile/tdxjysm/images/26_%E7%AB%9E%E4%BB%B7%E6%8B%89%E5%8D%87.jpg"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drawing>
                <wp:inline distT="0" distB="0" distL="114300" distR="114300">
                  <wp:extent cx="219075" cy="114300"/>
                  <wp:effectExtent l="0" t="0" r="9525" b="0"/>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pic:cNvPicPr>
                            <a:picLocks noChangeAspect="1"/>
                          </pic:cNvPicPr>
                        </pic:nvPicPr>
                        <pic:blipFill>
                          <a:blip r:embed="rId251" r:link="rId252"/>
                          <a:stretch>
                            <a:fillRect/>
                          </a:stretch>
                        </pic:blipFill>
                        <pic:spPr>
                          <a:xfrm>
                            <a:off x="0" y="0"/>
                            <a:ext cx="219075" cy="114300"/>
                          </a:xfrm>
                          <a:prstGeom prst="rect">
                            <a:avLst/>
                          </a:prstGeom>
                          <a:noFill/>
                          <a:ln>
                            <a:noFill/>
                          </a:ln>
                        </pic:spPr>
                      </pic:pic>
                    </a:graphicData>
                  </a:graphic>
                </wp:inline>
              </w:drawing>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r>
              <w:rPr>
                <w:rFonts w:hint="eastAsia" w:ascii="微软雅黑" w:hAnsi="微软雅黑" w:eastAsia="微软雅黑" w:cs="宋体"/>
                <w:kern w:val="0"/>
                <w:sz w:val="18"/>
                <w:szCs w:val="18"/>
              </w:rPr>
              <w:t> </w:t>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"https://www.tdx.com.cn/products/helpfile/tdxw/chm/%E7%AC%AC%E4%B8%83%E7%AB%A0  %E6%99%AE%E5%8F%8A%E5%A2%9E%E5%BC%BA%E7%89%88/7-1/15%E6%8B%89%E5%8D%87.png"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"https://www.tdx.com.cn/products/helpfile/tdxw/chm/%E7%AC%AC%E4%B8%83%E7%AB%A0  %E6%99%AE%E5%8F%8A%E5%A2%9E%E5%BC%BA%E7%89%88/7-1/15%E6%8B%89%E5%8D%87.png"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"https://www.tdx.com.cn/products/helpfile/tdxw/chm/%E7%AC%AC%E4%B8%83%E7%AB%A0  %E6%99%AE%E5%8F%8A%E5%A2%9E%E5%BC%BA%E7%89%88/7-1/15%E6%8B%89%E5%8D%87.png"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"https://www.tdx.com.cn/products/helpfile/tdxw/chm/%E7%AC%AC%E4%B8%83%E7%AB%A0  %E6%99%AE%E5%8F%8A%E5%A2%9E%E5%BC%BA%E7%89%88/7-1/15%E6%8B%89%E5%8D%87.png"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drawing>
                <wp:inline distT="0" distB="0" distL="114300" distR="114300">
                  <wp:extent cx="238125" cy="123825"/>
                  <wp:effectExtent l="0" t="0" r="9525" b="9525"/>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pic:cNvPicPr>
                            <a:picLocks noChangeAspect="1"/>
                          </pic:cNvPicPr>
                        </pic:nvPicPr>
                        <pic:blipFill>
                          <a:blip r:embed="rId253" r:link="rId254"/>
                          <a:stretch>
                            <a:fillRect/>
                          </a:stretch>
                        </pic:blipFill>
                        <pic:spPr>
                          <a:xfrm>
                            <a:off x="0" y="0"/>
                            <a:ext cx="238125" cy="123825"/>
                          </a:xfrm>
                          <a:prstGeom prst="rect">
                            <a:avLst/>
                          </a:prstGeom>
                          <a:noFill/>
                          <a:ln>
                            <a:noFill/>
                          </a:ln>
                        </pic:spPr>
                      </pic:pic>
                    </a:graphicData>
                  </a:graphic>
                </wp:inline>
              </w:drawing>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p>
          <w:p>
            <w:pPr>
              <w:widowControl/>
              <w:spacing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竞价（尾盘）打压    </w:t>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"https://www.tdx.com.cn/products/helpfile/tdxw/chm/%E7%AC%AC%E4%BA%8C%E7%AB%A0 %E5%8A%9F%E8%83%BD/2-25/2-25-4/8.png"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"https://www.tdx.com.cn/products/helpfile/tdxw/chm/%E7%AC%AC%E4%BA%8C%E7%AB%A0 %E5%8A%9F%E8%83%BD/2-25/2-25-4/8.png"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"https://www.tdx.com.cn/products/helpfile/tdxw/chm/%E7%AC%AC%E4%BA%8C%E7%AB%A0 %E5%8A%9F%E8%83%BD/2-25/2-25-4/8.png"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"https://www.tdx.com.cn/products/helpfile/tdxw/chm/%E7%AC%AC%E4%BA%8C%E7%AB%A0 %E5%8A%9F%E8%83%BD/2-25/2-25-4/8.png"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drawing>
                <wp:inline distT="0" distB="0" distL="114300" distR="114300">
                  <wp:extent cx="371475" cy="171450"/>
                  <wp:effectExtent l="0" t="0" r="9525" b="0"/>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pic:cNvPicPr>
                            <a:picLocks noChangeAspect="1"/>
                          </pic:cNvPicPr>
                        </pic:nvPicPr>
                        <pic:blipFill>
                          <a:blip r:embed="rId255" r:link="rId256"/>
                          <a:stretch>
                            <a:fillRect/>
                          </a:stretch>
                        </pic:blipFill>
                        <pic:spPr>
                          <a:xfrm>
                            <a:off x="0" y="0"/>
                            <a:ext cx="371475" cy="171450"/>
                          </a:xfrm>
                          <a:prstGeom prst="rect">
                            <a:avLst/>
                          </a:prstGeom>
                          <a:noFill/>
                          <a:ln>
                            <a:noFill/>
                          </a:ln>
                        </pic:spPr>
                      </pic:pic>
                    </a:graphicData>
                  </a:graphic>
                </wp:inline>
              </w:drawing>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"https://www.tdx.com.cn/products/helpfile/tdxw/chm/%E7%AC%AC%E4%B8%83%E7%AB%A0  %E6%99%AE%E5%8F%8A%E5%A2%9E%E5%BC%BA%E7%89%88/7-1/16%E6%89%93%E5%8E%8B.png"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"https://www.tdx.com.cn/products/helpfile/tdxw/chm/%E7%AC%AC%E4%B8%83%E7%AB%A0  %E6%99%AE%E5%8F%8A%E5%A2%9E%E5%BC%BA%E7%89%88/7-1/16%E6%89%93%E5%8E%8B.png"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"https://www.tdx.com.cn/products/helpfile/tdxw/chm/%E7%AC%AC%E4%B8%83%E7%AB%A0  %E6%99%AE%E5%8F%8A%E5%A2%9E%E5%BC%BA%E7%89%88/7-1/16%E6%89%93%E5%8E%8B.png"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"https://www.tdx.com.cn/products/helpfile/tdxw/chm/%E7%AC%AC%E4%B8%83%E7%AB%A0  %E6%99%AE%E5%8F%8A%E5%A2%9E%E5%BC%BA%E7%89%88/7-1/16%E6%89%93%E5%8E%8B.png"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drawing>
                <wp:inline distT="0" distB="0" distL="114300" distR="114300">
                  <wp:extent cx="238125" cy="133350"/>
                  <wp:effectExtent l="0" t="0" r="9525" b="0"/>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pic:cNvPicPr>
                            <a:picLocks noChangeAspect="1"/>
                          </pic:cNvPicPr>
                        </pic:nvPicPr>
                        <pic:blipFill>
                          <a:blip r:embed="rId257" r:link="rId258"/>
                          <a:stretch>
                            <a:fillRect/>
                          </a:stretch>
                        </pic:blipFill>
                        <pic:spPr>
                          <a:xfrm>
                            <a:off x="0" y="0"/>
                            <a:ext cx="238125" cy="133350"/>
                          </a:xfrm>
                          <a:prstGeom prst="rect">
                            <a:avLst/>
                          </a:prstGeom>
                          <a:noFill/>
                          <a:ln>
                            <a:noFill/>
                          </a:ln>
                        </pic:spPr>
                      </pic:pic>
                    </a:graphicData>
                  </a:graphic>
                </wp:inline>
              </w:drawing>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r>
              <w:rPr>
                <w:rFonts w:hint="eastAsia" w:ascii="微软雅黑" w:hAnsi="微软雅黑" w:eastAsia="微软雅黑" w:cs="宋体"/>
                <w:kern w:val="0"/>
                <w:sz w:val="18"/>
                <w:szCs w:val="18"/>
              </w:rPr>
              <w:t> </w:t>
            </w:r>
          </w:p>
        </w:tc>
        <w:tc>
          <w:tcPr>
            <w:tcW w:w="0" w:type="auto"/>
            <w:tcBorders>
              <w:top w:val="outset" w:color="000000" w:sz="6" w:space="0"/>
              <w:left w:val="outset" w:color="000000" w:sz="6" w:space="0"/>
              <w:bottom w:val="outset" w:color="000000" w:sz="6" w:space="0"/>
              <w:right w:val="outset" w:color="000000" w:sz="6" w:space="0"/>
            </w:tcBorders>
            <w:vAlign w:val="center"/>
          </w:tcPr>
          <w:p>
            <w:pPr>
              <w:widowControl/>
              <w:spacing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1. 对倒,指在开盘（尾盘）集合竞价期间,匹配价波动不大,但是匹配量增加较多； </w:t>
            </w:r>
          </w:p>
          <w:p>
            <w:pPr>
              <w:widowControl/>
              <w:spacing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2. 拉升,指在开盘（尾盘）集合竞价期间匹配价格上涨； </w:t>
            </w:r>
          </w:p>
          <w:p>
            <w:pPr>
              <w:widowControl/>
              <w:spacing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3. 打压,指在开盘（尾盘）集合竞价期间匹配价格下跌。</w:t>
            </w:r>
          </w:p>
          <w:p>
            <w:pPr>
              <w:widowControl/>
              <w:spacing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4. 揭示格式：最后2分钟的价格变动幅度/最后2分钟的匹配增加量</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tcBorders>
              <w:top w:val="outset" w:color="000000" w:sz="6" w:space="0"/>
              <w:left w:val="outset" w:color="000000" w:sz="6" w:space="0"/>
              <w:bottom w:val="outset" w:color="000000" w:sz="6" w:space="0"/>
              <w:right w:val="outset" w:color="000000" w:sz="6" w:space="0"/>
            </w:tcBorders>
            <w:vAlign w:val="center"/>
          </w:tcPr>
          <w:p>
            <w:pPr>
              <w:widowControl/>
              <w:spacing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逼近涨停         </w:t>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"http://www.tdx.com.cn/products/helpfile/tdxjysm/images/28_%E6%8E%A5%E8%BF%91%E6%B6%A8%E5%81%9C.jpg"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"http://www.tdx.com.cn/products/helpfile/tdxjysm/images/28_%E6%8E%A5%E8%BF%91%E6%B6%A8%E5%81%9C.jpg"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"http://www.tdx.com.cn/products/helpfile/tdxjysm/images/28_%E6%8E%A5%E8%BF%91%E6%B6%A8%E5%81%9C.jpg"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"http://www.tdx.com.cn/products/helpfile/tdxjysm/images/28_%E6%8E%A5%E8%BF%91%E6%B6%A8%E5%81%9C.jpg"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drawing>
                <wp:inline distT="0" distB="0" distL="114300" distR="114300">
                  <wp:extent cx="219075" cy="114300"/>
                  <wp:effectExtent l="0" t="0" r="9525" b="0"/>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pic:cNvPicPr>
                            <a:picLocks noChangeAspect="1"/>
                          </pic:cNvPicPr>
                        </pic:nvPicPr>
                        <pic:blipFill>
                          <a:blip r:embed="rId259" r:link="rId260"/>
                          <a:stretch>
                            <a:fillRect/>
                          </a:stretch>
                        </pic:blipFill>
                        <pic:spPr>
                          <a:xfrm>
                            <a:off x="0" y="0"/>
                            <a:ext cx="219075" cy="114300"/>
                          </a:xfrm>
                          <a:prstGeom prst="rect">
                            <a:avLst/>
                          </a:prstGeom>
                          <a:noFill/>
                          <a:ln>
                            <a:noFill/>
                          </a:ln>
                        </pic:spPr>
                      </pic:pic>
                    </a:graphicData>
                  </a:graphic>
                </wp:inline>
              </w:drawing>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p>
          <w:p>
            <w:pPr>
              <w:widowControl/>
              <w:spacing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逼近跌停         </w:t>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"http://www.tdx.com.cn/products/helpfile/tdxjysm/images/32_%E6%8E%A5%E8%BF%91%E8%B7%8C%E5%81%9C.jpg"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"http://www.tdx.com.cn/products/helpfile/tdxjysm/images/32_%E6%8E%A5%E8%BF%91%E8%B7%8C%E5%81%9C.jpg"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"http://www.tdx.com.cn/products/helpfile/tdxjysm/images/32_%E6%8E%A5%E8%BF%91%E8%B7%8C%E5%81%9C.jpg"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"http://www.tdx.com.cn/products/helpfile/tdxjysm/images/32_%E6%8E%A5%E8%BF%91%E8%B7%8C%E5%81%9C.jpg"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drawing>
                <wp:inline distT="0" distB="0" distL="114300" distR="114300">
                  <wp:extent cx="219075" cy="114300"/>
                  <wp:effectExtent l="0" t="0" r="9525" b="0"/>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pic:cNvPicPr>
                            <a:picLocks noChangeAspect="1"/>
                          </pic:cNvPicPr>
                        </pic:nvPicPr>
                        <pic:blipFill>
                          <a:blip r:embed="rId261" r:link="rId262"/>
                          <a:stretch>
                            <a:fillRect/>
                          </a:stretch>
                        </pic:blipFill>
                        <pic:spPr>
                          <a:xfrm>
                            <a:off x="0" y="0"/>
                            <a:ext cx="219075" cy="114300"/>
                          </a:xfrm>
                          <a:prstGeom prst="rect">
                            <a:avLst/>
                          </a:prstGeom>
                          <a:noFill/>
                          <a:ln>
                            <a:noFill/>
                          </a:ln>
                        </pic:spPr>
                      </pic:pic>
                    </a:graphicData>
                  </a:graphic>
                </wp:inline>
              </w:drawing>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p>
        </w:tc>
        <w:tc>
          <w:tcPr>
            <w:tcW w:w="0" w:type="auto"/>
            <w:tcBorders>
              <w:top w:val="outset" w:color="000000" w:sz="6" w:space="0"/>
              <w:left w:val="outset" w:color="000000" w:sz="6" w:space="0"/>
              <w:bottom w:val="outset" w:color="000000" w:sz="6" w:space="0"/>
              <w:right w:val="outset" w:color="000000" w:sz="6" w:space="0"/>
            </w:tcBorders>
            <w:vAlign w:val="center"/>
          </w:tcPr>
          <w:p>
            <w:pPr>
              <w:widowControl/>
              <w:spacing w:before="100" w:beforeAutospacing="1" w:after="100" w:afterAutospacing="1"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1. 即将接近涨停或跌停.</w:t>
            </w:r>
          </w:p>
          <w:p>
            <w:pPr>
              <w:widowControl/>
              <w:spacing w:before="100" w:beforeAutospacing="1" w:after="100" w:afterAutospacing="1"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2. 揭示格式：对手盘最优价/已知的对手盘剩余总量</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tcBorders>
              <w:top w:val="outset" w:color="000000" w:sz="6" w:space="0"/>
              <w:left w:val="outset" w:color="000000" w:sz="6" w:space="0"/>
              <w:bottom w:val="outset" w:color="000000" w:sz="6" w:space="0"/>
              <w:right w:val="outset" w:color="000000" w:sz="6" w:space="0"/>
            </w:tcBorders>
            <w:vAlign w:val="center"/>
          </w:tcPr>
          <w:p>
            <w:pPr>
              <w:widowControl/>
              <w:spacing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封涨停板         </w:t>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"http://www.tdx.com.cn/products/helpfile/tdxjysm/images/29_%E5%B0%81%E6%B6%A8%E5%81%9C%E6%9D%BF.jpg"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"http://www.tdx.com.cn/products/helpfile/tdxjysm/images/29_%E5%B0%81%E6%B6%A8%E5%81%9C%E6%9D%BF.jpg"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"http://www.tdx.com.cn/products/helpfile/tdxjysm/images/29_%E5%B0%81%E6%B6%A8%E5%81%9C%E6%9D%BF.jpg"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"http://www.tdx.com.cn/products/helpfile/tdxjysm/images/29_%E5%B0%81%E6%B6%A8%E5%81%9C%E6%9D%BF.jpg"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drawing>
                <wp:inline distT="0" distB="0" distL="114300" distR="114300">
                  <wp:extent cx="219075" cy="114300"/>
                  <wp:effectExtent l="0" t="0" r="9525" b="0"/>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pic:cNvPicPr>
                            <a:picLocks noChangeAspect="1"/>
                          </pic:cNvPicPr>
                        </pic:nvPicPr>
                        <pic:blipFill>
                          <a:blip r:embed="rId263" r:link="rId264"/>
                          <a:stretch>
                            <a:fillRect/>
                          </a:stretch>
                        </pic:blipFill>
                        <pic:spPr>
                          <a:xfrm>
                            <a:off x="0" y="0"/>
                            <a:ext cx="219075" cy="114300"/>
                          </a:xfrm>
                          <a:prstGeom prst="rect">
                            <a:avLst/>
                          </a:prstGeom>
                          <a:noFill/>
                          <a:ln>
                            <a:noFill/>
                          </a:ln>
                        </pic:spPr>
                      </pic:pic>
                    </a:graphicData>
                  </a:graphic>
                </wp:inline>
              </w:drawing>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p>
          <w:p>
            <w:pPr>
              <w:widowControl/>
              <w:spacing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封跌停板         </w:t>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"http://www.tdx.com.cn/products/helpfile/tdxjysm/images/33_%E5%B0%81%E8%B7%8C%E5%81%9C%E6%9D%BF.jpg"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"http://www.tdx.com.cn/products/helpfile/tdxjysm/images/33_%E5%B0%81%E8%B7%8C%E5%81%9C%E6%9D%BF.jpg"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"http://www.tdx.com.cn/products/helpfile/tdxjysm/images/33_%E5%B0%81%E8%B7%8C%E5%81%9C%E6%9D%BF.jpg"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"http://www.tdx.com.cn/products/helpfile/tdxjysm/images/33_%E5%B0%81%E8%B7%8C%E5%81%9C%E6%9D%BF.jpg"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drawing>
                <wp:inline distT="0" distB="0" distL="114300" distR="114300">
                  <wp:extent cx="219075" cy="114300"/>
                  <wp:effectExtent l="0" t="0" r="9525" b="0"/>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pic:cNvPicPr>
                            <a:picLocks noChangeAspect="1"/>
                          </pic:cNvPicPr>
                        </pic:nvPicPr>
                        <pic:blipFill>
                          <a:blip r:embed="rId265" r:link="rId266"/>
                          <a:stretch>
                            <a:fillRect/>
                          </a:stretch>
                        </pic:blipFill>
                        <pic:spPr>
                          <a:xfrm>
                            <a:off x="0" y="0"/>
                            <a:ext cx="219075" cy="114300"/>
                          </a:xfrm>
                          <a:prstGeom prst="rect">
                            <a:avLst/>
                          </a:prstGeom>
                          <a:noFill/>
                          <a:ln>
                            <a:noFill/>
                          </a:ln>
                        </pic:spPr>
                      </pic:pic>
                    </a:graphicData>
                  </a:graphic>
                </wp:inline>
              </w:drawing>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p>
        </w:tc>
        <w:tc>
          <w:tcPr>
            <w:tcW w:w="0" w:type="auto"/>
            <w:tcBorders>
              <w:top w:val="outset" w:color="000000" w:sz="6" w:space="0"/>
              <w:left w:val="outset" w:color="000000" w:sz="6" w:space="0"/>
              <w:bottom w:val="outset" w:color="000000" w:sz="6" w:space="0"/>
              <w:right w:val="outset" w:color="000000" w:sz="6" w:space="0"/>
            </w:tcBorders>
            <w:vAlign w:val="center"/>
          </w:tcPr>
          <w:p>
            <w:pPr>
              <w:widowControl/>
              <w:spacing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1. 封板指品种当日涨幅达到±10%(ST特别处理为±5%,科创板和创业板±20%,北交所±30%),且无对手盘.</w:t>
            </w:r>
          </w:p>
          <w:p>
            <w:pPr>
              <w:widowControl/>
              <w:spacing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2. 揭示格式：停板价/封板量</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tcBorders>
              <w:top w:val="outset" w:color="000000" w:sz="6" w:space="0"/>
              <w:left w:val="outset" w:color="000000" w:sz="6" w:space="0"/>
              <w:bottom w:val="outset" w:color="000000" w:sz="6" w:space="0"/>
              <w:right w:val="outset" w:color="000000" w:sz="6" w:space="0"/>
            </w:tcBorders>
            <w:vAlign w:val="center"/>
          </w:tcPr>
          <w:p>
            <w:pPr>
              <w:widowControl/>
              <w:spacing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封涨大减         </w:t>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"http://www.tdx.com.cn/products/helpfile/tdxjysm/images/30_%E5%B0%81%E6%B6%A8%E5%A4%A7%E5%87%8F.jpg"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"http://www.tdx.com.cn/products/helpfile/tdxjysm/images/30_%E5%B0%81%E6%B6%A8%E5%A4%A7%E5%87%8F.jpg"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"http://www.tdx.com.cn/products/helpfile/tdxjysm/images/30_%E5%B0%81%E6%B6%A8%E5%A4%A7%E5%87%8F.jpg"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"http://www.tdx.com.cn/products/helpfile/tdxjysm/images/30_%E5%B0%81%E6%B6%A8%E5%A4%A7%E5%87%8F.jpg"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drawing>
                <wp:inline distT="0" distB="0" distL="114300" distR="114300">
                  <wp:extent cx="219075" cy="114300"/>
                  <wp:effectExtent l="0" t="0" r="9525" b="0"/>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pic:cNvPicPr>
                            <a:picLocks noChangeAspect="1"/>
                          </pic:cNvPicPr>
                        </pic:nvPicPr>
                        <pic:blipFill>
                          <a:blip r:embed="rId267" r:link="rId268"/>
                          <a:stretch>
                            <a:fillRect/>
                          </a:stretch>
                        </pic:blipFill>
                        <pic:spPr>
                          <a:xfrm>
                            <a:off x="0" y="0"/>
                            <a:ext cx="219075" cy="114300"/>
                          </a:xfrm>
                          <a:prstGeom prst="rect">
                            <a:avLst/>
                          </a:prstGeom>
                          <a:noFill/>
                          <a:ln>
                            <a:noFill/>
                          </a:ln>
                        </pic:spPr>
                      </pic:pic>
                    </a:graphicData>
                  </a:graphic>
                </wp:inline>
              </w:drawing>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p>
          <w:p>
            <w:pPr>
              <w:widowControl/>
              <w:spacing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封跌大减         </w:t>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"http://www.tdx.com.cn/products/helpfile/tdxjysm/images/34_%E5%B0%81%E8%B7%8C%E5%A4%A7%E5%87%8F.jpg"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"http://www.tdx.com.cn/products/helpfile/tdxjysm/images/34_%E5%B0%81%E8%B7%8C%E5%A4%A7%E5%87%8F.jpg"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"http://www.tdx.com.cn/products/helpfile/tdxjysm/images/34_%E5%B0%81%E8%B7%8C%E5%A4%A7%E5%87%8F.jpg"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"http://www.tdx.com.cn/products/helpfile/tdxjysm/images/34_%E5%B0%81%E8%B7%8C%E5%A4%A7%E5%87%8F.jpg"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drawing>
                <wp:inline distT="0" distB="0" distL="114300" distR="114300">
                  <wp:extent cx="219075" cy="114300"/>
                  <wp:effectExtent l="0" t="0" r="9525" b="0"/>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pic:cNvPicPr>
                            <a:picLocks noChangeAspect="1"/>
                          </pic:cNvPicPr>
                        </pic:nvPicPr>
                        <pic:blipFill>
                          <a:blip r:embed="rId269" r:link="rId270"/>
                          <a:stretch>
                            <a:fillRect/>
                          </a:stretch>
                        </pic:blipFill>
                        <pic:spPr>
                          <a:xfrm>
                            <a:off x="0" y="0"/>
                            <a:ext cx="219075" cy="114300"/>
                          </a:xfrm>
                          <a:prstGeom prst="rect">
                            <a:avLst/>
                          </a:prstGeom>
                          <a:noFill/>
                          <a:ln>
                            <a:noFill/>
                          </a:ln>
                        </pic:spPr>
                      </pic:pic>
                    </a:graphicData>
                  </a:graphic>
                </wp:inline>
              </w:drawing>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p>
        </w:tc>
        <w:tc>
          <w:tcPr>
            <w:tcW w:w="0" w:type="auto"/>
            <w:tcBorders>
              <w:top w:val="outset" w:color="000000" w:sz="6" w:space="0"/>
              <w:left w:val="outset" w:color="000000" w:sz="6" w:space="0"/>
              <w:bottom w:val="outset" w:color="000000" w:sz="6" w:space="0"/>
              <w:right w:val="outset" w:color="000000" w:sz="6" w:space="0"/>
            </w:tcBorders>
            <w:vAlign w:val="center"/>
          </w:tcPr>
          <w:p>
            <w:pPr>
              <w:widowControl/>
              <w:spacing w:before="100" w:beforeAutospacing="1" w:after="100" w:afterAutospacing="1"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1. 大减指封板后,距离封单量(集合竞价时为匹配+未匹配)最高值减少80%.</w:t>
            </w:r>
          </w:p>
          <w:p>
            <w:pPr>
              <w:widowControl/>
              <w:spacing w:before="100" w:beforeAutospacing="1" w:after="100" w:afterAutospacing="1"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2. 揭示格式：停板价/封板量</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tcBorders>
              <w:top w:val="outset" w:color="000000" w:sz="6" w:space="0"/>
              <w:left w:val="outset" w:color="000000" w:sz="6" w:space="0"/>
              <w:bottom w:val="outset" w:color="000000" w:sz="6" w:space="0"/>
              <w:right w:val="outset" w:color="000000" w:sz="6" w:space="0"/>
            </w:tcBorders>
            <w:vAlign w:val="center"/>
          </w:tcPr>
          <w:p>
            <w:pPr>
              <w:widowControl/>
              <w:spacing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打开涨停        </w:t>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"https://www.tdx.com.cn/products/helpfile/tdxw/chm/%E7%AC%AC%E4%BA%8C%E7%AB%A0 %E5%8A%9F%E8%83%BD/2-25/2-25-4/9.png"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"https://www.tdx.com.cn/products/helpfile/tdxw/chm/%E7%AC%AC%E4%BA%8C%E7%AB%A0 %E5%8A%9F%E8%83%BD/2-25/2-25-4/9.png"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"https://www.tdx.com.cn/products/helpfile/tdxw/chm/%E7%AC%AC%E4%BA%8C%E7%AB%A0 %E5%8A%9F%E8%83%BD/2-25/2-25-4/9.png"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"https://www.tdx.com.cn/products/helpfile/tdxw/chm/%E7%AC%AC%E4%BA%8C%E7%AB%A0 %E5%8A%9F%E8%83%BD/2-25/2-25-4/9.png"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drawing>
                <wp:inline distT="0" distB="0" distL="114300" distR="114300">
                  <wp:extent cx="266700" cy="161925"/>
                  <wp:effectExtent l="0" t="0" r="0" b="9525"/>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pic:cNvPicPr>
                            <a:picLocks noChangeAspect="1"/>
                          </pic:cNvPicPr>
                        </pic:nvPicPr>
                        <pic:blipFill>
                          <a:blip r:embed="rId271" r:link="rId272"/>
                          <a:stretch>
                            <a:fillRect/>
                          </a:stretch>
                        </pic:blipFill>
                        <pic:spPr>
                          <a:xfrm>
                            <a:off x="0" y="0"/>
                            <a:ext cx="266700" cy="161925"/>
                          </a:xfrm>
                          <a:prstGeom prst="rect">
                            <a:avLst/>
                          </a:prstGeom>
                          <a:noFill/>
                          <a:ln>
                            <a:noFill/>
                          </a:ln>
                        </pic:spPr>
                      </pic:pic>
                    </a:graphicData>
                  </a:graphic>
                </wp:inline>
              </w:drawing>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p>
          <w:p>
            <w:pPr>
              <w:widowControl/>
              <w:spacing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打开跌停        </w:t>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"https://www.tdx.com.cn/products/helpfile/tdxw/chm/%E7%AC%AC%E4%BA%8C%E7%AB%A0 %E5%8A%9F%E8%83%BD/2-25/2-25-4/10.png"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"https://www.tdx.com.cn/products/helpfile/tdxw/chm/%E7%AC%AC%E4%BA%8C%E7%AB%A0 %E5%8A%9F%E8%83%BD/2-25/2-25-4/10.png"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"https://www.tdx.com.cn/products/helpfile/tdxw/chm/%E7%AC%AC%E4%BA%8C%E7%AB%A0 %E5%8A%9F%E8%83%BD/2-25/2-25-4/10.png"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"https://www.tdx.com.cn/products/helpfile/tdxw/chm/%E7%AC%AC%E4%BA%8C%E7%AB%A0 %E5%8A%9F%E8%83%BD/2-25/2-25-4/10.png"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drawing>
                <wp:inline distT="0" distB="0" distL="114300" distR="114300">
                  <wp:extent cx="266700" cy="152400"/>
                  <wp:effectExtent l="0" t="0" r="0" b="0"/>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pic:cNvPicPr>
                            <a:picLocks noChangeAspect="1"/>
                          </pic:cNvPicPr>
                        </pic:nvPicPr>
                        <pic:blipFill>
                          <a:blip r:embed="rId273" r:link="rId274"/>
                          <a:stretch>
                            <a:fillRect/>
                          </a:stretch>
                        </pic:blipFill>
                        <pic:spPr>
                          <a:xfrm>
                            <a:off x="0" y="0"/>
                            <a:ext cx="266700" cy="152400"/>
                          </a:xfrm>
                          <a:prstGeom prst="rect">
                            <a:avLst/>
                          </a:prstGeom>
                          <a:noFill/>
                          <a:ln>
                            <a:noFill/>
                          </a:ln>
                        </pic:spPr>
                      </pic:pic>
                    </a:graphicData>
                  </a:graphic>
                </wp:inline>
              </w:drawing>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p>
        </w:tc>
        <w:tc>
          <w:tcPr>
            <w:tcW w:w="0" w:type="auto"/>
            <w:tcBorders>
              <w:top w:val="outset" w:color="000000" w:sz="6" w:space="0"/>
              <w:left w:val="outset" w:color="000000" w:sz="6" w:space="0"/>
              <w:bottom w:val="outset" w:color="000000" w:sz="6" w:space="0"/>
              <w:right w:val="outset" w:color="000000" w:sz="6" w:space="0"/>
            </w:tcBorders>
            <w:vAlign w:val="center"/>
          </w:tcPr>
          <w:p>
            <w:pPr>
              <w:widowControl/>
              <w:spacing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1. 今日封板后打开,有对手盘.</w:t>
            </w:r>
          </w:p>
          <w:p>
            <w:pPr>
              <w:widowControl/>
              <w:spacing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2. 揭示格式：对手盘最优价/已知的对手盘剩余总量</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tcBorders>
              <w:top w:val="outset" w:color="000000" w:sz="6" w:space="0"/>
              <w:left w:val="outset" w:color="000000" w:sz="6" w:space="0"/>
              <w:bottom w:val="outset" w:color="000000" w:sz="6" w:space="0"/>
              <w:right w:val="outset" w:color="000000" w:sz="6" w:space="0"/>
            </w:tcBorders>
            <w:vAlign w:val="center"/>
          </w:tcPr>
          <w:p>
            <w:pPr>
              <w:widowControl/>
              <w:spacing w:before="100" w:beforeAutospacing="1" w:after="100" w:afterAutospacing="1"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盘中强势</w:t>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"https://www.tdx.com.cn/products/helpfile/tdxw/chm/%E7%AC%AC%E4%BA%8C%E7%AB%A0 %E5%8A%9F%E8%83%BD/2-25/2-25-4/12.png"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"https://www.tdx.com.cn/products/helpfile/tdxw/chm/%E7%AC%AC%E4%BA%8C%E7%AB%A0 %E5%8A%9F%E8%83%BD/2-25/2-25-4/12.png"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"https://www.tdx.com.cn/products/helpfile/tdxw/chm/%E7%AC%AC%E4%BA%8C%E7%AB%A0 %E5%8A%9F%E8%83%BD/2-25/2-25-4/12.png"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"https://www.tdx.com.cn/products/helpfile/tdxw/chm/%E7%AC%AC%E4%BA%8C%E7%AB%A0 %E5%8A%9F%E8%83%BD/2-25/2-25-4/12.png"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drawing>
                <wp:inline distT="0" distB="0" distL="114300" distR="114300">
                  <wp:extent cx="228600" cy="123825"/>
                  <wp:effectExtent l="0" t="0" r="0" b="9525"/>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pic:cNvPicPr>
                            <a:picLocks noChangeAspect="1"/>
                          </pic:cNvPicPr>
                        </pic:nvPicPr>
                        <pic:blipFill>
                          <a:blip r:embed="rId275" r:link="rId276"/>
                          <a:stretch>
                            <a:fillRect/>
                          </a:stretch>
                        </pic:blipFill>
                        <pic:spPr>
                          <a:xfrm>
                            <a:off x="0" y="0"/>
                            <a:ext cx="228600" cy="123825"/>
                          </a:xfrm>
                          <a:prstGeom prst="rect">
                            <a:avLst/>
                          </a:prstGeom>
                          <a:noFill/>
                          <a:ln>
                            <a:noFill/>
                          </a:ln>
                        </pic:spPr>
                      </pic:pic>
                    </a:graphicData>
                  </a:graphic>
                </wp:inline>
              </w:drawing>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p>
          <w:p>
            <w:pPr>
              <w:widowControl/>
              <w:spacing w:before="100" w:beforeAutospacing="1" w:after="100" w:afterAutospacing="1"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盘中弱势</w:t>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"https://www.tdx.com.cn/products/helpfile/tdxw/chm/%E7%AC%AC%E4%BA%8C%E7%AB%A0 %E5%8A%9F%E8%83%BD/2-25/2-25-4/13.png"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"https://www.tdx.com.cn/products/helpfile/tdxw/chm/%E7%AC%AC%E4%BA%8C%E7%AB%A0 %E5%8A%9F%E8%83%BD/2-25/2-25-4/13.png"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"https://www.tdx.com.cn/products/helpfile/tdxw/chm/%E7%AC%AC%E4%BA%8C%E7%AB%A0 %E5%8A%9F%E8%83%BD/2-25/2-25-4/13.png"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fldChar w:fldCharType="begin"/>
            </w:r>
            <w:r>
              <w:rPr>
                <w:rFonts w:ascii="微软雅黑" w:hAnsi="微软雅黑" w:eastAsia="微软雅黑" w:cs="宋体"/>
                <w:kern w:val="0"/>
                <w:sz w:val="18"/>
                <w:szCs w:val="18"/>
              </w:rPr>
              <w:instrText xml:space="preserve"> INCLUDEPICTURE  "https://www.tdx.com.cn/products/helpfile/tdxw/chm/%E7%AC%AC%E4%BA%8C%E7%AB%A0 %E5%8A%9F%E8%83%BD/2-25/2-25-4/13.png" \* MERGEFORMATINET </w:instrText>
            </w:r>
            <w:r>
              <w:rPr>
                <w:rFonts w:ascii="微软雅黑" w:hAnsi="微软雅黑" w:eastAsia="微软雅黑" w:cs="宋体"/>
                <w:kern w:val="0"/>
                <w:sz w:val="18"/>
                <w:szCs w:val="18"/>
              </w:rPr>
              <w:fldChar w:fldCharType="separate"/>
            </w:r>
            <w:r>
              <w:rPr>
                <w:rFonts w:ascii="微软雅黑" w:hAnsi="微软雅黑" w:eastAsia="微软雅黑" w:cs="宋体"/>
                <w:kern w:val="0"/>
                <w:sz w:val="18"/>
                <w:szCs w:val="18"/>
              </w:rPr>
              <w:drawing>
                <wp:inline distT="0" distB="0" distL="114300" distR="114300">
                  <wp:extent cx="219075" cy="104775"/>
                  <wp:effectExtent l="0" t="0" r="9525" b="9525"/>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pic:cNvPicPr>
                            <a:picLocks noChangeAspect="1"/>
                          </pic:cNvPicPr>
                        </pic:nvPicPr>
                        <pic:blipFill>
                          <a:blip r:embed="rId277" r:link="rId278"/>
                          <a:stretch>
                            <a:fillRect/>
                          </a:stretch>
                        </pic:blipFill>
                        <pic:spPr>
                          <a:xfrm>
                            <a:off x="0" y="0"/>
                            <a:ext cx="219075" cy="104775"/>
                          </a:xfrm>
                          <a:prstGeom prst="rect">
                            <a:avLst/>
                          </a:prstGeom>
                          <a:noFill/>
                          <a:ln>
                            <a:noFill/>
                          </a:ln>
                        </pic:spPr>
                      </pic:pic>
                    </a:graphicData>
                  </a:graphic>
                </wp:inline>
              </w:drawing>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r>
              <w:rPr>
                <w:rFonts w:ascii="微软雅黑" w:hAnsi="微软雅黑" w:eastAsia="微软雅黑" w:cs="宋体"/>
                <w:kern w:val="0"/>
                <w:sz w:val="18"/>
                <w:szCs w:val="18"/>
              </w:rPr>
              <w:fldChar w:fldCharType="end"/>
            </w:r>
          </w:p>
        </w:tc>
        <w:tc>
          <w:tcPr>
            <w:tcW w:w="0" w:type="auto"/>
            <w:tcBorders>
              <w:top w:val="outset" w:color="000000" w:sz="6" w:space="0"/>
              <w:left w:val="outset" w:color="000000" w:sz="6" w:space="0"/>
              <w:bottom w:val="outset" w:color="000000" w:sz="6" w:space="0"/>
              <w:right w:val="outset" w:color="000000" w:sz="6" w:space="0"/>
            </w:tcBorders>
            <w:vAlign w:val="center"/>
          </w:tcPr>
          <w:p>
            <w:pPr>
              <w:widowControl/>
              <w:spacing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1.绝对或者相对大盘偏离的涨跌幅度首次达到±5%/±7%/±9%,进行预警 </w:t>
            </w:r>
          </w:p>
          <w:p>
            <w:pPr>
              <w:widowControl/>
              <w:spacing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2.如果直接达到较高幅度,直接预警较高的幅度,较低的幅度直接略过并且不再单独预警 </w:t>
            </w:r>
          </w:p>
          <w:p>
            <w:pPr>
              <w:widowControl/>
              <w:spacing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3.正向和负向分别达到预警标准的,各预警一次 </w:t>
            </w:r>
          </w:p>
          <w:p>
            <w:pPr>
              <w:widowControl/>
              <w:spacing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4.绝对幅度和相对大盘偏离幅度,对于同一个幅度只预警一次</w:t>
            </w:r>
          </w:p>
          <w:p>
            <w:pPr>
              <w:widowControl/>
              <w:spacing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5.揭示格式：偏离幅度</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rHeight w:val="782" w:hRule="atLeast"/>
          <w:tblCellSpacing w:w="0" w:type="dxa"/>
        </w:trPr>
        <w:tc>
          <w:tcPr>
            <w:tcW w:w="0" w:type="auto"/>
            <w:tcBorders>
              <w:top w:val="outset" w:color="000000" w:sz="6" w:space="0"/>
              <w:left w:val="outset" w:color="000000" w:sz="6" w:space="0"/>
              <w:bottom w:val="outset" w:color="000000" w:sz="6" w:space="0"/>
              <w:right w:val="outset" w:color="000000" w:sz="6" w:space="0"/>
            </w:tcBorders>
            <w:vAlign w:val="center"/>
          </w:tcPr>
          <w:p>
            <w:pPr>
              <w:widowControl/>
              <w:spacing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特大多开/多平/空开/空平</w:t>
            </w:r>
          </w:p>
        </w:tc>
        <w:tc>
          <w:tcPr>
            <w:tcW w:w="0" w:type="auto"/>
            <w:tcBorders>
              <w:top w:val="outset" w:color="000000" w:sz="6" w:space="0"/>
              <w:left w:val="outset" w:color="000000" w:sz="6" w:space="0"/>
              <w:bottom w:val="outset" w:color="000000" w:sz="6" w:space="0"/>
              <w:right w:val="outset" w:color="000000" w:sz="6" w:space="0"/>
            </w:tcBorders>
            <w:vAlign w:val="center"/>
          </w:tcPr>
          <w:p>
            <w:pPr>
              <w:widowControl/>
              <w:spacing w:before="100" w:beforeAutospacing="1" w:after="100" w:afterAutospacing="1" w:line="240" w:lineRule="auto"/>
              <w:jc w:val="left"/>
              <w:rPr>
                <w:rFonts w:ascii="微软雅黑" w:hAnsi="微软雅黑" w:eastAsia="微软雅黑" w:cs="宋体"/>
                <w:kern w:val="0"/>
                <w:sz w:val="18"/>
                <w:szCs w:val="18"/>
              </w:rPr>
            </w:pPr>
            <w:r>
              <w:rPr>
                <w:rFonts w:hint="eastAsia" w:ascii="微软雅黑" w:hAnsi="微软雅黑" w:eastAsia="微软雅黑" w:cs="宋体"/>
                <w:kern w:val="0"/>
                <w:sz w:val="18"/>
                <w:szCs w:val="18"/>
              </w:rPr>
              <w:t>特大采用成交量判断：大于300手,也大于当前持仓量的1/900.</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rHeight w:val="113" w:hRule="atLeast"/>
          <w:tblCellSpacing w:w="0" w:type="dxa"/>
        </w:trPr>
        <w:tc>
          <w:tcPr>
            <w:tcW w:w="0" w:type="auto"/>
            <w:tcBorders>
              <w:top w:val="outset" w:color="000000" w:sz="6" w:space="0"/>
              <w:left w:val="outset" w:color="000000" w:sz="6" w:space="0"/>
              <w:bottom w:val="outset" w:color="000000" w:sz="6" w:space="0"/>
              <w:right w:val="outset" w:color="000000" w:sz="6" w:space="0"/>
            </w:tcBorders>
            <w:vAlign w:val="center"/>
          </w:tcPr>
          <w:p>
            <w:pPr>
              <w:widowControl/>
              <w:spacing w:line="240" w:lineRule="auto"/>
              <w:jc w:val="left"/>
              <w:rPr>
                <w:rFonts w:ascii="微软雅黑" w:hAnsi="微软雅黑" w:eastAsia="微软雅黑" w:cs="宋体"/>
                <w:kern w:val="0"/>
                <w:sz w:val="18"/>
                <w:szCs w:val="18"/>
              </w:rPr>
            </w:pPr>
            <w:r>
              <w:rPr>
                <w:rFonts w:ascii="微软雅黑" w:hAnsi="微软雅黑" w:eastAsia="微软雅黑" w:cs="宋体"/>
                <w:kern w:val="0"/>
                <w:sz w:val="18"/>
                <w:szCs w:val="18"/>
              </w:rPr>
              <w:t>盘前大涨/盘前大跌/盘后大涨/盘后大跌</w:t>
            </w:r>
          </w:p>
        </w:tc>
        <w:tc>
          <w:tcPr>
            <w:tcW w:w="0" w:type="auto"/>
            <w:tcBorders>
              <w:top w:val="outset" w:color="000000" w:sz="6" w:space="0"/>
              <w:left w:val="outset" w:color="000000" w:sz="6" w:space="0"/>
              <w:bottom w:val="outset" w:color="000000" w:sz="6" w:space="0"/>
              <w:right w:val="outset" w:color="000000" w:sz="6" w:space="0"/>
            </w:tcBorders>
            <w:vAlign w:val="center"/>
          </w:tcPr>
          <w:p>
            <w:pPr>
              <w:widowControl/>
              <w:spacing w:before="100" w:beforeAutospacing="1" w:after="100" w:afterAutospacing="1" w:line="240" w:lineRule="auto"/>
              <w:jc w:val="left"/>
              <w:rPr>
                <w:rFonts w:ascii="微软雅黑" w:hAnsi="微软雅黑" w:eastAsia="微软雅黑" w:cs="宋体"/>
                <w:kern w:val="0"/>
                <w:sz w:val="18"/>
                <w:szCs w:val="18"/>
              </w:rPr>
            </w:pPr>
            <w:r>
              <w:rPr>
                <w:rFonts w:ascii="微软雅黑" w:hAnsi="微软雅黑" w:eastAsia="微软雅黑" w:cs="宋体"/>
                <w:kern w:val="0"/>
                <w:sz w:val="18"/>
                <w:szCs w:val="18"/>
              </w:rPr>
              <w:t>数据: 美股盘前/盘后行情</w:t>
            </w:r>
          </w:p>
          <w:p>
            <w:pPr>
              <w:widowControl/>
              <w:spacing w:before="100" w:beforeAutospacing="1" w:after="100" w:afterAutospacing="1" w:line="240" w:lineRule="auto"/>
              <w:jc w:val="left"/>
              <w:rPr>
                <w:rFonts w:ascii="微软雅黑" w:hAnsi="微软雅黑" w:eastAsia="微软雅黑" w:cs="宋体"/>
                <w:kern w:val="0"/>
                <w:sz w:val="18"/>
                <w:szCs w:val="18"/>
              </w:rPr>
            </w:pPr>
            <w:r>
              <w:rPr>
                <w:rFonts w:ascii="微软雅黑" w:hAnsi="微软雅黑" w:eastAsia="微软雅黑" w:cs="宋体"/>
                <w:kern w:val="0"/>
                <w:sz w:val="18"/>
                <w:szCs w:val="18"/>
              </w:rPr>
              <w:t>标准</w:t>
            </w:r>
            <w:r>
              <w:rPr>
                <w:rFonts w:hint="eastAsia" w:ascii="微软雅黑" w:hAnsi="微软雅黑" w:eastAsia="微软雅黑" w:cs="宋体"/>
                <w:kern w:val="0"/>
                <w:sz w:val="18"/>
                <w:szCs w:val="18"/>
              </w:rPr>
              <w:t>:</w:t>
            </w:r>
            <w:r>
              <w:rPr>
                <w:rFonts w:ascii="微软雅黑" w:hAnsi="微软雅黑" w:eastAsia="微软雅黑" w:cs="宋体"/>
                <w:kern w:val="0"/>
                <w:sz w:val="18"/>
                <w:szCs w:val="18"/>
              </w:rPr>
              <w:t>当前涨幅绝对值超过5%产生信号，记录当前涨幅和时间；如果后面再次满足条件且幅度达到之前的1.2倍，则替换之前生成的信号并更新记录当前涨幅和时间</w:t>
            </w:r>
          </w:p>
          <w:p>
            <w:pPr>
              <w:widowControl/>
              <w:spacing w:before="100" w:beforeAutospacing="1" w:after="100" w:afterAutospacing="1" w:line="240" w:lineRule="auto"/>
              <w:jc w:val="left"/>
              <w:rPr>
                <w:rFonts w:ascii="微软雅黑" w:hAnsi="微软雅黑" w:eastAsia="微软雅黑" w:cs="宋体"/>
                <w:kern w:val="0"/>
                <w:sz w:val="18"/>
                <w:szCs w:val="18"/>
              </w:rPr>
            </w:pPr>
            <w:r>
              <w:rPr>
                <w:rFonts w:ascii="微软雅黑" w:hAnsi="微软雅黑" w:eastAsia="微软雅黑" w:cs="宋体"/>
                <w:kern w:val="0"/>
                <w:sz w:val="18"/>
                <w:szCs w:val="18"/>
              </w:rPr>
              <w:t>预警标的: 美股-知名美股(道琼斯成份股/标普成份股/纳斯达克100)加10亿以上中概股</w:t>
            </w:r>
          </w:p>
          <w:p>
            <w:pPr>
              <w:widowControl/>
              <w:spacing w:before="100" w:beforeAutospacing="1" w:after="100" w:afterAutospacing="1" w:line="240" w:lineRule="auto"/>
              <w:jc w:val="left"/>
              <w:rPr>
                <w:rFonts w:ascii="微软雅黑" w:hAnsi="微软雅黑" w:eastAsia="微软雅黑" w:cs="宋体"/>
                <w:kern w:val="0"/>
                <w:sz w:val="18"/>
                <w:szCs w:val="18"/>
              </w:rPr>
            </w:pPr>
            <w:r>
              <w:rPr>
                <w:rFonts w:ascii="微软雅黑" w:hAnsi="微软雅黑" w:eastAsia="微软雅黑" w:cs="宋体"/>
                <w:kern w:val="0"/>
                <w:sz w:val="18"/>
                <w:szCs w:val="18"/>
              </w:rPr>
              <w:t>揭示格式:涨幅/跌幅</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rHeight w:val="742" w:hRule="atLeast"/>
          <w:tblCellSpacing w:w="0" w:type="dxa"/>
        </w:trPr>
        <w:tc>
          <w:tcPr>
            <w:tcW w:w="0" w:type="auto"/>
            <w:tcBorders>
              <w:top w:val="outset" w:color="000000" w:sz="6" w:space="0"/>
              <w:left w:val="outset" w:color="000000" w:sz="6" w:space="0"/>
              <w:bottom w:val="outset" w:color="000000" w:sz="6" w:space="0"/>
              <w:right w:val="outset" w:color="000000" w:sz="6" w:space="0"/>
            </w:tcBorders>
            <w:vAlign w:val="center"/>
          </w:tcPr>
          <w:p>
            <w:pPr>
              <w:widowControl/>
              <w:spacing w:line="240" w:lineRule="auto"/>
              <w:jc w:val="left"/>
              <w:rPr>
                <w:rFonts w:ascii="微软雅黑" w:hAnsi="微软雅黑" w:eastAsia="微软雅黑" w:cs="宋体"/>
                <w:kern w:val="0"/>
                <w:sz w:val="18"/>
                <w:szCs w:val="18"/>
              </w:rPr>
            </w:pPr>
            <w:r>
              <w:rPr>
                <w:rFonts w:ascii="微软雅黑" w:hAnsi="微软雅黑" w:eastAsia="微软雅黑" w:cs="宋体"/>
                <w:kern w:val="0"/>
                <w:sz w:val="18"/>
                <w:szCs w:val="18"/>
              </w:rPr>
              <w:t>盘中大涨/盘中大跌</w:t>
            </w:r>
          </w:p>
        </w:tc>
        <w:tc>
          <w:tcPr>
            <w:tcW w:w="0" w:type="auto"/>
            <w:tcBorders>
              <w:top w:val="outset" w:color="000000" w:sz="6" w:space="0"/>
              <w:left w:val="outset" w:color="000000" w:sz="6" w:space="0"/>
              <w:bottom w:val="outset" w:color="000000" w:sz="6" w:space="0"/>
              <w:right w:val="outset" w:color="000000" w:sz="6" w:space="0"/>
            </w:tcBorders>
            <w:vAlign w:val="center"/>
          </w:tcPr>
          <w:p>
            <w:pPr>
              <w:widowControl/>
              <w:spacing w:before="100" w:beforeAutospacing="1" w:after="100" w:afterAutospacing="1" w:line="240" w:lineRule="auto"/>
              <w:jc w:val="left"/>
              <w:rPr>
                <w:rFonts w:ascii="微软雅黑" w:hAnsi="微软雅黑" w:eastAsia="微软雅黑" w:cs="宋体"/>
                <w:kern w:val="0"/>
                <w:sz w:val="18"/>
                <w:szCs w:val="18"/>
              </w:rPr>
            </w:pPr>
            <w:r>
              <w:rPr>
                <w:rFonts w:ascii="微软雅黑" w:hAnsi="微软雅黑" w:eastAsia="微软雅黑" w:cs="宋体"/>
                <w:kern w:val="0"/>
                <w:sz w:val="18"/>
                <w:szCs w:val="18"/>
              </w:rPr>
              <w:t>数据: 盘中行情</w:t>
            </w:r>
          </w:p>
          <w:p>
            <w:pPr>
              <w:widowControl/>
              <w:spacing w:before="100" w:beforeAutospacing="1" w:after="100" w:afterAutospacing="1" w:line="240" w:lineRule="auto"/>
              <w:jc w:val="left"/>
              <w:rPr>
                <w:rFonts w:ascii="微软雅黑" w:hAnsi="微软雅黑" w:eastAsia="微软雅黑" w:cs="宋体"/>
                <w:kern w:val="0"/>
                <w:sz w:val="18"/>
                <w:szCs w:val="18"/>
              </w:rPr>
            </w:pPr>
            <w:r>
              <w:rPr>
                <w:rFonts w:ascii="微软雅黑" w:hAnsi="微软雅黑" w:eastAsia="微软雅黑" w:cs="宋体"/>
                <w:kern w:val="0"/>
                <w:sz w:val="18"/>
                <w:szCs w:val="18"/>
              </w:rPr>
              <w:t>标准</w:t>
            </w:r>
            <w:r>
              <w:rPr>
                <w:rFonts w:hint="eastAsia" w:ascii="微软雅黑" w:hAnsi="微软雅黑" w:eastAsia="微软雅黑" w:cs="宋体"/>
                <w:kern w:val="0"/>
                <w:sz w:val="18"/>
                <w:szCs w:val="18"/>
              </w:rPr>
              <w:t>:</w:t>
            </w:r>
            <w:r>
              <w:rPr>
                <w:rFonts w:ascii="微软雅黑" w:hAnsi="微软雅黑" w:eastAsia="微软雅黑" w:cs="宋体"/>
                <w:kern w:val="0"/>
                <w:sz w:val="18"/>
                <w:szCs w:val="18"/>
              </w:rPr>
              <w:t>当前涨幅绝对值超过5%产生信号 记录当前涨幅和时间；如果后面再次满足条件且幅度达到之前的1.2倍，则替换之前生成的信号并更新记录当前涨幅和时间</w:t>
            </w:r>
          </w:p>
          <w:p>
            <w:pPr>
              <w:widowControl/>
              <w:spacing w:before="100" w:beforeAutospacing="1" w:after="100" w:afterAutospacing="1" w:line="240" w:lineRule="auto"/>
              <w:jc w:val="left"/>
              <w:rPr>
                <w:rFonts w:ascii="微软雅黑" w:hAnsi="微软雅黑" w:eastAsia="微软雅黑" w:cs="宋体"/>
                <w:kern w:val="0"/>
                <w:sz w:val="18"/>
                <w:szCs w:val="18"/>
              </w:rPr>
            </w:pPr>
            <w:r>
              <w:rPr>
                <w:rFonts w:ascii="微软雅黑" w:hAnsi="微软雅黑" w:eastAsia="微软雅黑" w:cs="宋体"/>
                <w:kern w:val="0"/>
                <w:sz w:val="18"/>
                <w:szCs w:val="18"/>
              </w:rPr>
              <w:t>预警标的: 港股-100亿以上/美股-知名美股(道琼斯成份股/标普成份股/纳斯达克100)加10亿以上中概股</w:t>
            </w:r>
          </w:p>
          <w:p>
            <w:pPr>
              <w:widowControl/>
              <w:spacing w:before="100" w:beforeAutospacing="1" w:after="100" w:afterAutospacing="1" w:line="240" w:lineRule="auto"/>
              <w:jc w:val="left"/>
              <w:rPr>
                <w:rFonts w:ascii="微软雅黑" w:hAnsi="微软雅黑" w:eastAsia="微软雅黑" w:cs="宋体"/>
                <w:kern w:val="0"/>
                <w:sz w:val="18"/>
                <w:szCs w:val="18"/>
              </w:rPr>
            </w:pPr>
            <w:r>
              <w:rPr>
                <w:rFonts w:ascii="微软雅黑" w:hAnsi="微软雅黑" w:eastAsia="微软雅黑" w:cs="宋体"/>
                <w:kern w:val="0"/>
                <w:sz w:val="18"/>
                <w:szCs w:val="18"/>
              </w:rPr>
              <w:t>揭示格式:涨幅/跌幅</w:t>
            </w:r>
          </w:p>
        </w:tc>
      </w:tr>
    </w:tbl>
    <w:p>
      <w:pPr>
        <w:pStyle w:val="3"/>
      </w:pPr>
      <w:bookmarkStart w:id="21" w:name="_Toc90646140"/>
      <w:r>
        <w:rPr>
          <w:rFonts w:hint="eastAsia"/>
        </w:rPr>
        <w:t>策略股票池</w:t>
      </w:r>
      <w:bookmarkEnd w:id="21"/>
    </w:p>
    <w:p>
      <w:pPr>
        <w:pStyle w:val="34"/>
      </w:pPr>
      <w:r>
        <w:rPr>
          <w:rFonts w:hint="eastAsia"/>
        </w:rPr>
        <w:t>打开方式：</w:t>
      </w:r>
    </w:p>
    <w:p>
      <w:pPr>
        <w:pStyle w:val="34"/>
      </w:pPr>
      <w:r>
        <w:rPr>
          <w:rFonts w:hint="eastAsia"/>
        </w:rPr>
        <w:t>功能——策略股票池</w:t>
      </w:r>
    </w:p>
    <w:p>
      <w:pPr>
        <w:pStyle w:val="34"/>
      </w:pPr>
      <w:r>
        <w:rPr>
          <w:rFonts w:hint="eastAsia"/>
        </w:rPr>
        <w:t>功能要点</w:t>
      </w:r>
    </w:p>
    <w:p>
      <w:pPr>
        <w:pStyle w:val="34"/>
      </w:pPr>
      <w:r>
        <w:rPr>
          <w:rFonts w:hint="eastAsia"/>
        </w:rPr>
        <w:t>●将鼠标移动到操作菜单栏的具体某个操作图标，就会显示此图标的功能关键字。 </w:t>
      </w:r>
    </w:p>
    <w:p>
      <w:pPr>
        <w:pStyle w:val="34"/>
      </w:pPr>
      <w:r>
        <w:rPr>
          <w:rFonts w:hint="eastAsia"/>
        </w:rPr>
        <w:t>●运行中的股票池不可以更改其图元。</w:t>
      </w:r>
    </w:p>
    <w:p>
      <w:pPr>
        <w:pStyle w:val="34"/>
      </w:pPr>
      <w:r>
        <w:rPr>
          <w:rFonts w:hint="eastAsia"/>
        </w:rPr>
        <w:t>●双击各图形元素可以对各图形单元进行属性设置或修改。</w:t>
      </w:r>
    </w:p>
    <w:p>
      <w:pPr>
        <w:pStyle w:val="34"/>
      </w:pPr>
      <w:r>
        <w:rPr>
          <w:rFonts w:hint="eastAsia"/>
        </w:rPr>
        <w:t>●对齐操作的标准：和最后一个选的保持一致，以ctrl最后选的那个为参照物</w:t>
      </w:r>
    </w:p>
    <w:p>
      <w:pPr>
        <w:pStyle w:val="34"/>
      </w:pPr>
      <w:r>
        <w:rPr>
          <w:rFonts w:hint="eastAsia"/>
        </w:rPr>
        <w:t>●点击“执行顺序”可以点击流程线改变执行顺序</w:t>
      </w:r>
    </w:p>
    <w:p>
      <w:pPr>
        <w:pStyle w:val="34"/>
      </w:pPr>
      <w:r>
        <w:rPr>
          <w:rFonts w:hint="eastAsia"/>
        </w:rPr>
        <w:t>●查看池子股票是否满足设定条件时一定注意以进入价来计算而不是最新价</w:t>
      </w:r>
    </w:p>
    <w:p>
      <w:pPr>
        <w:pStyle w:val="34"/>
      </w:pPr>
      <w:r>
        <w:rPr>
          <w:rFonts w:hint="eastAsia"/>
        </w:rPr>
        <w:t>●想让股票池根据即时行情更新快些就双击状态池设置状态池属性N秒清除一次</w:t>
      </w:r>
    </w:p>
    <w:p>
      <w:pPr>
        <w:pStyle w:val="34"/>
      </w:pPr>
      <w:r>
        <w:rPr>
          <w:rFonts w:hint="eastAsia"/>
        </w:rPr>
        <w:t>●文字添加菜单，添加了文字直接按住黄色拖动就可以扩大文本框内容</w:t>
      </w:r>
    </w:p>
    <w:p>
      <w:pPr>
        <w:pStyle w:val="34"/>
      </w:pPr>
      <w:r>
        <w:rPr>
          <w:rFonts w:hint="eastAsia"/>
        </w:rPr>
        <w:t>●最多支持同时运行9个股票池</w:t>
      </w:r>
    </w:p>
    <w:p>
      <w:pPr>
        <w:pStyle w:val="34"/>
      </w:pPr>
      <w:r>
        <w:rPr>
          <w:rFonts w:hint="eastAsia"/>
        </w:rPr>
        <w:t>●支持ctrl+c，ctrl+v复制图元</w:t>
      </w:r>
    </w:p>
    <w:p>
      <w:pPr>
        <w:pStyle w:val="34"/>
      </w:pPr>
      <w:r>
        <w:rPr>
          <w:rFonts w:hint="eastAsia"/>
        </w:rPr>
        <w:t>●收益=（现价-进入价）/进入价*100</w:t>
      </w:r>
    </w:p>
    <w:p>
      <w:pPr>
        <w:pStyle w:val="34"/>
      </w:pPr>
      <w:r>
        <w:rPr>
          <w:rFonts w:hint="eastAsia"/>
        </w:rPr>
        <w:t>股票池功能菜单元素</w:t>
      </w:r>
    </w:p>
    <w:p>
      <w:pPr>
        <w:pStyle w:val="34"/>
      </w:pPr>
      <w:r>
        <w:fldChar w:fldCharType="begin"/>
      </w:r>
      <w:r>
        <w:instrText xml:space="preserve"> INCLUDEPICTURE  "https://www.tdx.com.cn/products/helpfile/tdxw/chm/%E7%AC%AC%E4%BA%8C%E7%AB%A0 %E5%8A%9F%E8%83%BD/2-12/1.jpg" \* MERGEFORMATINET </w:instrText>
      </w:r>
      <w:r>
        <w:fldChar w:fldCharType="separate"/>
      </w:r>
      <w:r>
        <w:fldChar w:fldCharType="begin"/>
      </w:r>
      <w:r>
        <w:instrText xml:space="preserve"> INCLUDEPICTURE  "https://www.tdx.com.cn/products/helpfile/tdxw/chm/%E7%AC%AC%E4%BA%8C%E7%AB%A0 %E5%8A%9F%E8%83%BD/2-12/1.jpg" \* MERGEFORMATINET </w:instrText>
      </w:r>
      <w:r>
        <w:fldChar w:fldCharType="separate"/>
      </w:r>
      <w:r>
        <w:fldChar w:fldCharType="begin"/>
      </w:r>
      <w:r>
        <w:instrText xml:space="preserve"> INCLUDEPICTURE  "https://www.tdx.com.cn/products/helpfile/tdxw/chm/%E7%AC%AC%E4%BA%8C%E7%AB%A0 %E5%8A%9F%E8%83%BD/2-12/1.jpg" \* MERGEFORMATINET </w:instrText>
      </w:r>
      <w:r>
        <w:fldChar w:fldCharType="separate"/>
      </w:r>
      <w:r>
        <w:fldChar w:fldCharType="begin"/>
      </w:r>
      <w:r>
        <w:instrText xml:space="preserve"> INCLUDEPICTURE  "https://www.tdx.com.cn/products/helpfile/tdxw/chm/%E7%AC%AC%E4%BA%8C%E7%AB%A0 %E5%8A%9F%E8%83%BD/2-12/1.jpg" \* MERGEFORMATINET </w:instrText>
      </w:r>
      <w:r>
        <w:fldChar w:fldCharType="separate"/>
      </w:r>
      <w:r>
        <w:drawing>
          <wp:inline distT="0" distB="0" distL="114300" distR="114300">
            <wp:extent cx="7372350" cy="390525"/>
            <wp:effectExtent l="0" t="0" r="0" b="9525"/>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pic:cNvPicPr>
                      <a:picLocks noChangeAspect="1"/>
                    </pic:cNvPicPr>
                  </pic:nvPicPr>
                  <pic:blipFill>
                    <a:blip r:embed="rId279" r:link="rId280"/>
                    <a:stretch>
                      <a:fillRect/>
                    </a:stretch>
                  </pic:blipFill>
                  <pic:spPr>
                    <a:xfrm>
                      <a:off x="0" y="0"/>
                      <a:ext cx="7372350" cy="390525"/>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文件操作</w:t>
      </w:r>
    </w:p>
    <w:tbl>
      <w:tblPr>
        <w:tblStyle w:val="25"/>
        <w:tblW w:w="0" w:type="auto"/>
        <w:tblCellSpacing w:w="0" w:type="dxa"/>
        <w:tblInd w:w="0" w:type="dxa"/>
        <w:tblBorders>
          <w:top w:val="outset" w:color="auto" w:sz="6" w:space="0"/>
          <w:left w:val="outset" w:color="auto" w:sz="6" w:space="0"/>
          <w:bottom w:val="outset" w:color="auto" w:sz="6" w:space="0"/>
          <w:right w:val="outset" w:color="auto" w:sz="6" w:space="0"/>
          <w:insideH w:val="none" w:color="auto" w:sz="0" w:space="0"/>
          <w:insideV w:val="none" w:color="auto" w:sz="0" w:space="0"/>
        </w:tblBorders>
        <w:tblLayout w:type="autofit"/>
        <w:tblCellMar>
          <w:top w:w="0" w:type="dxa"/>
          <w:left w:w="0" w:type="dxa"/>
          <w:bottom w:w="0" w:type="dxa"/>
          <w:right w:w="0" w:type="dxa"/>
        </w:tblCellMar>
      </w:tblPr>
      <w:tblGrid>
        <w:gridCol w:w="1980"/>
        <w:gridCol w:w="10509"/>
      </w:tblGrid>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980"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图标功能关键字</w:t>
            </w:r>
          </w:p>
        </w:tc>
        <w:tc>
          <w:tcPr>
            <w:tcW w:w="10509"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功能说明</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980"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新建</w:t>
            </w:r>
          </w:p>
        </w:tc>
        <w:tc>
          <w:tcPr>
            <w:tcW w:w="10509"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新建一个股票池</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980"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打开</w:t>
            </w:r>
          </w:p>
        </w:tc>
        <w:tc>
          <w:tcPr>
            <w:tcW w:w="10509"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打开股票池文件XML文件，可以直接展示这个xml文件所有元素</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980"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保存</w:t>
            </w:r>
          </w:p>
        </w:tc>
        <w:tc>
          <w:tcPr>
            <w:tcW w:w="10509"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保存修改过的股票池文件</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980"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删除</w:t>
            </w:r>
          </w:p>
        </w:tc>
        <w:tc>
          <w:tcPr>
            <w:tcW w:w="10509"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删除当前股票池文件</w:t>
            </w:r>
          </w:p>
        </w:tc>
      </w:tr>
    </w:tbl>
    <w:p>
      <w:pPr>
        <w:pStyle w:val="34"/>
      </w:pPr>
      <w:r>
        <w:rPr>
          <w:rFonts w:hint="eastAsia"/>
        </w:rPr>
        <w:t>股票池操作</w:t>
      </w:r>
    </w:p>
    <w:tbl>
      <w:tblPr>
        <w:tblStyle w:val="25"/>
        <w:tblW w:w="0" w:type="auto"/>
        <w:tblCellSpacing w:w="0" w:type="dxa"/>
        <w:tblInd w:w="0" w:type="dxa"/>
        <w:tblBorders>
          <w:top w:val="outset" w:color="auto" w:sz="6" w:space="0"/>
          <w:left w:val="outset" w:color="auto" w:sz="6" w:space="0"/>
          <w:bottom w:val="outset" w:color="auto" w:sz="6" w:space="0"/>
          <w:right w:val="outset" w:color="auto" w:sz="6" w:space="0"/>
          <w:insideH w:val="none" w:color="auto" w:sz="0" w:space="0"/>
          <w:insideV w:val="none" w:color="auto" w:sz="0" w:space="0"/>
        </w:tblBorders>
        <w:tblLayout w:type="autofit"/>
        <w:tblCellMar>
          <w:top w:w="0" w:type="dxa"/>
          <w:left w:w="0" w:type="dxa"/>
          <w:bottom w:w="0" w:type="dxa"/>
          <w:right w:w="0" w:type="dxa"/>
        </w:tblCellMar>
      </w:tblPr>
      <w:tblGrid>
        <w:gridCol w:w="1980"/>
        <w:gridCol w:w="10509"/>
      </w:tblGrid>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980"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图标功能关键字</w:t>
            </w:r>
          </w:p>
        </w:tc>
        <w:tc>
          <w:tcPr>
            <w:tcW w:w="10509"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功能说明</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980"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运行</w:t>
            </w:r>
          </w:p>
        </w:tc>
        <w:tc>
          <w:tcPr>
            <w:tcW w:w="10509"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运行当前股票池</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980"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暂停</w:t>
            </w:r>
          </w:p>
        </w:tc>
        <w:tc>
          <w:tcPr>
            <w:tcW w:w="10509"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暂停当前运行的股票池的运算</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980"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停止</w:t>
            </w:r>
          </w:p>
        </w:tc>
        <w:tc>
          <w:tcPr>
            <w:tcW w:w="10509"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停止股票池的运行</w:t>
            </w:r>
          </w:p>
        </w:tc>
      </w:tr>
    </w:tbl>
    <w:p>
      <w:pPr>
        <w:pStyle w:val="34"/>
      </w:pPr>
      <w:r>
        <w:rPr>
          <w:rFonts w:hint="eastAsia"/>
        </w:rPr>
        <w:t>主要图形元素</w:t>
      </w:r>
    </w:p>
    <w:tbl>
      <w:tblPr>
        <w:tblStyle w:val="25"/>
        <w:tblW w:w="0" w:type="auto"/>
        <w:tblCellSpacing w:w="0" w:type="dxa"/>
        <w:tblInd w:w="0" w:type="dxa"/>
        <w:tblBorders>
          <w:top w:val="outset" w:color="auto" w:sz="6" w:space="0"/>
          <w:left w:val="outset" w:color="auto" w:sz="6" w:space="0"/>
          <w:bottom w:val="outset" w:color="auto" w:sz="6" w:space="0"/>
          <w:right w:val="outset" w:color="auto" w:sz="6" w:space="0"/>
          <w:insideH w:val="none" w:color="auto" w:sz="0" w:space="0"/>
          <w:insideV w:val="none" w:color="auto" w:sz="0" w:space="0"/>
        </w:tblBorders>
        <w:tblLayout w:type="autofit"/>
        <w:tblCellMar>
          <w:top w:w="0" w:type="dxa"/>
          <w:left w:w="0" w:type="dxa"/>
          <w:bottom w:w="0" w:type="dxa"/>
          <w:right w:w="0" w:type="dxa"/>
        </w:tblCellMar>
      </w:tblPr>
      <w:tblGrid>
        <w:gridCol w:w="1980"/>
        <w:gridCol w:w="10509"/>
      </w:tblGrid>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980"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图标功能关键字</w:t>
            </w:r>
          </w:p>
        </w:tc>
        <w:tc>
          <w:tcPr>
            <w:tcW w:w="10509"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功能说明</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980"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选择</w:t>
            </w:r>
          </w:p>
        </w:tc>
        <w:tc>
          <w:tcPr>
            <w:tcW w:w="10509"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可以选择已画的任何图元</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980"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备选池</w:t>
            </w:r>
          </w:p>
        </w:tc>
        <w:tc>
          <w:tcPr>
            <w:tcW w:w="10509"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添加到选股范围到备选池中作为条件运算的源股票池</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980"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状态池</w:t>
            </w:r>
          </w:p>
        </w:tc>
        <w:tc>
          <w:tcPr>
            <w:tcW w:w="10509"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可以显示股票代码、股票名称、股票进入股票池时间、股票进入股票池价格、股票的最新价、股票的涨幅、股票当天成交总手等信息的目的股票池</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980"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转移条件</w:t>
            </w:r>
          </w:p>
        </w:tc>
        <w:tc>
          <w:tcPr>
            <w:tcW w:w="10509"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设置源股票池的筛选条件</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980"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流程线</w:t>
            </w:r>
          </w:p>
        </w:tc>
        <w:tc>
          <w:tcPr>
            <w:tcW w:w="10509"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连接股票池和转移条件</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980"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执行顺序</w:t>
            </w:r>
          </w:p>
        </w:tc>
        <w:tc>
          <w:tcPr>
            <w:tcW w:w="10509"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点击可以查看股票池运行过程中各条件的计算顺序</w:t>
            </w:r>
          </w:p>
        </w:tc>
      </w:tr>
    </w:tbl>
    <w:p>
      <w:pPr>
        <w:pStyle w:val="34"/>
      </w:pPr>
      <w:r>
        <w:rPr>
          <w:rFonts w:hint="eastAsia"/>
        </w:rPr>
        <w:t>形状图形元素</w:t>
      </w:r>
    </w:p>
    <w:tbl>
      <w:tblPr>
        <w:tblStyle w:val="25"/>
        <w:tblW w:w="0" w:type="auto"/>
        <w:tblCellSpacing w:w="0" w:type="dxa"/>
        <w:tblInd w:w="0" w:type="dxa"/>
        <w:tblBorders>
          <w:top w:val="outset" w:color="auto" w:sz="6" w:space="0"/>
          <w:left w:val="outset" w:color="auto" w:sz="6" w:space="0"/>
          <w:bottom w:val="outset" w:color="auto" w:sz="6" w:space="0"/>
          <w:right w:val="outset" w:color="auto" w:sz="6" w:space="0"/>
          <w:insideH w:val="none" w:color="auto" w:sz="0" w:space="0"/>
          <w:insideV w:val="none" w:color="auto" w:sz="0" w:space="0"/>
        </w:tblBorders>
        <w:tblLayout w:type="autofit"/>
        <w:tblCellMar>
          <w:top w:w="0" w:type="dxa"/>
          <w:left w:w="0" w:type="dxa"/>
          <w:bottom w:w="0" w:type="dxa"/>
          <w:right w:w="0" w:type="dxa"/>
        </w:tblCellMar>
      </w:tblPr>
      <w:tblGrid>
        <w:gridCol w:w="1980"/>
        <w:gridCol w:w="10509"/>
      </w:tblGrid>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980"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图标功能关键字</w:t>
            </w:r>
          </w:p>
        </w:tc>
        <w:tc>
          <w:tcPr>
            <w:tcW w:w="10509"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功能说明</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980"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文字</w:t>
            </w:r>
          </w:p>
        </w:tc>
        <w:tc>
          <w:tcPr>
            <w:tcW w:w="10509"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在股票池窗口中添加文字内容</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980"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直线</w:t>
            </w:r>
          </w:p>
        </w:tc>
        <w:tc>
          <w:tcPr>
            <w:tcW w:w="10509"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画直线</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980"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矩形</w:t>
            </w:r>
          </w:p>
        </w:tc>
        <w:tc>
          <w:tcPr>
            <w:tcW w:w="10509"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支持shift正方形</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980"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圆角矩形</w:t>
            </w:r>
          </w:p>
        </w:tc>
        <w:tc>
          <w:tcPr>
            <w:tcW w:w="10509"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画圆角矩形区域</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980"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椭圆</w:t>
            </w:r>
          </w:p>
        </w:tc>
        <w:tc>
          <w:tcPr>
            <w:tcW w:w="10509"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支持shift正圆</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980"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圆</w:t>
            </w:r>
          </w:p>
        </w:tc>
        <w:tc>
          <w:tcPr>
            <w:tcW w:w="10509"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画圆区域</w:t>
            </w:r>
          </w:p>
        </w:tc>
      </w:tr>
    </w:tbl>
    <w:p>
      <w:pPr>
        <w:pStyle w:val="34"/>
      </w:pPr>
      <w:r>
        <w:rPr>
          <w:rFonts w:hint="eastAsia"/>
        </w:rPr>
        <w:t>外形调整元素</w:t>
      </w:r>
    </w:p>
    <w:tbl>
      <w:tblPr>
        <w:tblStyle w:val="25"/>
        <w:tblW w:w="0" w:type="auto"/>
        <w:tblCellSpacing w:w="0" w:type="dxa"/>
        <w:tblInd w:w="0" w:type="dxa"/>
        <w:tblBorders>
          <w:top w:val="outset" w:color="auto" w:sz="6" w:space="0"/>
          <w:left w:val="outset" w:color="auto" w:sz="6" w:space="0"/>
          <w:bottom w:val="outset" w:color="auto" w:sz="6" w:space="0"/>
          <w:right w:val="outset" w:color="auto" w:sz="6" w:space="0"/>
          <w:insideH w:val="none" w:color="auto" w:sz="0" w:space="0"/>
          <w:insideV w:val="none" w:color="auto" w:sz="0" w:space="0"/>
        </w:tblBorders>
        <w:tblLayout w:type="autofit"/>
        <w:tblCellMar>
          <w:top w:w="0" w:type="dxa"/>
          <w:left w:w="0" w:type="dxa"/>
          <w:bottom w:w="0" w:type="dxa"/>
          <w:right w:w="0" w:type="dxa"/>
        </w:tblCellMar>
      </w:tblPr>
      <w:tblGrid>
        <w:gridCol w:w="1980"/>
        <w:gridCol w:w="10509"/>
      </w:tblGrid>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980"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图标功能关键字</w:t>
            </w:r>
          </w:p>
        </w:tc>
        <w:tc>
          <w:tcPr>
            <w:tcW w:w="10509"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功能说明</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980"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丢弃图元</w:t>
            </w:r>
          </w:p>
        </w:tc>
        <w:tc>
          <w:tcPr>
            <w:tcW w:w="10509"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删除当前被选择的图形元素（可以选中直接delete删除）</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980"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颜色</w:t>
            </w:r>
          </w:p>
        </w:tc>
        <w:tc>
          <w:tcPr>
            <w:tcW w:w="10509"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给当前的图元填充色彩</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980"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空心</w:t>
            </w:r>
          </w:p>
        </w:tc>
        <w:tc>
          <w:tcPr>
            <w:tcW w:w="10509"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去除图元的中间颜色，只留边框</w:t>
            </w:r>
          </w:p>
        </w:tc>
      </w:tr>
    </w:tbl>
    <w:p>
      <w:pPr>
        <w:pStyle w:val="34"/>
      </w:pPr>
      <w:r>
        <w:rPr>
          <w:rFonts w:hint="eastAsia"/>
        </w:rPr>
        <w:t>位置调整元素</w:t>
      </w:r>
    </w:p>
    <w:tbl>
      <w:tblPr>
        <w:tblStyle w:val="25"/>
        <w:tblW w:w="0" w:type="auto"/>
        <w:tblCellSpacing w:w="0" w:type="dxa"/>
        <w:tblInd w:w="0" w:type="dxa"/>
        <w:tblBorders>
          <w:top w:val="outset" w:color="auto" w:sz="6" w:space="0"/>
          <w:left w:val="outset" w:color="auto" w:sz="6" w:space="0"/>
          <w:bottom w:val="outset" w:color="auto" w:sz="6" w:space="0"/>
          <w:right w:val="outset" w:color="auto" w:sz="6" w:space="0"/>
          <w:insideH w:val="none" w:color="auto" w:sz="0" w:space="0"/>
          <w:insideV w:val="none" w:color="auto" w:sz="0" w:space="0"/>
        </w:tblBorders>
        <w:tblLayout w:type="autofit"/>
        <w:tblCellMar>
          <w:top w:w="0" w:type="dxa"/>
          <w:left w:w="0" w:type="dxa"/>
          <w:bottom w:w="0" w:type="dxa"/>
          <w:right w:w="0" w:type="dxa"/>
        </w:tblCellMar>
      </w:tblPr>
      <w:tblGrid>
        <w:gridCol w:w="1980"/>
        <w:gridCol w:w="10509"/>
      </w:tblGrid>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980"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图标功能关键字</w:t>
            </w:r>
          </w:p>
        </w:tc>
        <w:tc>
          <w:tcPr>
            <w:tcW w:w="10509"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功能说明</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980"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左对齐</w:t>
            </w:r>
          </w:p>
        </w:tc>
        <w:tc>
          <w:tcPr>
            <w:tcW w:w="10509"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所有选中图元同最后选择的那个图形保持左边对齐</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980"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右对齐</w:t>
            </w:r>
          </w:p>
        </w:tc>
        <w:tc>
          <w:tcPr>
            <w:tcW w:w="10509"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所有选中图元同最后选择的那个图形保持右边对齐</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980"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水平中对齐</w:t>
            </w:r>
          </w:p>
        </w:tc>
        <w:tc>
          <w:tcPr>
            <w:tcW w:w="10509"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所有选中图元同最后选择的那个图形保持垂直中线对齐</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980"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上对齐</w:t>
            </w:r>
          </w:p>
        </w:tc>
        <w:tc>
          <w:tcPr>
            <w:tcW w:w="10509"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所有选中图元同最后选择的那个图形保持上边对齐</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980"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下对齐</w:t>
            </w:r>
          </w:p>
        </w:tc>
        <w:tc>
          <w:tcPr>
            <w:tcW w:w="10509"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所有选中图元同最后选择的那个图形保持下边对齐</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980"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中对齐</w:t>
            </w:r>
          </w:p>
        </w:tc>
        <w:tc>
          <w:tcPr>
            <w:tcW w:w="10509"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所有选中图元同最后选择的那个图形保持水平中线对齐</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980"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水平等间距</w:t>
            </w:r>
          </w:p>
        </w:tc>
        <w:tc>
          <w:tcPr>
            <w:tcW w:w="10509"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三者以上的图元之间保持水平方向间距相等</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980"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垂直等间距</w:t>
            </w:r>
          </w:p>
        </w:tc>
        <w:tc>
          <w:tcPr>
            <w:tcW w:w="10509"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三者以上的图元之间保持垂直方向间距相等</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980"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等宽</w:t>
            </w:r>
          </w:p>
        </w:tc>
        <w:tc>
          <w:tcPr>
            <w:tcW w:w="10509"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所有选中图元同最后选择的那个图形保持水平方向等宽度</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980"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等高</w:t>
            </w:r>
          </w:p>
        </w:tc>
        <w:tc>
          <w:tcPr>
            <w:tcW w:w="10509"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所有选中图元同最后选择的那个图形保持垂直方向等高度</w:t>
            </w:r>
          </w:p>
        </w:tc>
      </w:tr>
    </w:tbl>
    <w:p>
      <w:pPr>
        <w:pStyle w:val="34"/>
      </w:pPr>
      <w:r>
        <w:rPr>
          <w:rFonts w:hint="eastAsia"/>
        </w:rPr>
        <w:t>主要图形元素介绍</w:t>
      </w:r>
    </w:p>
    <w:p>
      <w:pPr>
        <w:pStyle w:val="34"/>
      </w:pPr>
      <w:r>
        <w:rPr>
          <w:rFonts w:hint="eastAsia"/>
        </w:rPr>
        <w:t>备选池</w:t>
      </w:r>
    </w:p>
    <w:p>
      <w:pPr>
        <w:pStyle w:val="34"/>
      </w:pPr>
      <w:r>
        <w:rPr>
          <w:rFonts w:hint="eastAsia"/>
        </w:rPr>
        <w:t>属性：设置备选池股票范围</w:t>
      </w:r>
    </w:p>
    <w:p>
      <w:pPr>
        <w:pStyle w:val="34"/>
      </w:pPr>
      <w:r>
        <w:fldChar w:fldCharType="begin"/>
      </w:r>
      <w:r>
        <w:instrText xml:space="preserve"> INCLUDEPICTURE  "https://www.tdx.com.cn/products/helpfile/tdxw/chm/%E7%AC%AC%E4%BA%8C%E7%AB%A0 %E5%8A%9F%E8%83%BD/2-12/2.jpg" \* MERGEFORMATINET </w:instrText>
      </w:r>
      <w:r>
        <w:fldChar w:fldCharType="separate"/>
      </w:r>
      <w:r>
        <w:fldChar w:fldCharType="begin"/>
      </w:r>
      <w:r>
        <w:instrText xml:space="preserve"> INCLUDEPICTURE  "https://www.tdx.com.cn/products/helpfile/tdxw/chm/%E7%AC%AC%E4%BA%8C%E7%AB%A0 %E5%8A%9F%E8%83%BD/2-12/2.jpg" \* MERGEFORMATINET </w:instrText>
      </w:r>
      <w:r>
        <w:fldChar w:fldCharType="separate"/>
      </w:r>
      <w:r>
        <w:fldChar w:fldCharType="begin"/>
      </w:r>
      <w:r>
        <w:instrText xml:space="preserve"> INCLUDEPICTURE  "https://www.tdx.com.cn/products/helpfile/tdxw/chm/%E7%AC%AC%E4%BA%8C%E7%AB%A0 %E5%8A%9F%E8%83%BD/2-12/2.jpg" \* MERGEFORMATINET </w:instrText>
      </w:r>
      <w:r>
        <w:fldChar w:fldCharType="separate"/>
      </w:r>
      <w:r>
        <w:fldChar w:fldCharType="begin"/>
      </w:r>
      <w:r>
        <w:instrText xml:space="preserve"> INCLUDEPICTURE  "https://www.tdx.com.cn/products/helpfile/tdxw/chm/%E7%AC%AC%E4%BA%8C%E7%AB%A0 %E5%8A%9F%E8%83%BD/2-12/2.jpg" \* MERGEFORMATINET </w:instrText>
      </w:r>
      <w:r>
        <w:fldChar w:fldCharType="separate"/>
      </w:r>
      <w:r>
        <w:drawing>
          <wp:inline distT="0" distB="0" distL="114300" distR="114300">
            <wp:extent cx="5772150" cy="3371850"/>
            <wp:effectExtent l="0" t="0" r="0" b="0"/>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pic:cNvPicPr>
                      <a:picLocks noChangeAspect="1"/>
                    </pic:cNvPicPr>
                  </pic:nvPicPr>
                  <pic:blipFill>
                    <a:blip r:embed="rId281" r:link="rId282"/>
                    <a:stretch>
                      <a:fillRect/>
                    </a:stretch>
                  </pic:blipFill>
                  <pic:spPr>
                    <a:xfrm>
                      <a:off x="0" y="0"/>
                      <a:ext cx="5772150" cy="3371850"/>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点击添加：全选或者Ctrl、Shift多选添加备选池源股票 </w:t>
      </w:r>
    </w:p>
    <w:p>
      <w:pPr>
        <w:pStyle w:val="34"/>
      </w:pPr>
      <w:r>
        <w:fldChar w:fldCharType="begin"/>
      </w:r>
      <w:r>
        <w:instrText xml:space="preserve"> INCLUDEPICTURE  "https://www.tdx.com.cn/products/helpfile/tdxw/chm/%E7%AC%AC%E4%BA%8C%E7%AB%A0 %E5%8A%9F%E8%83%BD/2-12/3.png" \* MERGEFORMATINET </w:instrText>
      </w:r>
      <w:r>
        <w:fldChar w:fldCharType="separate"/>
      </w:r>
      <w:r>
        <w:fldChar w:fldCharType="begin"/>
      </w:r>
      <w:r>
        <w:instrText xml:space="preserve"> INCLUDEPICTURE  "https://www.tdx.com.cn/products/helpfile/tdxw/chm/%E7%AC%AC%E4%BA%8C%E7%AB%A0 %E5%8A%9F%E8%83%BD/2-12/3.png" \* MERGEFORMATINET </w:instrText>
      </w:r>
      <w:r>
        <w:fldChar w:fldCharType="separate"/>
      </w:r>
      <w:r>
        <w:fldChar w:fldCharType="begin"/>
      </w:r>
      <w:r>
        <w:instrText xml:space="preserve"> INCLUDEPICTURE  "https://www.tdx.com.cn/products/helpfile/tdxw/chm/%E7%AC%AC%E4%BA%8C%E7%AB%A0 %E5%8A%9F%E8%83%BD/2-12/3.png" \* MERGEFORMATINET </w:instrText>
      </w:r>
      <w:r>
        <w:fldChar w:fldCharType="separate"/>
      </w:r>
      <w:r>
        <w:fldChar w:fldCharType="begin"/>
      </w:r>
      <w:r>
        <w:instrText xml:space="preserve"> INCLUDEPICTURE  "https://www.tdx.com.cn/products/helpfile/tdxw/chm/%E7%AC%AC%E4%BA%8C%E7%AB%A0 %E5%8A%9F%E8%83%BD/2-12/3.png" \* MERGEFORMATINET </w:instrText>
      </w:r>
      <w:r>
        <w:fldChar w:fldCharType="separate"/>
      </w:r>
      <w:r>
        <w:drawing>
          <wp:inline distT="0" distB="0" distL="114300" distR="114300">
            <wp:extent cx="6829425" cy="2466975"/>
            <wp:effectExtent l="0" t="0" r="9525" b="9525"/>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pic:cNvPicPr>
                      <a:picLocks noChangeAspect="1"/>
                    </pic:cNvPicPr>
                  </pic:nvPicPr>
                  <pic:blipFill>
                    <a:blip r:embed="rId283" r:link="rId284"/>
                    <a:stretch>
                      <a:fillRect/>
                    </a:stretch>
                  </pic:blipFill>
                  <pic:spPr>
                    <a:xfrm>
                      <a:off x="0" y="0"/>
                      <a:ext cx="6829425" cy="2466975"/>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文字说明：设置备选池的文字显示“深沪A股”。 </w:t>
      </w:r>
    </w:p>
    <w:p>
      <w:pPr>
        <w:pStyle w:val="34"/>
      </w:pPr>
      <w:r>
        <w:rPr>
          <w:rFonts w:hint="eastAsia"/>
        </w:rPr>
        <w:t>设置之后的备选池：显示文字说明和源股票的个数。 </w:t>
      </w:r>
    </w:p>
    <w:p>
      <w:pPr>
        <w:pStyle w:val="34"/>
      </w:pPr>
      <w:r>
        <w:rPr>
          <w:rFonts w:hint="eastAsia"/>
        </w:rPr>
        <w:t>需要修改备选池范围，右键选择更改属性即可。 </w:t>
      </w:r>
    </w:p>
    <w:p>
      <w:pPr>
        <w:pStyle w:val="34"/>
      </w:pPr>
      <w:r>
        <w:rPr>
          <w:rFonts w:hint="eastAsia"/>
        </w:rPr>
        <w:t>运行中的备选池，鼠标放在备选池上可以显示备选池基本信息，如备选池中的股票个数。</w:t>
      </w:r>
    </w:p>
    <w:p>
      <w:pPr>
        <w:pStyle w:val="34"/>
      </w:pPr>
      <w:r>
        <w:rPr>
          <w:rFonts w:hint="eastAsia"/>
        </w:rPr>
        <w:t>流程线</w:t>
      </w:r>
    </w:p>
    <w:p>
      <w:pPr>
        <w:pStyle w:val="34"/>
      </w:pPr>
      <w:r>
        <w:fldChar w:fldCharType="begin"/>
      </w:r>
      <w:r>
        <w:instrText xml:space="preserve"> INCLUDEPICTURE  "https://www.tdx.com.cn/products/helpfile/tdxw/chm/%E7%AC%AC%E4%BA%8C%E7%AB%A0 %E5%8A%9F%E8%83%BD/2-12/3-2-2-18_clip_image002.jpg" \* MERGEFORMATINET </w:instrText>
      </w:r>
      <w:r>
        <w:fldChar w:fldCharType="separate"/>
      </w:r>
      <w:r>
        <w:fldChar w:fldCharType="begin"/>
      </w:r>
      <w:r>
        <w:instrText xml:space="preserve"> INCLUDEPICTURE  "https://www.tdx.com.cn/products/helpfile/tdxw/chm/%E7%AC%AC%E4%BA%8C%E7%AB%A0 %E5%8A%9F%E8%83%BD/2-12/3-2-2-18_clip_image002.jpg" \* MERGEFORMATINET </w:instrText>
      </w:r>
      <w:r>
        <w:fldChar w:fldCharType="separate"/>
      </w:r>
      <w:r>
        <w:fldChar w:fldCharType="begin"/>
      </w:r>
      <w:r>
        <w:instrText xml:space="preserve"> INCLUDEPICTURE  "https://www.tdx.com.cn/products/helpfile/tdxw/chm/%E7%AC%AC%E4%BA%8C%E7%AB%A0 %E5%8A%9F%E8%83%BD/2-12/3-2-2-18_clip_image002.jpg" \* MERGEFORMATINET </w:instrText>
      </w:r>
      <w:r>
        <w:fldChar w:fldCharType="separate"/>
      </w:r>
      <w:r>
        <w:fldChar w:fldCharType="begin"/>
      </w:r>
      <w:r>
        <w:instrText xml:space="preserve"> INCLUDEPICTURE  "https://www.tdx.com.cn/products/helpfile/tdxw/chm/%E7%AC%AC%E4%BA%8C%E7%AB%A0 %E5%8A%9F%E8%83%BD/2-12/3-2-2-18_clip_image002.jpg" \* MERGEFORMATINET </w:instrText>
      </w:r>
      <w:r>
        <w:fldChar w:fldCharType="separate"/>
      </w:r>
      <w:r>
        <w:drawing>
          <wp:inline distT="0" distB="0" distL="114300" distR="114300">
            <wp:extent cx="3095625" cy="2000250"/>
            <wp:effectExtent l="0" t="0" r="9525" b="0"/>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pic:cNvPicPr>
                      <a:picLocks noChangeAspect="1"/>
                    </pic:cNvPicPr>
                  </pic:nvPicPr>
                  <pic:blipFill>
                    <a:blip r:embed="rId285" r:link="rId286"/>
                    <a:stretch>
                      <a:fillRect/>
                    </a:stretch>
                  </pic:blipFill>
                  <pic:spPr>
                    <a:xfrm>
                      <a:off x="0" y="0"/>
                      <a:ext cx="3095625" cy="2000250"/>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属性：设置什么时间开始执行股票池、是一直执行还是执行指定时间段还是只执行一次。执行间隔对一致执行和执行指定时间段有效。并且设置每次执行一次新的计算的时候是不是清除后面的状态池上次选出来的股票信息。（有时候因为一计算就又加进入了，看不到清除状态的过程但是可以观察进入股票池的时间列发现时间会变化的） </w:t>
      </w:r>
    </w:p>
    <w:p>
      <w:pPr>
        <w:pStyle w:val="34"/>
      </w:pPr>
      <w:r>
        <w:rPr>
          <w:rFonts w:hint="eastAsia"/>
        </w:rPr>
        <w:t>线条宽度：设置流程线的线条宽度。</w:t>
      </w:r>
    </w:p>
    <w:p>
      <w:pPr>
        <w:pStyle w:val="34"/>
      </w:pPr>
      <w:r>
        <w:rPr>
          <w:rFonts w:hint="eastAsia"/>
        </w:rPr>
        <w:t> </w:t>
      </w:r>
    </w:p>
    <w:p>
      <w:pPr>
        <w:pStyle w:val="34"/>
      </w:pPr>
      <w:r>
        <w:rPr>
          <w:rFonts w:hint="eastAsia"/>
        </w:rPr>
        <w:t>条件转移</w:t>
      </w:r>
    </w:p>
    <w:p>
      <w:pPr>
        <w:pStyle w:val="34"/>
      </w:pPr>
      <w:r>
        <w:rPr>
          <w:rFonts w:hint="eastAsia"/>
        </w:rPr>
        <w:t>属性：设置条件，类似综合选股条件设置。</w:t>
      </w:r>
    </w:p>
    <w:p>
      <w:pPr>
        <w:pStyle w:val="34"/>
      </w:pPr>
      <w:r>
        <w:rPr>
          <w:rFonts w:hint="eastAsia"/>
        </w:rPr>
        <w:t>文字说明：可以填入文字说明，可以是帮助记忆条件设置的关键词等。</w:t>
      </w:r>
    </w:p>
    <w:p>
      <w:pPr>
        <w:pStyle w:val="34"/>
      </w:pPr>
      <w:r>
        <w:rPr>
          <w:rFonts w:hint="eastAsia"/>
        </w:rPr>
        <w:t>停止运算：以后运行股票池中停止对此条件进行运算筛选。</w:t>
      </w:r>
    </w:p>
    <w:p>
      <w:pPr>
        <w:pStyle w:val="34"/>
      </w:pPr>
      <w:r>
        <w:rPr>
          <w:rFonts w:hint="eastAsia"/>
        </w:rPr>
        <w:t>运行中的条件转移，鼠标放在条件转移上可以查看设置的条件信息。</w:t>
      </w:r>
    </w:p>
    <w:p>
      <w:pPr>
        <w:pStyle w:val="34"/>
      </w:pPr>
      <w:r>
        <w:rPr>
          <w:rFonts w:hint="eastAsia"/>
        </w:rPr>
        <w:t>状态池</w:t>
      </w:r>
    </w:p>
    <w:p>
      <w:pPr>
        <w:pStyle w:val="34"/>
      </w:pPr>
      <w:r>
        <w:rPr>
          <w:rFonts w:hint="eastAsia"/>
        </w:rPr>
        <w:t>放在状态池边缘的右键操作有：</w:t>
      </w:r>
    </w:p>
    <w:p>
      <w:pPr>
        <w:pStyle w:val="34"/>
      </w:pPr>
      <w:r>
        <w:rPr>
          <w:rFonts w:hint="eastAsia"/>
        </w:rPr>
        <w:t>属性、修改说明文字、手工添加股票到本状态、清除状态中所有股票、加入到板块股。</w:t>
      </w:r>
    </w:p>
    <w:p>
      <w:pPr>
        <w:pStyle w:val="34"/>
      </w:pPr>
      <w:r>
        <w:rPr>
          <w:rFonts w:hint="eastAsia"/>
        </w:rPr>
        <w:t>放在状态池中的某只股票行的右键操作有：</w:t>
      </w:r>
    </w:p>
    <w:p>
      <w:pPr>
        <w:pStyle w:val="34"/>
      </w:pPr>
      <w:r>
        <w:rPr>
          <w:rFonts w:hint="eastAsia"/>
        </w:rPr>
        <w:t>属性、修改说明文字、加入到自选股、查看******走势、从状态池中删除******、手工添加股票到本状态、清除状态中所有股票、加入到板块股。</w:t>
      </w:r>
    </w:p>
    <w:p>
      <w:pPr>
        <w:pStyle w:val="34"/>
      </w:pPr>
      <w:r>
        <w:rPr>
          <w:rFonts w:hint="eastAsia"/>
        </w:rPr>
        <w:t>运行中的状态池可以右键将状态池中的股票添加到自定义板块中、双击股票行进入此股票的个股界面。同时通过右上角的红色向上箭头和绿色向下箭头对状态池进行放大或缩小。</w:t>
      </w:r>
    </w:p>
    <w:p>
      <w:pPr>
        <w:pStyle w:val="34"/>
      </w:pPr>
      <w:r>
        <w:rPr>
          <w:rFonts w:hint="eastAsia"/>
        </w:rPr>
        <w:t>状态池属性设置：</w:t>
      </w:r>
    </w:p>
    <w:p>
      <w:pPr>
        <w:pStyle w:val="34"/>
      </w:pPr>
      <w:r>
        <w:rPr>
          <w:rFonts w:hint="eastAsia"/>
        </w:rPr>
        <w:t>设置状态池清楚重新计算帅选的时间。可以是N天、小时、分钟、秒。</w:t>
      </w:r>
    </w:p>
    <w:p>
      <w:pPr>
        <w:pStyle w:val="34"/>
      </w:pPr>
      <w:r>
        <w:rPr>
          <w:rFonts w:hint="eastAsia"/>
        </w:rPr>
        <w:t>设置运行过程中双击股票池中的个股，进入个股的分时图界面还是分时界面。设置此状态池是否为目标池。</w:t>
      </w:r>
    </w:p>
    <w:p>
      <w:pPr>
        <w:pStyle w:val="34"/>
      </w:pPr>
      <w:r>
        <w:fldChar w:fldCharType="begin"/>
      </w:r>
      <w:r>
        <w:instrText xml:space="preserve"> INCLUDEPICTURE  "https://www.tdx.com.cn/products/helpfile/tdxw/chm/%E7%AC%AC%E4%BA%8C%E7%AB%A0 %E5%8A%9F%E8%83%BD/2-12/4.jpg" \* MERGEFORMATINET </w:instrText>
      </w:r>
      <w:r>
        <w:fldChar w:fldCharType="separate"/>
      </w:r>
      <w:r>
        <w:fldChar w:fldCharType="begin"/>
      </w:r>
      <w:r>
        <w:instrText xml:space="preserve"> INCLUDEPICTURE  "https://www.tdx.com.cn/products/helpfile/tdxw/chm/%E7%AC%AC%E4%BA%8C%E7%AB%A0 %E5%8A%9F%E8%83%BD/2-12/4.jpg" \* MERGEFORMATINET </w:instrText>
      </w:r>
      <w:r>
        <w:fldChar w:fldCharType="separate"/>
      </w:r>
      <w:r>
        <w:fldChar w:fldCharType="begin"/>
      </w:r>
      <w:r>
        <w:instrText xml:space="preserve"> INCLUDEPICTURE  "https://www.tdx.com.cn/products/helpfile/tdxw/chm/%E7%AC%AC%E4%BA%8C%E7%AB%A0 %E5%8A%9F%E8%83%BD/2-12/4.jpg" \* MERGEFORMATINET </w:instrText>
      </w:r>
      <w:r>
        <w:fldChar w:fldCharType="separate"/>
      </w:r>
      <w:r>
        <w:fldChar w:fldCharType="begin"/>
      </w:r>
      <w:r>
        <w:instrText xml:space="preserve"> INCLUDEPICTURE  "https://www.tdx.com.cn/products/helpfile/tdxw/chm/%E7%AC%AC%E4%BA%8C%E7%AB%A0 %E5%8A%9F%E8%83%BD/2-12/4.jpg" \* MERGEFORMATINET </w:instrText>
      </w:r>
      <w:r>
        <w:fldChar w:fldCharType="separate"/>
      </w:r>
      <w:r>
        <w:drawing>
          <wp:inline distT="0" distB="0" distL="114300" distR="114300">
            <wp:extent cx="3762375" cy="2552700"/>
            <wp:effectExtent l="0" t="0" r="9525" b="0"/>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pic:cNvPicPr>
                      <a:picLocks noChangeAspect="1"/>
                    </pic:cNvPicPr>
                  </pic:nvPicPr>
                  <pic:blipFill>
                    <a:blip r:embed="rId287" r:link="rId288"/>
                    <a:stretch>
                      <a:fillRect/>
                    </a:stretch>
                  </pic:blipFill>
                  <pic:spPr>
                    <a:xfrm>
                      <a:off x="0" y="0"/>
                      <a:ext cx="3762375" cy="2552700"/>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目标池预警设置</w:t>
      </w:r>
    </w:p>
    <w:p>
      <w:pPr>
        <w:pStyle w:val="34"/>
      </w:pPr>
      <w:r>
        <w:rPr>
          <w:rFonts w:hint="eastAsia"/>
        </w:rPr>
        <w:t>目标池是一种特殊的状态池，对于设定为目标池的状态池可以设置在有股票进入时进行预警或者弹出框提示的设置。</w:t>
      </w:r>
    </w:p>
    <w:p>
      <w:pPr>
        <w:pStyle w:val="34"/>
      </w:pPr>
      <w:r>
        <w:rPr>
          <w:rFonts w:hint="eastAsia"/>
        </w:rPr>
        <w:t>可以设置发出预警声音也可以设置右下角弹出入池提示框（入池框弹出20秒后自动消失）</w:t>
      </w:r>
    </w:p>
    <w:p>
      <w:pPr>
        <w:pStyle w:val="34"/>
      </w:pPr>
      <w:r>
        <w:rPr>
          <w:rFonts w:hint="eastAsia"/>
        </w:rPr>
        <w:t> </w:t>
      </w:r>
    </w:p>
    <w:p>
      <w:pPr>
        <w:pStyle w:val="34"/>
      </w:pPr>
      <w:r>
        <w:rPr>
          <w:rFonts w:hint="eastAsia"/>
        </w:rPr>
        <w:t>执行顺序</w:t>
      </w:r>
    </w:p>
    <w:p>
      <w:pPr>
        <w:pStyle w:val="34"/>
      </w:pPr>
      <w:r>
        <w:rPr>
          <w:rFonts w:hint="eastAsia"/>
        </w:rPr>
        <w:t>非运行中点击执行顺序</w:t>
      </w:r>
      <w:r>
        <w:fldChar w:fldCharType="begin"/>
      </w:r>
      <w:r>
        <w:instrText xml:space="preserve"> INCLUDEPICTURE  "https://www.tdx.com.cn/products/helpfile/tdxw/chm/%E7%AC%AC%E4%BA%8C%E7%AB%A0 %E5%8A%9F%E8%83%BD/2-12/3-2-2-18_clip_image002_0000.jpg" \* MERGEFORMATINET </w:instrText>
      </w:r>
      <w:r>
        <w:fldChar w:fldCharType="separate"/>
      </w:r>
      <w:r>
        <w:fldChar w:fldCharType="begin"/>
      </w:r>
      <w:r>
        <w:instrText xml:space="preserve"> INCLUDEPICTURE  "https://www.tdx.com.cn/products/helpfile/tdxw/chm/%E7%AC%AC%E4%BA%8C%E7%AB%A0 %E5%8A%9F%E8%83%BD/2-12/3-2-2-18_clip_image002_0000.jpg" \* MERGEFORMATINET </w:instrText>
      </w:r>
      <w:r>
        <w:fldChar w:fldCharType="separate"/>
      </w:r>
      <w:r>
        <w:fldChar w:fldCharType="begin"/>
      </w:r>
      <w:r>
        <w:instrText xml:space="preserve"> INCLUDEPICTURE  "https://www.tdx.com.cn/products/helpfile/tdxw/chm/%E7%AC%AC%E4%BA%8C%E7%AB%A0 %E5%8A%9F%E8%83%BD/2-12/3-2-2-18_clip_image002_0000.jpg" \* MERGEFORMATINET </w:instrText>
      </w:r>
      <w:r>
        <w:fldChar w:fldCharType="separate"/>
      </w:r>
      <w:r>
        <w:fldChar w:fldCharType="begin"/>
      </w:r>
      <w:r>
        <w:instrText xml:space="preserve"> INCLUDEPICTURE  "https://www.tdx.com.cn/products/helpfile/tdxw/chm/%E7%AC%AC%E4%BA%8C%E7%AB%A0 %E5%8A%9F%E8%83%BD/2-12/3-2-2-18_clip_image002_0000.jpg" \* MERGEFORMATINET </w:instrText>
      </w:r>
      <w:r>
        <w:fldChar w:fldCharType="separate"/>
      </w:r>
      <w:r>
        <w:drawing>
          <wp:inline distT="0" distB="0" distL="114300" distR="114300">
            <wp:extent cx="171450" cy="133350"/>
            <wp:effectExtent l="0" t="0" r="0" b="0"/>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pic:cNvPicPr>
                      <a:picLocks noChangeAspect="1"/>
                    </pic:cNvPicPr>
                  </pic:nvPicPr>
                  <pic:blipFill>
                    <a:blip r:embed="rId289" r:link="rId290"/>
                    <a:stretch>
                      <a:fillRect/>
                    </a:stretch>
                  </pic:blipFill>
                  <pic:spPr>
                    <a:xfrm>
                      <a:off x="0" y="0"/>
                      <a:ext cx="171450" cy="133350"/>
                    </a:xfrm>
                    <a:prstGeom prst="rect">
                      <a:avLst/>
                    </a:prstGeom>
                    <a:noFill/>
                    <a:ln>
                      <a:noFill/>
                    </a:ln>
                  </pic:spPr>
                </pic:pic>
              </a:graphicData>
            </a:graphic>
          </wp:inline>
        </w:drawing>
      </w:r>
      <w:r>
        <w:fldChar w:fldCharType="end"/>
      </w:r>
      <w:r>
        <w:fldChar w:fldCharType="end"/>
      </w:r>
      <w:r>
        <w:fldChar w:fldCharType="end"/>
      </w:r>
      <w:r>
        <w:fldChar w:fldCharType="end"/>
      </w:r>
      <w:r>
        <w:rPr>
          <w:rFonts w:hint="eastAsia"/>
        </w:rPr>
        <w:t>，可以查看股票池的整个运算执行顺序。</w:t>
      </w:r>
    </w:p>
    <w:p>
      <w:pPr>
        <w:pStyle w:val="34"/>
      </w:pPr>
      <w:r>
        <w:rPr>
          <w:rFonts w:hint="eastAsia"/>
        </w:rPr>
        <w:t>修改运算顺序，当出现运行顺序数字1、2…..时，点击有数字标注的流程线，点击的第一次的流程线就是第一个计算，第N次被选中的流程线的执行就是第N个。从而保证每次运行之前自己设定股票池计算顺序，保证结果与自己预想的最接近，更准确。</w:t>
      </w:r>
    </w:p>
    <w:p>
      <w:pPr>
        <w:pStyle w:val="34"/>
      </w:pPr>
      <w:r>
        <w:rPr>
          <w:rFonts w:hint="eastAsia"/>
        </w:rPr>
        <w:t>股票池效果</w:t>
      </w:r>
    </w:p>
    <w:p>
      <w:pPr>
        <w:pStyle w:val="34"/>
      </w:pPr>
      <w:r>
        <w:fldChar w:fldCharType="begin"/>
      </w:r>
      <w:r>
        <w:instrText xml:space="preserve"> INCLUDEPICTURE  "https://www.tdx.com.cn/products/helpfile/tdxw/chm/%E7%AC%AC%E4%BA%8C%E7%AB%A0 %E5%8A%9F%E8%83%BD/2-12/5.jpg" \* MERGEFORMATINET </w:instrText>
      </w:r>
      <w:r>
        <w:fldChar w:fldCharType="separate"/>
      </w:r>
      <w:r>
        <w:fldChar w:fldCharType="begin"/>
      </w:r>
      <w:r>
        <w:instrText xml:space="preserve"> INCLUDEPICTURE  "https://www.tdx.com.cn/products/helpfile/tdxw/chm/%E7%AC%AC%E4%BA%8C%E7%AB%A0 %E5%8A%9F%E8%83%BD/2-12/5.jpg" \* MERGEFORMATINET </w:instrText>
      </w:r>
      <w:r>
        <w:fldChar w:fldCharType="separate"/>
      </w:r>
      <w:r>
        <w:fldChar w:fldCharType="begin"/>
      </w:r>
      <w:r>
        <w:instrText xml:space="preserve"> INCLUDEPICTURE  "https://www.tdx.com.cn/products/helpfile/tdxw/chm/%E7%AC%AC%E4%BA%8C%E7%AB%A0 %E5%8A%9F%E8%83%BD/2-12/5.jpg" \* MERGEFORMATINET </w:instrText>
      </w:r>
      <w:r>
        <w:fldChar w:fldCharType="separate"/>
      </w:r>
      <w:r>
        <w:fldChar w:fldCharType="begin"/>
      </w:r>
      <w:r>
        <w:instrText xml:space="preserve"> INCLUDEPICTURE  "https://www.tdx.com.cn/products/helpfile/tdxw/chm/%E7%AC%AC%E4%BA%8C%E7%AB%A0 %E5%8A%9F%E8%83%BD/2-12/5.jpg" \* MERGEFORMATINET </w:instrText>
      </w:r>
      <w:r>
        <w:fldChar w:fldCharType="separate"/>
      </w:r>
      <w:r>
        <w:drawing>
          <wp:inline distT="0" distB="0" distL="114300" distR="114300">
            <wp:extent cx="7029450" cy="4057650"/>
            <wp:effectExtent l="0" t="0" r="0" b="0"/>
            <wp:docPr id="15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pic:cNvPicPr>
                      <a:picLocks noChangeAspect="1"/>
                    </pic:cNvPicPr>
                  </pic:nvPicPr>
                  <pic:blipFill>
                    <a:blip r:embed="rId291" r:link="rId292"/>
                    <a:stretch>
                      <a:fillRect/>
                    </a:stretch>
                  </pic:blipFill>
                  <pic:spPr>
                    <a:xfrm>
                      <a:off x="0" y="0"/>
                      <a:ext cx="7029450" cy="4057650"/>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fldChar w:fldCharType="begin"/>
      </w:r>
      <w:r>
        <w:instrText xml:space="preserve"> INCLUDEPICTURE  "https://www.tdx.com.cn/products/helpfile/tdxw/chm/%E7%AC%AC%E4%BA%8C%E7%AB%A0 %E5%8A%9F%E8%83%BD/2-12/6.png" \* MERGEFORMATINET </w:instrText>
      </w:r>
      <w:r>
        <w:fldChar w:fldCharType="separate"/>
      </w:r>
      <w:r>
        <w:fldChar w:fldCharType="begin"/>
      </w:r>
      <w:r>
        <w:instrText xml:space="preserve"> INCLUDEPICTURE  "https://www.tdx.com.cn/products/helpfile/tdxw/chm/%E7%AC%AC%E4%BA%8C%E7%AB%A0 %E5%8A%9F%E8%83%BD/2-12/6.png" \* MERGEFORMATINET </w:instrText>
      </w:r>
      <w:r>
        <w:fldChar w:fldCharType="separate"/>
      </w:r>
      <w:r>
        <w:fldChar w:fldCharType="begin"/>
      </w:r>
      <w:r>
        <w:instrText xml:space="preserve"> INCLUDEPICTURE  "https://www.tdx.com.cn/products/helpfile/tdxw/chm/%E7%AC%AC%E4%BA%8C%E7%AB%A0 %E5%8A%9F%E8%83%BD/2-12/6.png" \* MERGEFORMATINET </w:instrText>
      </w:r>
      <w:r>
        <w:fldChar w:fldCharType="separate"/>
      </w:r>
      <w:r>
        <w:fldChar w:fldCharType="begin"/>
      </w:r>
      <w:r>
        <w:instrText xml:space="preserve"> INCLUDEPICTURE  "https://www.tdx.com.cn/products/helpfile/tdxw/chm/%E7%AC%AC%E4%BA%8C%E7%AB%A0 %E5%8A%9F%E8%83%BD/2-12/6.png" \* MERGEFORMATINET </w:instrText>
      </w:r>
      <w:r>
        <w:fldChar w:fldCharType="separate"/>
      </w:r>
      <w:r>
        <w:drawing>
          <wp:inline distT="0" distB="0" distL="114300" distR="114300">
            <wp:extent cx="5514975" cy="3095625"/>
            <wp:effectExtent l="0" t="0" r="9525" b="9525"/>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pic:cNvPicPr>
                      <a:picLocks noChangeAspect="1"/>
                    </pic:cNvPicPr>
                  </pic:nvPicPr>
                  <pic:blipFill>
                    <a:blip r:embed="rId293" r:link="rId294"/>
                    <a:stretch>
                      <a:fillRect/>
                    </a:stretch>
                  </pic:blipFill>
                  <pic:spPr>
                    <a:xfrm>
                      <a:off x="0" y="0"/>
                      <a:ext cx="5514975" cy="3095625"/>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fldChar w:fldCharType="begin"/>
      </w:r>
      <w:r>
        <w:instrText xml:space="preserve"> INCLUDEPICTURE  "https://www.tdx.com.cn/products/helpfile/tdxw/chm/%E7%AC%AC%E4%BA%8C%E7%AB%A0 %E5%8A%9F%E8%83%BD/2-12/7.png" \* MERGEFORMATINET </w:instrText>
      </w:r>
      <w:r>
        <w:fldChar w:fldCharType="separate"/>
      </w:r>
      <w:r>
        <w:fldChar w:fldCharType="begin"/>
      </w:r>
      <w:r>
        <w:instrText xml:space="preserve"> INCLUDEPICTURE  "https://www.tdx.com.cn/products/helpfile/tdxw/chm/%E7%AC%AC%E4%BA%8C%E7%AB%A0 %E5%8A%9F%E8%83%BD/2-12/7.png" \* MERGEFORMATINET </w:instrText>
      </w:r>
      <w:r>
        <w:fldChar w:fldCharType="separate"/>
      </w:r>
      <w:r>
        <w:fldChar w:fldCharType="begin"/>
      </w:r>
      <w:r>
        <w:instrText xml:space="preserve"> INCLUDEPICTURE  "https://www.tdx.com.cn/products/helpfile/tdxw/chm/%E7%AC%AC%E4%BA%8C%E7%AB%A0 %E5%8A%9F%E8%83%BD/2-12/7.png" \* MERGEFORMATINET </w:instrText>
      </w:r>
      <w:r>
        <w:fldChar w:fldCharType="separate"/>
      </w:r>
      <w:r>
        <w:fldChar w:fldCharType="begin"/>
      </w:r>
      <w:r>
        <w:instrText xml:space="preserve"> INCLUDEPICTURE  "https://www.tdx.com.cn/products/helpfile/tdxw/chm/%E7%AC%AC%E4%BA%8C%E7%AB%A0 %E5%8A%9F%E8%83%BD/2-12/7.png" \* MERGEFORMATINET </w:instrText>
      </w:r>
      <w:r>
        <w:fldChar w:fldCharType="separate"/>
      </w:r>
      <w:r>
        <w:drawing>
          <wp:inline distT="0" distB="0" distL="114300" distR="114300">
            <wp:extent cx="5591175" cy="4886325"/>
            <wp:effectExtent l="0" t="0" r="9525" b="9525"/>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pic:cNvPicPr>
                      <a:picLocks noChangeAspect="1"/>
                    </pic:cNvPicPr>
                  </pic:nvPicPr>
                  <pic:blipFill>
                    <a:blip r:embed="rId295" r:link="rId296"/>
                    <a:stretch>
                      <a:fillRect/>
                    </a:stretch>
                  </pic:blipFill>
                  <pic:spPr>
                    <a:xfrm>
                      <a:off x="0" y="0"/>
                      <a:ext cx="5591175" cy="4886325"/>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池子说明</w:t>
      </w:r>
    </w:p>
    <w:p>
      <w:pPr>
        <w:pStyle w:val="34"/>
      </w:pPr>
      <w:r>
        <w:rPr>
          <w:rFonts w:hint="eastAsia"/>
        </w:rPr>
        <w:t>1785&lt;781+1013</w:t>
      </w:r>
    </w:p>
    <w:p>
      <w:pPr>
        <w:pStyle w:val="34"/>
      </w:pPr>
      <w:r>
        <w:rPr>
          <w:rFonts w:hint="eastAsia"/>
        </w:rPr>
        <w:t>并集的池子(36)数不完全等于状态池(10 20)和状态池(34)的股票总数是因为状态池(10 20)和状态池(34)中有重复的股票。即使表面上看起来股价分别[5,10],[10,20]的两个不可能有交集的池子，也可能因为池子1 池子2计算的时间差导致有些股价在10左右的股票即进了池子1也进了池子2。</w:t>
      </w:r>
    </w:p>
    <w:p>
      <w:pPr>
        <w:pStyle w:val="34"/>
      </w:pPr>
      <w:r>
        <w:rPr>
          <w:rFonts w:hint="eastAsia"/>
        </w:rPr>
        <w:t>引用别人的股票池</w:t>
      </w:r>
    </w:p>
    <w:p>
      <w:pPr>
        <w:pStyle w:val="34"/>
      </w:pPr>
      <w:r>
        <w:rPr>
          <w:rFonts w:hint="eastAsia"/>
        </w:rPr>
        <w:t>得到对方的股票池名.xml文件</w:t>
      </w:r>
    </w:p>
    <w:p>
      <w:pPr>
        <w:pStyle w:val="34"/>
      </w:pPr>
      <w:r>
        <w:rPr>
          <w:rFonts w:hint="eastAsia"/>
        </w:rPr>
        <w:t>得到对方股票池中所有三角形条件所引用的所有的公式指标</w:t>
      </w:r>
    </w:p>
    <w:p>
      <w:pPr>
        <w:pStyle w:val="34"/>
      </w:pPr>
      <w:r>
        <w:rPr>
          <w:rFonts w:hint="eastAsia"/>
        </w:rPr>
        <w:t>使得xml中的条件转移中设置的条件的索引ID和自己客户端的ID对应起来。（导入对方公式后获得对方公式在自己系统中的索引ID，填入到股票池名.xml文件）</w:t>
      </w:r>
    </w:p>
    <w:p>
      <w:pPr>
        <w:pStyle w:val="34"/>
      </w:pPr>
      <w:r>
        <w:rPr>
          <w:rFonts w:hint="eastAsia"/>
        </w:rPr>
        <w:t>打开修改后的xml，就可以完好的引用别人的股票池了，点击保存。</w:t>
      </w:r>
    </w:p>
    <w:p>
      <w:pPr>
        <w:pStyle w:val="3"/>
      </w:pPr>
      <w:bookmarkStart w:id="22" w:name="_Toc90646141"/>
      <w:r>
        <w:rPr>
          <w:rFonts w:hint="eastAsia"/>
        </w:rPr>
        <w:t>沙盘推演</w:t>
      </w:r>
      <w:bookmarkEnd w:id="22"/>
    </w:p>
    <w:p>
      <w:pPr>
        <w:pStyle w:val="34"/>
        <w:rPr>
          <w:kern w:val="0"/>
        </w:rPr>
      </w:pPr>
      <w:r>
        <w:rPr>
          <w:rFonts w:hint="eastAsia"/>
          <w:kern w:val="0"/>
        </w:rPr>
        <w:t>沙盘推演是根据自己的看盘功夫，结合盘面，自己设置开盘、收盘、最高、最低等信息，点击则能看到明天或者未来几天的 K 线走势，进行模拟演示。</w:t>
      </w:r>
    </w:p>
    <w:p>
      <w:pPr>
        <w:pStyle w:val="34"/>
        <w:rPr>
          <w:kern w:val="0"/>
        </w:rPr>
      </w:pPr>
      <w:r>
        <w:rPr>
          <w:rFonts w:hint="eastAsia"/>
          <w:kern w:val="0"/>
        </w:rPr>
        <w:t>打开方式：</w:t>
      </w:r>
    </w:p>
    <w:p>
      <w:pPr>
        <w:pStyle w:val="34"/>
        <w:rPr>
          <w:kern w:val="0"/>
        </w:rPr>
      </w:pPr>
      <w:r>
        <w:rPr>
          <w:rFonts w:hint="eastAsia"/>
          <w:kern w:val="0"/>
        </w:rPr>
        <w:t>功能—— 沙盘推演（此时 k 线界面左上角显示 “ 模拟 ”k 线类型）</w:t>
      </w:r>
    </w:p>
    <w:p>
      <w:pPr>
        <w:pStyle w:val="34"/>
        <w:rPr>
          <w:kern w:val="0"/>
        </w:rPr>
      </w:pPr>
      <w:r>
        <w:rPr>
          <w:kern w:val="0"/>
        </w:rPr>
        <w:fldChar w:fldCharType="begin"/>
      </w:r>
      <w:r>
        <w:rPr>
          <w:kern w:val="0"/>
        </w:rPr>
        <w:instrText xml:space="preserve"> INCLUDEPICTURE  "https://www.tdx.com.cn/products/helpfile/tdxw/chm/%E7%AC%AC%E4%BA%8C%E7%AB%A0 %E5%8A%9F%E8%83%BD/2-13/1.png"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"https://www.tdx.com.cn/products/helpfile/tdxw/chm/%E7%AC%AC%E4%BA%8C%E7%AB%A0 %E5%8A%9F%E8%83%BD/2-13/1.png"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"https://www.tdx.com.cn/products/helpfile/tdxw/chm/%E7%AC%AC%E4%BA%8C%E7%AB%A0 %E5%8A%9F%E8%83%BD/2-13/1.png"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"https://www.tdx.com.cn/products/helpfile/tdxw/chm/%E7%AC%AC%E4%BA%8C%E7%AB%A0 %E5%8A%9F%E8%83%BD/2-13/1.png" \* MERGEFORMATINET </w:instrText>
      </w:r>
      <w:r>
        <w:rPr>
          <w:kern w:val="0"/>
        </w:rPr>
        <w:fldChar w:fldCharType="separate"/>
      </w:r>
      <w:r>
        <w:rPr>
          <w:kern w:val="0"/>
        </w:rPr>
        <w:drawing>
          <wp:inline distT="0" distB="0" distL="114300" distR="114300">
            <wp:extent cx="2705100" cy="3067050"/>
            <wp:effectExtent l="0" t="0" r="0" b="0"/>
            <wp:docPr id="15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pic:cNvPicPr>
                      <a:picLocks noChangeAspect="1"/>
                    </pic:cNvPicPr>
                  </pic:nvPicPr>
                  <pic:blipFill>
                    <a:blip r:embed="rId297" r:link="rId298"/>
                    <a:stretch>
                      <a:fillRect/>
                    </a:stretch>
                  </pic:blipFill>
                  <pic:spPr>
                    <a:xfrm>
                      <a:off x="0" y="0"/>
                      <a:ext cx="2705100" cy="3067050"/>
                    </a:xfrm>
                    <a:prstGeom prst="rect">
                      <a:avLst/>
                    </a:prstGeom>
                    <a:noFill/>
                    <a:ln>
                      <a:noFill/>
                    </a:ln>
                  </pic:spPr>
                </pic:pic>
              </a:graphicData>
            </a:graphic>
          </wp:inline>
        </w:drawing>
      </w:r>
      <w:r>
        <w:rPr>
          <w:kern w:val="0"/>
        </w:rPr>
        <w:fldChar w:fldCharType="end"/>
      </w:r>
      <w:r>
        <w:rPr>
          <w:kern w:val="0"/>
        </w:rPr>
        <w:fldChar w:fldCharType="end"/>
      </w:r>
      <w:r>
        <w:rPr>
          <w:kern w:val="0"/>
        </w:rPr>
        <w:fldChar w:fldCharType="end"/>
      </w:r>
      <w:r>
        <w:rPr>
          <w:kern w:val="0"/>
        </w:rPr>
        <w:fldChar w:fldCharType="end"/>
      </w:r>
    </w:p>
    <w:p>
      <w:pPr>
        <w:pStyle w:val="34"/>
        <w:rPr>
          <w:kern w:val="0"/>
        </w:rPr>
      </w:pPr>
    </w:p>
    <w:p>
      <w:pPr>
        <w:pStyle w:val="34"/>
        <w:rPr>
          <w:kern w:val="0"/>
          <w:sz w:val="27"/>
          <w:szCs w:val="27"/>
        </w:rPr>
      </w:pPr>
      <w:r>
        <w:rPr>
          <w:rFonts w:hint="eastAsia"/>
          <w:kern w:val="0"/>
        </w:rPr>
        <w:t>“ 开始播放 ” 播放的 k 线范围是选择这个功能的时候最左边的 k 线是哪个就从哪个 k 线开始播放。  </w:t>
      </w:r>
    </w:p>
    <w:p>
      <w:pPr>
        <w:pStyle w:val="34"/>
        <w:rPr>
          <w:kern w:val="0"/>
        </w:rPr>
      </w:pPr>
      <w:r>
        <w:rPr>
          <w:rFonts w:hint="eastAsia"/>
          <w:kern w:val="0"/>
        </w:rPr>
        <w:t>“ 个 / 分 ” 设置播放速度 一分钟播放多少个 k 线数</w:t>
      </w:r>
    </w:p>
    <w:p>
      <w:pPr>
        <w:pStyle w:val="34"/>
        <w:rPr>
          <w:kern w:val="0"/>
        </w:rPr>
      </w:pPr>
      <w:r>
        <w:rPr>
          <w:rFonts w:hint="eastAsia"/>
          <w:kern w:val="0"/>
        </w:rPr>
        <w:t>“ 倒阴阳 ” 推演的数据的开盘和收盘价互换，且 k 线界面的指标线引用到基本行情数据的数值跟着变化。</w:t>
      </w:r>
    </w:p>
    <w:p>
      <w:pPr>
        <w:pStyle w:val="34"/>
        <w:rPr>
          <w:kern w:val="0"/>
        </w:rPr>
      </w:pPr>
      <w:r>
        <w:rPr>
          <w:rFonts w:hint="eastAsia"/>
          <w:kern w:val="0"/>
        </w:rPr>
        <w:t>“ 收平线 ” 推演数据的开盘价 最高价 最低价 都换成此时定格的 k 线的收盘价。</w:t>
      </w:r>
    </w:p>
    <w:p>
      <w:pPr>
        <w:pStyle w:val="34"/>
        <w:rPr>
          <w:kern w:val="0"/>
        </w:rPr>
      </w:pPr>
      <w:r>
        <w:rPr>
          <w:rFonts w:hint="eastAsia"/>
          <w:kern w:val="0"/>
        </w:rPr>
        <w:t>“ 上一数据 ”“ 下一数据 ” 可以通过这两个按钮不断往前设置历史 k 线和向后推演未来 k 线（指标数值也会随着模拟 k 线变化）。</w:t>
      </w:r>
    </w:p>
    <w:p>
      <w:pPr>
        <w:pStyle w:val="34"/>
        <w:rPr>
          <w:kern w:val="0"/>
        </w:rPr>
      </w:pPr>
      <w:r>
        <w:rPr>
          <w:rFonts w:hint="eastAsia"/>
          <w:kern w:val="0"/>
        </w:rPr>
        <w:t>实现历史K线回放 </w:t>
      </w:r>
    </w:p>
    <w:p>
      <w:pPr>
        <w:pStyle w:val="34"/>
        <w:rPr>
          <w:kern w:val="0"/>
        </w:rPr>
      </w:pPr>
      <w:r>
        <w:rPr>
          <w:kern w:val="0"/>
        </w:rPr>
        <w:fldChar w:fldCharType="begin"/>
      </w:r>
      <w:r>
        <w:rPr>
          <w:kern w:val="0"/>
        </w:rPr>
        <w:instrText xml:space="preserve"> INCLUDEPICTURE  "https://www.tdx.com.cn/products/helpfile/tdxw/chm/%E7%AC%AC%E4%BA%8C%E7%AB%A0 %E5%8A%9F%E8%83%BD/2-13/2.png"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"https://www.tdx.com.cn/products/helpfile/tdxw/chm/%E7%AC%AC%E4%BA%8C%E7%AB%A0 %E5%8A%9F%E8%83%BD/2-13/2.png"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"https://www.tdx.com.cn/products/helpfile/tdxw/chm/%E7%AC%AC%E4%BA%8C%E7%AB%A0 %E5%8A%9F%E8%83%BD/2-13/2.png"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"https://www.tdx.com.cn/products/helpfile/tdxw/chm/%E7%AC%AC%E4%BA%8C%E7%AB%A0 %E5%8A%9F%E8%83%BD/2-13/2.png" \* MERGEFORMATINET </w:instrText>
      </w:r>
      <w:r>
        <w:rPr>
          <w:kern w:val="0"/>
        </w:rPr>
        <w:fldChar w:fldCharType="separate"/>
      </w:r>
      <w:r>
        <w:rPr>
          <w:kern w:val="0"/>
        </w:rPr>
        <w:drawing>
          <wp:inline distT="0" distB="0" distL="114300" distR="114300">
            <wp:extent cx="2705100" cy="3067050"/>
            <wp:effectExtent l="0" t="0" r="0" b="0"/>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pic:cNvPicPr>
                      <a:picLocks noChangeAspect="1"/>
                    </pic:cNvPicPr>
                  </pic:nvPicPr>
                  <pic:blipFill>
                    <a:blip r:embed="rId299" r:link="rId300"/>
                    <a:stretch>
                      <a:fillRect/>
                    </a:stretch>
                  </pic:blipFill>
                  <pic:spPr>
                    <a:xfrm>
                      <a:off x="0" y="0"/>
                      <a:ext cx="2705100" cy="3067050"/>
                    </a:xfrm>
                    <a:prstGeom prst="rect">
                      <a:avLst/>
                    </a:prstGeom>
                    <a:noFill/>
                    <a:ln>
                      <a:noFill/>
                    </a:ln>
                  </pic:spPr>
                </pic:pic>
              </a:graphicData>
            </a:graphic>
          </wp:inline>
        </w:drawing>
      </w:r>
      <w:r>
        <w:rPr>
          <w:kern w:val="0"/>
        </w:rPr>
        <w:fldChar w:fldCharType="end"/>
      </w:r>
      <w:r>
        <w:rPr>
          <w:kern w:val="0"/>
        </w:rPr>
        <w:fldChar w:fldCharType="end"/>
      </w:r>
      <w:r>
        <w:rPr>
          <w:kern w:val="0"/>
        </w:rPr>
        <w:fldChar w:fldCharType="end"/>
      </w:r>
      <w:r>
        <w:rPr>
          <w:kern w:val="0"/>
        </w:rPr>
        <w:fldChar w:fldCharType="end"/>
      </w:r>
    </w:p>
    <w:p>
      <w:pPr>
        <w:pStyle w:val="34"/>
        <w:rPr>
          <w:kern w:val="0"/>
        </w:rPr>
      </w:pPr>
      <w:r>
        <w:rPr>
          <w:rFonts w:hint="eastAsia"/>
          <w:kern w:val="0"/>
        </w:rPr>
        <w:t>点击“开始播放”，沙盘界面变化显示如上。默认从近半年前的K线开始播放。 </w:t>
      </w:r>
    </w:p>
    <w:p>
      <w:pPr>
        <w:pStyle w:val="34"/>
        <w:rPr>
          <w:kern w:val="0"/>
        </w:rPr>
      </w:pPr>
      <w:r>
        <w:rPr>
          <w:rFonts w:hint="eastAsia"/>
          <w:kern w:val="0"/>
        </w:rPr>
        <w:t>可以通过“暂停播放”暂停播放，“停止播放”停止K线的历史回放。 </w:t>
      </w:r>
    </w:p>
    <w:p>
      <w:pPr>
        <w:pStyle w:val="34"/>
        <w:rPr>
          <w:kern w:val="0"/>
        </w:rPr>
      </w:pPr>
      <w:r>
        <w:rPr>
          <w:rFonts w:hint="eastAsia"/>
          <w:kern w:val="0"/>
        </w:rPr>
        <w:t>在播放过程中可以对暂停位置的K线进行重新定义。快速修改重定义K线可以点击“倒阴阳”或者“收平线”，也可以通过修改下方的基本行情数据改变某历史K线基本行情数据，来达到改变指标输出值的目的，直接下面编辑框输入价格数值或者价格相对上根K线收盘的涨跌点位数值。 </w:t>
      </w:r>
    </w:p>
    <w:p>
      <w:pPr>
        <w:pStyle w:val="34"/>
        <w:rPr>
          <w:kern w:val="0"/>
        </w:rPr>
      </w:pPr>
      <w:r>
        <w:rPr>
          <w:rFonts w:hint="eastAsia"/>
          <w:kern w:val="0"/>
        </w:rPr>
        <w:t>也可以通过“上个数据”“下个数据”一步步移动K线位置对某个K线进行行情数据的赋值或者修改。 </w:t>
      </w:r>
    </w:p>
    <w:p>
      <w:pPr>
        <w:pStyle w:val="34"/>
        <w:rPr>
          <w:kern w:val="0"/>
        </w:rPr>
      </w:pPr>
      <w:r>
        <w:rPr>
          <w:rFonts w:hint="eastAsia"/>
          <w:kern w:val="0"/>
        </w:rPr>
        <w:t>“减少数据”可以删除当前K线界面最右端的K线</w:t>
      </w:r>
    </w:p>
    <w:p>
      <w:pPr>
        <w:pStyle w:val="34"/>
        <w:rPr>
          <w:kern w:val="0"/>
        </w:rPr>
      </w:pPr>
    </w:p>
    <w:p>
      <w:pPr>
        <w:pStyle w:val="34"/>
        <w:rPr>
          <w:kern w:val="0"/>
        </w:rPr>
      </w:pPr>
      <w:r>
        <w:rPr>
          <w:rFonts w:hint="eastAsia"/>
          <w:kern w:val="0"/>
        </w:rPr>
        <w:t>实现未来K线推演 </w:t>
      </w:r>
    </w:p>
    <w:p>
      <w:pPr>
        <w:pStyle w:val="34"/>
        <w:rPr>
          <w:kern w:val="0"/>
        </w:rPr>
      </w:pPr>
      <w:r>
        <w:rPr>
          <w:rFonts w:hint="eastAsia"/>
          <w:kern w:val="0"/>
        </w:rPr>
        <w:t>未来K线的推演以输入基本行情数据为主，输入完成后想要实现倒阴阳、或者收平线可以再使用“倒阴阳”“收平线”这两个按钮。</w:t>
      </w:r>
    </w:p>
    <w:p>
      <w:pPr>
        <w:pStyle w:val="34"/>
      </w:pPr>
      <w:r>
        <w:rPr>
          <w:rFonts w:hint="eastAsia"/>
          <w:kern w:val="0"/>
        </w:rPr>
        <w:t>沙盘推演对于技术分析流派的客户实现自己预想走势进而判断后市具有积极的意义。</w:t>
      </w:r>
    </w:p>
    <w:p>
      <w:pPr>
        <w:pStyle w:val="3"/>
      </w:pPr>
      <w:bookmarkStart w:id="23" w:name="_Toc90646142"/>
      <w:r>
        <w:rPr>
          <w:rFonts w:hint="eastAsia"/>
        </w:rPr>
        <w:t>训练模式</w:t>
      </w:r>
      <w:bookmarkEnd w:id="23"/>
    </w:p>
    <w:p>
      <w:pPr>
        <w:pStyle w:val="34"/>
        <w:rPr>
          <w:kern w:val="0"/>
        </w:rPr>
      </w:pPr>
      <w:r>
        <w:rPr>
          <w:rFonts w:hint="eastAsia"/>
          <w:kern w:val="0"/>
        </w:rPr>
        <w:t>进入方式：“功能”—“训练模式”或者键盘精灵47</w:t>
      </w:r>
    </w:p>
    <w:p>
      <w:pPr>
        <w:pStyle w:val="34"/>
        <w:rPr>
          <w:kern w:val="0"/>
        </w:rPr>
      </w:pPr>
    </w:p>
    <w:p>
      <w:pPr>
        <w:pStyle w:val="34"/>
        <w:rPr>
          <w:kern w:val="0"/>
        </w:rPr>
      </w:pPr>
      <w:r>
        <w:rPr>
          <w:rFonts w:hint="eastAsia"/>
          <w:kern w:val="0"/>
        </w:rPr>
        <w:t>注意： </w:t>
      </w:r>
    </w:p>
    <w:p>
      <w:pPr>
        <w:pStyle w:val="34"/>
        <w:rPr>
          <w:kern w:val="0"/>
        </w:rPr>
      </w:pPr>
      <w:r>
        <w:rPr>
          <w:rFonts w:hint="eastAsia"/>
          <w:kern w:val="0"/>
        </w:rPr>
        <w:t>■每次重新进行训练模式时可以自己设定初始资金和费率，如果此次训练开始，初始资金和费率将不可再更改； </w:t>
      </w:r>
    </w:p>
    <w:p>
      <w:pPr>
        <w:pStyle w:val="34"/>
        <w:rPr>
          <w:kern w:val="0"/>
        </w:rPr>
      </w:pPr>
      <w:r>
        <w:rPr>
          <w:rFonts w:hint="eastAsia"/>
          <w:kern w:val="0"/>
        </w:rPr>
        <w:t>■点击“重新训练”记录将会被全部清空； </w:t>
      </w:r>
    </w:p>
    <w:p>
      <w:pPr>
        <w:pStyle w:val="34"/>
        <w:rPr>
          <w:kern w:val="0"/>
        </w:rPr>
      </w:pPr>
      <w:r>
        <w:rPr>
          <w:rFonts w:hint="eastAsia"/>
          <w:kern w:val="0"/>
        </w:rPr>
        <w:t>■因为默认遵循先开仓（买）后平仓（卖）规则，所以买入操作后日期只能往后通过“下一K线”顺延。 </w:t>
      </w:r>
    </w:p>
    <w:p>
      <w:pPr>
        <w:pStyle w:val="34"/>
        <w:rPr>
          <w:kern w:val="0"/>
        </w:rPr>
      </w:pPr>
      <w:r>
        <w:rPr>
          <w:rFonts w:hint="eastAsia"/>
          <w:kern w:val="0"/>
        </w:rPr>
        <w:t>■记录导出时如果在交易记录列表则只导出交易记录，在持仓品种则只导出持仓品种。 </w:t>
      </w:r>
    </w:p>
    <w:p>
      <w:pPr>
        <w:pStyle w:val="34"/>
        <w:rPr>
          <w:kern w:val="0"/>
        </w:rPr>
      </w:pPr>
      <w:r>
        <w:rPr>
          <w:rFonts w:hint="eastAsia"/>
          <w:kern w:val="0"/>
        </w:rPr>
        <w:t>■训练模式支持多股模式。在训练模式操作窗口下点击后面的K线窗口切换股票可以对其他的品种进入训练模式实现买入、卖出操作</w:t>
      </w:r>
    </w:p>
    <w:p>
      <w:pPr>
        <w:pStyle w:val="34"/>
        <w:rPr>
          <w:kern w:val="0"/>
        </w:rPr>
      </w:pPr>
    </w:p>
    <w:p>
      <w:pPr>
        <w:pStyle w:val="34"/>
        <w:rPr>
          <w:kern w:val="0"/>
        </w:rPr>
      </w:pPr>
      <w:r>
        <w:rPr>
          <w:rFonts w:hint="eastAsia"/>
          <w:kern w:val="0"/>
        </w:rPr>
        <w:t>数据项说明 </w:t>
      </w:r>
    </w:p>
    <w:p>
      <w:pPr>
        <w:pStyle w:val="34"/>
        <w:ind w:firstLine="482"/>
        <w:rPr>
          <w:kern w:val="0"/>
        </w:rPr>
      </w:pPr>
      <w:r>
        <w:rPr>
          <w:rFonts w:hint="eastAsia"/>
          <w:b/>
          <w:bCs/>
          <w:kern w:val="0"/>
        </w:rPr>
        <w:t>数据项说明图例 </w:t>
      </w:r>
    </w:p>
    <w:p>
      <w:pPr>
        <w:pStyle w:val="34"/>
        <w:rPr>
          <w:kern w:val="0"/>
        </w:rPr>
      </w:pPr>
      <w:r>
        <w:rPr>
          <w:kern w:val="0"/>
        </w:rPr>
        <w:fldChar w:fldCharType="begin"/>
      </w:r>
      <w:r>
        <w:rPr>
          <w:kern w:val="0"/>
        </w:rPr>
        <w:instrText xml:space="preserve"> INCLUDEPICTURE  "https://www.tdx.com.cn/products/helpfile/tdxw/chm/%E7%AC%AC%E4%BA%8C%E7%AB%A0 %E5%8A%9F%E8%83%BD/2-14/3-2-4-14_clip_image002.jpg"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"https://www.tdx.com.cn/products/helpfile/tdxw/chm/%E7%AC%AC%E4%BA%8C%E7%AB%A0 %E5%8A%9F%E8%83%BD/2-14/3-2-4-14_clip_image002.jpg"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"https://www.tdx.com.cn/products/helpfile/tdxw/chm/%E7%AC%AC%E4%BA%8C%E7%AB%A0 %E5%8A%9F%E8%83%BD/2-14/3-2-4-14_clip_image002.jpg"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"https://www.tdx.com.cn/products/helpfile/tdxw/chm/%E7%AC%AC%E4%BA%8C%E7%AB%A0 %E5%8A%9F%E8%83%BD/2-14/3-2-4-14_clip_image002.jpg" \* MERGEFORMATINET </w:instrText>
      </w:r>
      <w:r>
        <w:rPr>
          <w:kern w:val="0"/>
        </w:rPr>
        <w:fldChar w:fldCharType="separate"/>
      </w:r>
      <w:r>
        <w:rPr>
          <w:kern w:val="0"/>
        </w:rPr>
        <w:drawing>
          <wp:inline distT="0" distB="0" distL="114300" distR="114300">
            <wp:extent cx="2800350" cy="3143250"/>
            <wp:effectExtent l="0" t="0" r="0" b="0"/>
            <wp:docPr id="15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pic:cNvPicPr>
                      <a:picLocks noChangeAspect="1"/>
                    </pic:cNvPicPr>
                  </pic:nvPicPr>
                  <pic:blipFill>
                    <a:blip r:embed="rId301" r:link="rId302"/>
                    <a:stretch>
                      <a:fillRect/>
                    </a:stretch>
                  </pic:blipFill>
                  <pic:spPr>
                    <a:xfrm>
                      <a:off x="0" y="0"/>
                      <a:ext cx="2800350" cy="3143250"/>
                    </a:xfrm>
                    <a:prstGeom prst="rect">
                      <a:avLst/>
                    </a:prstGeom>
                    <a:noFill/>
                    <a:ln>
                      <a:noFill/>
                    </a:ln>
                  </pic:spPr>
                </pic:pic>
              </a:graphicData>
            </a:graphic>
          </wp:inline>
        </w:drawing>
      </w:r>
      <w:r>
        <w:rPr>
          <w:kern w:val="0"/>
        </w:rPr>
        <w:fldChar w:fldCharType="end"/>
      </w:r>
      <w:r>
        <w:rPr>
          <w:kern w:val="0"/>
        </w:rPr>
        <w:fldChar w:fldCharType="end"/>
      </w:r>
      <w:r>
        <w:rPr>
          <w:kern w:val="0"/>
        </w:rPr>
        <w:fldChar w:fldCharType="end"/>
      </w:r>
      <w:r>
        <w:rPr>
          <w:kern w:val="0"/>
        </w:rPr>
        <w:fldChar w:fldCharType="end"/>
      </w:r>
    </w:p>
    <w:p>
      <w:pPr>
        <w:pStyle w:val="34"/>
        <w:rPr>
          <w:kern w:val="0"/>
        </w:rPr>
      </w:pPr>
      <w:r>
        <w:rPr>
          <w:kern w:val="0"/>
        </w:rPr>
        <w:fldChar w:fldCharType="begin"/>
      </w:r>
      <w:r>
        <w:rPr>
          <w:kern w:val="0"/>
        </w:rPr>
        <w:instrText xml:space="preserve"> INCLUDEPICTURE  "https://www.tdx.com.cn/products/helpfile/tdxw/chm/%E7%AC%AC%E4%BA%8C%E7%AB%A0 %E5%8A%9F%E8%83%BD/2-14/3-2-4-14_clip_image004.jpg"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"https://www.tdx.com.cn/products/helpfile/tdxw/chm/%E7%AC%AC%E4%BA%8C%E7%AB%A0 %E5%8A%9F%E8%83%BD/2-14/3-2-4-14_clip_image004.jpg"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"https://www.tdx.com.cn/products/helpfile/tdxw/chm/%E7%AC%AC%E4%BA%8C%E7%AB%A0 %E5%8A%9F%E8%83%BD/2-14/3-2-4-14_clip_image004.jpg"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"https://www.tdx.com.cn/products/helpfile/tdxw/chm/%E7%AC%AC%E4%BA%8C%E7%AB%A0 %E5%8A%9F%E8%83%BD/2-14/3-2-4-14_clip_image004.jpg" \* MERGEFORMATINET </w:instrText>
      </w:r>
      <w:r>
        <w:rPr>
          <w:kern w:val="0"/>
        </w:rPr>
        <w:fldChar w:fldCharType="separate"/>
      </w:r>
      <w:r>
        <w:rPr>
          <w:kern w:val="0"/>
        </w:rPr>
        <w:drawing>
          <wp:inline distT="0" distB="0" distL="114300" distR="114300">
            <wp:extent cx="2809875" cy="647700"/>
            <wp:effectExtent l="0" t="0" r="9525" b="0"/>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pic:cNvPicPr>
                      <a:picLocks noChangeAspect="1"/>
                    </pic:cNvPicPr>
                  </pic:nvPicPr>
                  <pic:blipFill>
                    <a:blip r:embed="rId303" r:link="rId304"/>
                    <a:stretch>
                      <a:fillRect/>
                    </a:stretch>
                  </pic:blipFill>
                  <pic:spPr>
                    <a:xfrm>
                      <a:off x="0" y="0"/>
                      <a:ext cx="2809875" cy="647700"/>
                    </a:xfrm>
                    <a:prstGeom prst="rect">
                      <a:avLst/>
                    </a:prstGeom>
                    <a:noFill/>
                    <a:ln>
                      <a:noFill/>
                    </a:ln>
                  </pic:spPr>
                </pic:pic>
              </a:graphicData>
            </a:graphic>
          </wp:inline>
        </w:drawing>
      </w:r>
      <w:r>
        <w:rPr>
          <w:kern w:val="0"/>
        </w:rPr>
        <w:fldChar w:fldCharType="end"/>
      </w:r>
      <w:r>
        <w:rPr>
          <w:kern w:val="0"/>
        </w:rPr>
        <w:fldChar w:fldCharType="end"/>
      </w:r>
      <w:r>
        <w:rPr>
          <w:kern w:val="0"/>
        </w:rPr>
        <w:fldChar w:fldCharType="end"/>
      </w:r>
      <w:r>
        <w:rPr>
          <w:kern w:val="0"/>
        </w:rPr>
        <w:fldChar w:fldCharType="end"/>
      </w:r>
      <w:r>
        <w:rPr>
          <w:kern w:val="0"/>
        </w:rPr>
        <w:fldChar w:fldCharType="begin"/>
      </w:r>
      <w:r>
        <w:rPr>
          <w:kern w:val="0"/>
        </w:rPr>
        <w:instrText xml:space="preserve"> INCLUDEPICTURE  "https://www.tdx.com.cn/products/helpfile/tdxw/chm/%E7%AC%AC%E4%BA%8C%E7%AB%A0 %E5%8A%9F%E8%83%BD/2-14/3-2-4-14_clip_image006.jpg"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"https://www.tdx.com.cn/products/helpfile/tdxw/chm/%E7%AC%AC%E4%BA%8C%E7%AB%A0 %E5%8A%9F%E8%83%BD/2-14/3-2-4-14_clip_image006.jpg"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"https://www.tdx.com.cn/products/helpfile/tdxw/chm/%E7%AC%AC%E4%BA%8C%E7%AB%A0 %E5%8A%9F%E8%83%BD/2-14/3-2-4-14_clip_image006.jpg"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"https://www.tdx.com.cn/products/helpfile/tdxw/chm/%E7%AC%AC%E4%BA%8C%E7%AB%A0 %E5%8A%9F%E8%83%BD/2-14/3-2-4-14_clip_image006.jpg" \* MERGEFORMATINET </w:instrText>
      </w:r>
      <w:r>
        <w:rPr>
          <w:kern w:val="0"/>
        </w:rPr>
        <w:fldChar w:fldCharType="separate"/>
      </w:r>
      <w:r>
        <w:rPr>
          <w:kern w:val="0"/>
        </w:rPr>
        <w:drawing>
          <wp:inline distT="0" distB="0" distL="114300" distR="114300">
            <wp:extent cx="2447925" cy="657225"/>
            <wp:effectExtent l="0" t="0" r="9525" b="9525"/>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pic:cNvPicPr>
                      <a:picLocks noChangeAspect="1"/>
                    </pic:cNvPicPr>
                  </pic:nvPicPr>
                  <pic:blipFill>
                    <a:blip r:embed="rId305" r:link="rId306"/>
                    <a:stretch>
                      <a:fillRect/>
                    </a:stretch>
                  </pic:blipFill>
                  <pic:spPr>
                    <a:xfrm>
                      <a:off x="0" y="0"/>
                      <a:ext cx="2447925" cy="657225"/>
                    </a:xfrm>
                    <a:prstGeom prst="rect">
                      <a:avLst/>
                    </a:prstGeom>
                    <a:noFill/>
                    <a:ln>
                      <a:noFill/>
                    </a:ln>
                  </pic:spPr>
                </pic:pic>
              </a:graphicData>
            </a:graphic>
          </wp:inline>
        </w:drawing>
      </w:r>
      <w:r>
        <w:rPr>
          <w:kern w:val="0"/>
        </w:rPr>
        <w:fldChar w:fldCharType="end"/>
      </w:r>
      <w:r>
        <w:rPr>
          <w:kern w:val="0"/>
        </w:rPr>
        <w:fldChar w:fldCharType="end"/>
      </w:r>
      <w:r>
        <w:rPr>
          <w:kern w:val="0"/>
        </w:rPr>
        <w:fldChar w:fldCharType="end"/>
      </w:r>
      <w:r>
        <w:rPr>
          <w:kern w:val="0"/>
        </w:rPr>
        <w:fldChar w:fldCharType="end"/>
      </w:r>
    </w:p>
    <w:p>
      <w:pPr>
        <w:pStyle w:val="34"/>
        <w:rPr>
          <w:kern w:val="0"/>
        </w:rPr>
      </w:pPr>
      <w:r>
        <w:rPr>
          <w:kern w:val="0"/>
        </w:rPr>
        <w:fldChar w:fldCharType="begin"/>
      </w:r>
      <w:r>
        <w:rPr>
          <w:kern w:val="0"/>
        </w:rPr>
        <w:instrText xml:space="preserve"> INCLUDEPICTURE  "https://www.tdx.com.cn/products/helpfile/tdxw/chm/%E7%AC%AC%E4%BA%8C%E7%AB%A0 %E5%8A%9F%E8%83%BD/2-14/3-2-4-14_clip_image008.jpg"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"https://www.tdx.com.cn/products/helpfile/tdxw/chm/%E7%AC%AC%E4%BA%8C%E7%AB%A0 %E5%8A%9F%E8%83%BD/2-14/3-2-4-14_clip_image008.jpg"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"https://www.tdx.com.cn/products/helpfile/tdxw/chm/%E7%AC%AC%E4%BA%8C%E7%AB%A0 %E5%8A%9F%E8%83%BD/2-14/3-2-4-14_clip_image008.jpg"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"https://www.tdx.com.cn/products/helpfile/tdxw/chm/%E7%AC%AC%E4%BA%8C%E7%AB%A0 %E5%8A%9F%E8%83%BD/2-14/3-2-4-14_clip_image008.jpg" \* MERGEFORMATINET </w:instrText>
      </w:r>
      <w:r>
        <w:rPr>
          <w:kern w:val="0"/>
        </w:rPr>
        <w:fldChar w:fldCharType="separate"/>
      </w:r>
      <w:r>
        <w:rPr>
          <w:kern w:val="0"/>
        </w:rPr>
        <w:drawing>
          <wp:inline distT="0" distB="0" distL="114300" distR="114300">
            <wp:extent cx="1971675" cy="438150"/>
            <wp:effectExtent l="0" t="0" r="9525" b="0"/>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pic:cNvPicPr>
                      <a:picLocks noChangeAspect="1"/>
                    </pic:cNvPicPr>
                  </pic:nvPicPr>
                  <pic:blipFill>
                    <a:blip r:embed="rId307" r:link="rId308"/>
                    <a:stretch>
                      <a:fillRect/>
                    </a:stretch>
                  </pic:blipFill>
                  <pic:spPr>
                    <a:xfrm>
                      <a:off x="0" y="0"/>
                      <a:ext cx="1971675" cy="438150"/>
                    </a:xfrm>
                    <a:prstGeom prst="rect">
                      <a:avLst/>
                    </a:prstGeom>
                    <a:noFill/>
                    <a:ln>
                      <a:noFill/>
                    </a:ln>
                  </pic:spPr>
                </pic:pic>
              </a:graphicData>
            </a:graphic>
          </wp:inline>
        </w:drawing>
      </w:r>
      <w:r>
        <w:rPr>
          <w:kern w:val="0"/>
        </w:rPr>
        <w:fldChar w:fldCharType="end"/>
      </w:r>
      <w:r>
        <w:rPr>
          <w:kern w:val="0"/>
        </w:rPr>
        <w:fldChar w:fldCharType="end"/>
      </w:r>
      <w:r>
        <w:rPr>
          <w:kern w:val="0"/>
        </w:rPr>
        <w:fldChar w:fldCharType="end"/>
      </w:r>
      <w:r>
        <w:rPr>
          <w:kern w:val="0"/>
        </w:rPr>
        <w:fldChar w:fldCharType="end"/>
      </w:r>
      <w:r>
        <w:rPr>
          <w:kern w:val="0"/>
        </w:rPr>
        <w:fldChar w:fldCharType="begin"/>
      </w:r>
      <w:r>
        <w:rPr>
          <w:kern w:val="0"/>
        </w:rPr>
        <w:instrText xml:space="preserve"> INCLUDEPICTURE  "https://www.tdx.com.cn/products/helpfile/tdxw/chm/%E7%AC%AC%E4%BA%8C%E7%AB%A0 %E5%8A%9F%E8%83%BD/2-14/3-2-4-14_clip_image010.jpg"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"https://www.tdx.com.cn/products/helpfile/tdxw/chm/%E7%AC%AC%E4%BA%8C%E7%AB%A0 %E5%8A%9F%E8%83%BD/2-14/3-2-4-14_clip_image010.jpg"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"https://www.tdx.com.cn/products/helpfile/tdxw/chm/%E7%AC%AC%E4%BA%8C%E7%AB%A0 %E5%8A%9F%E8%83%BD/2-14/3-2-4-14_clip_image010.jpg"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"https://www.tdx.com.cn/products/helpfile/tdxw/chm/%E7%AC%AC%E4%BA%8C%E7%AB%A0 %E5%8A%9F%E8%83%BD/2-14/3-2-4-14_clip_image010.jpg" \* MERGEFORMATINET </w:instrText>
      </w:r>
      <w:r>
        <w:rPr>
          <w:kern w:val="0"/>
        </w:rPr>
        <w:fldChar w:fldCharType="separate"/>
      </w:r>
      <w:r>
        <w:rPr>
          <w:kern w:val="0"/>
        </w:rPr>
        <w:drawing>
          <wp:inline distT="0" distB="0" distL="114300" distR="114300">
            <wp:extent cx="1885950" cy="247650"/>
            <wp:effectExtent l="0" t="0" r="0" b="0"/>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pic:cNvPicPr>
                      <a:picLocks noChangeAspect="1"/>
                    </pic:cNvPicPr>
                  </pic:nvPicPr>
                  <pic:blipFill>
                    <a:blip r:embed="rId309" r:link="rId310"/>
                    <a:stretch>
                      <a:fillRect/>
                    </a:stretch>
                  </pic:blipFill>
                  <pic:spPr>
                    <a:xfrm>
                      <a:off x="0" y="0"/>
                      <a:ext cx="1885950" cy="247650"/>
                    </a:xfrm>
                    <a:prstGeom prst="rect">
                      <a:avLst/>
                    </a:prstGeom>
                    <a:noFill/>
                    <a:ln>
                      <a:noFill/>
                    </a:ln>
                  </pic:spPr>
                </pic:pic>
              </a:graphicData>
            </a:graphic>
          </wp:inline>
        </w:drawing>
      </w:r>
      <w:r>
        <w:rPr>
          <w:kern w:val="0"/>
        </w:rPr>
        <w:fldChar w:fldCharType="end"/>
      </w:r>
      <w:r>
        <w:rPr>
          <w:kern w:val="0"/>
        </w:rPr>
        <w:fldChar w:fldCharType="end"/>
      </w:r>
      <w:r>
        <w:rPr>
          <w:kern w:val="0"/>
        </w:rPr>
        <w:fldChar w:fldCharType="end"/>
      </w:r>
      <w:r>
        <w:rPr>
          <w:kern w:val="0"/>
        </w:rPr>
        <w:fldChar w:fldCharType="end"/>
      </w:r>
      <w:r>
        <w:rPr>
          <w:kern w:val="0"/>
        </w:rPr>
        <w:fldChar w:fldCharType="begin"/>
      </w:r>
      <w:r>
        <w:rPr>
          <w:kern w:val="0"/>
        </w:rPr>
        <w:instrText xml:space="preserve"> INCLUDEPICTURE  "https://www.tdx.com.cn/products/helpfile/tdxw/chm/%E7%AC%AC%E4%BA%8C%E7%AB%A0 %E5%8A%9F%E8%83%BD/2-14/3-2-4-14_clip_image012.jpg"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"https://www.tdx.com.cn/products/helpfile/tdxw/chm/%E7%AC%AC%E4%BA%8C%E7%AB%A0 %E5%8A%9F%E8%83%BD/2-14/3-2-4-14_clip_image012.jpg"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"https://www.tdx.com.cn/products/helpfile/tdxw/chm/%E7%AC%AC%E4%BA%8C%E7%AB%A0 %E5%8A%9F%E8%83%BD/2-14/3-2-4-14_clip_image012.jpg"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"https://www.tdx.com.cn/products/helpfile/tdxw/chm/%E7%AC%AC%E4%BA%8C%E7%AB%A0 %E5%8A%9F%E8%83%BD/2-14/3-2-4-14_clip_image012.jpg" \* MERGEFORMATINET </w:instrText>
      </w:r>
      <w:r>
        <w:rPr>
          <w:kern w:val="0"/>
        </w:rPr>
        <w:fldChar w:fldCharType="separate"/>
      </w:r>
      <w:r>
        <w:rPr>
          <w:kern w:val="0"/>
        </w:rPr>
        <w:drawing>
          <wp:inline distT="0" distB="0" distL="114300" distR="114300">
            <wp:extent cx="1276350" cy="247650"/>
            <wp:effectExtent l="0" t="0" r="0" b="0"/>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pic:cNvPicPr>
                      <a:picLocks noChangeAspect="1"/>
                    </pic:cNvPicPr>
                  </pic:nvPicPr>
                  <pic:blipFill>
                    <a:blip r:embed="rId311" r:link="rId312"/>
                    <a:stretch>
                      <a:fillRect/>
                    </a:stretch>
                  </pic:blipFill>
                  <pic:spPr>
                    <a:xfrm>
                      <a:off x="0" y="0"/>
                      <a:ext cx="1276350" cy="247650"/>
                    </a:xfrm>
                    <a:prstGeom prst="rect">
                      <a:avLst/>
                    </a:prstGeom>
                    <a:noFill/>
                    <a:ln>
                      <a:noFill/>
                    </a:ln>
                  </pic:spPr>
                </pic:pic>
              </a:graphicData>
            </a:graphic>
          </wp:inline>
        </w:drawing>
      </w:r>
      <w:r>
        <w:rPr>
          <w:kern w:val="0"/>
        </w:rPr>
        <w:fldChar w:fldCharType="end"/>
      </w:r>
      <w:r>
        <w:rPr>
          <w:kern w:val="0"/>
        </w:rPr>
        <w:fldChar w:fldCharType="end"/>
      </w:r>
      <w:r>
        <w:rPr>
          <w:kern w:val="0"/>
        </w:rPr>
        <w:fldChar w:fldCharType="end"/>
      </w:r>
      <w:r>
        <w:rPr>
          <w:kern w:val="0"/>
        </w:rPr>
        <w:fldChar w:fldCharType="end"/>
      </w:r>
    </w:p>
    <w:p>
      <w:pPr>
        <w:pStyle w:val="34"/>
        <w:rPr>
          <w:kern w:val="0"/>
        </w:rPr>
      </w:pPr>
    </w:p>
    <w:p>
      <w:pPr>
        <w:pStyle w:val="34"/>
        <w:ind w:firstLine="482"/>
        <w:rPr>
          <w:kern w:val="0"/>
        </w:rPr>
      </w:pPr>
      <w:r>
        <w:rPr>
          <w:rFonts w:hint="eastAsia"/>
          <w:b/>
          <w:bCs/>
          <w:kern w:val="0"/>
        </w:rPr>
        <w:t>汇总数据</w:t>
      </w:r>
    </w:p>
    <w:tbl>
      <w:tblPr>
        <w:tblStyle w:val="25"/>
        <w:tblW w:w="0" w:type="auto"/>
        <w:tblCellSpacing w:w="0" w:type="dxa"/>
        <w:tblInd w:w="0" w:type="dxa"/>
        <w:tblBorders>
          <w:top w:val="outset" w:color="auto" w:sz="6" w:space="0"/>
          <w:left w:val="outset" w:color="auto" w:sz="6" w:space="0"/>
          <w:bottom w:val="outset" w:color="auto" w:sz="6" w:space="0"/>
          <w:right w:val="outset" w:color="auto" w:sz="6" w:space="0"/>
          <w:insideH w:val="none" w:color="auto" w:sz="0" w:space="0"/>
          <w:insideV w:val="none" w:color="auto" w:sz="0" w:space="0"/>
        </w:tblBorders>
        <w:tblLayout w:type="autofit"/>
        <w:tblCellMar>
          <w:top w:w="0" w:type="dxa"/>
          <w:left w:w="0" w:type="dxa"/>
          <w:bottom w:w="0" w:type="dxa"/>
          <w:right w:w="0" w:type="dxa"/>
        </w:tblCellMar>
      </w:tblPr>
      <w:tblGrid>
        <w:gridCol w:w="1845"/>
        <w:gridCol w:w="6525"/>
      </w:tblGrid>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845" w:type="dxa"/>
            <w:tcBorders>
              <w:top w:val="outset" w:color="auto" w:sz="6" w:space="0"/>
              <w:left w:val="outset" w:color="auto" w:sz="6" w:space="0"/>
              <w:bottom w:val="outset" w:color="auto" w:sz="6" w:space="0"/>
              <w:right w:val="outset" w:color="auto" w:sz="6" w:space="0"/>
            </w:tcBorders>
            <w:vAlign w:val="center"/>
          </w:tcPr>
          <w:p>
            <w:pPr>
              <w:pStyle w:val="34"/>
              <w:rPr>
                <w:kern w:val="0"/>
              </w:rPr>
            </w:pPr>
          </w:p>
          <w:p>
            <w:pPr>
              <w:pStyle w:val="34"/>
              <w:rPr>
                <w:kern w:val="0"/>
              </w:rPr>
            </w:pPr>
            <w:r>
              <w:rPr>
                <w:rFonts w:hint="eastAsia"/>
                <w:kern w:val="0"/>
              </w:rPr>
              <w:t>数据项</w:t>
            </w:r>
          </w:p>
        </w:tc>
        <w:tc>
          <w:tcPr>
            <w:tcW w:w="6525"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说明</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845"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当前资产</w:t>
            </w:r>
          </w:p>
        </w:tc>
        <w:tc>
          <w:tcPr>
            <w:tcW w:w="6525"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当前账户的持仓市值加上资金余额</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845"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资金余额</w:t>
            </w:r>
          </w:p>
        </w:tc>
        <w:tc>
          <w:tcPr>
            <w:tcW w:w="6525"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初始资金截止现在为止剩余的资金</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845"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多头市值</w:t>
            </w:r>
          </w:p>
        </w:tc>
        <w:tc>
          <w:tcPr>
            <w:tcW w:w="6525"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买开仓的所有品种持仓的市值</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845"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空头市值</w:t>
            </w:r>
          </w:p>
        </w:tc>
        <w:tc>
          <w:tcPr>
            <w:tcW w:w="6525"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卖开仓的所有品种持仓的市值</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845"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账户盈亏</w:t>
            </w:r>
          </w:p>
        </w:tc>
        <w:tc>
          <w:tcPr>
            <w:tcW w:w="6525"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当前资产-初始资金</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845"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盈亏比例</w:t>
            </w:r>
          </w:p>
        </w:tc>
        <w:tc>
          <w:tcPr>
            <w:tcW w:w="6525"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账户盈亏</w:t>
            </w:r>
            <w:r>
              <w:rPr>
                <w:rFonts w:hint="eastAsia"/>
                <w:b/>
                <w:bCs/>
                <w:kern w:val="0"/>
              </w:rPr>
              <w:t>/</w:t>
            </w:r>
            <w:r>
              <w:rPr>
                <w:rFonts w:hint="eastAsia"/>
                <w:kern w:val="0"/>
              </w:rPr>
              <w:t>初始资金*100</w:t>
            </w:r>
          </w:p>
        </w:tc>
      </w:tr>
    </w:tbl>
    <w:p>
      <w:pPr>
        <w:pStyle w:val="34"/>
        <w:ind w:firstLine="540"/>
        <w:rPr>
          <w:kern w:val="0"/>
          <w:sz w:val="27"/>
          <w:szCs w:val="27"/>
        </w:rPr>
      </w:pPr>
      <w:r>
        <w:rPr>
          <w:rFonts w:hint="eastAsia"/>
          <w:kern w:val="0"/>
          <w:sz w:val="27"/>
          <w:szCs w:val="27"/>
        </w:rPr>
        <w:t> </w:t>
      </w:r>
    </w:p>
    <w:p>
      <w:pPr>
        <w:pStyle w:val="34"/>
        <w:ind w:firstLine="482"/>
        <w:rPr>
          <w:kern w:val="0"/>
        </w:rPr>
      </w:pPr>
      <w:r>
        <w:rPr>
          <w:rFonts w:hint="eastAsia"/>
          <w:b/>
          <w:bCs/>
          <w:kern w:val="0"/>
        </w:rPr>
        <w:t>交易记录</w:t>
      </w:r>
    </w:p>
    <w:tbl>
      <w:tblPr>
        <w:tblStyle w:val="25"/>
        <w:tblW w:w="0" w:type="auto"/>
        <w:tblCellSpacing w:w="0" w:type="dxa"/>
        <w:tblInd w:w="0" w:type="dxa"/>
        <w:tblBorders>
          <w:top w:val="outset" w:color="auto" w:sz="6" w:space="0"/>
          <w:left w:val="outset" w:color="auto" w:sz="6" w:space="0"/>
          <w:bottom w:val="outset" w:color="auto" w:sz="6" w:space="0"/>
          <w:right w:val="outset" w:color="auto" w:sz="6" w:space="0"/>
          <w:insideH w:val="none" w:color="auto" w:sz="0" w:space="0"/>
          <w:insideV w:val="none" w:color="auto" w:sz="0" w:space="0"/>
        </w:tblBorders>
        <w:tblLayout w:type="autofit"/>
        <w:tblCellMar>
          <w:top w:w="0" w:type="dxa"/>
          <w:left w:w="0" w:type="dxa"/>
          <w:bottom w:w="0" w:type="dxa"/>
          <w:right w:w="0" w:type="dxa"/>
        </w:tblCellMar>
      </w:tblPr>
      <w:tblGrid>
        <w:gridCol w:w="1845"/>
        <w:gridCol w:w="6525"/>
      </w:tblGrid>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845" w:type="dxa"/>
            <w:tcBorders>
              <w:top w:val="outset" w:color="auto" w:sz="6" w:space="0"/>
              <w:left w:val="outset" w:color="auto" w:sz="6" w:space="0"/>
              <w:bottom w:val="outset" w:color="auto" w:sz="6" w:space="0"/>
              <w:right w:val="outset" w:color="auto" w:sz="6" w:space="0"/>
            </w:tcBorders>
            <w:vAlign w:val="center"/>
          </w:tcPr>
          <w:p>
            <w:pPr>
              <w:pStyle w:val="34"/>
              <w:rPr>
                <w:kern w:val="0"/>
              </w:rPr>
            </w:pPr>
          </w:p>
          <w:p>
            <w:pPr>
              <w:pStyle w:val="34"/>
              <w:rPr>
                <w:kern w:val="0"/>
              </w:rPr>
            </w:pPr>
            <w:r>
              <w:rPr>
                <w:rFonts w:hint="eastAsia"/>
                <w:kern w:val="0"/>
              </w:rPr>
              <w:t>数据项</w:t>
            </w:r>
          </w:p>
        </w:tc>
        <w:tc>
          <w:tcPr>
            <w:tcW w:w="6525"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说明</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845"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操作</w:t>
            </w:r>
          </w:p>
        </w:tc>
        <w:tc>
          <w:tcPr>
            <w:tcW w:w="6525"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表明是买入还是卖出</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845"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成交价</w:t>
            </w:r>
          </w:p>
        </w:tc>
        <w:tc>
          <w:tcPr>
            <w:tcW w:w="6525"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操作当日的收盘价</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845"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成交量</w:t>
            </w:r>
          </w:p>
        </w:tc>
        <w:tc>
          <w:tcPr>
            <w:tcW w:w="6525"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客户训练操作中填入的委托成交量</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845"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成交额</w:t>
            </w:r>
          </w:p>
        </w:tc>
        <w:tc>
          <w:tcPr>
            <w:tcW w:w="6525"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成交价*成交量</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845"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手续费</w:t>
            </w:r>
          </w:p>
        </w:tc>
        <w:tc>
          <w:tcPr>
            <w:tcW w:w="6525"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目前手续费只记卖出时单边手续费（卖出成交额*费率）保留两位小数</w:t>
            </w:r>
          </w:p>
          <w:p>
            <w:pPr>
              <w:pStyle w:val="34"/>
              <w:rPr>
                <w:kern w:val="0"/>
              </w:rPr>
            </w:pPr>
            <w:r>
              <w:rPr>
                <w:rFonts w:hint="eastAsia"/>
                <w:kern w:val="0"/>
              </w:rPr>
              <w:t>如之前8.38买入100  8.10 买入100 持仓均价为8.24  接着在9.29时卖出100的</w:t>
            </w:r>
          </w:p>
          <w:p>
            <w:pPr>
              <w:pStyle w:val="34"/>
              <w:rPr>
                <w:kern w:val="0"/>
              </w:rPr>
            </w:pPr>
            <w:r>
              <w:rPr>
                <w:rFonts w:hint="eastAsia"/>
                <w:kern w:val="0"/>
              </w:rPr>
              <w:t>手续费=9.29*100*0.15%=1.39</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845"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盈亏</w:t>
            </w:r>
          </w:p>
        </w:tc>
        <w:tc>
          <w:tcPr>
            <w:tcW w:w="6525"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卖出操作才计算（卖出时成交价与卖出前刻持仓均价的对比计算）</w:t>
            </w:r>
          </w:p>
          <w:p>
            <w:pPr>
              <w:pStyle w:val="34"/>
              <w:rPr>
                <w:kern w:val="0"/>
              </w:rPr>
            </w:pPr>
            <w:r>
              <w:rPr>
                <w:rFonts w:hint="eastAsia"/>
                <w:kern w:val="0"/>
              </w:rPr>
              <w:t>卖出成交价相对于卖出时此品种的持仓均价的盈亏—手续费</w:t>
            </w:r>
          </w:p>
          <w:p>
            <w:pPr>
              <w:pStyle w:val="34"/>
              <w:rPr>
                <w:kern w:val="0"/>
              </w:rPr>
            </w:pPr>
            <w:r>
              <w:rPr>
                <w:rFonts w:hint="eastAsia"/>
                <w:kern w:val="0"/>
              </w:rPr>
              <w:t>如之前8.38买入100  8.10 买入100 持仓均价为8.24  接着在9.29时卖出100</w:t>
            </w:r>
          </w:p>
          <w:p>
            <w:pPr>
              <w:pStyle w:val="34"/>
              <w:rPr>
                <w:kern w:val="0"/>
              </w:rPr>
            </w:pPr>
            <w:r>
              <w:rPr>
                <w:rFonts w:hint="eastAsia"/>
                <w:kern w:val="0"/>
              </w:rPr>
              <w:t>的盈亏计算=（9.29*100—8.24*100）—手续费=105-1.39=103.61</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845"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盈亏比例</w:t>
            </w:r>
          </w:p>
        </w:tc>
        <w:tc>
          <w:tcPr>
            <w:tcW w:w="6525"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卖出操作才计算</w:t>
            </w:r>
          </w:p>
          <w:p>
            <w:pPr>
              <w:pStyle w:val="34"/>
              <w:rPr>
                <w:kern w:val="0"/>
              </w:rPr>
            </w:pPr>
            <w:r>
              <w:rPr>
                <w:rFonts w:hint="eastAsia"/>
                <w:kern w:val="0"/>
              </w:rPr>
              <w:t>盈亏</w:t>
            </w:r>
            <w:r>
              <w:rPr>
                <w:rFonts w:hint="eastAsia"/>
                <w:b/>
                <w:bCs/>
                <w:kern w:val="0"/>
              </w:rPr>
              <w:t>/</w:t>
            </w:r>
            <w:r>
              <w:rPr>
                <w:rFonts w:hint="eastAsia"/>
                <w:kern w:val="0"/>
              </w:rPr>
              <w:t>按卖出前持仓成本计算的卖出部分的成本*100</w:t>
            </w:r>
          </w:p>
          <w:p>
            <w:pPr>
              <w:pStyle w:val="34"/>
              <w:rPr>
                <w:kern w:val="0"/>
              </w:rPr>
            </w:pPr>
            <w:r>
              <w:rPr>
                <w:rFonts w:hint="eastAsia"/>
                <w:kern w:val="0"/>
              </w:rPr>
              <w:t>盈亏比例=103.61</w:t>
            </w:r>
            <w:r>
              <w:rPr>
                <w:rFonts w:hint="eastAsia"/>
                <w:b/>
                <w:bCs/>
                <w:kern w:val="0"/>
              </w:rPr>
              <w:t>/</w:t>
            </w:r>
            <w:r>
              <w:rPr>
                <w:rFonts w:hint="eastAsia"/>
                <w:kern w:val="0"/>
              </w:rPr>
              <w:t>8.24*100=12.57%</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845"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品种名称</w:t>
            </w:r>
          </w:p>
        </w:tc>
        <w:tc>
          <w:tcPr>
            <w:tcW w:w="6525"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操作的品种的名称</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845"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品种代码</w:t>
            </w:r>
          </w:p>
        </w:tc>
        <w:tc>
          <w:tcPr>
            <w:tcW w:w="6525"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操作的品种的代码</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845"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交易理由</w:t>
            </w:r>
          </w:p>
        </w:tc>
        <w:tc>
          <w:tcPr>
            <w:tcW w:w="6525"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买卖操作时写入的交易理由</w:t>
            </w:r>
          </w:p>
        </w:tc>
      </w:tr>
    </w:tbl>
    <w:p>
      <w:pPr>
        <w:pStyle w:val="34"/>
        <w:ind w:firstLine="540"/>
        <w:rPr>
          <w:kern w:val="0"/>
          <w:sz w:val="27"/>
          <w:szCs w:val="27"/>
        </w:rPr>
      </w:pPr>
      <w:r>
        <w:rPr>
          <w:rFonts w:hint="eastAsia"/>
          <w:kern w:val="0"/>
          <w:sz w:val="27"/>
          <w:szCs w:val="27"/>
        </w:rPr>
        <w:t> </w:t>
      </w:r>
    </w:p>
    <w:p>
      <w:pPr>
        <w:pStyle w:val="34"/>
        <w:ind w:firstLine="482"/>
        <w:rPr>
          <w:kern w:val="0"/>
        </w:rPr>
      </w:pPr>
      <w:r>
        <w:rPr>
          <w:rFonts w:hint="eastAsia"/>
          <w:b/>
          <w:bCs/>
          <w:kern w:val="0"/>
        </w:rPr>
        <w:t>持仓品种</w:t>
      </w:r>
    </w:p>
    <w:tbl>
      <w:tblPr>
        <w:tblStyle w:val="25"/>
        <w:tblW w:w="0" w:type="auto"/>
        <w:tblCellSpacing w:w="0" w:type="dxa"/>
        <w:tblInd w:w="0" w:type="dxa"/>
        <w:tblBorders>
          <w:top w:val="outset" w:color="auto" w:sz="6" w:space="0"/>
          <w:left w:val="outset" w:color="auto" w:sz="6" w:space="0"/>
          <w:bottom w:val="outset" w:color="auto" w:sz="6" w:space="0"/>
          <w:right w:val="outset" w:color="auto" w:sz="6" w:space="0"/>
          <w:insideH w:val="none" w:color="auto" w:sz="0" w:space="0"/>
          <w:insideV w:val="none" w:color="auto" w:sz="0" w:space="0"/>
        </w:tblBorders>
        <w:tblLayout w:type="autofit"/>
        <w:tblCellMar>
          <w:top w:w="0" w:type="dxa"/>
          <w:left w:w="0" w:type="dxa"/>
          <w:bottom w:w="0" w:type="dxa"/>
          <w:right w:w="0" w:type="dxa"/>
        </w:tblCellMar>
      </w:tblPr>
      <w:tblGrid>
        <w:gridCol w:w="1845"/>
        <w:gridCol w:w="6525"/>
      </w:tblGrid>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845" w:type="dxa"/>
            <w:tcBorders>
              <w:top w:val="outset" w:color="auto" w:sz="6" w:space="0"/>
              <w:left w:val="outset" w:color="auto" w:sz="6" w:space="0"/>
              <w:bottom w:val="outset" w:color="auto" w:sz="6" w:space="0"/>
              <w:right w:val="outset" w:color="auto" w:sz="6" w:space="0"/>
            </w:tcBorders>
            <w:vAlign w:val="center"/>
          </w:tcPr>
          <w:p>
            <w:pPr>
              <w:pStyle w:val="34"/>
              <w:rPr>
                <w:kern w:val="0"/>
              </w:rPr>
            </w:pPr>
          </w:p>
          <w:p>
            <w:pPr>
              <w:pStyle w:val="34"/>
              <w:rPr>
                <w:kern w:val="0"/>
              </w:rPr>
            </w:pPr>
            <w:r>
              <w:rPr>
                <w:rFonts w:hint="eastAsia"/>
                <w:kern w:val="0"/>
              </w:rPr>
              <w:t>数据项</w:t>
            </w:r>
          </w:p>
        </w:tc>
        <w:tc>
          <w:tcPr>
            <w:tcW w:w="6525"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说明</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845"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品种名称</w:t>
            </w:r>
          </w:p>
        </w:tc>
        <w:tc>
          <w:tcPr>
            <w:tcW w:w="6525"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持仓的品种名称</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845"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品种代码</w:t>
            </w:r>
          </w:p>
        </w:tc>
        <w:tc>
          <w:tcPr>
            <w:tcW w:w="6525"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持仓的品种代码</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845"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持仓数量</w:t>
            </w:r>
          </w:p>
        </w:tc>
        <w:tc>
          <w:tcPr>
            <w:tcW w:w="6525"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品种的买入持仓剩余量</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845"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持仓成本</w:t>
            </w:r>
          </w:p>
        </w:tc>
        <w:tc>
          <w:tcPr>
            <w:tcW w:w="6525"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此品种买入操作总金额/买入操作总数量</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845"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持仓市值</w:t>
            </w:r>
          </w:p>
        </w:tc>
        <w:tc>
          <w:tcPr>
            <w:tcW w:w="6525"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当前持仓品种的持仓数量*当前K线收盘价</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845"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浮动盈亏</w:t>
            </w:r>
          </w:p>
        </w:tc>
        <w:tc>
          <w:tcPr>
            <w:tcW w:w="6525"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持仓市值-持仓成本*持仓量-持仓市值*费率</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845"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浮盈比例</w:t>
            </w:r>
          </w:p>
        </w:tc>
        <w:tc>
          <w:tcPr>
            <w:tcW w:w="6525"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浮动盈亏</w:t>
            </w:r>
            <w:r>
              <w:rPr>
                <w:rFonts w:hint="eastAsia"/>
                <w:b/>
                <w:bCs/>
                <w:kern w:val="0"/>
              </w:rPr>
              <w:t>/</w:t>
            </w:r>
            <w:r>
              <w:rPr>
                <w:rFonts w:hint="eastAsia"/>
                <w:kern w:val="0"/>
              </w:rPr>
              <w:t>持仓成本*持仓量*100</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845"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实现盈亏</w:t>
            </w:r>
          </w:p>
        </w:tc>
        <w:tc>
          <w:tcPr>
            <w:tcW w:w="6525"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此品种截止现在平仓所获到得真实盈亏数额</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845"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介入日期</w:t>
            </w:r>
          </w:p>
        </w:tc>
        <w:tc>
          <w:tcPr>
            <w:tcW w:w="6525"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此品种第一次买入开仓日期</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845"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最后日期</w:t>
            </w:r>
          </w:p>
        </w:tc>
        <w:tc>
          <w:tcPr>
            <w:tcW w:w="6525"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当前K线位置日期</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845"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最后价格</w:t>
            </w:r>
          </w:p>
        </w:tc>
        <w:tc>
          <w:tcPr>
            <w:tcW w:w="6525"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当前K线位置的收盘价</w:t>
            </w:r>
          </w:p>
        </w:tc>
      </w:tr>
    </w:tbl>
    <w:p>
      <w:pPr>
        <w:pStyle w:val="34"/>
        <w:ind w:firstLine="540"/>
        <w:rPr>
          <w:kern w:val="0"/>
          <w:sz w:val="27"/>
          <w:szCs w:val="27"/>
        </w:rPr>
      </w:pPr>
      <w:r>
        <w:rPr>
          <w:rFonts w:hint="eastAsia"/>
          <w:kern w:val="0"/>
          <w:sz w:val="27"/>
          <w:szCs w:val="27"/>
        </w:rPr>
        <w:t> </w:t>
      </w:r>
    </w:p>
    <w:p>
      <w:pPr>
        <w:pStyle w:val="34"/>
        <w:rPr>
          <w:kern w:val="0"/>
        </w:rPr>
      </w:pPr>
      <w:r>
        <w:rPr>
          <w:rFonts w:hint="eastAsia"/>
          <w:kern w:val="0"/>
        </w:rPr>
        <w:t>操作说明 </w:t>
      </w:r>
    </w:p>
    <w:p>
      <w:pPr>
        <w:pStyle w:val="34"/>
        <w:rPr>
          <w:kern w:val="0"/>
        </w:rPr>
      </w:pPr>
      <w:r>
        <w:rPr>
          <w:kern w:val="0"/>
        </w:rPr>
        <w:fldChar w:fldCharType="begin"/>
      </w:r>
      <w:r>
        <w:rPr>
          <w:kern w:val="0"/>
        </w:rPr>
        <w:instrText xml:space="preserve"> INCLUDEPICTURE  "https://www.tdx.com.cn/products/helpfile/tdxw/chm/%E7%AC%AC%E4%BA%8C%E7%AB%A0 %E5%8A%9F%E8%83%BD/2-14/3-2-4-14_clip_image014.jpg"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"https://www.tdx.com.cn/products/helpfile/tdxw/chm/%E7%AC%AC%E4%BA%8C%E7%AB%A0 %E5%8A%9F%E8%83%BD/2-14/3-2-4-14_clip_image014.jpg"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"https://www.tdx.com.cn/products/helpfile/tdxw/chm/%E7%AC%AC%E4%BA%8C%E7%AB%A0 %E5%8A%9F%E8%83%BD/2-14/3-2-4-14_clip_image014.jpg"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"https://www.tdx.com.cn/products/helpfile/tdxw/chm/%E7%AC%AC%E4%BA%8C%E7%AB%A0 %E5%8A%9F%E8%83%BD/2-14/3-2-4-14_clip_image014.jpg" \* MERGEFORMATINET </w:instrText>
      </w:r>
      <w:r>
        <w:rPr>
          <w:kern w:val="0"/>
        </w:rPr>
        <w:fldChar w:fldCharType="separate"/>
      </w:r>
      <w:r>
        <w:rPr>
          <w:kern w:val="0"/>
        </w:rPr>
        <w:drawing>
          <wp:inline distT="0" distB="0" distL="114300" distR="114300">
            <wp:extent cx="2505075" cy="2457450"/>
            <wp:effectExtent l="0" t="0" r="9525" b="0"/>
            <wp:docPr id="161"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pic:cNvPicPr>
                      <a:picLocks noChangeAspect="1"/>
                    </pic:cNvPicPr>
                  </pic:nvPicPr>
                  <pic:blipFill>
                    <a:blip r:embed="rId313" r:link="rId314"/>
                    <a:stretch>
                      <a:fillRect/>
                    </a:stretch>
                  </pic:blipFill>
                  <pic:spPr>
                    <a:xfrm>
                      <a:off x="0" y="0"/>
                      <a:ext cx="2505075" cy="2457450"/>
                    </a:xfrm>
                    <a:prstGeom prst="rect">
                      <a:avLst/>
                    </a:prstGeom>
                    <a:noFill/>
                    <a:ln>
                      <a:noFill/>
                    </a:ln>
                  </pic:spPr>
                </pic:pic>
              </a:graphicData>
            </a:graphic>
          </wp:inline>
        </w:drawing>
      </w:r>
      <w:r>
        <w:rPr>
          <w:kern w:val="0"/>
        </w:rPr>
        <w:fldChar w:fldCharType="end"/>
      </w:r>
      <w:r>
        <w:rPr>
          <w:kern w:val="0"/>
        </w:rPr>
        <w:fldChar w:fldCharType="end"/>
      </w:r>
      <w:r>
        <w:rPr>
          <w:kern w:val="0"/>
        </w:rPr>
        <w:fldChar w:fldCharType="end"/>
      </w:r>
      <w:r>
        <w:rPr>
          <w:kern w:val="0"/>
        </w:rPr>
        <w:fldChar w:fldCharType="end"/>
      </w:r>
    </w:p>
    <w:p>
      <w:pPr>
        <w:pStyle w:val="34"/>
        <w:rPr>
          <w:kern w:val="0"/>
        </w:rPr>
      </w:pPr>
    </w:p>
    <w:p>
      <w:pPr>
        <w:pStyle w:val="34"/>
        <w:rPr>
          <w:kern w:val="0"/>
        </w:rPr>
      </w:pPr>
      <w:r>
        <w:rPr>
          <w:rFonts w:hint="eastAsia"/>
          <w:kern w:val="0"/>
        </w:rPr>
        <w:t>选定日期操作：支持“随机挑选日期”、“下一K线”、“自动播放”</w:t>
      </w:r>
    </w:p>
    <w:p>
      <w:pPr>
        <w:pStyle w:val="34"/>
        <w:rPr>
          <w:kern w:val="0"/>
        </w:rPr>
      </w:pPr>
      <w:r>
        <w:rPr>
          <w:rFonts w:hint="eastAsia"/>
          <w:kern w:val="0"/>
        </w:rPr>
        <w:t>设定初始资金和交易费率：每一轮新的训练开始可以设置。</w:t>
      </w:r>
    </w:p>
    <w:p>
      <w:pPr>
        <w:pStyle w:val="34"/>
        <w:rPr>
          <w:kern w:val="0"/>
        </w:rPr>
      </w:pPr>
      <w:r>
        <w:rPr>
          <w:rFonts w:hint="eastAsia"/>
          <w:kern w:val="0"/>
        </w:rPr>
        <w:t>重新训练：清除历史训练数据，进行下一轮的训练模式。</w:t>
      </w:r>
    </w:p>
    <w:p>
      <w:pPr>
        <w:pStyle w:val="34"/>
        <w:rPr>
          <w:kern w:val="0"/>
        </w:rPr>
      </w:pPr>
      <w:r>
        <w:rPr>
          <w:rFonts w:hint="eastAsia"/>
          <w:kern w:val="0"/>
        </w:rPr>
        <w:t>关闭训练：保存训练数据，下次进入之前的训练操作还在。</w:t>
      </w:r>
    </w:p>
    <w:p>
      <w:pPr>
        <w:pStyle w:val="34"/>
        <w:rPr>
          <w:kern w:val="0"/>
        </w:rPr>
      </w:pPr>
      <w:r>
        <w:rPr>
          <w:rFonts w:hint="eastAsia"/>
          <w:kern w:val="0"/>
        </w:rPr>
        <w:t>记录导出：可以在每次训练模式完成进行下一轮训练模式之前进行数据导出备份。以免历史训练数据不复存在。</w:t>
      </w:r>
      <w:r>
        <w:rPr>
          <w:rFonts w:hint="eastAsia"/>
          <w:b/>
          <w:bCs/>
          <w:kern w:val="0"/>
        </w:rPr>
        <w:t>记录导出对交易记录和持仓品种要分别进行导出。一次记录导出不是同时导出这两个栏目请注意。</w:t>
      </w:r>
    </w:p>
    <w:p>
      <w:pPr>
        <w:pStyle w:val="34"/>
        <w:rPr>
          <w:kern w:val="0"/>
        </w:rPr>
      </w:pPr>
      <w:r>
        <w:rPr>
          <w:rFonts w:hint="eastAsia"/>
          <w:kern w:val="0"/>
        </w:rPr>
        <w:t>首次进入训练模式</w:t>
      </w:r>
    </w:p>
    <w:p>
      <w:pPr>
        <w:pStyle w:val="34"/>
        <w:rPr>
          <w:kern w:val="0"/>
        </w:rPr>
      </w:pPr>
      <w:r>
        <w:rPr>
          <w:rFonts w:hint="eastAsia"/>
          <w:kern w:val="0"/>
        </w:rPr>
        <w:t>第一次进入训练模式要选择第一次买入开仓位置，如果不勾选“随机提取数据”那么可以通过“更换至此日期”选定日历选择的日期进行买入开仓；如果勾选“随机提取数据”，那么可以实现每次按“随机挑选日期”系统自动分配一个日期，无须操作日历控件。</w:t>
      </w:r>
    </w:p>
    <w:p>
      <w:pPr>
        <w:pStyle w:val="34"/>
        <w:rPr>
          <w:kern w:val="0"/>
        </w:rPr>
      </w:pPr>
      <w:r>
        <w:rPr>
          <w:rFonts w:hint="eastAsia"/>
          <w:kern w:val="0"/>
        </w:rPr>
        <w:t>同时可以通过“下一K线”不断向后移动K线位置，“自动播放”自动每次移动一个K线。{如果遇到</w:t>
      </w:r>
      <w:r>
        <w:rPr>
          <w:rFonts w:hint="eastAsia"/>
          <w:b/>
          <w:bCs/>
          <w:kern w:val="0"/>
        </w:rPr>
        <w:t>不规则假期日</w:t>
      </w:r>
      <w:r>
        <w:rPr>
          <w:rFonts w:hint="eastAsia"/>
          <w:kern w:val="0"/>
        </w:rPr>
        <w:t>“下一K线”一次操作实现一次日期变化而不能移动到下一k线}</w:t>
      </w:r>
    </w:p>
    <w:p>
      <w:pPr>
        <w:pStyle w:val="34"/>
        <w:rPr>
          <w:kern w:val="0"/>
        </w:rPr>
      </w:pPr>
      <w:r>
        <w:rPr>
          <w:rFonts w:hint="eastAsia"/>
          <w:kern w:val="0"/>
        </w:rPr>
        <w:t>名词解释：</w:t>
      </w:r>
    </w:p>
    <w:tbl>
      <w:tblPr>
        <w:tblStyle w:val="25"/>
        <w:tblW w:w="0" w:type="auto"/>
        <w:tblCellSpacing w:w="0" w:type="dxa"/>
        <w:tblInd w:w="0" w:type="dxa"/>
        <w:tblBorders>
          <w:top w:val="outset" w:color="auto" w:sz="6" w:space="0"/>
          <w:left w:val="outset" w:color="auto" w:sz="6" w:space="0"/>
          <w:bottom w:val="outset" w:color="auto" w:sz="6" w:space="0"/>
          <w:right w:val="outset" w:color="auto" w:sz="6" w:space="0"/>
          <w:insideH w:val="none" w:color="auto" w:sz="0" w:space="0"/>
          <w:insideV w:val="none" w:color="auto" w:sz="0" w:space="0"/>
        </w:tblBorders>
        <w:tblLayout w:type="autofit"/>
        <w:tblCellMar>
          <w:top w:w="0" w:type="dxa"/>
          <w:left w:w="0" w:type="dxa"/>
          <w:bottom w:w="0" w:type="dxa"/>
          <w:right w:w="0" w:type="dxa"/>
        </w:tblCellMar>
      </w:tblPr>
      <w:tblGrid>
        <w:gridCol w:w="2550"/>
        <w:gridCol w:w="5805"/>
      </w:tblGrid>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550"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不规则假期日</w:t>
            </w:r>
          </w:p>
        </w:tc>
        <w:tc>
          <w:tcPr>
            <w:tcW w:w="5805"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周六周日和假期日导致非交易日</w:t>
            </w:r>
          </w:p>
        </w:tc>
      </w:tr>
    </w:tbl>
    <w:p>
      <w:pPr>
        <w:pStyle w:val="3"/>
        <w:rPr>
          <w:rFonts w:cs="宋体"/>
          <w:kern w:val="0"/>
          <w:sz w:val="27"/>
          <w:szCs w:val="27"/>
        </w:rPr>
      </w:pPr>
      <w:r>
        <w:rPr>
          <w:rFonts w:hint="eastAsia" w:cs="宋体"/>
          <w:kern w:val="0"/>
          <w:sz w:val="27"/>
          <w:szCs w:val="27"/>
        </w:rPr>
        <w:t> </w:t>
      </w:r>
      <w:bookmarkStart w:id="24" w:name="_Toc90646143"/>
      <w:r>
        <w:rPr>
          <w:rFonts w:hint="eastAsia"/>
        </w:rPr>
        <w:t>江恩分析系统</w:t>
      </w:r>
      <w:bookmarkEnd w:id="24"/>
    </w:p>
    <w:p>
      <w:pPr>
        <w:pStyle w:val="34"/>
      </w:pPr>
      <w:r>
        <w:rPr>
          <w:rFonts w:hint="eastAsia"/>
        </w:rPr>
        <w:t>江恩正方形主要根据江恩理论编制而成的.每个格代表不同的价格。</w:t>
      </w:r>
    </w:p>
    <w:p>
      <w:pPr>
        <w:pStyle w:val="34"/>
      </w:pPr>
      <w:r>
        <w:rPr>
          <w:rFonts w:hint="eastAsia"/>
        </w:rPr>
        <w:t>用于计算阻力位与支撑位。</w:t>
      </w:r>
    </w:p>
    <w:p>
      <w:pPr>
        <w:pStyle w:val="34"/>
      </w:pPr>
      <w:r>
        <w:fldChar w:fldCharType="begin"/>
      </w:r>
      <w:r>
        <w:instrText xml:space="preserve"> INCLUDEPICTURE  "https://www.tdx.com.cn/products/helpfile/tdxw/chm/%E7%AC%AC%E4%BA%8C%E7%AB%A0 %E5%8A%9F%E8%83%BD/2-15/1.png" \* MERGEFORMATINET </w:instrText>
      </w:r>
      <w:r>
        <w:fldChar w:fldCharType="separate"/>
      </w:r>
      <w:r>
        <w:fldChar w:fldCharType="begin"/>
      </w:r>
      <w:r>
        <w:instrText xml:space="preserve"> INCLUDEPICTURE  "https://www.tdx.com.cn/products/helpfile/tdxw/chm/%E7%AC%AC%E4%BA%8C%E7%AB%A0 %E5%8A%9F%E8%83%BD/2-15/1.png" \* MERGEFORMATINET </w:instrText>
      </w:r>
      <w:r>
        <w:fldChar w:fldCharType="separate"/>
      </w:r>
      <w:r>
        <w:fldChar w:fldCharType="begin"/>
      </w:r>
      <w:r>
        <w:instrText xml:space="preserve"> INCLUDEPICTURE  "https://www.tdx.com.cn/products/helpfile/tdxw/chm/%E7%AC%AC%E4%BA%8C%E7%AB%A0 %E5%8A%9F%E8%83%BD/2-15/1.png" \* MERGEFORMATINET </w:instrText>
      </w:r>
      <w:r>
        <w:fldChar w:fldCharType="separate"/>
      </w:r>
      <w:r>
        <w:fldChar w:fldCharType="begin"/>
      </w:r>
      <w:r>
        <w:instrText xml:space="preserve"> INCLUDEPICTURE  "https://www.tdx.com.cn/products/helpfile/tdxw/chm/%E7%AC%AC%E4%BA%8C%E7%AB%A0 %E5%8A%9F%E8%83%BD/2-15/1.png" \* MERGEFORMATINET </w:instrText>
      </w:r>
      <w:r>
        <w:fldChar w:fldCharType="separate"/>
      </w:r>
      <w:r>
        <w:drawing>
          <wp:inline distT="0" distB="0" distL="114300" distR="114300">
            <wp:extent cx="7458075" cy="5095875"/>
            <wp:effectExtent l="0" t="0" r="9525" b="9525"/>
            <wp:docPr id="16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pic:cNvPicPr>
                      <a:picLocks noChangeAspect="1"/>
                    </pic:cNvPicPr>
                  </pic:nvPicPr>
                  <pic:blipFill>
                    <a:blip r:embed="rId315" r:link="rId316"/>
                    <a:stretch>
                      <a:fillRect/>
                    </a:stretch>
                  </pic:blipFill>
                  <pic:spPr>
                    <a:xfrm>
                      <a:off x="0" y="0"/>
                      <a:ext cx="7458075" cy="5095875"/>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　 设置： </w:t>
      </w:r>
    </w:p>
    <w:p>
      <w:pPr>
        <w:pStyle w:val="34"/>
      </w:pPr>
      <w:r>
        <w:rPr>
          <w:rFonts w:hint="eastAsia"/>
        </w:rPr>
        <w:t>设置起始价位。起始价位一般是一段时期的重要转折价。缺省为当前分析股票的当前价； </w:t>
      </w:r>
    </w:p>
    <w:p>
      <w:pPr>
        <w:pStyle w:val="34"/>
      </w:pPr>
      <w:r>
        <w:rPr>
          <w:rFonts w:hint="eastAsia"/>
        </w:rPr>
        <w:t>可修改每一个增加单位的价格； </w:t>
      </w:r>
    </w:p>
    <w:p>
      <w:pPr>
        <w:pStyle w:val="34"/>
      </w:pPr>
      <w:r>
        <w:rPr>
          <w:rFonts w:hint="eastAsia"/>
        </w:rPr>
        <w:t>可改变各个格的排列方式； </w:t>
      </w:r>
    </w:p>
    <w:p>
      <w:pPr>
        <w:pStyle w:val="34"/>
      </w:pPr>
      <w:r>
        <w:rPr>
          <w:rFonts w:hint="eastAsia"/>
        </w:rPr>
        <w:t>可改变支撑式及阻力式； </w:t>
      </w:r>
    </w:p>
    <w:p>
      <w:pPr>
        <w:pStyle w:val="34"/>
      </w:pPr>
      <w:r>
        <w:rPr>
          <w:rFonts w:hint="eastAsia"/>
        </w:rPr>
        <w:t>改变参数后请按回车键确认。</w:t>
      </w:r>
    </w:p>
    <w:p>
      <w:pPr>
        <w:pStyle w:val="3"/>
      </w:pPr>
      <w:bookmarkStart w:id="25" w:name="_Toc90646144"/>
      <w:r>
        <w:rPr>
          <w:rFonts w:hint="eastAsia"/>
        </w:rPr>
        <w:t>选择品种</w:t>
      </w:r>
      <w:bookmarkEnd w:id="25"/>
    </w:p>
    <w:p>
      <w:pPr>
        <w:pStyle w:val="34"/>
        <w:rPr>
          <w:kern w:val="0"/>
        </w:rPr>
      </w:pPr>
      <w:r>
        <w:rPr>
          <w:rFonts w:hint="eastAsia"/>
          <w:kern w:val="0"/>
        </w:rPr>
        <w:t>此功能为根据证券的属性进行选择商品的工具，一共有10种可供选择的分类方式，每个分类方式分为若干个小类，用户可以根据自己的需要进行选择。若要选择个股，可以在该工具中使用键盘精灵。</w:t>
      </w:r>
    </w:p>
    <w:p>
      <w:pPr>
        <w:pStyle w:val="34"/>
        <w:rPr>
          <w:kern w:val="0"/>
        </w:rPr>
      </w:pPr>
      <w:r>
        <w:rPr>
          <w:kern w:val="0"/>
        </w:rPr>
        <w:fldChar w:fldCharType="begin"/>
      </w:r>
      <w:r>
        <w:rPr>
          <w:kern w:val="0"/>
        </w:rPr>
        <w:instrText xml:space="preserve"> INCLUDEPICTURE  "https://www.tdx.com.cn/products/helpfile/tdxw/chm/%E7%AC%AC%E4%BA%8C%E7%AB%A0 %E5%8A%9F%E8%83%BD/2-16/1.png"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"https://www.tdx.com.cn/products/helpfile/tdxw/chm/%E7%AC%AC%E4%BA%8C%E7%AB%A0 %E5%8A%9F%E8%83%BD/2-16/1.png"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"https://www.tdx.com.cn/products/helpfile/tdxw/chm/%E7%AC%AC%E4%BA%8C%E7%AB%A0 %E5%8A%9F%E8%83%BD/2-16/1.png" \* MERGEFORMATINET </w:instrText>
      </w:r>
      <w:r>
        <w:rPr>
          <w:kern w:val="0"/>
        </w:rPr>
        <w:fldChar w:fldCharType="separate"/>
      </w:r>
      <w:r>
        <w:rPr>
          <w:kern w:val="0"/>
        </w:rPr>
        <w:fldChar w:fldCharType="begin"/>
      </w:r>
      <w:r>
        <w:rPr>
          <w:kern w:val="0"/>
        </w:rPr>
        <w:instrText xml:space="preserve"> INCLUDEPICTURE  "https://www.tdx.com.cn/products/helpfile/tdxw/chm/%E7%AC%AC%E4%BA%8C%E7%AB%A0 %E5%8A%9F%E8%83%BD/2-16/1.png" \* MERGEFORMATINET </w:instrText>
      </w:r>
      <w:r>
        <w:rPr>
          <w:kern w:val="0"/>
        </w:rPr>
        <w:fldChar w:fldCharType="separate"/>
      </w:r>
      <w:r>
        <w:rPr>
          <w:kern w:val="0"/>
        </w:rPr>
        <w:drawing>
          <wp:inline distT="0" distB="0" distL="114300" distR="114300">
            <wp:extent cx="6819900" cy="4724400"/>
            <wp:effectExtent l="0" t="0" r="0" b="0"/>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pic:cNvPicPr>
                      <a:picLocks noChangeAspect="1"/>
                    </pic:cNvPicPr>
                  </pic:nvPicPr>
                  <pic:blipFill>
                    <a:blip r:embed="rId317" r:link="rId318"/>
                    <a:stretch>
                      <a:fillRect/>
                    </a:stretch>
                  </pic:blipFill>
                  <pic:spPr>
                    <a:xfrm>
                      <a:off x="0" y="0"/>
                      <a:ext cx="6819900" cy="4724400"/>
                    </a:xfrm>
                    <a:prstGeom prst="rect">
                      <a:avLst/>
                    </a:prstGeom>
                    <a:noFill/>
                    <a:ln>
                      <a:noFill/>
                    </a:ln>
                  </pic:spPr>
                </pic:pic>
              </a:graphicData>
            </a:graphic>
          </wp:inline>
        </w:drawing>
      </w:r>
      <w:r>
        <w:rPr>
          <w:kern w:val="0"/>
        </w:rPr>
        <w:fldChar w:fldCharType="end"/>
      </w:r>
      <w:r>
        <w:rPr>
          <w:kern w:val="0"/>
        </w:rPr>
        <w:fldChar w:fldCharType="end"/>
      </w:r>
      <w:r>
        <w:rPr>
          <w:kern w:val="0"/>
        </w:rPr>
        <w:fldChar w:fldCharType="end"/>
      </w:r>
      <w:r>
        <w:rPr>
          <w:kern w:val="0"/>
        </w:rPr>
        <w:fldChar w:fldCharType="end"/>
      </w:r>
    </w:p>
    <w:p>
      <w:pPr>
        <w:pStyle w:val="34"/>
        <w:rPr>
          <w:kern w:val="0"/>
        </w:rPr>
      </w:pPr>
      <w:r>
        <w:rPr>
          <w:rFonts w:hint="eastAsia"/>
          <w:kern w:val="0"/>
        </w:rPr>
        <w:t>〖分类〗按照股票上市的交易所划分。 </w:t>
      </w:r>
    </w:p>
    <w:p>
      <w:pPr>
        <w:pStyle w:val="34"/>
        <w:rPr>
          <w:kern w:val="0"/>
        </w:rPr>
      </w:pPr>
      <w:r>
        <w:rPr>
          <w:rFonts w:hint="eastAsia"/>
          <w:kern w:val="0"/>
        </w:rPr>
        <w:t>〖地区板块〗按照股票的地域划分。 </w:t>
      </w:r>
    </w:p>
    <w:p>
      <w:pPr>
        <w:pStyle w:val="34"/>
        <w:rPr>
          <w:kern w:val="0"/>
        </w:rPr>
      </w:pPr>
      <w:r>
        <w:rPr>
          <w:rFonts w:hint="eastAsia"/>
          <w:kern w:val="0"/>
        </w:rPr>
        <w:t>〖行业板块〗按照股票的行业划分。 </w:t>
      </w:r>
    </w:p>
    <w:p>
      <w:pPr>
        <w:pStyle w:val="34"/>
        <w:rPr>
          <w:kern w:val="0"/>
        </w:rPr>
      </w:pPr>
      <w:r>
        <w:rPr>
          <w:rFonts w:hint="eastAsia"/>
          <w:kern w:val="0"/>
        </w:rPr>
        <w:t>〖概念板块〗按照股票所对应的概念划分。 </w:t>
      </w:r>
    </w:p>
    <w:p>
      <w:pPr>
        <w:pStyle w:val="34"/>
        <w:rPr>
          <w:kern w:val="0"/>
        </w:rPr>
      </w:pPr>
      <w:r>
        <w:rPr>
          <w:rFonts w:hint="eastAsia"/>
          <w:kern w:val="0"/>
        </w:rPr>
        <w:t>〖风格板块〗按照股票所对应的风格划分。 </w:t>
      </w:r>
    </w:p>
    <w:p>
      <w:pPr>
        <w:pStyle w:val="34"/>
        <w:rPr>
          <w:kern w:val="0"/>
        </w:rPr>
      </w:pPr>
      <w:r>
        <w:rPr>
          <w:rFonts w:hint="eastAsia"/>
          <w:kern w:val="0"/>
        </w:rPr>
        <w:t>〖指数板块〗按照深沪指数划分。 </w:t>
      </w:r>
    </w:p>
    <w:p>
      <w:pPr>
        <w:pStyle w:val="34"/>
        <w:rPr>
          <w:kern w:val="0"/>
        </w:rPr>
      </w:pPr>
      <w:r>
        <w:rPr>
          <w:rFonts w:hint="eastAsia"/>
          <w:kern w:val="0"/>
        </w:rPr>
        <w:t>〖组合板块〗客户自定义的组合板块，如有自定义的组合板块。此栏就会出现股票选项。 </w:t>
      </w:r>
    </w:p>
    <w:p>
      <w:pPr>
        <w:pStyle w:val="34"/>
        <w:rPr>
          <w:kern w:val="0"/>
        </w:rPr>
      </w:pPr>
      <w:r>
        <w:rPr>
          <w:rFonts w:hint="eastAsia"/>
          <w:kern w:val="0"/>
        </w:rPr>
        <w:t>〖用户板块〗客户自己选择的自选股以及根据条件选择出现的股票。 </w:t>
      </w:r>
    </w:p>
    <w:p>
      <w:pPr>
        <w:pStyle w:val="34"/>
        <w:rPr>
          <w:kern w:val="0"/>
        </w:rPr>
      </w:pPr>
      <w:r>
        <w:rPr>
          <w:rFonts w:hint="eastAsia"/>
          <w:kern w:val="0"/>
        </w:rPr>
        <w:t>〖扩展市场行情〗香港以及期货市场等的证券。</w:t>
      </w:r>
    </w:p>
    <w:p>
      <w:pPr>
        <w:pStyle w:val="34"/>
        <w:rPr>
          <w:kern w:val="0"/>
          <w:sz w:val="27"/>
          <w:szCs w:val="27"/>
        </w:rPr>
      </w:pPr>
      <w:r>
        <w:rPr>
          <w:rFonts w:hint="eastAsia"/>
          <w:kern w:val="0"/>
        </w:rPr>
        <w:t>〖港股美股板块〗按照港股美股划分。 </w:t>
      </w:r>
    </w:p>
    <w:p>
      <w:pPr>
        <w:pStyle w:val="3"/>
      </w:pPr>
      <w:bookmarkStart w:id="26" w:name="_Toc90646145"/>
      <w:r>
        <w:rPr>
          <w:rFonts w:hint="eastAsia"/>
        </w:rPr>
        <w:t>最近浏览品种</w:t>
      </w:r>
      <w:bookmarkEnd w:id="26"/>
    </w:p>
    <w:p>
      <w:pPr>
        <w:pStyle w:val="34"/>
      </w:pPr>
      <w:r>
        <w:rPr>
          <w:rFonts w:hint="eastAsia"/>
        </w:rPr>
        <w:t>打开方式：</w:t>
      </w:r>
    </w:p>
    <w:p>
      <w:pPr>
        <w:pStyle w:val="34"/>
      </w:pPr>
      <w:r>
        <w:rPr>
          <w:rFonts w:hint="eastAsia"/>
        </w:rPr>
        <w:t>功能——最近浏览品种 或快捷键“48”</w:t>
      </w:r>
    </w:p>
    <w:p>
      <w:pPr>
        <w:pStyle w:val="34"/>
      </w:pPr>
      <w:r>
        <w:rPr>
          <w:rFonts w:hint="eastAsia"/>
        </w:rPr>
        <w:t>可以查看最近几天浏览过的品种。</w:t>
      </w:r>
    </w:p>
    <w:p>
      <w:pPr>
        <w:pStyle w:val="34"/>
      </w:pPr>
      <w:r>
        <w:rPr>
          <w:rFonts w:hint="eastAsia"/>
        </w:rPr>
        <w:t>附：品种代码前“</w:t>
      </w:r>
      <w:r>
        <w:fldChar w:fldCharType="begin"/>
      </w:r>
      <w:r>
        <w:instrText xml:space="preserve"> INCLUDEPICTURE  "https://www.tdx.com.cn/products/helpfile/tdxw/chm/%E7%AC%AC%E4%BA%8C%E7%AB%A0 %E5%8A%9F%E8%83%BD/2-17/0.5.png" \* MERGEFORMATINET </w:instrText>
      </w:r>
      <w:r>
        <w:fldChar w:fldCharType="separate"/>
      </w:r>
      <w:r>
        <w:fldChar w:fldCharType="begin"/>
      </w:r>
      <w:r>
        <w:instrText xml:space="preserve"> INCLUDEPICTURE  "https://www.tdx.com.cn/products/helpfile/tdxw/chm/%E7%AC%AC%E4%BA%8C%E7%AB%A0 %E5%8A%9F%E8%83%BD/2-17/0.5.png" \* MERGEFORMATINET </w:instrText>
      </w:r>
      <w:r>
        <w:fldChar w:fldCharType="separate"/>
      </w:r>
      <w:r>
        <w:fldChar w:fldCharType="begin"/>
      </w:r>
      <w:r>
        <w:instrText xml:space="preserve"> INCLUDEPICTURE  "https://www.tdx.com.cn/products/helpfile/tdxw/chm/%E7%AC%AC%E4%BA%8C%E7%AB%A0 %E5%8A%9F%E8%83%BD/2-17/0.5.png" \* MERGEFORMATINET </w:instrText>
      </w:r>
      <w:r>
        <w:fldChar w:fldCharType="separate"/>
      </w:r>
      <w:r>
        <w:fldChar w:fldCharType="begin"/>
      </w:r>
      <w:r>
        <w:instrText xml:space="preserve"> INCLUDEPICTURE  "https://www.tdx.com.cn/products/helpfile/tdxw/chm/%E7%AC%AC%E4%BA%8C%E7%AB%A0 %E5%8A%9F%E8%83%BD/2-17/0.5.png" \* MERGEFORMATINET </w:instrText>
      </w:r>
      <w:r>
        <w:fldChar w:fldCharType="separate"/>
      </w:r>
      <w:r>
        <w:drawing>
          <wp:inline distT="0" distB="0" distL="114300" distR="114300">
            <wp:extent cx="152400" cy="142875"/>
            <wp:effectExtent l="0" t="0" r="0" b="9525"/>
            <wp:docPr id="16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pic:cNvPicPr>
                      <a:picLocks noChangeAspect="1"/>
                    </pic:cNvPicPr>
                  </pic:nvPicPr>
                  <pic:blipFill>
                    <a:blip r:embed="rId319" r:link="rId320"/>
                    <a:stretch>
                      <a:fillRect/>
                    </a:stretch>
                  </pic:blipFill>
                  <pic:spPr>
                    <a:xfrm>
                      <a:off x="0" y="0"/>
                      <a:ext cx="152400" cy="142875"/>
                    </a:xfrm>
                    <a:prstGeom prst="rect">
                      <a:avLst/>
                    </a:prstGeom>
                    <a:noFill/>
                    <a:ln>
                      <a:noFill/>
                    </a:ln>
                  </pic:spPr>
                </pic:pic>
              </a:graphicData>
            </a:graphic>
          </wp:inline>
        </w:drawing>
      </w:r>
      <w:r>
        <w:fldChar w:fldCharType="end"/>
      </w:r>
      <w:r>
        <w:fldChar w:fldCharType="end"/>
      </w:r>
      <w:r>
        <w:fldChar w:fldCharType="end"/>
      </w:r>
      <w:r>
        <w:fldChar w:fldCharType="end"/>
      </w:r>
      <w:r>
        <w:rPr>
          <w:rFonts w:hint="eastAsia"/>
        </w:rPr>
        <w:t>”标识，代表此支股票为自选股。</w:t>
      </w:r>
    </w:p>
    <w:p>
      <w:pPr>
        <w:pStyle w:val="34"/>
      </w:pPr>
      <w:r>
        <w:fldChar w:fldCharType="begin"/>
      </w:r>
      <w:r>
        <w:instrText xml:space="preserve"> INCLUDEPICTURE  "https://www.tdx.com.cn/products/helpfile/tdxw/chm/%E7%AC%AC%E4%BA%8C%E7%AB%A0 %E5%8A%9F%E8%83%BD/2-17/1.png" \* MERGEFORMATINET </w:instrText>
      </w:r>
      <w:r>
        <w:fldChar w:fldCharType="separate"/>
      </w:r>
      <w:r>
        <w:fldChar w:fldCharType="begin"/>
      </w:r>
      <w:r>
        <w:instrText xml:space="preserve"> INCLUDEPICTURE  "https://www.tdx.com.cn/products/helpfile/tdxw/chm/%E7%AC%AC%E4%BA%8C%E7%AB%A0 %E5%8A%9F%E8%83%BD/2-17/1.png" \* MERGEFORMATINET </w:instrText>
      </w:r>
      <w:r>
        <w:fldChar w:fldCharType="separate"/>
      </w:r>
      <w:r>
        <w:fldChar w:fldCharType="begin"/>
      </w:r>
      <w:r>
        <w:instrText xml:space="preserve"> INCLUDEPICTURE  "https://www.tdx.com.cn/products/helpfile/tdxw/chm/%E7%AC%AC%E4%BA%8C%E7%AB%A0 %E5%8A%9F%E8%83%BD/2-17/1.png" \* MERGEFORMATINET </w:instrText>
      </w:r>
      <w:r>
        <w:fldChar w:fldCharType="separate"/>
      </w:r>
      <w:r>
        <w:fldChar w:fldCharType="begin"/>
      </w:r>
      <w:r>
        <w:instrText xml:space="preserve"> INCLUDEPICTURE  "https://www.tdx.com.cn/products/helpfile/tdxw/chm/%E7%AC%AC%E4%BA%8C%E7%AB%A0 %E5%8A%9F%E8%83%BD/2-17/1.png" \* MERGEFORMATINET </w:instrText>
      </w:r>
      <w:r>
        <w:fldChar w:fldCharType="separate"/>
      </w:r>
      <w:r>
        <w:drawing>
          <wp:inline distT="0" distB="0" distL="114300" distR="114300">
            <wp:extent cx="3467100" cy="4381500"/>
            <wp:effectExtent l="0" t="0" r="0" b="0"/>
            <wp:docPr id="1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pic:cNvPicPr>
                      <a:picLocks noChangeAspect="1"/>
                    </pic:cNvPicPr>
                  </pic:nvPicPr>
                  <pic:blipFill>
                    <a:blip r:embed="rId321" r:link="rId322"/>
                    <a:stretch>
                      <a:fillRect/>
                    </a:stretch>
                  </pic:blipFill>
                  <pic:spPr>
                    <a:xfrm>
                      <a:off x="0" y="0"/>
                      <a:ext cx="3467100" cy="4381500"/>
                    </a:xfrm>
                    <a:prstGeom prst="rect">
                      <a:avLst/>
                    </a:prstGeom>
                    <a:noFill/>
                    <a:ln>
                      <a:noFill/>
                    </a:ln>
                  </pic:spPr>
                </pic:pic>
              </a:graphicData>
            </a:graphic>
          </wp:inline>
        </w:drawing>
      </w:r>
      <w:r>
        <w:fldChar w:fldCharType="end"/>
      </w:r>
      <w:r>
        <w:fldChar w:fldCharType="end"/>
      </w:r>
      <w:r>
        <w:fldChar w:fldCharType="end"/>
      </w:r>
      <w:r>
        <w:fldChar w:fldCharType="end"/>
      </w:r>
    </w:p>
    <w:p>
      <w:pPr>
        <w:pStyle w:val="3"/>
      </w:pPr>
      <w:bookmarkStart w:id="27" w:name="_Toc90646146"/>
      <w:r>
        <w:rPr>
          <w:rFonts w:hint="eastAsia"/>
        </w:rPr>
        <w:t>沪深权息查询</w:t>
      </w:r>
      <w:bookmarkEnd w:id="27"/>
    </w:p>
    <w:p>
      <w:pPr>
        <w:pStyle w:val="34"/>
      </w:pPr>
      <w:r>
        <w:rPr>
          <w:rFonts w:hint="eastAsia"/>
        </w:rPr>
        <w:t>打开方式： 功能——沪深权息查询</w:t>
      </w:r>
    </w:p>
    <w:p>
      <w:pPr>
        <w:pStyle w:val="34"/>
      </w:pPr>
      <w:r>
        <w:fldChar w:fldCharType="begin"/>
      </w:r>
      <w:r>
        <w:instrText xml:space="preserve"> INCLUDEPICTURE  "https://www.tdx.com.cn/products/helpfile/tdxw/chm/%E7%AC%AC%E4%BA%8C%E7%AB%A0 %E5%8A%9F%E8%83%BD/2-18/1.png" \* MERGEFORMATINET </w:instrText>
      </w:r>
      <w:r>
        <w:fldChar w:fldCharType="separate"/>
      </w:r>
      <w:r>
        <w:fldChar w:fldCharType="begin"/>
      </w:r>
      <w:r>
        <w:instrText xml:space="preserve"> INCLUDEPICTURE  "https://www.tdx.com.cn/products/helpfile/tdxw/chm/%E7%AC%AC%E4%BA%8C%E7%AB%A0 %E5%8A%9F%E8%83%BD/2-18/1.png" \* MERGEFORMATINET </w:instrText>
      </w:r>
      <w:r>
        <w:fldChar w:fldCharType="separate"/>
      </w:r>
      <w:r>
        <w:fldChar w:fldCharType="begin"/>
      </w:r>
      <w:r>
        <w:instrText xml:space="preserve"> INCLUDEPICTURE  "https://www.tdx.com.cn/products/helpfile/tdxw/chm/%E7%AC%AC%E4%BA%8C%E7%AB%A0 %E5%8A%9F%E8%83%BD/2-18/1.png" \* MERGEFORMATINET </w:instrText>
      </w:r>
      <w:r>
        <w:fldChar w:fldCharType="separate"/>
      </w:r>
      <w:r>
        <w:fldChar w:fldCharType="begin"/>
      </w:r>
      <w:r>
        <w:instrText xml:space="preserve"> INCLUDEPICTURE  "https://www.tdx.com.cn/products/helpfile/tdxw/chm/%E7%AC%AC%E4%BA%8C%E7%AB%A0 %E5%8A%9F%E8%83%BD/2-18/1.png" \* MERGEFORMATINET </w:instrText>
      </w:r>
      <w:r>
        <w:fldChar w:fldCharType="separate"/>
      </w:r>
      <w:r>
        <w:drawing>
          <wp:inline distT="0" distB="0" distL="114300" distR="114300">
            <wp:extent cx="5648325" cy="5038725"/>
            <wp:effectExtent l="0" t="0" r="9525" b="9525"/>
            <wp:docPr id="1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pic:cNvPicPr>
                      <a:picLocks noChangeAspect="1"/>
                    </pic:cNvPicPr>
                  </pic:nvPicPr>
                  <pic:blipFill>
                    <a:blip r:embed="rId323" r:link="rId324"/>
                    <a:stretch>
                      <a:fillRect/>
                    </a:stretch>
                  </pic:blipFill>
                  <pic:spPr>
                    <a:xfrm>
                      <a:off x="0" y="0"/>
                      <a:ext cx="5648325" cy="5038725"/>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上图可以看到未来数天的权息变动，当日权息变动，一年以来的权息变动（如果想查看无权息变动但是公司的流通股变动的情况，请勾选“包含流通盘变动”）。</w:t>
      </w:r>
    </w:p>
    <w:p>
      <w:pPr>
        <w:pStyle w:val="3"/>
      </w:pPr>
      <w:bookmarkStart w:id="28" w:name="_Toc90646147"/>
      <w:r>
        <w:rPr>
          <w:rFonts w:hint="eastAsia"/>
        </w:rPr>
        <w:t>盯盘精灵</w:t>
      </w:r>
      <w:bookmarkEnd w:id="28"/>
    </w:p>
    <w:p>
      <w:pPr>
        <w:pStyle w:val="34"/>
      </w:pPr>
      <w:r>
        <w:rPr>
          <w:rFonts w:hint="eastAsia"/>
        </w:rPr>
        <w:t>菜单调出：功能——盯盘精灵</w:t>
      </w:r>
    </w:p>
    <w:p>
      <w:pPr>
        <w:pStyle w:val="34"/>
      </w:pPr>
      <w:r>
        <w:rPr>
          <w:rFonts w:hint="eastAsia"/>
        </w:rPr>
        <w:t>自选股盯盘精灵就会展示出来（箭头所指可以切换下方两种形式）：</w:t>
      </w:r>
    </w:p>
    <w:p>
      <w:pPr>
        <w:pStyle w:val="34"/>
      </w:pPr>
      <w:r>
        <w:fldChar w:fldCharType="begin"/>
      </w:r>
      <w:r>
        <w:instrText xml:space="preserve"> INCLUDEPICTURE  "https://www.tdx.com.cn/products/helpfile/tdxw/chm/%E7%AC%AC%E4%BA%8C%E7%AB%A0 %E5%8A%9F%E8%83%BD/2-19/2.png" \* MERGEFORMATINET </w:instrText>
      </w:r>
      <w:r>
        <w:fldChar w:fldCharType="separate"/>
      </w:r>
      <w:r>
        <w:fldChar w:fldCharType="begin"/>
      </w:r>
      <w:r>
        <w:instrText xml:space="preserve"> INCLUDEPICTURE  "https://www.tdx.com.cn/products/helpfile/tdxw/chm/%E7%AC%AC%E4%BA%8C%E7%AB%A0 %E5%8A%9F%E8%83%BD/2-19/2.png" \* MERGEFORMATINET </w:instrText>
      </w:r>
      <w:r>
        <w:fldChar w:fldCharType="separate"/>
      </w:r>
      <w:r>
        <w:fldChar w:fldCharType="begin"/>
      </w:r>
      <w:r>
        <w:instrText xml:space="preserve"> INCLUDEPICTURE  "https://www.tdx.com.cn/products/helpfile/tdxw/chm/%E7%AC%AC%E4%BA%8C%E7%AB%A0 %E5%8A%9F%E8%83%BD/2-19/2.png" \* MERGEFORMATINET </w:instrText>
      </w:r>
      <w:r>
        <w:fldChar w:fldCharType="separate"/>
      </w:r>
      <w:r>
        <w:fldChar w:fldCharType="begin"/>
      </w:r>
      <w:r>
        <w:instrText xml:space="preserve"> INCLUDEPICTURE  "https://www.tdx.com.cn/products/helpfile/tdxw/chm/%E7%AC%AC%E4%BA%8C%E7%AB%A0 %E5%8A%9F%E8%83%BD/2-19/2.png" \* MERGEFORMATINET </w:instrText>
      </w:r>
      <w:r>
        <w:fldChar w:fldCharType="separate"/>
      </w:r>
      <w:r>
        <w:drawing>
          <wp:inline distT="0" distB="0" distL="114300" distR="114300">
            <wp:extent cx="2295525" cy="2390775"/>
            <wp:effectExtent l="0" t="0" r="9525" b="9525"/>
            <wp:docPr id="167"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pic:cNvPicPr>
                      <a:picLocks noChangeAspect="1"/>
                    </pic:cNvPicPr>
                  </pic:nvPicPr>
                  <pic:blipFill>
                    <a:blip r:embed="rId325" r:link="rId326"/>
                    <a:stretch>
                      <a:fillRect/>
                    </a:stretch>
                  </pic:blipFill>
                  <pic:spPr>
                    <a:xfrm>
                      <a:off x="0" y="0"/>
                      <a:ext cx="2295525" cy="2390775"/>
                    </a:xfrm>
                    <a:prstGeom prst="rect">
                      <a:avLst/>
                    </a:prstGeom>
                    <a:noFill/>
                    <a:ln>
                      <a:noFill/>
                    </a:ln>
                  </pic:spPr>
                </pic:pic>
              </a:graphicData>
            </a:graphic>
          </wp:inline>
        </w:drawing>
      </w:r>
      <w:r>
        <w:fldChar w:fldCharType="end"/>
      </w:r>
      <w:r>
        <w:fldChar w:fldCharType="end"/>
      </w:r>
      <w:r>
        <w:fldChar w:fldCharType="end"/>
      </w:r>
      <w:r>
        <w:fldChar w:fldCharType="end"/>
      </w:r>
      <w:r>
        <w:fldChar w:fldCharType="begin"/>
      </w:r>
      <w:r>
        <w:instrText xml:space="preserve"> INCLUDEPICTURE  "https://www.tdx.com.cn/products/helpfile/tdxw/chm/%E7%AC%AC%E4%BA%8C%E7%AB%A0 %E5%8A%9F%E8%83%BD/2-19/1.5.png" \* MERGEFORMATINET </w:instrText>
      </w:r>
      <w:r>
        <w:fldChar w:fldCharType="separate"/>
      </w:r>
      <w:r>
        <w:fldChar w:fldCharType="begin"/>
      </w:r>
      <w:r>
        <w:instrText xml:space="preserve"> INCLUDEPICTURE  "https://www.tdx.com.cn/products/helpfile/tdxw/chm/%E7%AC%AC%E4%BA%8C%E7%AB%A0 %E5%8A%9F%E8%83%BD/2-19/1.5.png" \* MERGEFORMATINET </w:instrText>
      </w:r>
      <w:r>
        <w:fldChar w:fldCharType="separate"/>
      </w:r>
      <w:r>
        <w:fldChar w:fldCharType="begin"/>
      </w:r>
      <w:r>
        <w:instrText xml:space="preserve"> INCLUDEPICTURE  "https://www.tdx.com.cn/products/helpfile/tdxw/chm/%E7%AC%AC%E4%BA%8C%E7%AB%A0 %E5%8A%9F%E8%83%BD/2-19/1.5.png" \* MERGEFORMATINET </w:instrText>
      </w:r>
      <w:r>
        <w:fldChar w:fldCharType="separate"/>
      </w:r>
      <w:r>
        <w:fldChar w:fldCharType="begin"/>
      </w:r>
      <w:r>
        <w:instrText xml:space="preserve"> INCLUDEPICTURE  "https://www.tdx.com.cn/products/helpfile/tdxw/chm/%E7%AC%AC%E4%BA%8C%E7%AB%A0 %E5%8A%9F%E8%83%BD/2-19/1.5.png" \* MERGEFORMATINET </w:instrText>
      </w:r>
      <w:r>
        <w:fldChar w:fldCharType="separate"/>
      </w:r>
      <w:r>
        <w:drawing>
          <wp:inline distT="0" distB="0" distL="114300" distR="114300">
            <wp:extent cx="3067050" cy="5676900"/>
            <wp:effectExtent l="0" t="0" r="0" b="0"/>
            <wp:docPr id="168"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pic:cNvPicPr>
                      <a:picLocks noChangeAspect="1"/>
                    </pic:cNvPicPr>
                  </pic:nvPicPr>
                  <pic:blipFill>
                    <a:blip r:embed="rId327" r:link="rId328"/>
                    <a:stretch>
                      <a:fillRect/>
                    </a:stretch>
                  </pic:blipFill>
                  <pic:spPr>
                    <a:xfrm>
                      <a:off x="0" y="0"/>
                      <a:ext cx="3067050" cy="5676900"/>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同时可以对盯盘精灵进行相关的设置：盯盘精灵的显示透明度等的设置；自选股盯盘精灵窗口的图标 </w:t>
      </w:r>
      <w:r>
        <w:fldChar w:fldCharType="begin"/>
      </w:r>
      <w:r>
        <w:instrText xml:space="preserve"> INCLUDEPICTURE  "https://www.tdx.com.cn/products/helpfile/tdxw/chm/%E7%AC%AC%E4%BA%8C%E7%AB%A0 %E5%8A%9F%E8%83%BD/2-19/3.png" \* MERGEFORMATINET </w:instrText>
      </w:r>
      <w:r>
        <w:fldChar w:fldCharType="separate"/>
      </w:r>
      <w:r>
        <w:fldChar w:fldCharType="begin"/>
      </w:r>
      <w:r>
        <w:instrText xml:space="preserve"> INCLUDEPICTURE  "https://www.tdx.com.cn/products/helpfile/tdxw/chm/%E7%AC%AC%E4%BA%8C%E7%AB%A0 %E5%8A%9F%E8%83%BD/2-19/3.png" \* MERGEFORMATINET </w:instrText>
      </w:r>
      <w:r>
        <w:fldChar w:fldCharType="separate"/>
      </w:r>
      <w:r>
        <w:fldChar w:fldCharType="begin"/>
      </w:r>
      <w:r>
        <w:instrText xml:space="preserve"> INCLUDEPICTURE  "https://www.tdx.com.cn/products/helpfile/tdxw/chm/%E7%AC%AC%E4%BA%8C%E7%AB%A0 %E5%8A%9F%E8%83%BD/2-19/3.png" \* MERGEFORMATINET </w:instrText>
      </w:r>
      <w:r>
        <w:fldChar w:fldCharType="separate"/>
      </w:r>
      <w:r>
        <w:fldChar w:fldCharType="begin"/>
      </w:r>
      <w:r>
        <w:instrText xml:space="preserve"> INCLUDEPICTURE  "https://www.tdx.com.cn/products/helpfile/tdxw/chm/%E7%AC%AC%E4%BA%8C%E7%AB%A0 %E5%8A%9F%E8%83%BD/2-19/3.png" \* MERGEFORMATINET </w:instrText>
      </w:r>
      <w:r>
        <w:fldChar w:fldCharType="separate"/>
      </w:r>
      <w:r>
        <w:drawing>
          <wp:inline distT="0" distB="0" distL="114300" distR="114300">
            <wp:extent cx="371475" cy="419100"/>
            <wp:effectExtent l="0" t="0" r="9525" b="0"/>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pic:cNvPicPr>
                      <a:picLocks noChangeAspect="1"/>
                    </pic:cNvPicPr>
                  </pic:nvPicPr>
                  <pic:blipFill>
                    <a:blip r:embed="rId329" r:link="rId330"/>
                    <a:stretch>
                      <a:fillRect/>
                    </a:stretch>
                  </pic:blipFill>
                  <pic:spPr>
                    <a:xfrm>
                      <a:off x="0" y="0"/>
                      <a:ext cx="371475" cy="419100"/>
                    </a:xfrm>
                    <a:prstGeom prst="rect">
                      <a:avLst/>
                    </a:prstGeom>
                    <a:noFill/>
                    <a:ln>
                      <a:noFill/>
                    </a:ln>
                  </pic:spPr>
                </pic:pic>
              </a:graphicData>
            </a:graphic>
          </wp:inline>
        </w:drawing>
      </w:r>
      <w:r>
        <w:fldChar w:fldCharType="end"/>
      </w:r>
      <w:r>
        <w:fldChar w:fldCharType="end"/>
      </w:r>
      <w:r>
        <w:fldChar w:fldCharType="end"/>
      </w:r>
      <w:r>
        <w:fldChar w:fldCharType="end"/>
      </w:r>
      <w:r>
        <w:rPr>
          <w:rFonts w:hint="eastAsia"/>
        </w:rPr>
        <w:t>；（说明：自选股显示可以设置不超过20支）</w:t>
      </w:r>
    </w:p>
    <w:p>
      <w:pPr>
        <w:pStyle w:val="34"/>
      </w:pPr>
    </w:p>
    <w:p>
      <w:pPr>
        <w:pStyle w:val="34"/>
      </w:pPr>
      <w:r>
        <w:fldChar w:fldCharType="begin"/>
      </w:r>
      <w:r>
        <w:instrText xml:space="preserve"> INCLUDEPICTURE  "https://www.tdx.com.cn/products/helpfile/tdxw/chm/%E7%AC%AC%E4%BA%8C%E7%AB%A0 %E5%8A%9F%E8%83%BD/2-19/4.png" \* MERGEFORMATINET </w:instrText>
      </w:r>
      <w:r>
        <w:fldChar w:fldCharType="separate"/>
      </w:r>
      <w:r>
        <w:fldChar w:fldCharType="begin"/>
      </w:r>
      <w:r>
        <w:instrText xml:space="preserve"> INCLUDEPICTURE  "https://www.tdx.com.cn/products/helpfile/tdxw/chm/%E7%AC%AC%E4%BA%8C%E7%AB%A0 %E5%8A%9F%E8%83%BD/2-19/4.png" \* MERGEFORMATINET </w:instrText>
      </w:r>
      <w:r>
        <w:fldChar w:fldCharType="separate"/>
      </w:r>
      <w:r>
        <w:fldChar w:fldCharType="begin"/>
      </w:r>
      <w:r>
        <w:instrText xml:space="preserve"> INCLUDEPICTURE  "https://www.tdx.com.cn/products/helpfile/tdxw/chm/%E7%AC%AC%E4%BA%8C%E7%AB%A0 %E5%8A%9F%E8%83%BD/2-19/4.png" \* MERGEFORMATINET </w:instrText>
      </w:r>
      <w:r>
        <w:fldChar w:fldCharType="separate"/>
      </w:r>
      <w:r>
        <w:fldChar w:fldCharType="begin"/>
      </w:r>
      <w:r>
        <w:instrText xml:space="preserve"> INCLUDEPICTURE  "https://www.tdx.com.cn/products/helpfile/tdxw/chm/%E7%AC%AC%E4%BA%8C%E7%AB%A0 %E5%8A%9F%E8%83%BD/2-19/4.png" \* MERGEFORMATINET </w:instrText>
      </w:r>
      <w:r>
        <w:fldChar w:fldCharType="separate"/>
      </w:r>
      <w:r>
        <w:drawing>
          <wp:inline distT="0" distB="0" distL="114300" distR="114300">
            <wp:extent cx="3990975" cy="2867025"/>
            <wp:effectExtent l="0" t="0" r="9525" b="9525"/>
            <wp:docPr id="17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pic:cNvPicPr>
                      <a:picLocks noChangeAspect="1"/>
                    </pic:cNvPicPr>
                  </pic:nvPicPr>
                  <pic:blipFill>
                    <a:blip r:embed="rId331" r:link="rId332"/>
                    <a:stretch>
                      <a:fillRect/>
                    </a:stretch>
                  </pic:blipFill>
                  <pic:spPr>
                    <a:xfrm>
                      <a:off x="0" y="0"/>
                      <a:ext cx="3990975" cy="2867025"/>
                    </a:xfrm>
                    <a:prstGeom prst="rect">
                      <a:avLst/>
                    </a:prstGeom>
                    <a:noFill/>
                    <a:ln>
                      <a:noFill/>
                    </a:ln>
                  </pic:spPr>
                </pic:pic>
              </a:graphicData>
            </a:graphic>
          </wp:inline>
        </w:drawing>
      </w:r>
      <w:r>
        <w:fldChar w:fldCharType="end"/>
      </w:r>
      <w:r>
        <w:fldChar w:fldCharType="end"/>
      </w:r>
      <w:r>
        <w:fldChar w:fldCharType="end"/>
      </w:r>
      <w:r>
        <w:fldChar w:fldCharType="end"/>
      </w:r>
    </w:p>
    <w:p>
      <w:pPr>
        <w:pStyle w:val="3"/>
      </w:pPr>
      <w:bookmarkStart w:id="29" w:name="_Toc90646148"/>
      <w:r>
        <w:rPr>
          <w:rFonts w:hint="eastAsia"/>
        </w:rPr>
        <w:t>最前端/全屏显示</w:t>
      </w:r>
      <w:bookmarkEnd w:id="29"/>
    </w:p>
    <w:p>
      <w:pPr>
        <w:pStyle w:val="34"/>
      </w:pPr>
      <w:r>
        <w:rPr>
          <w:rFonts w:hint="eastAsia"/>
          <w:szCs w:val="27"/>
        </w:rPr>
        <w:t>最前端显示：</w:t>
      </w:r>
    </w:p>
    <w:p>
      <w:pPr>
        <w:pStyle w:val="34"/>
        <w:rPr>
          <w:szCs w:val="27"/>
        </w:rPr>
      </w:pPr>
      <w:r>
        <w:rPr>
          <w:rFonts w:hint="eastAsia"/>
          <w:szCs w:val="18"/>
        </w:rPr>
        <w:t>打开方式：功能——屏幕管理——最前端显示</w:t>
      </w:r>
    </w:p>
    <w:p>
      <w:pPr>
        <w:pStyle w:val="34"/>
        <w:rPr>
          <w:szCs w:val="18"/>
        </w:rPr>
      </w:pPr>
      <w:r>
        <w:rPr>
          <w:rFonts w:hint="eastAsia"/>
          <w:szCs w:val="18"/>
        </w:rPr>
        <w:t>不管电脑上用户怎么样操作，通达信软件都是最前端窗口显示，便于用户更方便的观看行情走势的变化或其他信息。</w:t>
      </w:r>
    </w:p>
    <w:p>
      <w:pPr>
        <w:pStyle w:val="34"/>
        <w:rPr>
          <w:szCs w:val="27"/>
        </w:rPr>
      </w:pPr>
      <w:r>
        <w:rPr>
          <w:rFonts w:hint="eastAsia"/>
          <w:szCs w:val="27"/>
        </w:rPr>
        <w:t>全屏显示：</w:t>
      </w:r>
    </w:p>
    <w:p>
      <w:pPr>
        <w:pStyle w:val="34"/>
        <w:rPr>
          <w:szCs w:val="27"/>
        </w:rPr>
      </w:pPr>
      <w:r>
        <w:rPr>
          <w:rFonts w:hint="eastAsia"/>
          <w:szCs w:val="18"/>
        </w:rPr>
        <w:t>打开方式：功能——屏幕管理——全屏显示</w:t>
      </w:r>
    </w:p>
    <w:p>
      <w:pPr>
        <w:pStyle w:val="34"/>
        <w:rPr>
          <w:szCs w:val="18"/>
        </w:rPr>
      </w:pPr>
      <w:r>
        <w:rPr>
          <w:rFonts w:hint="eastAsia"/>
          <w:szCs w:val="18"/>
        </w:rPr>
        <w:t>部分版本支持全屏显示，快捷键：CTRL+P。如果全屏了，可以按此快捷键退出全屏功能。</w:t>
      </w:r>
    </w:p>
    <w:p>
      <w:pPr>
        <w:pStyle w:val="3"/>
      </w:pPr>
      <w:bookmarkStart w:id="30" w:name="_Toc90646149"/>
      <w:r>
        <w:rPr>
          <w:rFonts w:hint="eastAsia"/>
        </w:rPr>
        <w:t>画线工具</w:t>
      </w:r>
      <w:bookmarkEnd w:id="30"/>
    </w:p>
    <w:p>
      <w:pPr>
        <w:pStyle w:val="34"/>
      </w:pPr>
      <w:r>
        <w:rPr>
          <w:rFonts w:hint="eastAsia"/>
        </w:rPr>
        <w:t>快捷方式：</w:t>
      </w:r>
    </w:p>
    <w:p>
      <w:pPr>
        <w:pStyle w:val="34"/>
      </w:pPr>
      <w:r>
        <w:rPr>
          <w:rFonts w:hint="eastAsia"/>
        </w:rPr>
        <w:t>热键：〖Alt〗+〖F12〗</w:t>
      </w:r>
    </w:p>
    <w:p>
      <w:pPr>
        <w:pStyle w:val="34"/>
      </w:pPr>
      <w:r>
        <w:rPr>
          <w:rFonts w:hint="eastAsia"/>
        </w:rPr>
        <w:t>功能→画线工具</w:t>
      </w:r>
    </w:p>
    <w:p>
      <w:pPr>
        <w:pStyle w:val="34"/>
      </w:pPr>
      <w:r>
        <w:rPr>
          <w:rFonts w:hint="eastAsia"/>
        </w:rPr>
        <w:t>快捷方式</w:t>
      </w:r>
    </w:p>
    <w:tbl>
      <w:tblPr>
        <w:tblStyle w:val="25"/>
        <w:tblW w:w="0" w:type="auto"/>
        <w:tblCellSpacing w:w="0" w:type="dxa"/>
        <w:tblInd w:w="0" w:type="dxa"/>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Layout w:type="autofit"/>
        <w:tblCellMar>
          <w:top w:w="0" w:type="dxa"/>
          <w:left w:w="0" w:type="dxa"/>
          <w:bottom w:w="0" w:type="dxa"/>
          <w:right w:w="0" w:type="dxa"/>
        </w:tblCellMar>
      </w:tblPr>
      <w:tblGrid>
        <w:gridCol w:w="4260"/>
        <w:gridCol w:w="5820"/>
      </w:tblGrid>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PrEx>
        <w:trPr>
          <w:tblCellSpacing w:w="0" w:type="dxa"/>
        </w:trPr>
        <w:tc>
          <w:tcPr>
            <w:tcW w:w="4260" w:type="dxa"/>
            <w:tcBorders>
              <w:top w:val="outset" w:color="000000" w:sz="6" w:space="0"/>
              <w:left w:val="outset" w:color="000000" w:sz="6" w:space="0"/>
              <w:bottom w:val="outset" w:color="000000" w:sz="6" w:space="0"/>
              <w:right w:val="outset" w:color="000000" w:sz="6" w:space="0"/>
            </w:tcBorders>
            <w:vAlign w:val="center"/>
          </w:tcPr>
          <w:p>
            <w:pPr>
              <w:pStyle w:val="34"/>
            </w:pPr>
            <w:r>
              <w:rPr>
                <w:rFonts w:hint="eastAsia"/>
              </w:rPr>
              <w:t>功能</w:t>
            </w:r>
          </w:p>
        </w:tc>
        <w:tc>
          <w:tcPr>
            <w:tcW w:w="5820" w:type="dxa"/>
            <w:tcBorders>
              <w:top w:val="outset" w:color="000000" w:sz="6" w:space="0"/>
              <w:left w:val="outset" w:color="000000" w:sz="6" w:space="0"/>
              <w:bottom w:val="outset" w:color="000000" w:sz="6" w:space="0"/>
              <w:right w:val="outset" w:color="000000" w:sz="6" w:space="0"/>
            </w:tcBorders>
            <w:vAlign w:val="center"/>
          </w:tcPr>
          <w:p>
            <w:pPr>
              <w:pStyle w:val="34"/>
            </w:pPr>
            <w:r>
              <w:rPr>
                <w:rFonts w:hint="eastAsia"/>
              </w:rPr>
              <w:t>快捷进入方式</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4260" w:type="dxa"/>
            <w:tcBorders>
              <w:top w:val="outset" w:color="000000" w:sz="6" w:space="0"/>
              <w:left w:val="outset" w:color="000000" w:sz="6" w:space="0"/>
              <w:bottom w:val="outset" w:color="000000" w:sz="6" w:space="0"/>
              <w:right w:val="outset" w:color="000000" w:sz="6" w:space="0"/>
            </w:tcBorders>
            <w:vAlign w:val="center"/>
          </w:tcPr>
          <w:p>
            <w:pPr>
              <w:pStyle w:val="34"/>
            </w:pPr>
            <w:r>
              <w:rPr>
                <w:rFonts w:hint="eastAsia"/>
              </w:rPr>
              <w:t>打开画线工具</w:t>
            </w:r>
          </w:p>
        </w:tc>
        <w:tc>
          <w:tcPr>
            <w:tcW w:w="5820" w:type="dxa"/>
            <w:tcBorders>
              <w:top w:val="outset" w:color="000000" w:sz="6" w:space="0"/>
              <w:left w:val="outset" w:color="000000" w:sz="6" w:space="0"/>
              <w:bottom w:val="outset" w:color="000000" w:sz="6" w:space="0"/>
              <w:right w:val="outset" w:color="000000" w:sz="6" w:space="0"/>
            </w:tcBorders>
            <w:vAlign w:val="center"/>
          </w:tcPr>
          <w:p>
            <w:pPr>
              <w:pStyle w:val="34"/>
            </w:pPr>
            <w:r>
              <w:rPr>
                <w:rFonts w:hint="eastAsia"/>
              </w:rPr>
              <w:t>ALT+F12 及右键菜单→画线工具</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4260" w:type="dxa"/>
            <w:tcBorders>
              <w:top w:val="outset" w:color="000000" w:sz="6" w:space="0"/>
              <w:left w:val="outset" w:color="000000" w:sz="6" w:space="0"/>
              <w:bottom w:val="outset" w:color="000000" w:sz="6" w:space="0"/>
              <w:right w:val="outset" w:color="000000" w:sz="6" w:space="0"/>
            </w:tcBorders>
            <w:vAlign w:val="center"/>
          </w:tcPr>
          <w:p>
            <w:pPr>
              <w:pStyle w:val="34"/>
            </w:pPr>
            <w:r>
              <w:rPr>
                <w:rFonts w:hint="eastAsia"/>
              </w:rPr>
              <w:t>显隐全部画线</w:t>
            </w:r>
          </w:p>
        </w:tc>
        <w:tc>
          <w:tcPr>
            <w:tcW w:w="5820" w:type="dxa"/>
            <w:tcBorders>
              <w:top w:val="outset" w:color="000000" w:sz="6" w:space="0"/>
              <w:left w:val="outset" w:color="000000" w:sz="6" w:space="0"/>
              <w:bottom w:val="outset" w:color="000000" w:sz="6" w:space="0"/>
              <w:right w:val="outset" w:color="000000" w:sz="6" w:space="0"/>
            </w:tcBorders>
            <w:vAlign w:val="center"/>
          </w:tcPr>
          <w:p>
            <w:pPr>
              <w:pStyle w:val="34"/>
            </w:pPr>
            <w:r>
              <w:rPr>
                <w:rFonts w:hint="eastAsia"/>
              </w:rPr>
              <w:t>ALT+F11</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4260" w:type="dxa"/>
            <w:tcBorders>
              <w:top w:val="outset" w:color="000000" w:sz="6" w:space="0"/>
              <w:left w:val="outset" w:color="000000" w:sz="6" w:space="0"/>
              <w:bottom w:val="outset" w:color="000000" w:sz="6" w:space="0"/>
              <w:right w:val="outset" w:color="000000" w:sz="6" w:space="0"/>
            </w:tcBorders>
            <w:vAlign w:val="center"/>
          </w:tcPr>
          <w:p>
            <w:pPr>
              <w:pStyle w:val="34"/>
            </w:pPr>
            <w:r>
              <w:rPr>
                <w:rFonts w:hint="eastAsia"/>
              </w:rPr>
              <w:t>测量工具</w:t>
            </w:r>
          </w:p>
        </w:tc>
        <w:tc>
          <w:tcPr>
            <w:tcW w:w="5820" w:type="dxa"/>
            <w:tcBorders>
              <w:top w:val="outset" w:color="000000" w:sz="6" w:space="0"/>
              <w:left w:val="outset" w:color="000000" w:sz="6" w:space="0"/>
              <w:bottom w:val="outset" w:color="000000" w:sz="6" w:space="0"/>
              <w:right w:val="outset" w:color="000000" w:sz="6" w:space="0"/>
            </w:tcBorders>
            <w:vAlign w:val="center"/>
          </w:tcPr>
          <w:p>
            <w:pPr>
              <w:pStyle w:val="34"/>
            </w:pPr>
            <w:r>
              <w:rPr>
                <w:rFonts w:hint="eastAsia"/>
              </w:rPr>
              <w:t>Shift+左键拖拽</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4260" w:type="dxa"/>
            <w:tcBorders>
              <w:top w:val="outset" w:color="000000" w:sz="6" w:space="0"/>
              <w:left w:val="outset" w:color="000000" w:sz="6" w:space="0"/>
              <w:bottom w:val="outset" w:color="000000" w:sz="6" w:space="0"/>
              <w:right w:val="outset" w:color="000000" w:sz="6" w:space="0"/>
            </w:tcBorders>
            <w:vAlign w:val="center"/>
          </w:tcPr>
          <w:p>
            <w:pPr>
              <w:pStyle w:val="34"/>
            </w:pPr>
            <w:r>
              <w:rPr>
                <w:rFonts w:hint="eastAsia"/>
              </w:rPr>
              <w:t>屏幕截图</w:t>
            </w:r>
          </w:p>
        </w:tc>
        <w:tc>
          <w:tcPr>
            <w:tcW w:w="5820" w:type="dxa"/>
            <w:tcBorders>
              <w:top w:val="outset" w:color="000000" w:sz="6" w:space="0"/>
              <w:left w:val="outset" w:color="000000" w:sz="6" w:space="0"/>
              <w:bottom w:val="outset" w:color="000000" w:sz="6" w:space="0"/>
              <w:right w:val="outset" w:color="000000" w:sz="6" w:space="0"/>
            </w:tcBorders>
            <w:vAlign w:val="center"/>
          </w:tcPr>
          <w:p>
            <w:pPr>
              <w:pStyle w:val="34"/>
            </w:pPr>
            <w:r>
              <w:rPr>
                <w:rFonts w:hint="eastAsia"/>
              </w:rPr>
              <w:t>35</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4260" w:type="dxa"/>
            <w:tcBorders>
              <w:top w:val="outset" w:color="000000" w:sz="6" w:space="0"/>
              <w:left w:val="outset" w:color="000000" w:sz="6" w:space="0"/>
              <w:bottom w:val="outset" w:color="000000" w:sz="6" w:space="0"/>
              <w:right w:val="outset" w:color="000000" w:sz="6" w:space="0"/>
            </w:tcBorders>
            <w:vAlign w:val="center"/>
          </w:tcPr>
          <w:p>
            <w:pPr>
              <w:pStyle w:val="34"/>
            </w:pPr>
            <w:r>
              <w:rPr>
                <w:rFonts w:hint="eastAsia"/>
              </w:rPr>
              <w:t>画线设置</w:t>
            </w:r>
          </w:p>
        </w:tc>
        <w:tc>
          <w:tcPr>
            <w:tcW w:w="5820" w:type="dxa"/>
            <w:tcBorders>
              <w:top w:val="outset" w:color="000000" w:sz="6" w:space="0"/>
              <w:left w:val="outset" w:color="000000" w:sz="6" w:space="0"/>
              <w:bottom w:val="outset" w:color="000000" w:sz="6" w:space="0"/>
              <w:right w:val="outset" w:color="000000" w:sz="6" w:space="0"/>
            </w:tcBorders>
            <w:vAlign w:val="center"/>
          </w:tcPr>
          <w:p>
            <w:pPr>
              <w:pStyle w:val="34"/>
            </w:pPr>
            <w:r>
              <w:rPr>
                <w:rFonts w:hint="eastAsia"/>
              </w:rPr>
              <w:t>选中画线后，点右键“编辑画线”</w:t>
            </w:r>
          </w:p>
        </w:tc>
      </w:tr>
    </w:tbl>
    <w:p>
      <w:pPr>
        <w:pStyle w:val="34"/>
      </w:pPr>
      <w:r>
        <w:rPr>
          <w:rFonts w:hint="eastAsia"/>
        </w:rPr>
        <w:t>工具栏动态图标按钮 </w:t>
      </w:r>
      <w:r>
        <w:fldChar w:fldCharType="begin"/>
      </w:r>
      <w:r>
        <w:instrText xml:space="preserve"> INCLUDEPICTURE  "https://www.tdx.com.cn/products/helpfile/tdxw/chm/%E7%AC%AC%E4%BA%8C%E7%AB%A0 %E5%8A%9F%E8%83%BD/2-21/1.png" \* MERGEFORMATINET </w:instrText>
      </w:r>
      <w:r>
        <w:fldChar w:fldCharType="separate"/>
      </w:r>
      <w:r>
        <w:fldChar w:fldCharType="begin"/>
      </w:r>
      <w:r>
        <w:instrText xml:space="preserve"> INCLUDEPICTURE  "https://www.tdx.com.cn/products/helpfile/tdxw/chm/%E7%AC%AC%E4%BA%8C%E7%AB%A0 %E5%8A%9F%E8%83%BD/2-21/1.png" \* MERGEFORMATINET </w:instrText>
      </w:r>
      <w:r>
        <w:fldChar w:fldCharType="separate"/>
      </w:r>
      <w:r>
        <w:fldChar w:fldCharType="begin"/>
      </w:r>
      <w:r>
        <w:instrText xml:space="preserve"> INCLUDEPICTURE  "https://www.tdx.com.cn/products/helpfile/tdxw/chm/%E7%AC%AC%E4%BA%8C%E7%AB%A0 %E5%8A%9F%E8%83%BD/2-21/1.png" \* MERGEFORMATINET </w:instrText>
      </w:r>
      <w:r>
        <w:fldChar w:fldCharType="separate"/>
      </w:r>
      <w:r>
        <w:fldChar w:fldCharType="begin"/>
      </w:r>
      <w:r>
        <w:instrText xml:space="preserve"> INCLUDEPICTURE  "https://www.tdx.com.cn/products/helpfile/tdxw/chm/%E7%AC%AC%E4%BA%8C%E7%AB%A0 %E5%8A%9F%E8%83%BD/2-21/1.png" \* MERGEFORMATINET </w:instrText>
      </w:r>
      <w:r>
        <w:fldChar w:fldCharType="separate"/>
      </w:r>
      <w:r>
        <w:drawing>
          <wp:inline distT="0" distB="0" distL="114300" distR="114300">
            <wp:extent cx="352425" cy="323850"/>
            <wp:effectExtent l="0" t="0" r="9525" b="0"/>
            <wp:docPr id="171"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1"/>
                    <pic:cNvPicPr>
                      <a:picLocks noChangeAspect="1"/>
                    </pic:cNvPicPr>
                  </pic:nvPicPr>
                  <pic:blipFill>
                    <a:blip r:embed="rId333" r:link="rId334"/>
                    <a:stretch>
                      <a:fillRect/>
                    </a:stretch>
                  </pic:blipFill>
                  <pic:spPr>
                    <a:xfrm>
                      <a:off x="0" y="0"/>
                      <a:ext cx="352425" cy="323850"/>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提供画线功能可将已经画的线平移、旋转、压缩、拉伸和删除。</w:t>
      </w:r>
    </w:p>
    <w:p>
      <w:pPr>
        <w:pStyle w:val="34"/>
      </w:pPr>
      <w:r>
        <w:rPr>
          <w:rFonts w:hint="eastAsia"/>
        </w:rPr>
        <w:t>说明</w:t>
      </w:r>
    </w:p>
    <w:p>
      <w:pPr>
        <w:pStyle w:val="34"/>
      </w:pPr>
      <w:r>
        <w:rPr>
          <w:rFonts w:hint="eastAsia"/>
        </w:rPr>
        <w:t>横向线条类可以右键选择线条的延伸方向。</w:t>
      </w:r>
    </w:p>
    <w:p>
      <w:pPr>
        <w:pStyle w:val="34"/>
      </w:pPr>
      <w:r>
        <w:fldChar w:fldCharType="begin"/>
      </w:r>
      <w:r>
        <w:instrText xml:space="preserve"> INCLUDEPICTURE  "https://www.tdx.com.cn/products/helpfile/tdxw/chm/%E7%AC%AC%E4%BA%8C%E7%AB%A0 %E5%8A%9F%E8%83%BD/2-21/0.5.png" \* MERGEFORMATINET </w:instrText>
      </w:r>
      <w:r>
        <w:fldChar w:fldCharType="separate"/>
      </w:r>
      <w:r>
        <w:fldChar w:fldCharType="begin"/>
      </w:r>
      <w:r>
        <w:instrText xml:space="preserve"> INCLUDEPICTURE  "https://www.tdx.com.cn/products/helpfile/tdxw/chm/%E7%AC%AC%E4%BA%8C%E7%AB%A0 %E5%8A%9F%E8%83%BD/2-21/0.5.png" \* MERGEFORMATINET </w:instrText>
      </w:r>
      <w:r>
        <w:fldChar w:fldCharType="separate"/>
      </w:r>
      <w:r>
        <w:fldChar w:fldCharType="begin"/>
      </w:r>
      <w:r>
        <w:instrText xml:space="preserve"> INCLUDEPICTURE  "https://www.tdx.com.cn/products/helpfile/tdxw/chm/%E7%AC%AC%E4%BA%8C%E7%AB%A0 %E5%8A%9F%E8%83%BD/2-21/0.5.png" \* MERGEFORMATINET </w:instrText>
      </w:r>
      <w:r>
        <w:fldChar w:fldCharType="separate"/>
      </w:r>
      <w:r>
        <w:fldChar w:fldCharType="begin"/>
      </w:r>
      <w:r>
        <w:instrText xml:space="preserve"> INCLUDEPICTURE  "https://www.tdx.com.cn/products/helpfile/tdxw/chm/%E7%AC%AC%E4%BA%8C%E7%AB%A0 %E5%8A%9F%E8%83%BD/2-21/0.5.png" \* MERGEFORMATINET </w:instrText>
      </w:r>
      <w:r>
        <w:fldChar w:fldCharType="separate"/>
      </w:r>
      <w:r>
        <w:drawing>
          <wp:inline distT="0" distB="0" distL="114300" distR="114300">
            <wp:extent cx="704850" cy="514350"/>
            <wp:effectExtent l="0" t="0" r="0" b="0"/>
            <wp:docPr id="172"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pic:cNvPicPr>
                      <a:picLocks noChangeAspect="1"/>
                    </pic:cNvPicPr>
                  </pic:nvPicPr>
                  <pic:blipFill>
                    <a:blip r:embed="rId335" r:link="rId336"/>
                    <a:stretch>
                      <a:fillRect/>
                    </a:stretch>
                  </pic:blipFill>
                  <pic:spPr>
                    <a:xfrm>
                      <a:off x="0" y="0"/>
                      <a:ext cx="704850" cy="514350"/>
                    </a:xfrm>
                    <a:prstGeom prst="rect">
                      <a:avLst/>
                    </a:prstGeom>
                    <a:noFill/>
                    <a:ln>
                      <a:noFill/>
                    </a:ln>
                  </pic:spPr>
                </pic:pic>
              </a:graphicData>
            </a:graphic>
          </wp:inline>
        </w:drawing>
      </w:r>
      <w:r>
        <w:fldChar w:fldCharType="end"/>
      </w:r>
      <w:r>
        <w:fldChar w:fldCharType="end"/>
      </w:r>
      <w:r>
        <w:fldChar w:fldCharType="end"/>
      </w:r>
      <w:r>
        <w:fldChar w:fldCharType="end"/>
      </w:r>
      <w:r>
        <w:rPr>
          <w:rFonts w:hint="eastAsia"/>
        </w:rPr>
        <w:t>保持画笔可以省去画相同线型需要每次选择工具的麻烦，让画线工作更快。</w:t>
      </w:r>
    </w:p>
    <w:p>
      <w:pPr>
        <w:pStyle w:val="34"/>
      </w:pPr>
      <w:r>
        <w:rPr>
          <w:rFonts w:hint="eastAsia"/>
        </w:rPr>
        <w:t> </w:t>
      </w:r>
    </w:p>
    <w:p>
      <w:pPr>
        <w:pStyle w:val="34"/>
      </w:pPr>
      <w:r>
        <w:rPr>
          <w:rFonts w:hint="eastAsia"/>
        </w:rPr>
        <w:t>画线功能均用鼠标拖动进行，先在画线工具栏中选择画线类型（按下线型按钮），在画线起点处按下鼠标左键，拖动鼠标至画线终点，然后松开左键。 </w:t>
      </w:r>
    </w:p>
    <w:p>
      <w:pPr>
        <w:pStyle w:val="34"/>
      </w:pPr>
      <w:r>
        <w:rPr>
          <w:rFonts w:hint="eastAsia"/>
        </w:rPr>
        <w:t>画线完成以后，还可用鼠标拖动画线的起点或终点，改变画线方向；也可拖动整条画线，平行移动它。</w:t>
      </w:r>
    </w:p>
    <w:p>
      <w:pPr>
        <w:pStyle w:val="34"/>
      </w:pPr>
      <w:r>
        <w:fldChar w:fldCharType="begin"/>
      </w:r>
      <w:r>
        <w:instrText xml:space="preserve"> INCLUDEPICTURE  "https://www.tdx.com.cn/products/helpfile/tdxw/chm/%E7%AC%AC%E4%BA%8C%E7%AB%A0 %E5%8A%9F%E8%83%BD/2-21/2.png" \* MERGEFORMATINET </w:instrText>
      </w:r>
      <w:r>
        <w:fldChar w:fldCharType="separate"/>
      </w:r>
      <w:r>
        <w:fldChar w:fldCharType="begin"/>
      </w:r>
      <w:r>
        <w:instrText xml:space="preserve"> INCLUDEPICTURE  "https://www.tdx.com.cn/products/helpfile/tdxw/chm/%E7%AC%AC%E4%BA%8C%E7%AB%A0 %E5%8A%9F%E8%83%BD/2-21/2.png" \* MERGEFORMATINET </w:instrText>
      </w:r>
      <w:r>
        <w:fldChar w:fldCharType="separate"/>
      </w:r>
      <w:r>
        <w:fldChar w:fldCharType="begin"/>
      </w:r>
      <w:r>
        <w:instrText xml:space="preserve"> INCLUDEPICTURE  "https://www.tdx.com.cn/products/helpfile/tdxw/chm/%E7%AC%AC%E4%BA%8C%E7%AB%A0 %E5%8A%9F%E8%83%BD/2-21/2.png" \* MERGEFORMATINET </w:instrText>
      </w:r>
      <w:r>
        <w:fldChar w:fldCharType="separate"/>
      </w:r>
      <w:r>
        <w:fldChar w:fldCharType="begin"/>
      </w:r>
      <w:r>
        <w:instrText xml:space="preserve"> INCLUDEPICTURE  "https://www.tdx.com.cn/products/helpfile/tdxw/chm/%E7%AC%AC%E4%BA%8C%E7%AB%A0 %E5%8A%9F%E8%83%BD/2-21/2.png" \* MERGEFORMATINET </w:instrText>
      </w:r>
      <w:r>
        <w:fldChar w:fldCharType="separate"/>
      </w:r>
      <w:r>
        <w:drawing>
          <wp:inline distT="0" distB="0" distL="114300" distR="114300">
            <wp:extent cx="6381750" cy="4171950"/>
            <wp:effectExtent l="0" t="0" r="0" b="0"/>
            <wp:docPr id="173"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pic:cNvPicPr>
                      <a:picLocks noChangeAspect="1"/>
                    </pic:cNvPicPr>
                  </pic:nvPicPr>
                  <pic:blipFill>
                    <a:blip r:embed="rId337" r:link="rId338"/>
                    <a:stretch>
                      <a:fillRect/>
                    </a:stretch>
                  </pic:blipFill>
                  <pic:spPr>
                    <a:xfrm>
                      <a:off x="0" y="0"/>
                      <a:ext cx="6381750" cy="4171950"/>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可以自己设置买点和卖点，标明自己当时为什么这样买为什么这样卖如上图。还可以标记特殊点让你从众多股票中选出你以前留意的。画线功能均用鼠标拖动进行，先在画线工具栏中选择画线类型（按下线型按钮），在画线起点处按下鼠标左键，拖动鼠标至画线终点，然后松开左键。画线完成以后，还可用鼠标拖动画线的起点或终点，改变画线方向；也可拖动整条画线，平行移动它可以方便地调整画线位置及角度。放大缩小画面不会 </w:t>
      </w:r>
    </w:p>
    <w:p>
      <w:pPr>
        <w:pStyle w:val="34"/>
      </w:pPr>
      <w:r>
        <w:rPr>
          <w:rFonts w:hint="eastAsia"/>
        </w:rPr>
        <w:t>对画线产生影响，画线永久记忆，除非用户强制删除。画线的颜色可自行选择和定义。 </w:t>
      </w:r>
    </w:p>
    <w:p>
      <w:pPr>
        <w:pStyle w:val="34"/>
      </w:pPr>
      <w:r>
        <w:rPr>
          <w:rFonts w:hint="eastAsia"/>
        </w:rPr>
        <w:t>趋势线</w:t>
      </w:r>
    </w:p>
    <w:p>
      <w:pPr>
        <w:pStyle w:val="34"/>
      </w:pPr>
      <w:r>
        <w:rPr>
          <w:rFonts w:hint="eastAsia"/>
        </w:rPr>
        <w:t>工具说明：</w:t>
      </w:r>
    </w:p>
    <w:p>
      <w:pPr>
        <w:pStyle w:val="34"/>
      </w:pPr>
      <w:r>
        <w:rPr>
          <w:rFonts w:hint="eastAsia"/>
        </w:rPr>
        <w:t>技术分析的一个重要论点就是：价格沿趋势变动。历史图表也表明，几乎所有中期的（甚至是长期的）价格变动都差不多沿着一条直线进行。 </w:t>
      </w:r>
    </w:p>
    <w:p>
      <w:pPr>
        <w:pStyle w:val="34"/>
      </w:pPr>
      <w:r>
        <w:rPr>
          <w:rFonts w:hint="eastAsia"/>
        </w:rPr>
        <w:t>有效的趋势线应由二个以上的支撑点（下跌时）或阻力点（上升时）连接而成。 </w:t>
      </w:r>
    </w:p>
    <w:p>
      <w:pPr>
        <w:pStyle w:val="34"/>
      </w:pPr>
      <w:r>
        <w:rPr>
          <w:rFonts w:hint="eastAsia"/>
        </w:rPr>
        <w:t>注：趋势线一般是高点和高点的连线，或者是低点和低点的连线。但低点（高点）和高点（低点）的连线在判断股价的趋势时，也能发挥很 </w:t>
      </w:r>
    </w:p>
    <w:p>
      <w:pPr>
        <w:pStyle w:val="34"/>
      </w:pPr>
      <w:r>
        <w:rPr>
          <w:rFonts w:hint="eastAsia"/>
        </w:rPr>
        <w:t>大作用，这条线用来作为重要的支撑（压力）线有时还是十分有效的。</w:t>
      </w:r>
    </w:p>
    <w:p>
      <w:pPr>
        <w:pStyle w:val="34"/>
      </w:pPr>
      <w:r>
        <w:rPr>
          <w:rFonts w:hint="eastAsia"/>
        </w:rPr>
        <w:t>研判方法： </w:t>
      </w:r>
    </w:p>
    <w:p>
      <w:pPr>
        <w:pStyle w:val="34"/>
      </w:pPr>
      <w:r>
        <w:rPr>
          <w:rFonts w:hint="eastAsia"/>
        </w:rPr>
        <w:t>如果股价处于上升波或下跌波中，说明股价正加速前进，处于明显的多头或空头市场中，否则，则认为市场处于无势可言的状况，即"盘整态"。 </w:t>
      </w:r>
    </w:p>
    <w:p>
      <w:pPr>
        <w:pStyle w:val="34"/>
      </w:pPr>
      <w:r>
        <w:rPr>
          <w:rFonts w:hint="eastAsia"/>
        </w:rPr>
        <w:t>一条斜线（趋势线）会把K线图分成两部分，线的上方被视为多头区域，线的下方被视为空头区域，斜线斜率的大小反应了趋势变动速度的大小。 </w:t>
      </w:r>
    </w:p>
    <w:p>
      <w:pPr>
        <w:pStyle w:val="34"/>
      </w:pPr>
      <w:r>
        <w:rPr>
          <w:rFonts w:hint="eastAsia"/>
        </w:rPr>
        <w:t>趋势线牵涉的虽然是"角度"问题，但是，其每天上涨或下跌的幅度，实际上是一种"速度"的表现，所以，45度角的趋势线一般称为"定速线"；如果行情既非强势也非弱势，趋势线变成接近于水平，说明行情处于无方向的盘整期。 </w:t>
      </w:r>
    </w:p>
    <w:p>
      <w:pPr>
        <w:pStyle w:val="34"/>
      </w:pPr>
      <w:r>
        <w:rPr>
          <w:rFonts w:hint="eastAsia"/>
        </w:rPr>
        <w:t>1、有效的趋势线是价格回调或反弹时重要的支撑线或阻力线。趋势线为什么有如此大的作用，可能的原因有：（1）股市中一种趋势一旦确立，一般很难改变。（2）趋势线有时也是市场信心和心理成本的象征，如果股价突破了趋势线，很容易造成多方或空方的崩溃，所以，所谓"市场主力"就会刻意维持股价沿趋势线运动。 </w:t>
      </w:r>
    </w:p>
    <w:p>
      <w:pPr>
        <w:pStyle w:val="34"/>
      </w:pPr>
      <w:r>
        <w:rPr>
          <w:rFonts w:hint="eastAsia"/>
        </w:rPr>
        <w:t>2、价格一旦突破趋势线，则是重要的趋势反转信号，应注意买入或卖出。这种方法在实际操作中，确实既简单又有效，趋势代表股价的前进方向，正常情况下，股价应该持续顺着趋势的轨迹前进，有时，股价会忽而朝趋势线的左方偏离，忽而朝右方偏离，这就形成了股价与趋势线的"乖离"，这种乖离的 </w:t>
      </w:r>
    </w:p>
    <w:p>
      <w:pPr>
        <w:pStyle w:val="34"/>
      </w:pPr>
      <w:r>
        <w:rPr>
          <w:rFonts w:hint="eastAsia"/>
        </w:rPr>
        <w:t>研判方法，与移动平均线"乖离"的研判方法类似，因为趋势线和移动平均线均表示股价落在"线"附近的概率较大，因而这些线对股价有一定的"吸引力"，移动平均线表示目前大多数人的持仓成本，趋势线表示股价前进的方向。因而，在移动平均线和趋势线周围，会不断出现股价的涨落，当股价距离趋势线超过一定距离时，便会受吸引力的牵制，而逐步向趋势线靠拢，反之，当股价接近趋势线时，又会逐步偏离趋势线而产生乖离,我们可以通过比较历史数据乖离的大小来判断现在股价是否即将进行修正。</w:t>
      </w:r>
    </w:p>
    <w:p>
      <w:pPr>
        <w:pStyle w:val="34"/>
      </w:pPr>
      <w:r>
        <w:rPr>
          <w:rFonts w:hint="eastAsia"/>
        </w:rPr>
        <w:t>工具元素</w:t>
      </w:r>
    </w:p>
    <w:p>
      <w:pPr>
        <w:pStyle w:val="34"/>
      </w:pPr>
      <w:r>
        <w:rPr>
          <w:rFonts w:hint="eastAsia"/>
        </w:rPr>
        <w:t>简单线条类</w:t>
      </w:r>
    </w:p>
    <w:p>
      <w:pPr>
        <w:pStyle w:val="34"/>
      </w:pPr>
      <w:r>
        <w:fldChar w:fldCharType="begin"/>
      </w:r>
      <w:r>
        <w:instrText xml:space="preserve"> INCLUDEPICTURE  "https://www.tdx.com.cn/products/helpfile/tdxw/chm/%E7%AC%AC%E4%BA%8C%E7%AB%A0 %E5%8A%9F%E8%83%BD/2-21/2.5.png" \* MERGEFORMATINET </w:instrText>
      </w:r>
      <w:r>
        <w:fldChar w:fldCharType="separate"/>
      </w:r>
      <w:r>
        <w:fldChar w:fldCharType="begin"/>
      </w:r>
      <w:r>
        <w:instrText xml:space="preserve"> INCLUDEPICTURE  "https://www.tdx.com.cn/products/helpfile/tdxw/chm/%E7%AC%AC%E4%BA%8C%E7%AB%A0 %E5%8A%9F%E8%83%BD/2-21/2.5.png" \* MERGEFORMATINET </w:instrText>
      </w:r>
      <w:r>
        <w:fldChar w:fldCharType="separate"/>
      </w:r>
      <w:r>
        <w:fldChar w:fldCharType="begin"/>
      </w:r>
      <w:r>
        <w:instrText xml:space="preserve"> INCLUDEPICTURE  "https://www.tdx.com.cn/products/helpfile/tdxw/chm/%E7%AC%AC%E4%BA%8C%E7%AB%A0 %E5%8A%9F%E8%83%BD/2-21/2.5.png" \* MERGEFORMATINET </w:instrText>
      </w:r>
      <w:r>
        <w:fldChar w:fldCharType="separate"/>
      </w:r>
      <w:r>
        <w:fldChar w:fldCharType="begin"/>
      </w:r>
      <w:r>
        <w:instrText xml:space="preserve"> INCLUDEPICTURE  "https://www.tdx.com.cn/products/helpfile/tdxw/chm/%E7%AC%AC%E4%BA%8C%E7%AB%A0 %E5%8A%9F%E8%83%BD/2-21/2.5.png" \* MERGEFORMATINET </w:instrText>
      </w:r>
      <w:r>
        <w:fldChar w:fldCharType="separate"/>
      </w:r>
      <w:r>
        <w:drawing>
          <wp:inline distT="0" distB="0" distL="114300" distR="114300">
            <wp:extent cx="7334250" cy="4400550"/>
            <wp:effectExtent l="0" t="0" r="0" b="0"/>
            <wp:docPr id="174"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pic:cNvPicPr>
                      <a:picLocks noChangeAspect="1"/>
                    </pic:cNvPicPr>
                  </pic:nvPicPr>
                  <pic:blipFill>
                    <a:blip r:embed="rId339" r:link="rId340"/>
                    <a:stretch>
                      <a:fillRect/>
                    </a:stretch>
                  </pic:blipFill>
                  <pic:spPr>
                    <a:xfrm>
                      <a:off x="0" y="0"/>
                      <a:ext cx="7334250" cy="4400550"/>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fldChar w:fldCharType="begin"/>
      </w:r>
      <w:r>
        <w:instrText xml:space="preserve"> INCLUDEPICTURE  "https://www.tdx.com.cn/products/helpfile/tdxw/chm/%E7%AC%AC%E4%BA%8C%E7%AB%A0 %E5%8A%9F%E8%83%BD/2-21/2.6.png" \* MERGEFORMATINET </w:instrText>
      </w:r>
      <w:r>
        <w:fldChar w:fldCharType="separate"/>
      </w:r>
      <w:r>
        <w:fldChar w:fldCharType="begin"/>
      </w:r>
      <w:r>
        <w:instrText xml:space="preserve"> INCLUDEPICTURE  "https://www.tdx.com.cn/products/helpfile/tdxw/chm/%E7%AC%AC%E4%BA%8C%E7%AB%A0 %E5%8A%9F%E8%83%BD/2-21/2.6.png" \* MERGEFORMATINET </w:instrText>
      </w:r>
      <w:r>
        <w:fldChar w:fldCharType="separate"/>
      </w:r>
      <w:r>
        <w:fldChar w:fldCharType="begin"/>
      </w:r>
      <w:r>
        <w:instrText xml:space="preserve"> INCLUDEPICTURE  "https://www.tdx.com.cn/products/helpfile/tdxw/chm/%E7%AC%AC%E4%BA%8C%E7%AB%A0 %E5%8A%9F%E8%83%BD/2-21/2.6.png" \* MERGEFORMATINET </w:instrText>
      </w:r>
      <w:r>
        <w:fldChar w:fldCharType="separate"/>
      </w:r>
      <w:r>
        <w:fldChar w:fldCharType="begin"/>
      </w:r>
      <w:r>
        <w:instrText xml:space="preserve"> INCLUDEPICTURE  "https://www.tdx.com.cn/products/helpfile/tdxw/chm/%E7%AC%AC%E4%BA%8C%E7%AB%A0 %E5%8A%9F%E8%83%BD/2-21/2.6.png" \* MERGEFORMATINET </w:instrText>
      </w:r>
      <w:r>
        <w:fldChar w:fldCharType="separate"/>
      </w:r>
      <w:r>
        <w:drawing>
          <wp:inline distT="0" distB="0" distL="114300" distR="114300">
            <wp:extent cx="6848475" cy="4381500"/>
            <wp:effectExtent l="0" t="0" r="9525" b="0"/>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pic:cNvPicPr>
                      <a:picLocks noChangeAspect="1"/>
                    </pic:cNvPicPr>
                  </pic:nvPicPr>
                  <pic:blipFill>
                    <a:blip r:embed="rId341" r:link="rId342"/>
                    <a:stretch>
                      <a:fillRect/>
                    </a:stretch>
                  </pic:blipFill>
                  <pic:spPr>
                    <a:xfrm>
                      <a:off x="0" y="0"/>
                      <a:ext cx="6848475" cy="4381500"/>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fldChar w:fldCharType="begin"/>
      </w:r>
      <w:r>
        <w:instrText xml:space="preserve"> INCLUDEPICTURE  "https://www.tdx.com.cn/products/helpfile/tdxw/chm/%E7%AC%AC%E4%BA%8C%E7%AB%A0 %E5%8A%9F%E8%83%BD/2-21/2.7.png" \* MERGEFORMATINET </w:instrText>
      </w:r>
      <w:r>
        <w:fldChar w:fldCharType="separate"/>
      </w:r>
      <w:r>
        <w:fldChar w:fldCharType="begin"/>
      </w:r>
      <w:r>
        <w:instrText xml:space="preserve"> INCLUDEPICTURE  "https://www.tdx.com.cn/products/helpfile/tdxw/chm/%E7%AC%AC%E4%BA%8C%E7%AB%A0 %E5%8A%9F%E8%83%BD/2-21/2.7.png" \* MERGEFORMATINET </w:instrText>
      </w:r>
      <w:r>
        <w:fldChar w:fldCharType="separate"/>
      </w:r>
      <w:r>
        <w:fldChar w:fldCharType="begin"/>
      </w:r>
      <w:r>
        <w:instrText xml:space="preserve"> INCLUDEPICTURE  "https://www.tdx.com.cn/products/helpfile/tdxw/chm/%E7%AC%AC%E4%BA%8C%E7%AB%A0 %E5%8A%9F%E8%83%BD/2-21/2.7.png" \* MERGEFORMATINET </w:instrText>
      </w:r>
      <w:r>
        <w:fldChar w:fldCharType="separate"/>
      </w:r>
      <w:r>
        <w:fldChar w:fldCharType="begin"/>
      </w:r>
      <w:r>
        <w:instrText xml:space="preserve"> INCLUDEPICTURE  "https://www.tdx.com.cn/products/helpfile/tdxw/chm/%E7%AC%AC%E4%BA%8C%E7%AB%A0 %E5%8A%9F%E8%83%BD/2-21/2.7.png" \* MERGEFORMATINET </w:instrText>
      </w:r>
      <w:r>
        <w:fldChar w:fldCharType="separate"/>
      </w:r>
      <w:r>
        <w:drawing>
          <wp:inline distT="0" distB="0" distL="114300" distR="114300">
            <wp:extent cx="7353300" cy="4362450"/>
            <wp:effectExtent l="0" t="0" r="0" b="0"/>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pic:cNvPicPr>
                      <a:picLocks noChangeAspect="1"/>
                    </pic:cNvPicPr>
                  </pic:nvPicPr>
                  <pic:blipFill>
                    <a:blip r:embed="rId343" r:link="rId344"/>
                    <a:stretch>
                      <a:fillRect/>
                    </a:stretch>
                  </pic:blipFill>
                  <pic:spPr>
                    <a:xfrm>
                      <a:off x="0" y="0"/>
                      <a:ext cx="7353300" cy="4362450"/>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黄金价位线</w:t>
      </w:r>
    </w:p>
    <w:p>
      <w:pPr>
        <w:pStyle w:val="34"/>
      </w:pPr>
      <w:r>
        <w:rPr>
          <w:rFonts w:hint="eastAsia"/>
        </w:rPr>
        <w:t>黄金价位线 ：使用的方法和黄金分割线相同，只是在显示上用价位来表示。</w:t>
      </w:r>
    </w:p>
    <w:p>
      <w:pPr>
        <w:pStyle w:val="34"/>
      </w:pPr>
      <w:r>
        <w:rPr>
          <w:rFonts w:hint="eastAsia"/>
        </w:rPr>
        <w:t>以下应用是以603766这个股票的开盘首日价格11为base点做的黄金价位线，可以看出此股票升值到1.618倍的时候为此股历史最大值，最大价值点。可以将这个base点应用到任何自己认为的基准价位点来动态跟踪股票价值走向。</w:t>
      </w:r>
    </w:p>
    <w:p>
      <w:pPr>
        <w:pStyle w:val="34"/>
      </w:pPr>
      <w:r>
        <w:fldChar w:fldCharType="begin"/>
      </w:r>
      <w:r>
        <w:instrText xml:space="preserve"> INCLUDEPICTURE  "https://www.tdx.com.cn/products/helpfile/tdxw/chm/%E7%AC%AC%E4%BA%8C%E7%AB%A0 %E5%8A%9F%E8%83%BD/2-21/2.8.png" \* MERGEFORMATINET </w:instrText>
      </w:r>
      <w:r>
        <w:fldChar w:fldCharType="separate"/>
      </w:r>
      <w:r>
        <w:fldChar w:fldCharType="begin"/>
      </w:r>
      <w:r>
        <w:instrText xml:space="preserve"> INCLUDEPICTURE  "https://www.tdx.com.cn/products/helpfile/tdxw/chm/%E7%AC%AC%E4%BA%8C%E7%AB%A0 %E5%8A%9F%E8%83%BD/2-21/2.8.png" \* MERGEFORMATINET </w:instrText>
      </w:r>
      <w:r>
        <w:fldChar w:fldCharType="separate"/>
      </w:r>
      <w:r>
        <w:fldChar w:fldCharType="begin"/>
      </w:r>
      <w:r>
        <w:instrText xml:space="preserve"> INCLUDEPICTURE  "https://www.tdx.com.cn/products/helpfile/tdxw/chm/%E7%AC%AC%E4%BA%8C%E7%AB%A0 %E5%8A%9F%E8%83%BD/2-21/2.8.png" \* MERGEFORMATINET </w:instrText>
      </w:r>
      <w:r>
        <w:fldChar w:fldCharType="separate"/>
      </w:r>
      <w:r>
        <w:fldChar w:fldCharType="begin"/>
      </w:r>
      <w:r>
        <w:instrText xml:space="preserve"> INCLUDEPICTURE  "https://www.tdx.com.cn/products/helpfile/tdxw/chm/%E7%AC%AC%E4%BA%8C%E7%AB%A0 %E5%8A%9F%E8%83%BD/2-21/2.8.png" \* MERGEFORMATINET </w:instrText>
      </w:r>
      <w:r>
        <w:fldChar w:fldCharType="separate"/>
      </w:r>
      <w:r>
        <w:drawing>
          <wp:inline distT="0" distB="0" distL="114300" distR="114300">
            <wp:extent cx="6610350" cy="4029075"/>
            <wp:effectExtent l="0" t="0" r="0" b="9525"/>
            <wp:docPr id="177"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7"/>
                    <pic:cNvPicPr>
                      <a:picLocks noChangeAspect="1"/>
                    </pic:cNvPicPr>
                  </pic:nvPicPr>
                  <pic:blipFill>
                    <a:blip r:embed="rId345" r:link="rId346"/>
                    <a:stretch>
                      <a:fillRect/>
                    </a:stretch>
                  </pic:blipFill>
                  <pic:spPr>
                    <a:xfrm>
                      <a:off x="0" y="0"/>
                      <a:ext cx="6610350" cy="4029075"/>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黄金目标线 </w:t>
      </w:r>
    </w:p>
    <w:p>
      <w:pPr>
        <w:pStyle w:val="34"/>
      </w:pPr>
      <w:r>
        <w:rPr>
          <w:rFonts w:hint="eastAsia"/>
        </w:rPr>
        <w:t>37.03---39.25是一涨趋势浪，回调到38.3这个基准点后继续推动上涨趋势浪，那么在38.33这个回调最低点来说后面的涨幅度到底可以涨到什么地方，通过黄金目标线可以一目了然。也可以通过这个价位线在自己认为最有可以再次回调的价位处设置价格预警。此时价格就只需要用肉眼看下这个黄金目标线就大概知道数值了。</w:t>
      </w:r>
    </w:p>
    <w:p>
      <w:pPr>
        <w:pStyle w:val="34"/>
      </w:pPr>
      <w:r>
        <w:fldChar w:fldCharType="begin"/>
      </w:r>
      <w:r>
        <w:instrText xml:space="preserve"> INCLUDEPICTURE  "https://www.tdx.com.cn/products/helpfile/tdxw/chm/%E7%AC%AC%E4%BA%8C%E7%AB%A0 %E5%8A%9F%E8%83%BD/2-21/2.9.png" \* MERGEFORMATINET </w:instrText>
      </w:r>
      <w:r>
        <w:fldChar w:fldCharType="separate"/>
      </w:r>
      <w:r>
        <w:fldChar w:fldCharType="begin"/>
      </w:r>
      <w:r>
        <w:instrText xml:space="preserve"> INCLUDEPICTURE  "https://www.tdx.com.cn/products/helpfile/tdxw/chm/%E7%AC%AC%E4%BA%8C%E7%AB%A0 %E5%8A%9F%E8%83%BD/2-21/2.9.png" \* MERGEFORMATINET </w:instrText>
      </w:r>
      <w:r>
        <w:fldChar w:fldCharType="separate"/>
      </w:r>
      <w:r>
        <w:fldChar w:fldCharType="begin"/>
      </w:r>
      <w:r>
        <w:instrText xml:space="preserve"> INCLUDEPICTURE  "https://www.tdx.com.cn/products/helpfile/tdxw/chm/%E7%AC%AC%E4%BA%8C%E7%AB%A0 %E5%8A%9F%E8%83%BD/2-21/2.9.png" \* MERGEFORMATINET </w:instrText>
      </w:r>
      <w:r>
        <w:fldChar w:fldCharType="separate"/>
      </w:r>
      <w:r>
        <w:fldChar w:fldCharType="begin"/>
      </w:r>
      <w:r>
        <w:instrText xml:space="preserve"> INCLUDEPICTURE  "https://www.tdx.com.cn/products/helpfile/tdxw/chm/%E7%AC%AC%E4%BA%8C%E7%AB%A0 %E5%8A%9F%E8%83%BD/2-21/2.9.png" \* MERGEFORMATINET </w:instrText>
      </w:r>
      <w:r>
        <w:fldChar w:fldCharType="separate"/>
      </w:r>
      <w:r>
        <w:drawing>
          <wp:inline distT="0" distB="0" distL="114300" distR="114300">
            <wp:extent cx="6743700" cy="5076825"/>
            <wp:effectExtent l="0" t="0" r="0" b="9525"/>
            <wp:docPr id="178"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78"/>
                    <pic:cNvPicPr>
                      <a:picLocks noChangeAspect="1"/>
                    </pic:cNvPicPr>
                  </pic:nvPicPr>
                  <pic:blipFill>
                    <a:blip r:embed="rId347" r:link="rId348"/>
                    <a:stretch>
                      <a:fillRect/>
                    </a:stretch>
                  </pic:blipFill>
                  <pic:spPr>
                    <a:xfrm>
                      <a:off x="0" y="0"/>
                      <a:ext cx="6743700" cy="5076825"/>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 </w:t>
      </w:r>
    </w:p>
    <w:p>
      <w:pPr>
        <w:pStyle w:val="34"/>
      </w:pPr>
      <w:r>
        <w:rPr>
          <w:rFonts w:hint="eastAsia"/>
        </w:rPr>
        <w:t>黄金分割</w:t>
      </w:r>
    </w:p>
    <w:p>
      <w:pPr>
        <w:pStyle w:val="34"/>
      </w:pPr>
      <w:r>
        <w:rPr>
          <w:rFonts w:hint="eastAsia"/>
        </w:rPr>
        <w:t>工具说明： </w:t>
      </w:r>
    </w:p>
    <w:p>
      <w:pPr>
        <w:pStyle w:val="34"/>
      </w:pPr>
      <w:r>
        <w:rPr>
          <w:rFonts w:hint="eastAsia"/>
        </w:rPr>
        <w:t>黄金分割率(0.382，0.618)是一组自然和谐的比率，应用在技术分析上，当价格调整时，0.382，0.618作为回调或反弹的关键位，准确度较高，与波浪理论有异曲同工之处。</w:t>
      </w:r>
    </w:p>
    <w:p>
      <w:pPr>
        <w:pStyle w:val="34"/>
      </w:pPr>
      <w:r>
        <w:rPr>
          <w:rFonts w:hint="eastAsia"/>
        </w:rPr>
        <w:t>研判方法： </w:t>
      </w:r>
    </w:p>
    <w:p>
      <w:pPr>
        <w:pStyle w:val="34"/>
      </w:pPr>
      <w:r>
        <w:rPr>
          <w:rFonts w:hint="eastAsia"/>
        </w:rPr>
        <w:t>如果回调或反弹高度在0.382内，属强势调整，后市方向不会改变,如果回调或反弹高度在0.618外，后市方向可能逆转上涨趋势段37.03---39.25，只是此时只有两个定位点就是趋势段的两个端点，这点有别于黄金目标线还有一个base起点，在base基础上预测目标位。这里的黄金分割线可以有预测目标位的作用，但是仅是以前段上升区间为基准的。可以看到从37.03涨到39.25 然后回调到61.8%线开始反弹的，也就是回调了上升区间的100-61.8=39.2个点左右再次推动第二波上涨的。黄金分割线标出分割上升区间的各比例线价位。</w:t>
      </w:r>
    </w:p>
    <w:p>
      <w:pPr>
        <w:pStyle w:val="34"/>
      </w:pPr>
      <w:r>
        <w:fldChar w:fldCharType="begin"/>
      </w:r>
      <w:r>
        <w:instrText xml:space="preserve"> INCLUDEPICTURE  "https://www.tdx.com.cn/products/helpfile/tdxw/chm/%E7%AC%AC%E4%BA%8C%E7%AB%A0 %E5%8A%9F%E8%83%BD/2-21/2.91.png" \* MERGEFORMATINET </w:instrText>
      </w:r>
      <w:r>
        <w:fldChar w:fldCharType="separate"/>
      </w:r>
      <w:r>
        <w:fldChar w:fldCharType="begin"/>
      </w:r>
      <w:r>
        <w:instrText xml:space="preserve"> INCLUDEPICTURE  "https://www.tdx.com.cn/products/helpfile/tdxw/chm/%E7%AC%AC%E4%BA%8C%E7%AB%A0 %E5%8A%9F%E8%83%BD/2-21/2.91.png" \* MERGEFORMATINET </w:instrText>
      </w:r>
      <w:r>
        <w:fldChar w:fldCharType="separate"/>
      </w:r>
      <w:r>
        <w:fldChar w:fldCharType="begin"/>
      </w:r>
      <w:r>
        <w:instrText xml:space="preserve"> INCLUDEPICTURE  "https://www.tdx.com.cn/products/helpfile/tdxw/chm/%E7%AC%AC%E4%BA%8C%E7%AB%A0 %E5%8A%9F%E8%83%BD/2-21/2.91.png" \* MERGEFORMATINET </w:instrText>
      </w:r>
      <w:r>
        <w:fldChar w:fldCharType="separate"/>
      </w:r>
      <w:r>
        <w:fldChar w:fldCharType="begin"/>
      </w:r>
      <w:r>
        <w:instrText xml:space="preserve"> INCLUDEPICTURE  "https://www.tdx.com.cn/products/helpfile/tdxw/chm/%E7%AC%AC%E4%BA%8C%E7%AB%A0 %E5%8A%9F%E8%83%BD/2-21/2.91.png" \* MERGEFORMATINET </w:instrText>
      </w:r>
      <w:r>
        <w:fldChar w:fldCharType="separate"/>
      </w:r>
      <w:r>
        <w:drawing>
          <wp:inline distT="0" distB="0" distL="114300" distR="114300">
            <wp:extent cx="7353300" cy="4391025"/>
            <wp:effectExtent l="0" t="0" r="0" b="9525"/>
            <wp:docPr id="179"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pic:cNvPicPr>
                      <a:picLocks noChangeAspect="1"/>
                    </pic:cNvPicPr>
                  </pic:nvPicPr>
                  <pic:blipFill>
                    <a:blip r:embed="rId349" r:link="rId350"/>
                    <a:stretch>
                      <a:fillRect/>
                    </a:stretch>
                  </pic:blipFill>
                  <pic:spPr>
                    <a:xfrm>
                      <a:off x="0" y="0"/>
                      <a:ext cx="7353300" cy="4391025"/>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 </w:t>
      </w:r>
    </w:p>
    <w:p>
      <w:pPr>
        <w:pStyle w:val="34"/>
      </w:pPr>
      <w:r>
        <w:rPr>
          <w:rFonts w:hint="eastAsia"/>
        </w:rPr>
        <w:t>百分比线</w:t>
      </w:r>
    </w:p>
    <w:p>
      <w:pPr>
        <w:pStyle w:val="34"/>
      </w:pPr>
      <w:r>
        <w:rPr>
          <w:rFonts w:hint="eastAsia"/>
        </w:rPr>
        <w:t>百分比线是将一定的价格空间分为8等分，1/8，2/8，3/8，4/8，5/8，6/8，7/8，8/8，另外又以3为分母，分成1/3和2/3。综合上述空间，以百分比来表示。她用来描述一些重要的支撑、阻力位。</w:t>
      </w:r>
    </w:p>
    <w:p>
      <w:pPr>
        <w:pStyle w:val="34"/>
      </w:pPr>
      <w:r>
        <w:rPr>
          <w:rFonts w:hint="eastAsia"/>
        </w:rPr>
        <w:t>跌倒上涨区间的50%分位上一点就反弹了 用前面的黄金分割线我们看的是在61.8%下破一点点处。</w:t>
      </w:r>
    </w:p>
    <w:p>
      <w:pPr>
        <w:pStyle w:val="34"/>
      </w:pPr>
      <w:r>
        <w:fldChar w:fldCharType="begin"/>
      </w:r>
      <w:r>
        <w:instrText xml:space="preserve"> INCLUDEPICTURE  "https://www.tdx.com.cn/products/helpfile/tdxw/chm/%E7%AC%AC%E4%BA%8C%E7%AB%A0 %E5%8A%9F%E8%83%BD/2-21/2.92.png" \* MERGEFORMATINET </w:instrText>
      </w:r>
      <w:r>
        <w:fldChar w:fldCharType="separate"/>
      </w:r>
      <w:r>
        <w:fldChar w:fldCharType="begin"/>
      </w:r>
      <w:r>
        <w:instrText xml:space="preserve"> INCLUDEPICTURE  "https://www.tdx.com.cn/products/helpfile/tdxw/chm/%E7%AC%AC%E4%BA%8C%E7%AB%A0 %E5%8A%9F%E8%83%BD/2-21/2.92.png" \* MERGEFORMATINET </w:instrText>
      </w:r>
      <w:r>
        <w:fldChar w:fldCharType="separate"/>
      </w:r>
      <w:r>
        <w:fldChar w:fldCharType="begin"/>
      </w:r>
      <w:r>
        <w:instrText xml:space="preserve"> INCLUDEPICTURE  "https://www.tdx.com.cn/products/helpfile/tdxw/chm/%E7%AC%AC%E4%BA%8C%E7%AB%A0 %E5%8A%9F%E8%83%BD/2-21/2.92.png" \* MERGEFORMATINET </w:instrText>
      </w:r>
      <w:r>
        <w:fldChar w:fldCharType="separate"/>
      </w:r>
      <w:r>
        <w:fldChar w:fldCharType="begin"/>
      </w:r>
      <w:r>
        <w:instrText xml:space="preserve"> INCLUDEPICTURE  "https://www.tdx.com.cn/products/helpfile/tdxw/chm/%E7%AC%AC%E4%BA%8C%E7%AB%A0 %E5%8A%9F%E8%83%BD/2-21/2.92.png" \* MERGEFORMATINET </w:instrText>
      </w:r>
      <w:r>
        <w:fldChar w:fldCharType="separate"/>
      </w:r>
      <w:r>
        <w:drawing>
          <wp:inline distT="0" distB="0" distL="114300" distR="114300">
            <wp:extent cx="7353300" cy="4352925"/>
            <wp:effectExtent l="0" t="0" r="0" b="9525"/>
            <wp:docPr id="180"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pic:cNvPicPr>
                      <a:picLocks noChangeAspect="1"/>
                    </pic:cNvPicPr>
                  </pic:nvPicPr>
                  <pic:blipFill>
                    <a:blip r:embed="rId351" r:link="rId352"/>
                    <a:stretch>
                      <a:fillRect/>
                    </a:stretch>
                  </pic:blipFill>
                  <pic:spPr>
                    <a:xfrm>
                      <a:off x="0" y="0"/>
                      <a:ext cx="7353300" cy="4352925"/>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波段线</w:t>
      </w:r>
    </w:p>
    <w:p>
      <w:pPr>
        <w:pStyle w:val="34"/>
      </w:pPr>
      <w:r>
        <w:rPr>
          <w:rFonts w:hint="eastAsia"/>
        </w:rPr>
        <w:t>波段线是由将价格空间分成50%、25%、33%等一些重要地带，以此来确定重要的支撑阻力位。</w:t>
      </w:r>
    </w:p>
    <w:p>
      <w:pPr>
        <w:pStyle w:val="34"/>
      </w:pPr>
      <w:r>
        <w:fldChar w:fldCharType="begin"/>
      </w:r>
      <w:r>
        <w:instrText xml:space="preserve"> INCLUDEPICTURE  "https://www.tdx.com.cn/products/helpfile/tdxw/chm/%E7%AC%AC%E4%BA%8C%E7%AB%A0 %E5%8A%9F%E8%83%BD/2-21/2.93.png" \* MERGEFORMATINET </w:instrText>
      </w:r>
      <w:r>
        <w:fldChar w:fldCharType="separate"/>
      </w:r>
      <w:r>
        <w:fldChar w:fldCharType="begin"/>
      </w:r>
      <w:r>
        <w:instrText xml:space="preserve"> INCLUDEPICTURE  "https://www.tdx.com.cn/products/helpfile/tdxw/chm/%E7%AC%AC%E4%BA%8C%E7%AB%A0 %E5%8A%9F%E8%83%BD/2-21/2.93.png" \* MERGEFORMATINET </w:instrText>
      </w:r>
      <w:r>
        <w:fldChar w:fldCharType="separate"/>
      </w:r>
      <w:r>
        <w:fldChar w:fldCharType="begin"/>
      </w:r>
      <w:r>
        <w:instrText xml:space="preserve"> INCLUDEPICTURE  "https://www.tdx.com.cn/products/helpfile/tdxw/chm/%E7%AC%AC%E4%BA%8C%E7%AB%A0 %E5%8A%9F%E8%83%BD/2-21/2.93.png" \* MERGEFORMATINET </w:instrText>
      </w:r>
      <w:r>
        <w:fldChar w:fldCharType="separate"/>
      </w:r>
      <w:r>
        <w:fldChar w:fldCharType="begin"/>
      </w:r>
      <w:r>
        <w:instrText xml:space="preserve"> INCLUDEPICTURE  "https://www.tdx.com.cn/products/helpfile/tdxw/chm/%E7%AC%AC%E4%BA%8C%E7%AB%A0 %E5%8A%9F%E8%83%BD/2-21/2.93.png" \* MERGEFORMATINET </w:instrText>
      </w:r>
      <w:r>
        <w:fldChar w:fldCharType="separate"/>
      </w:r>
      <w:r>
        <w:drawing>
          <wp:inline distT="0" distB="0" distL="114300" distR="114300">
            <wp:extent cx="7334250" cy="4371975"/>
            <wp:effectExtent l="0" t="0" r="0" b="9525"/>
            <wp:docPr id="181"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pic:cNvPicPr>
                      <a:picLocks noChangeAspect="1"/>
                    </pic:cNvPicPr>
                  </pic:nvPicPr>
                  <pic:blipFill>
                    <a:blip r:embed="rId353" r:link="rId354"/>
                    <a:stretch>
                      <a:fillRect/>
                    </a:stretch>
                  </pic:blipFill>
                  <pic:spPr>
                    <a:xfrm>
                      <a:off x="0" y="0"/>
                      <a:ext cx="7334250" cy="4371975"/>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黄金周期线 </w:t>
      </w:r>
    </w:p>
    <w:p>
      <w:pPr>
        <w:pStyle w:val="34"/>
      </w:pPr>
      <w:r>
        <w:rPr>
          <w:rFonts w:hint="eastAsia"/>
        </w:rPr>
        <w:t>定位点之间相隔的k线个数为一个标准单位 其他的黄金比例位置就是离第一个定位点（标准单位*比例）取整个k线距离。</w:t>
      </w:r>
    </w:p>
    <w:p>
      <w:pPr>
        <w:pStyle w:val="34"/>
      </w:pPr>
      <w:r>
        <w:fldChar w:fldCharType="begin"/>
      </w:r>
      <w:r>
        <w:instrText xml:space="preserve"> INCLUDEPICTURE  "https://www.tdx.com.cn/products/helpfile/tdxw/chm/%E7%AC%AC%E4%BA%8C%E7%AB%A0 %E5%8A%9F%E8%83%BD/2-21/2.94.png" \* MERGEFORMATINET </w:instrText>
      </w:r>
      <w:r>
        <w:fldChar w:fldCharType="separate"/>
      </w:r>
      <w:r>
        <w:fldChar w:fldCharType="begin"/>
      </w:r>
      <w:r>
        <w:instrText xml:space="preserve"> INCLUDEPICTURE  "https://www.tdx.com.cn/products/helpfile/tdxw/chm/%E7%AC%AC%E4%BA%8C%E7%AB%A0 %E5%8A%9F%E8%83%BD/2-21/2.94.png" \* MERGEFORMATINET </w:instrText>
      </w:r>
      <w:r>
        <w:fldChar w:fldCharType="separate"/>
      </w:r>
      <w:r>
        <w:fldChar w:fldCharType="begin"/>
      </w:r>
      <w:r>
        <w:instrText xml:space="preserve"> INCLUDEPICTURE  "https://www.tdx.com.cn/products/helpfile/tdxw/chm/%E7%AC%AC%E4%BA%8C%E7%AB%A0 %E5%8A%9F%E8%83%BD/2-21/2.94.png" \* MERGEFORMATINET </w:instrText>
      </w:r>
      <w:r>
        <w:fldChar w:fldCharType="separate"/>
      </w:r>
      <w:r>
        <w:fldChar w:fldCharType="begin"/>
      </w:r>
      <w:r>
        <w:instrText xml:space="preserve"> INCLUDEPICTURE  "https://www.tdx.com.cn/products/helpfile/tdxw/chm/%E7%AC%AC%E4%BA%8C%E7%AB%A0 %E5%8A%9F%E8%83%BD/2-21/2.94.png" \* MERGEFORMATINET </w:instrText>
      </w:r>
      <w:r>
        <w:fldChar w:fldCharType="separate"/>
      </w:r>
      <w:r>
        <w:drawing>
          <wp:inline distT="0" distB="0" distL="114300" distR="114300">
            <wp:extent cx="6896100" cy="4410075"/>
            <wp:effectExtent l="0" t="0" r="0" b="9525"/>
            <wp:docPr id="182"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pic:cNvPicPr>
                      <a:picLocks noChangeAspect="1"/>
                    </pic:cNvPicPr>
                  </pic:nvPicPr>
                  <pic:blipFill>
                    <a:blip r:embed="rId355" r:link="rId356"/>
                    <a:stretch>
                      <a:fillRect/>
                    </a:stretch>
                  </pic:blipFill>
                  <pic:spPr>
                    <a:xfrm>
                      <a:off x="0" y="0"/>
                      <a:ext cx="6896100" cy="4410075"/>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 </w:t>
      </w:r>
    </w:p>
    <w:p>
      <w:pPr>
        <w:pStyle w:val="34"/>
      </w:pPr>
      <w:r>
        <w:rPr>
          <w:rFonts w:hint="eastAsia"/>
        </w:rPr>
        <w:t>江恩角度线</w:t>
      </w:r>
    </w:p>
    <w:p>
      <w:pPr>
        <w:pStyle w:val="34"/>
      </w:pPr>
      <w:r>
        <w:rPr>
          <w:rFonts w:hint="eastAsia"/>
        </w:rPr>
        <w:t>江恩角度线和速阻线的应用方法相似。划分的变速线比例更多更丰富。</w:t>
      </w:r>
    </w:p>
    <w:p>
      <w:pPr>
        <w:pStyle w:val="34"/>
      </w:pPr>
      <w:r>
        <w:fldChar w:fldCharType="begin"/>
      </w:r>
      <w:r>
        <w:instrText xml:space="preserve"> INCLUDEPICTURE  "https://www.tdx.com.cn/products/helpfile/tdxw/chm/%E7%AC%AC%E4%BA%8C%E7%AB%A0 %E5%8A%9F%E8%83%BD/2-21/2.96.png" \* MERGEFORMATINET </w:instrText>
      </w:r>
      <w:r>
        <w:fldChar w:fldCharType="separate"/>
      </w:r>
      <w:r>
        <w:fldChar w:fldCharType="begin"/>
      </w:r>
      <w:r>
        <w:instrText xml:space="preserve"> INCLUDEPICTURE  "https://www.tdx.com.cn/products/helpfile/tdxw/chm/%E7%AC%AC%E4%BA%8C%E7%AB%A0 %E5%8A%9F%E8%83%BD/2-21/2.96.png" \* MERGEFORMATINET </w:instrText>
      </w:r>
      <w:r>
        <w:fldChar w:fldCharType="separate"/>
      </w:r>
      <w:r>
        <w:fldChar w:fldCharType="begin"/>
      </w:r>
      <w:r>
        <w:instrText xml:space="preserve"> INCLUDEPICTURE  "https://www.tdx.com.cn/products/helpfile/tdxw/chm/%E7%AC%AC%E4%BA%8C%E7%AB%A0 %E5%8A%9F%E8%83%BD/2-21/2.96.png" \* MERGEFORMATINET </w:instrText>
      </w:r>
      <w:r>
        <w:fldChar w:fldCharType="separate"/>
      </w:r>
      <w:r>
        <w:fldChar w:fldCharType="begin"/>
      </w:r>
      <w:r>
        <w:instrText xml:space="preserve"> INCLUDEPICTURE  "https://www.tdx.com.cn/products/helpfile/tdxw/chm/%E7%AC%AC%E4%BA%8C%E7%AB%A0 %E5%8A%9F%E8%83%BD/2-21/2.96.png" \* MERGEFORMATINET </w:instrText>
      </w:r>
      <w:r>
        <w:fldChar w:fldCharType="separate"/>
      </w:r>
      <w:r>
        <w:drawing>
          <wp:inline distT="0" distB="0" distL="114300" distR="114300">
            <wp:extent cx="7362825" cy="4381500"/>
            <wp:effectExtent l="0" t="0" r="9525" b="0"/>
            <wp:docPr id="183"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3"/>
                    <pic:cNvPicPr>
                      <a:picLocks noChangeAspect="1"/>
                    </pic:cNvPicPr>
                  </pic:nvPicPr>
                  <pic:blipFill>
                    <a:blip r:embed="rId357" r:link="rId358"/>
                    <a:stretch>
                      <a:fillRect/>
                    </a:stretch>
                  </pic:blipFill>
                  <pic:spPr>
                    <a:xfrm>
                      <a:off x="0" y="0"/>
                      <a:ext cx="7362825" cy="4381500"/>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 </w:t>
      </w:r>
    </w:p>
    <w:p>
      <w:pPr>
        <w:pStyle w:val="34"/>
      </w:pPr>
      <w:r>
        <w:rPr>
          <w:rFonts w:hint="eastAsia"/>
        </w:rPr>
        <w:t>矩形框</w:t>
      </w:r>
    </w:p>
    <w:p>
      <w:pPr>
        <w:pStyle w:val="34"/>
      </w:pPr>
      <w:r>
        <w:rPr>
          <w:rFonts w:hint="eastAsia"/>
        </w:rPr>
        <w:t>矩形框用来表示一定的价格运行区间，可以在此区间进行价格的波段操作同时可以判断股价是否突破矩形框。</w:t>
      </w:r>
    </w:p>
    <w:p>
      <w:pPr>
        <w:pStyle w:val="34"/>
      </w:pPr>
      <w:r>
        <w:rPr>
          <w:rFonts w:hint="eastAsia"/>
        </w:rPr>
        <w:t>线性回归、线形回归带及线形回归通道线性回归、线性回归带及线性回归通道是根据数学上线性回归的原理来确定一定时间内的价格走势。线性回归将一定时间内的股价走势线性回归，然后来确定这一段时间内的总体走势；</w:t>
      </w:r>
    </w:p>
    <w:p>
      <w:pPr>
        <w:pStyle w:val="34"/>
      </w:pPr>
      <w:r>
        <w:rPr>
          <w:rFonts w:hint="eastAsia"/>
        </w:rPr>
        <w:t>线性回归带是根据这一段时间内的最高、最低价画出线性回归的平行通道线；回归通道是线性回归带的延长。</w:t>
      </w:r>
    </w:p>
    <w:p>
      <w:pPr>
        <w:pStyle w:val="34"/>
      </w:pPr>
      <w:r>
        <w:rPr>
          <w:rFonts w:hint="eastAsia"/>
        </w:rPr>
        <w:t>平行线</w:t>
      </w:r>
    </w:p>
    <w:p>
      <w:pPr>
        <w:pStyle w:val="34"/>
      </w:pPr>
      <w:r>
        <w:rPr>
          <w:rFonts w:hint="eastAsia"/>
        </w:rPr>
        <w:t>指标说明： 等距水平平行线是在由达韦斯·尼古拉所创立的"股票箱理论"的基础上演变而来(其基本原理、作图方法和研判要点与"股票箱理论"基本相同，可参阅"股票箱"一节的有关内容)，它是"股票箱理论"应用中的一种"特例"： </w:t>
      </w:r>
    </w:p>
    <w:p>
      <w:pPr>
        <w:pStyle w:val="34"/>
      </w:pPr>
      <w:r>
        <w:rPr>
          <w:rFonts w:hint="eastAsia"/>
        </w:rPr>
        <w:t>1、所画出的全部平行线均为水平平行线。而"股票箱"所画出的平行线既可以是水平平行线，更多的则是带有倾斜角度的平行线。因此，等距水平平行线主要是用于股价(包括指数)在作水平横向波动阶段的分析与研判，以及股价突破"旧箱"的上(或下)边线之后波动空间(长度)的量度。 </w:t>
      </w:r>
    </w:p>
    <w:p>
      <w:pPr>
        <w:pStyle w:val="34"/>
      </w:pPr>
      <w:r>
        <w:rPr>
          <w:rFonts w:hint="eastAsia"/>
        </w:rPr>
        <w:t>2、一般而言，在"标准坐标"(又称"算术等距刻度坐标")中使用"等距水平平行线"效果较好。但不排除在少数情况下，在"半对数坐标"(又称"半对数刻度坐标")中使用"等距水平平行线"，也可能会有较好的分析和预测效果。 </w:t>
      </w:r>
    </w:p>
    <w:p>
      <w:pPr>
        <w:pStyle w:val="34"/>
      </w:pPr>
      <w:r>
        <w:rPr>
          <w:rFonts w:hint="eastAsia"/>
        </w:rPr>
        <w:t>3、实证表明，股价波动的内在规律与波动力度并非千篇一律。在部分股票(而非全部股票)或部分股票的某一个波动阶段的分析中，适用于在"标准坐标"之下使用"等距水平平行线"来预测与量度，表明这一阶段波动的力度比较符合线性增长(变动速率)的特征。其直观的现象就是这一波动阶段中上升或下跌的力度均较为温和，不及呈对数增长波动(变动速率)的力度来得凌厉。 </w:t>
      </w:r>
    </w:p>
    <w:p>
      <w:pPr>
        <w:pStyle w:val="34"/>
      </w:pPr>
      <w:r>
        <w:rPr>
          <w:rFonts w:hint="eastAsia"/>
        </w:rPr>
        <w:t>4、画"股票箱"时需要选择三个点，而在画"等距水平平行线"时只需要选定两个点：一个上边线的点和一个下边线的点，操作时相当便捷。 </w:t>
      </w:r>
    </w:p>
    <w:p>
      <w:pPr>
        <w:pStyle w:val="34"/>
      </w:pPr>
      <w:r>
        <w:rPr>
          <w:rFonts w:hint="eastAsia"/>
        </w:rPr>
        <w:t>斐波纳切周期线</w:t>
      </w:r>
    </w:p>
    <w:p>
      <w:pPr>
        <w:pStyle w:val="34"/>
      </w:pPr>
      <w:r>
        <w:rPr>
          <w:rFonts w:hint="eastAsia"/>
        </w:rPr>
        <w:t>从重要的市场顶部或底部起向未来数算，得出的时间目标。其中的垂直线分别标志着未来第3、第8、第13、第21、第34、第55及第89个交易日的位置。这些日子可能意味着市场的重要转折点。</w:t>
      </w:r>
    </w:p>
    <w:p>
      <w:pPr>
        <w:pStyle w:val="34"/>
      </w:pPr>
      <w:r>
        <w:rPr>
          <w:rFonts w:hint="eastAsia"/>
        </w:rPr>
        <w:t>■ 具体应用： </w:t>
      </w:r>
    </w:p>
    <w:p>
      <w:pPr>
        <w:pStyle w:val="34"/>
      </w:pPr>
      <w:r>
        <w:rPr>
          <w:rFonts w:hint="eastAsia"/>
        </w:rPr>
        <w:t>例　鼠标画法：移动鼠标，在图中显著的顶点或底点上单击左键即可。</w:t>
      </w:r>
    </w:p>
    <w:p>
      <w:pPr>
        <w:pStyle w:val="34"/>
      </w:pPr>
      <w:r>
        <w:fldChar w:fldCharType="begin"/>
      </w:r>
      <w:r>
        <w:instrText xml:space="preserve"> INCLUDEPICTURE  "https://www.tdx.com.cn/products/helpfile/tdxw/chm/%E7%AC%AC%E4%BA%8C%E7%AB%A0 %E5%8A%9F%E8%83%BD/2-21/3.png" \* MERGEFORMATINET </w:instrText>
      </w:r>
      <w:r>
        <w:fldChar w:fldCharType="separate"/>
      </w:r>
      <w:r>
        <w:fldChar w:fldCharType="begin"/>
      </w:r>
      <w:r>
        <w:instrText xml:space="preserve"> INCLUDEPICTURE  "https://www.tdx.com.cn/products/helpfile/tdxw/chm/%E7%AC%AC%E4%BA%8C%E7%AB%A0 %E5%8A%9F%E8%83%BD/2-21/3.png" \* MERGEFORMATINET </w:instrText>
      </w:r>
      <w:r>
        <w:fldChar w:fldCharType="separate"/>
      </w:r>
      <w:r>
        <w:fldChar w:fldCharType="begin"/>
      </w:r>
      <w:r>
        <w:instrText xml:space="preserve"> INCLUDEPICTURE  "https://www.tdx.com.cn/products/helpfile/tdxw/chm/%E7%AC%AC%E4%BA%8C%E7%AB%A0 %E5%8A%9F%E8%83%BD/2-21/3.png" \* MERGEFORMATINET </w:instrText>
      </w:r>
      <w:r>
        <w:fldChar w:fldCharType="separate"/>
      </w:r>
      <w:r>
        <w:fldChar w:fldCharType="begin"/>
      </w:r>
      <w:r>
        <w:instrText xml:space="preserve"> INCLUDEPICTURE  "https://www.tdx.com.cn/products/helpfile/tdxw/chm/%E7%AC%AC%E4%BA%8C%E7%AB%A0 %E5%8A%9F%E8%83%BD/2-21/3.png" \* MERGEFORMATINET </w:instrText>
      </w:r>
      <w:r>
        <w:fldChar w:fldCharType="separate"/>
      </w:r>
      <w:r>
        <w:drawing>
          <wp:inline distT="0" distB="0" distL="114300" distR="114300">
            <wp:extent cx="6772275" cy="4600575"/>
            <wp:effectExtent l="0" t="0" r="9525" b="9525"/>
            <wp:docPr id="184"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pic:cNvPicPr>
                      <a:picLocks noChangeAspect="1"/>
                    </pic:cNvPicPr>
                  </pic:nvPicPr>
                  <pic:blipFill>
                    <a:blip r:embed="rId359" r:link="rId360"/>
                    <a:stretch>
                      <a:fillRect/>
                    </a:stretch>
                  </pic:blipFill>
                  <pic:spPr>
                    <a:xfrm>
                      <a:off x="0" y="0"/>
                      <a:ext cx="6772275" cy="4600575"/>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p>
    <w:p>
      <w:pPr>
        <w:pStyle w:val="34"/>
      </w:pPr>
      <w:r>
        <w:rPr>
          <w:rFonts w:hint="eastAsia"/>
        </w:rPr>
        <w:t>甘氏线</w:t>
      </w:r>
    </w:p>
    <w:p>
      <w:pPr>
        <w:pStyle w:val="34"/>
      </w:pPr>
      <w:r>
        <w:rPr>
          <w:rFonts w:hint="eastAsia"/>
        </w:rPr>
        <w:t>甘氏线(Gann line)分上升甘氏线和下降甘氏线两种，是由William D．Gann创立的一套独特的理论。Gann是一位具有传奇色彩的股票技术分析大师。</w:t>
      </w:r>
    </w:p>
    <w:p>
      <w:pPr>
        <w:pStyle w:val="34"/>
      </w:pPr>
      <w:r>
        <w:rPr>
          <w:rFonts w:hint="eastAsia"/>
        </w:rPr>
        <w:t>甘氏线就是他将百分比原理和几何角度原理结合起来的产物。甘氏线是从一个点出发，依一定的角度，向后画出的多条直线，所以甘氏线又称为角度线。</w:t>
      </w:r>
    </w:p>
    <w:p>
      <w:pPr>
        <w:pStyle w:val="34"/>
      </w:pPr>
      <w:r>
        <w:rPr>
          <w:rFonts w:hint="eastAsia"/>
        </w:rPr>
        <w:t>图为-个甘氏线各个角度的直线图。 </w:t>
      </w:r>
    </w:p>
    <w:p>
      <w:pPr>
        <w:pStyle w:val="34"/>
      </w:pPr>
      <w:r>
        <w:rPr>
          <w:rFonts w:hint="eastAsia"/>
        </w:rPr>
        <w:t>图中的每条直线都有一定的角度，这些角度的得到都与百分比线中的那些数字有关。每个角度的正切或余切分别等于百分比数中的某个分数(或者说是百分数)。 </w:t>
      </w:r>
    </w:p>
    <w:p>
      <w:pPr>
        <w:pStyle w:val="34"/>
      </w:pPr>
      <w:r>
        <w:rPr>
          <w:rFonts w:hint="eastAsia"/>
        </w:rPr>
        <w:t>甘氏线中的每条直线都有支撑和压力的功能，但这里面最重要的是45度线、63.75度线和26.25度线。这三条直线分别对应百分比线中的50%，62.5%和37.5%百分比线。其余的角度虽然在股价的波动中也能起一些支撑和压力作用，但重要性都不大，都很容易被突破。</w:t>
      </w:r>
    </w:p>
    <w:p>
      <w:pPr>
        <w:pStyle w:val="34"/>
      </w:pPr>
      <w:r>
        <w:rPr>
          <w:rFonts w:hint="eastAsia"/>
        </w:rPr>
        <w:t>■ 具体应用： </w:t>
      </w:r>
    </w:p>
    <w:p>
      <w:pPr>
        <w:pStyle w:val="34"/>
      </w:pPr>
      <w:r>
        <w:rPr>
          <w:rFonts w:hint="eastAsia"/>
        </w:rPr>
        <w:t>第一步：确定起始点，被选择的点同大多数别的选点方法一样，一定是显著的高点和低点，如果刚被选中的点马上被创新的高点和低点取代，则甘氏线的选择也随之变更。下图中我们选择最低点为起始点。 </w:t>
      </w:r>
    </w:p>
    <w:p>
      <w:pPr>
        <w:pStyle w:val="34"/>
      </w:pPr>
      <w:r>
        <w:rPr>
          <w:rFonts w:hint="eastAsia"/>
        </w:rPr>
        <w:t>第二步：确定起始点后，再找角度(即45度线)，如果起始点是高点，则应画下降甘氏线；反之，如果起始点是低点，则应画上升甘氏线。这些线将在未来起支撑和压力作用。</w:t>
      </w:r>
    </w:p>
    <w:p>
      <w:pPr>
        <w:pStyle w:val="34"/>
      </w:pPr>
      <w:r>
        <w:rPr>
          <w:rFonts w:hint="eastAsia"/>
        </w:rPr>
        <w:t>例 鼠标画法：移动鼠标到被选为起始点最低点，按下鼠标左键不放，拖动鼠标找角度，松开鼠标即可。</w:t>
      </w:r>
    </w:p>
    <w:p>
      <w:pPr>
        <w:pStyle w:val="34"/>
      </w:pPr>
    </w:p>
    <w:p>
      <w:pPr>
        <w:pStyle w:val="34"/>
      </w:pPr>
      <w:r>
        <w:rPr>
          <w:rFonts w:hint="eastAsia"/>
        </w:rPr>
        <w:t>键盘画法：用"← → ↓ ↑"键找点,在起始点（2002年1月29日的最低点）回车确定, 然后在通过方向键"← → ↓ ↑"来找角度,找准后回车确定即可</w:t>
      </w:r>
    </w:p>
    <w:p>
      <w:pPr>
        <w:pStyle w:val="34"/>
      </w:pPr>
    </w:p>
    <w:p>
      <w:pPr>
        <w:pStyle w:val="34"/>
      </w:pPr>
      <w:r>
        <w:rPr>
          <w:rFonts w:hint="eastAsia"/>
        </w:rPr>
        <w:t>阻速线</w:t>
      </w:r>
    </w:p>
    <w:p>
      <w:pPr>
        <w:pStyle w:val="34"/>
      </w:pPr>
      <w:r>
        <w:rPr>
          <w:rFonts w:hint="eastAsia"/>
        </w:rPr>
        <w:t>阻速线是一种将趋势线和百分比回撤融为一体的新技巧，是埃德森·古尔德开创的，实质上也属于趋势线三分法的具体应用。阻速线测绘的是趋势上升或下降的速率（或者说是趋势的速度）。</w:t>
      </w:r>
    </w:p>
    <w:p>
      <w:pPr>
        <w:pStyle w:val="34"/>
      </w:pPr>
      <w:r>
        <w:rPr>
          <w:rFonts w:hint="eastAsia"/>
        </w:rPr>
        <w:t>■ 判研方法： </w:t>
      </w:r>
    </w:p>
    <w:p>
      <w:pPr>
        <w:pStyle w:val="34"/>
      </w:pPr>
      <w:r>
        <w:rPr>
          <w:rFonts w:hint="eastAsia"/>
        </w:rPr>
        <w:t>如果上升趋势正处于调整之中，那么阻速线向下折返的余地通常是到上方的速度线（2/3阻速线）为止；如果它又被超越了，那么价格还将跌到下方的速度线（1/3阻速线）；如果下方的速度线也跌破了，那么价格就可能一路而下，直至原趋势的起点的水平。在下降趋势中，下放的速度线如果被突破，那么价格很可能上冲到上方速度线处。要是后者也失守，那就意味着价格将会涨到原趋势的起点的水平。</w:t>
      </w:r>
    </w:p>
    <w:p>
      <w:pPr>
        <w:pStyle w:val="34"/>
      </w:pPr>
      <w:r>
        <w:rPr>
          <w:rFonts w:hint="eastAsia"/>
        </w:rPr>
        <w:t>正如所有的趋势线一样，速度线一旦被突破，角色也会反串。这样，在上升趋势的调整过程中，如果上面的线（2/3线）被突破，价格则跌到1/3线，再从后者上面反弹。这时候，上面的线已演变成阻挡障碍了。仅当上面这条线被重新穿回，那么价格才可能向原高点挑战。同样的道理在下降趋势中也成立。</w:t>
      </w:r>
    </w:p>
    <w:p>
      <w:pPr>
        <w:pStyle w:val="34"/>
      </w:pPr>
      <w:r>
        <w:rPr>
          <w:rFonts w:hint="eastAsia"/>
        </w:rPr>
        <w:t>■ 具体应用： </w:t>
      </w:r>
    </w:p>
    <w:p>
      <w:pPr>
        <w:pStyle w:val="34"/>
      </w:pPr>
      <w:r>
        <w:rPr>
          <w:rFonts w:hint="eastAsia"/>
        </w:rPr>
        <w:t>第一步：确定起始点，被选择的点同大多数别的选点方法一样，一定是显著的高点和低点，如果刚被选中的点马上被创新的高点和低点取代，则阻速线的选择也随之变更。下图中我们选择了2002年1月29日的最低点为起始点。 第二步：确定起始点后，再找角度，如果起始点是高点，则应画下降阻速线；反之，如果起始点是低点，则应画上升阻速线。</w:t>
      </w:r>
    </w:p>
    <w:p>
      <w:pPr>
        <w:pStyle w:val="34"/>
      </w:pPr>
      <w:r>
        <w:rPr>
          <w:rFonts w:hint="eastAsia"/>
        </w:rPr>
        <w:t>例 鼠标画法：移动鼠标到被选为起始点的最底点，按下鼠标左键不放，拖动鼠标找角度，松开鼠标即可。</w:t>
      </w:r>
    </w:p>
    <w:p>
      <w:pPr>
        <w:pStyle w:val="34"/>
      </w:pPr>
      <w:r>
        <w:rPr>
          <w:rFonts w:hint="eastAsia"/>
        </w:rPr>
        <w:t>键盘画法：用"← → ↓ ↑"键找点,在起始点（2002年1月29日的最低点）回车确定, 然后在通过方向键"← → ↓ ↑"来找角度,找准后回车确定即可。</w:t>
      </w:r>
    </w:p>
    <w:p>
      <w:pPr>
        <w:pStyle w:val="34"/>
      </w:pPr>
      <w:r>
        <w:rPr>
          <w:rFonts w:hint="eastAsia"/>
        </w:rPr>
        <w:t>弧线</w:t>
      </w:r>
    </w:p>
    <w:p>
      <w:pPr>
        <w:pStyle w:val="34"/>
      </w:pPr>
      <w:r>
        <w:rPr>
          <w:rFonts w:hint="eastAsia"/>
        </w:rPr>
        <w:t>工具说明： </w:t>
      </w:r>
    </w:p>
    <w:p>
      <w:pPr>
        <w:pStyle w:val="34"/>
      </w:pPr>
      <w:r>
        <w:rPr>
          <w:rFonts w:hint="eastAsia"/>
        </w:rPr>
        <w:t>菲波纳奇弧线体现了时间因素。这也是一种回撤测算技术，其构造方法与阻速线的类似。首先在图上找出上下两个极端的点（通常是市场的重要顶点和底点），然后以第二个点为圆心，按照菲波纳奇参数，38%，50%，62%，从两点之间的垂直线段上截得三个半径，分别画出三条弧线。这三条弧线从时间和价格两方面标识了可能出现支撑或阻挡的位置（如图A）。</w:t>
      </w:r>
    </w:p>
    <w:p>
      <w:pPr>
        <w:pStyle w:val="34"/>
      </w:pPr>
      <w:r>
        <w:rPr>
          <w:rFonts w:hint="eastAsia"/>
        </w:rPr>
        <w:t>具体应用： </w:t>
      </w:r>
    </w:p>
    <w:p>
      <w:pPr>
        <w:pStyle w:val="34"/>
      </w:pPr>
      <w:r>
        <w:rPr>
          <w:rFonts w:hint="eastAsia"/>
        </w:rPr>
        <w:t>第一步：确定第一点（应为显著的高点和低点），如果刚被选中的点马上被创新的高点和低点取代，则起始点的选择也随之变更。 </w:t>
      </w:r>
    </w:p>
    <w:p>
      <w:pPr>
        <w:pStyle w:val="34"/>
      </w:pPr>
      <w:r>
        <w:rPr>
          <w:rFonts w:hint="eastAsia"/>
        </w:rPr>
        <w:t>第二步：确定起始点后，再找第二点即弧线的圆心，也应选择市场重要的顶点和底点。</w:t>
      </w:r>
    </w:p>
    <w:p>
      <w:pPr>
        <w:pStyle w:val="34"/>
      </w:pPr>
      <w:r>
        <w:rPr>
          <w:rFonts w:hint="eastAsia"/>
        </w:rPr>
        <w:t>例 鼠标画法：移动鼠标到被选为起始点的低点，按下鼠标左键不放，拖动鼠标找到第二点也就是圆心（高点），松开鼠标即可。</w:t>
      </w:r>
    </w:p>
    <w:p>
      <w:pPr>
        <w:pStyle w:val="34"/>
      </w:pPr>
      <w:r>
        <w:rPr>
          <w:rFonts w:hint="eastAsia"/>
        </w:rPr>
        <w:t>键盘画法：用"← → ↓ ↑"键找点,在起始点（回车确定, 然后在通过方向键"← → ↓ ↑"来找第二点,找准后回车确定即可。</w:t>
      </w:r>
    </w:p>
    <w:p>
      <w:pPr>
        <w:pStyle w:val="34"/>
      </w:pPr>
      <w:r>
        <w:rPr>
          <w:rFonts w:hint="eastAsia"/>
        </w:rPr>
        <w:t>上图中所示的弧线提供了市场下方的支撑区，可以看见价格是如何暂停于两条弧线的上方的，这有助于揭示市场转折的时间。</w:t>
      </w:r>
    </w:p>
    <w:p>
      <w:pPr>
        <w:pStyle w:val="34"/>
      </w:pPr>
      <w:r>
        <w:rPr>
          <w:rFonts w:hint="eastAsia"/>
        </w:rPr>
        <w:t>通常我们要把弧线和其它画线结合使用，如果其中两种或三种线条重合在同一位置上，那么其趋势信号就会较强。</w:t>
      </w:r>
    </w:p>
    <w:p>
      <w:pPr>
        <w:pStyle w:val="34"/>
      </w:pPr>
      <w:r>
        <w:rPr>
          <w:rFonts w:hint="eastAsia"/>
        </w:rPr>
        <w:t>文字工具、上箭头和下箭头</w:t>
      </w:r>
    </w:p>
    <w:p>
      <w:pPr>
        <w:pStyle w:val="34"/>
      </w:pPr>
      <w:r>
        <w:rPr>
          <w:rFonts w:hint="eastAsia"/>
        </w:rPr>
        <w:t>有时候要在图上进行一些诸如买卖信号，重要时间的表示，非常不方便，分析家的文字工具、上箭头和下箭头就提供了这样一些画线工具。</w:t>
      </w:r>
    </w:p>
    <w:p>
      <w:pPr>
        <w:pStyle w:val="34"/>
      </w:pPr>
      <w:r>
        <w:rPr>
          <w:rFonts w:hint="eastAsia"/>
        </w:rPr>
        <w:t>通达信预警线 </w:t>
      </w:r>
    </w:p>
    <w:p>
      <w:pPr>
        <w:pStyle w:val="34"/>
      </w:pPr>
      <w:r>
        <w:rPr>
          <w:rFonts w:hint="eastAsia"/>
        </w:rPr>
        <w:t>通达信预警线，在分时界面画预警线达到预警线价格就会出现预警消息，预警线不保存历史。 </w:t>
      </w:r>
    </w:p>
    <w:p>
      <w:pPr>
        <w:pStyle w:val="34"/>
      </w:pPr>
      <w:r>
        <w:rPr>
          <w:rFonts w:hint="eastAsia"/>
        </w:rPr>
        <w:t>通达信测量距离画线工具 </w:t>
      </w:r>
    </w:p>
    <w:p>
      <w:pPr>
        <w:pStyle w:val="34"/>
      </w:pPr>
      <w:r>
        <w:rPr>
          <w:rFonts w:hint="eastAsia"/>
        </w:rPr>
        <w:t>工具应用：假如你想知道某段走势的涨幅是多少，甚至想知道你画的波浪线的各段幅度分别是多少都可以分别去测一下做上标记。 </w:t>
      </w:r>
    </w:p>
    <w:p>
      <w:pPr>
        <w:pStyle w:val="34"/>
      </w:pPr>
      <w:r>
        <w:rPr>
          <w:rFonts w:hint="eastAsia"/>
        </w:rPr>
        <w:t>距离：测量段的k线个数  涨跌：测量两点的价差  幅度：涨跌/测量起点价位*100</w:t>
      </w:r>
    </w:p>
    <w:p>
      <w:pPr>
        <w:pStyle w:val="34"/>
      </w:pPr>
      <w:r>
        <w:rPr>
          <w:rFonts w:hint="eastAsia"/>
        </w:rPr>
        <w:t>波长：（距离的平方+幅度的平方）整体开方 </w:t>
      </w:r>
    </w:p>
    <w:p>
      <w:pPr>
        <w:pStyle w:val="34"/>
      </w:pPr>
      <w:r>
        <w:fldChar w:fldCharType="begin"/>
      </w:r>
      <w:r>
        <w:instrText xml:space="preserve"> INCLUDEPICTURE  "https://www.tdx.com.cn/products/helpfile/tdxw/chm/%E7%AC%AC%E4%BA%8C%E7%AB%A0 %E5%8A%9F%E8%83%BD/2-21/5.png" \* MERGEFORMATINET </w:instrText>
      </w:r>
      <w:r>
        <w:fldChar w:fldCharType="separate"/>
      </w:r>
      <w:r>
        <w:fldChar w:fldCharType="begin"/>
      </w:r>
      <w:r>
        <w:instrText xml:space="preserve"> INCLUDEPICTURE  "https://www.tdx.com.cn/products/helpfile/tdxw/chm/%E7%AC%AC%E4%BA%8C%E7%AB%A0 %E5%8A%9F%E8%83%BD/2-21/5.png" \* MERGEFORMATINET </w:instrText>
      </w:r>
      <w:r>
        <w:fldChar w:fldCharType="separate"/>
      </w:r>
      <w:r>
        <w:fldChar w:fldCharType="begin"/>
      </w:r>
      <w:r>
        <w:instrText xml:space="preserve"> INCLUDEPICTURE  "https://www.tdx.com.cn/products/helpfile/tdxw/chm/%E7%AC%AC%E4%BA%8C%E7%AB%A0 %E5%8A%9F%E8%83%BD/2-21/5.png" \* MERGEFORMATINET </w:instrText>
      </w:r>
      <w:r>
        <w:fldChar w:fldCharType="separate"/>
      </w:r>
      <w:r>
        <w:fldChar w:fldCharType="begin"/>
      </w:r>
      <w:r>
        <w:instrText xml:space="preserve"> INCLUDEPICTURE  "https://www.tdx.com.cn/products/helpfile/tdxw/chm/%E7%AC%AC%E4%BA%8C%E7%AB%A0 %E5%8A%9F%E8%83%BD/2-21/5.png" \* MERGEFORMATINET </w:instrText>
      </w:r>
      <w:r>
        <w:fldChar w:fldCharType="separate"/>
      </w:r>
      <w:r>
        <w:drawing>
          <wp:inline distT="0" distB="0" distL="114300" distR="114300">
            <wp:extent cx="1485900" cy="2266950"/>
            <wp:effectExtent l="0" t="0" r="0" b="0"/>
            <wp:docPr id="185"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pic:cNvPicPr>
                      <a:picLocks noChangeAspect="1"/>
                    </pic:cNvPicPr>
                  </pic:nvPicPr>
                  <pic:blipFill>
                    <a:blip r:embed="rId361" r:link="rId362"/>
                    <a:stretch>
                      <a:fillRect/>
                    </a:stretch>
                  </pic:blipFill>
                  <pic:spPr>
                    <a:xfrm>
                      <a:off x="0" y="0"/>
                      <a:ext cx="1485900" cy="2266950"/>
                    </a:xfrm>
                    <a:prstGeom prst="rect">
                      <a:avLst/>
                    </a:prstGeom>
                    <a:noFill/>
                    <a:ln>
                      <a:noFill/>
                    </a:ln>
                  </pic:spPr>
                </pic:pic>
              </a:graphicData>
            </a:graphic>
          </wp:inline>
        </w:drawing>
      </w:r>
      <w:r>
        <w:fldChar w:fldCharType="end"/>
      </w:r>
      <w:r>
        <w:fldChar w:fldCharType="end"/>
      </w:r>
      <w:r>
        <w:fldChar w:fldCharType="end"/>
      </w:r>
      <w:r>
        <w:fldChar w:fldCharType="end"/>
      </w:r>
      <w:r>
        <w:rPr>
          <w:rFonts w:hint="eastAsia"/>
        </w:rPr>
        <w:t>  </w:t>
      </w:r>
    </w:p>
    <w:p>
      <w:pPr>
        <w:pStyle w:val="34"/>
      </w:pPr>
      <w:r>
        <w:rPr>
          <w:rFonts w:hint="eastAsia"/>
        </w:rPr>
        <w:t>画线管理</w:t>
      </w:r>
    </w:p>
    <w:p>
      <w:pPr>
        <w:pStyle w:val="34"/>
      </w:pPr>
      <w:r>
        <w:rPr>
          <w:rFonts w:hint="eastAsia"/>
        </w:rPr>
        <w:t>隐藏全部画线：alt+F11或者是画线工具面板上的</w:t>
      </w:r>
      <w:r>
        <w:fldChar w:fldCharType="begin"/>
      </w:r>
      <w:r>
        <w:instrText xml:space="preserve"> INCLUDEPICTURE  "https://www.tdx.com.cn/products/helpfile/tdxw/chm/%E7%AC%AC%E4%BA%8C%E7%AB%A0 %E5%8A%9F%E8%83%BD/2-21/6.png" \* MERGEFORMATINET </w:instrText>
      </w:r>
      <w:r>
        <w:fldChar w:fldCharType="separate"/>
      </w:r>
      <w:r>
        <w:fldChar w:fldCharType="begin"/>
      </w:r>
      <w:r>
        <w:instrText xml:space="preserve"> INCLUDEPICTURE  "https://www.tdx.com.cn/products/helpfile/tdxw/chm/%E7%AC%AC%E4%BA%8C%E7%AB%A0 %E5%8A%9F%E8%83%BD/2-21/6.png" \* MERGEFORMATINET </w:instrText>
      </w:r>
      <w:r>
        <w:fldChar w:fldCharType="separate"/>
      </w:r>
      <w:r>
        <w:fldChar w:fldCharType="begin"/>
      </w:r>
      <w:r>
        <w:instrText xml:space="preserve"> INCLUDEPICTURE  "https://www.tdx.com.cn/products/helpfile/tdxw/chm/%E7%AC%AC%E4%BA%8C%E7%AB%A0 %E5%8A%9F%E8%83%BD/2-21/6.png" \* MERGEFORMATINET </w:instrText>
      </w:r>
      <w:r>
        <w:fldChar w:fldCharType="separate"/>
      </w:r>
      <w:r>
        <w:fldChar w:fldCharType="begin"/>
      </w:r>
      <w:r>
        <w:instrText xml:space="preserve"> INCLUDEPICTURE  "https://www.tdx.com.cn/products/helpfile/tdxw/chm/%E7%AC%AC%E4%BA%8C%E7%AB%A0 %E5%8A%9F%E8%83%BD/2-21/6.png" \* MERGEFORMATINET </w:instrText>
      </w:r>
      <w:r>
        <w:fldChar w:fldCharType="separate"/>
      </w:r>
      <w:r>
        <w:drawing>
          <wp:inline distT="0" distB="0" distL="114300" distR="114300">
            <wp:extent cx="266700" cy="247650"/>
            <wp:effectExtent l="0" t="0" r="0" b="0"/>
            <wp:docPr id="186"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86"/>
                    <pic:cNvPicPr>
                      <a:picLocks noChangeAspect="1"/>
                    </pic:cNvPicPr>
                  </pic:nvPicPr>
                  <pic:blipFill>
                    <a:blip r:embed="rId363" r:link="rId364"/>
                    <a:stretch>
                      <a:fillRect/>
                    </a:stretch>
                  </pic:blipFill>
                  <pic:spPr>
                    <a:xfrm>
                      <a:off x="0" y="0"/>
                      <a:ext cx="266700" cy="247650"/>
                    </a:xfrm>
                    <a:prstGeom prst="rect">
                      <a:avLst/>
                    </a:prstGeom>
                    <a:noFill/>
                    <a:ln>
                      <a:noFill/>
                    </a:ln>
                  </pic:spPr>
                </pic:pic>
              </a:graphicData>
            </a:graphic>
          </wp:inline>
        </w:drawing>
      </w:r>
      <w:r>
        <w:fldChar w:fldCharType="end"/>
      </w:r>
      <w:r>
        <w:fldChar w:fldCharType="end"/>
      </w:r>
      <w:r>
        <w:fldChar w:fldCharType="end"/>
      </w:r>
      <w:r>
        <w:fldChar w:fldCharType="end"/>
      </w:r>
      <w:r>
        <w:rPr>
          <w:rFonts w:hint="eastAsia"/>
        </w:rPr>
        <w:t> 当画线太多容易影响某些技术指标输出线的查看到的时候可以把画线隐藏起来。</w:t>
      </w:r>
    </w:p>
    <w:p>
      <w:pPr>
        <w:pStyle w:val="34"/>
      </w:pPr>
      <w:r>
        <w:rPr>
          <w:rFonts w:hint="eastAsia"/>
        </w:rPr>
        <w:t>删除画线：右键“删除画线”，删除不必要或者已经失去意义的画线。右键删除或者选中del删除。</w:t>
      </w:r>
    </w:p>
    <w:p>
      <w:pPr>
        <w:pStyle w:val="34"/>
      </w:pPr>
      <w:r>
        <w:rPr>
          <w:rFonts w:hint="eastAsia"/>
        </w:rPr>
        <w:t>批量删除：画线工具面板选择</w:t>
      </w:r>
      <w:r>
        <w:fldChar w:fldCharType="begin"/>
      </w:r>
      <w:r>
        <w:instrText xml:space="preserve"> INCLUDEPICTURE  "https://www.tdx.com.cn/products/helpfile/tdxw/chm/%E7%AC%AC%E4%BA%8C%E7%AB%A0 %E5%8A%9F%E8%83%BD/2-21/7.png" \* MERGEFORMATINET </w:instrText>
      </w:r>
      <w:r>
        <w:fldChar w:fldCharType="separate"/>
      </w:r>
      <w:r>
        <w:fldChar w:fldCharType="begin"/>
      </w:r>
      <w:r>
        <w:instrText xml:space="preserve"> INCLUDEPICTURE  "https://www.tdx.com.cn/products/helpfile/tdxw/chm/%E7%AC%AC%E4%BA%8C%E7%AB%A0 %E5%8A%9F%E8%83%BD/2-21/7.png" \* MERGEFORMATINET </w:instrText>
      </w:r>
      <w:r>
        <w:fldChar w:fldCharType="separate"/>
      </w:r>
      <w:r>
        <w:fldChar w:fldCharType="begin"/>
      </w:r>
      <w:r>
        <w:instrText xml:space="preserve"> INCLUDEPICTURE  "https://www.tdx.com.cn/products/helpfile/tdxw/chm/%E7%AC%AC%E4%BA%8C%E7%AB%A0 %E5%8A%9F%E8%83%BD/2-21/7.png" \* MERGEFORMATINET </w:instrText>
      </w:r>
      <w:r>
        <w:fldChar w:fldCharType="separate"/>
      </w:r>
      <w:r>
        <w:fldChar w:fldCharType="begin"/>
      </w:r>
      <w:r>
        <w:instrText xml:space="preserve"> INCLUDEPICTURE  "https://www.tdx.com.cn/products/helpfile/tdxw/chm/%E7%AC%AC%E4%BA%8C%E7%AB%A0 %E5%8A%9F%E8%83%BD/2-21/7.png" \* MERGEFORMATINET </w:instrText>
      </w:r>
      <w:r>
        <w:fldChar w:fldCharType="separate"/>
      </w:r>
      <w:r>
        <w:drawing>
          <wp:inline distT="0" distB="0" distL="114300" distR="114300">
            <wp:extent cx="238125" cy="266700"/>
            <wp:effectExtent l="0" t="0" r="9525" b="0"/>
            <wp:docPr id="187"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87"/>
                    <pic:cNvPicPr>
                      <a:picLocks noChangeAspect="1"/>
                    </pic:cNvPicPr>
                  </pic:nvPicPr>
                  <pic:blipFill>
                    <a:blip r:embed="rId365" r:link="rId366"/>
                    <a:stretch>
                      <a:fillRect/>
                    </a:stretch>
                  </pic:blipFill>
                  <pic:spPr>
                    <a:xfrm>
                      <a:off x="0" y="0"/>
                      <a:ext cx="238125" cy="266700"/>
                    </a:xfrm>
                    <a:prstGeom prst="rect">
                      <a:avLst/>
                    </a:prstGeom>
                    <a:noFill/>
                    <a:ln>
                      <a:noFill/>
                    </a:ln>
                  </pic:spPr>
                </pic:pic>
              </a:graphicData>
            </a:graphic>
          </wp:inline>
        </w:drawing>
      </w:r>
      <w:r>
        <w:fldChar w:fldCharType="end"/>
      </w:r>
      <w:r>
        <w:fldChar w:fldCharType="end"/>
      </w:r>
      <w:r>
        <w:fldChar w:fldCharType="end"/>
      </w:r>
      <w:r>
        <w:fldChar w:fldCharType="end"/>
      </w:r>
      <w:r>
        <w:rPr>
          <w:rFonts w:hint="eastAsia"/>
        </w:rPr>
        <w:t>画线浏览图标，然后用ctrl选中多个要删除的画线，点击“删除选中”。</w:t>
      </w:r>
    </w:p>
    <w:p>
      <w:pPr>
        <w:pStyle w:val="34"/>
      </w:pPr>
      <w:r>
        <w:rPr>
          <w:rFonts w:hint="eastAsia"/>
        </w:rPr>
        <w:t>编辑修改画线：右键“编辑画线”设置线条的粗细颜色以及画线的延伸方式等。</w:t>
      </w:r>
    </w:p>
    <w:p>
      <w:pPr>
        <w:pStyle w:val="34"/>
      </w:pPr>
      <w:r>
        <w:rPr>
          <w:rFonts w:hint="eastAsia"/>
        </w:rPr>
        <w:t>锁定画线：右键“锁定画线”一些重要画线为了防止在k线上操作不小心移动了可以画完就将画线锁定。</w:t>
      </w:r>
    </w:p>
    <w:p>
      <w:pPr>
        <w:pStyle w:val="34"/>
      </w:pPr>
      <w:r>
        <w:rPr>
          <w:rFonts w:hint="eastAsia"/>
        </w:rPr>
        <w:t>导入导出画线：画线工具面板选择</w:t>
      </w:r>
      <w:r>
        <w:fldChar w:fldCharType="begin"/>
      </w:r>
      <w:r>
        <w:instrText xml:space="preserve"> INCLUDEPICTURE  "https://www.tdx.com.cn/products/helpfile/tdxw/chm/%E7%AC%AC%E4%BA%8C%E7%AB%A0 %E5%8A%9F%E8%83%BD/2-21/8.png" \* MERGEFORMATINET </w:instrText>
      </w:r>
      <w:r>
        <w:fldChar w:fldCharType="separate"/>
      </w:r>
      <w:r>
        <w:fldChar w:fldCharType="begin"/>
      </w:r>
      <w:r>
        <w:instrText xml:space="preserve"> INCLUDEPICTURE  "https://www.tdx.com.cn/products/helpfile/tdxw/chm/%E7%AC%AC%E4%BA%8C%E7%AB%A0 %E5%8A%9F%E8%83%BD/2-21/8.png" \* MERGEFORMATINET </w:instrText>
      </w:r>
      <w:r>
        <w:fldChar w:fldCharType="separate"/>
      </w:r>
      <w:r>
        <w:fldChar w:fldCharType="begin"/>
      </w:r>
      <w:r>
        <w:instrText xml:space="preserve"> INCLUDEPICTURE  "https://www.tdx.com.cn/products/helpfile/tdxw/chm/%E7%AC%AC%E4%BA%8C%E7%AB%A0 %E5%8A%9F%E8%83%BD/2-21/8.png" \* MERGEFORMATINET </w:instrText>
      </w:r>
      <w:r>
        <w:fldChar w:fldCharType="separate"/>
      </w:r>
      <w:r>
        <w:fldChar w:fldCharType="begin"/>
      </w:r>
      <w:r>
        <w:instrText xml:space="preserve"> INCLUDEPICTURE  "https://www.tdx.com.cn/products/helpfile/tdxw/chm/%E7%AC%AC%E4%BA%8C%E7%AB%A0 %E5%8A%9F%E8%83%BD/2-21/8.png" \* MERGEFORMATINET </w:instrText>
      </w:r>
      <w:r>
        <w:fldChar w:fldCharType="separate"/>
      </w:r>
      <w:r>
        <w:drawing>
          <wp:inline distT="0" distB="0" distL="114300" distR="114300">
            <wp:extent cx="209550" cy="276225"/>
            <wp:effectExtent l="0" t="0" r="0" b="9525"/>
            <wp:docPr id="188"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88"/>
                    <pic:cNvPicPr>
                      <a:picLocks noChangeAspect="1"/>
                    </pic:cNvPicPr>
                  </pic:nvPicPr>
                  <pic:blipFill>
                    <a:blip r:embed="rId367" r:link="rId368"/>
                    <a:stretch>
                      <a:fillRect/>
                    </a:stretch>
                  </pic:blipFill>
                  <pic:spPr>
                    <a:xfrm>
                      <a:off x="0" y="0"/>
                      <a:ext cx="209550" cy="276225"/>
                    </a:xfrm>
                    <a:prstGeom prst="rect">
                      <a:avLst/>
                    </a:prstGeom>
                    <a:noFill/>
                    <a:ln>
                      <a:noFill/>
                    </a:ln>
                  </pic:spPr>
                </pic:pic>
              </a:graphicData>
            </a:graphic>
          </wp:inline>
        </w:drawing>
      </w:r>
      <w:r>
        <w:fldChar w:fldCharType="end"/>
      </w:r>
      <w:r>
        <w:fldChar w:fldCharType="end"/>
      </w:r>
      <w:r>
        <w:fldChar w:fldCharType="end"/>
      </w:r>
      <w:r>
        <w:fldChar w:fldCharType="end"/>
      </w:r>
      <w:r>
        <w:rPr>
          <w:rFonts w:hint="eastAsia"/>
        </w:rPr>
        <w:t>画线浏览图标 ，导出或者导入画线。 导出支持多种格式包括文本和excel，导入只能导入由系统导出的eld文件。</w:t>
      </w:r>
    </w:p>
    <w:p>
      <w:pPr>
        <w:pStyle w:val="3"/>
      </w:pPr>
      <w:bookmarkStart w:id="31" w:name="_Toc90646150"/>
      <w:r>
        <w:rPr>
          <w:rFonts w:hint="eastAsia"/>
        </w:rPr>
        <w:t>工具栏</w:t>
      </w:r>
      <w:bookmarkEnd w:id="31"/>
    </w:p>
    <w:p>
      <w:pPr>
        <w:pStyle w:val="34"/>
      </w:pPr>
      <w:r>
        <w:rPr>
          <w:rFonts w:hint="eastAsia"/>
        </w:rPr>
        <w:t>工具栏包括主功能图标按钮和动态图标按钮。工具栏可以任意靠边停靠，不同的窗口下伴随不同的动态图标按钮。工具栏支持提示伴侣特性。</w:t>
      </w:r>
    </w:p>
    <w:p>
      <w:pPr>
        <w:pStyle w:val="34"/>
      </w:pPr>
      <w:r>
        <w:rPr>
          <w:rFonts w:hint="eastAsia"/>
        </w:rPr>
        <w:t>主功能图标按钮： </w:t>
      </w:r>
      <w:r>
        <w:fldChar w:fldCharType="begin"/>
      </w:r>
      <w:r>
        <w:instrText xml:space="preserve"> INCLUDEPICTURE  "https://www.tdx.com.cn/products/helpfile/tdxw/chm/%E7%AC%AC%E4%BA%8C%E7%AB%A0 %E5%8A%9F%E8%83%BD/2-22/1.png" \* MERGEFORMATINET </w:instrText>
      </w:r>
      <w:r>
        <w:fldChar w:fldCharType="separate"/>
      </w:r>
      <w:r>
        <w:fldChar w:fldCharType="begin"/>
      </w:r>
      <w:r>
        <w:instrText xml:space="preserve"> INCLUDEPICTURE  "https://www.tdx.com.cn/products/helpfile/tdxw/chm/%E7%AC%AC%E4%BA%8C%E7%AB%A0 %E5%8A%9F%E8%83%BD/2-22/1.png" \* MERGEFORMATINET </w:instrText>
      </w:r>
      <w:r>
        <w:fldChar w:fldCharType="separate"/>
      </w:r>
      <w:r>
        <w:fldChar w:fldCharType="begin"/>
      </w:r>
      <w:r>
        <w:instrText xml:space="preserve"> INCLUDEPICTURE  "https://www.tdx.com.cn/products/helpfile/tdxw/chm/%E7%AC%AC%E4%BA%8C%E7%AB%A0 %E5%8A%9F%E8%83%BD/2-22/1.png" \* MERGEFORMATINET </w:instrText>
      </w:r>
      <w:r>
        <w:fldChar w:fldCharType="separate"/>
      </w:r>
      <w:r>
        <w:fldChar w:fldCharType="begin"/>
      </w:r>
      <w:r>
        <w:instrText xml:space="preserve"> INCLUDEPICTURE  "https://www.tdx.com.cn/products/helpfile/tdxw/chm/%E7%AC%AC%E4%BA%8C%E7%AB%A0 %E5%8A%9F%E8%83%BD/2-22/1.png" \* MERGEFORMATINET </w:instrText>
      </w:r>
      <w:r>
        <w:fldChar w:fldCharType="separate"/>
      </w:r>
      <w:r>
        <w:drawing>
          <wp:inline distT="0" distB="0" distL="114300" distR="114300">
            <wp:extent cx="247650" cy="3114675"/>
            <wp:effectExtent l="0" t="0" r="0" b="9525"/>
            <wp:docPr id="189"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89"/>
                    <pic:cNvPicPr>
                      <a:picLocks noChangeAspect="1"/>
                    </pic:cNvPicPr>
                  </pic:nvPicPr>
                  <pic:blipFill>
                    <a:blip r:embed="rId369" r:link="rId370"/>
                    <a:stretch>
                      <a:fillRect/>
                    </a:stretch>
                  </pic:blipFill>
                  <pic:spPr>
                    <a:xfrm>
                      <a:off x="0" y="0"/>
                      <a:ext cx="247650" cy="3114675"/>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依次为：最近定制版面、行情报价、即时分析、技术分析、报表分析、基本资料、财经资讯、自选股、交易委托、公式管理器、通达信选股器。</w:t>
      </w:r>
    </w:p>
    <w:p>
      <w:pPr>
        <w:pStyle w:val="34"/>
      </w:pPr>
      <w:r>
        <w:rPr>
          <w:rFonts w:hint="eastAsia"/>
        </w:rPr>
        <w:t>行情窗口 </w:t>
      </w:r>
      <w:r>
        <w:fldChar w:fldCharType="begin"/>
      </w:r>
      <w:r>
        <w:instrText xml:space="preserve"> INCLUDEPICTURE  "https://www.tdx.com.cn/products/helpfile/tdxw/chm/%E7%AC%AC%E4%BA%8C%E7%AB%A0 %E5%8A%9F%E8%83%BD/2-22/2.png" \* MERGEFORMATINET </w:instrText>
      </w:r>
      <w:r>
        <w:fldChar w:fldCharType="separate"/>
      </w:r>
      <w:r>
        <w:fldChar w:fldCharType="begin"/>
      </w:r>
      <w:r>
        <w:instrText xml:space="preserve"> INCLUDEPICTURE  "https://www.tdx.com.cn/products/helpfile/tdxw/chm/%E7%AC%AC%E4%BA%8C%E7%AB%A0 %E5%8A%9F%E8%83%BD/2-22/2.png" \* MERGEFORMATINET </w:instrText>
      </w:r>
      <w:r>
        <w:fldChar w:fldCharType="separate"/>
      </w:r>
      <w:r>
        <w:fldChar w:fldCharType="begin"/>
      </w:r>
      <w:r>
        <w:instrText xml:space="preserve"> INCLUDEPICTURE  "https://www.tdx.com.cn/products/helpfile/tdxw/chm/%E7%AC%AC%E4%BA%8C%E7%AB%A0 %E5%8A%9F%E8%83%BD/2-22/2.png" \* MERGEFORMATINET </w:instrText>
      </w:r>
      <w:r>
        <w:fldChar w:fldCharType="separate"/>
      </w:r>
      <w:r>
        <w:fldChar w:fldCharType="begin"/>
      </w:r>
      <w:r>
        <w:instrText xml:space="preserve"> INCLUDEPICTURE  "https://www.tdx.com.cn/products/helpfile/tdxw/chm/%E7%AC%AC%E4%BA%8C%E7%AB%A0 %E5%8A%9F%E8%83%BD/2-22/2.png" \* MERGEFORMATINET </w:instrText>
      </w:r>
      <w:r>
        <w:fldChar w:fldCharType="separate"/>
      </w:r>
      <w:r>
        <w:drawing>
          <wp:inline distT="0" distB="0" distL="114300" distR="114300">
            <wp:extent cx="276225" cy="1333500"/>
            <wp:effectExtent l="0" t="0" r="9525" b="0"/>
            <wp:docPr id="190"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pic:cNvPicPr>
                      <a:picLocks noChangeAspect="1"/>
                    </pic:cNvPicPr>
                  </pic:nvPicPr>
                  <pic:blipFill>
                    <a:blip r:embed="rId371" r:link="rId372"/>
                    <a:stretch>
                      <a:fillRect/>
                    </a:stretch>
                  </pic:blipFill>
                  <pic:spPr>
                    <a:xfrm>
                      <a:off x="0" y="0"/>
                      <a:ext cx="276225" cy="1333500"/>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依次为：品种分类、栏目排名、综合排名、加入到板块 、盘后数据下载、系统设置</w:t>
      </w:r>
    </w:p>
    <w:p>
      <w:pPr>
        <w:pStyle w:val="34"/>
      </w:pPr>
      <w:r>
        <w:rPr>
          <w:rFonts w:hint="eastAsia"/>
        </w:rPr>
        <w:t>组合窗口--分时图 </w:t>
      </w:r>
      <w:r>
        <w:fldChar w:fldCharType="begin"/>
      </w:r>
      <w:r>
        <w:instrText xml:space="preserve"> INCLUDEPICTURE  "https://www.tdx.com.cn/products/helpfile/tdxw/chm/%E7%AC%AC%E4%BA%8C%E7%AB%A0 %E5%8A%9F%E8%83%BD/2-22/3.png" \* MERGEFORMATINET </w:instrText>
      </w:r>
      <w:r>
        <w:fldChar w:fldCharType="separate"/>
      </w:r>
      <w:r>
        <w:fldChar w:fldCharType="begin"/>
      </w:r>
      <w:r>
        <w:instrText xml:space="preserve"> INCLUDEPICTURE  "https://www.tdx.com.cn/products/helpfile/tdxw/chm/%E7%AC%AC%E4%BA%8C%E7%AB%A0 %E5%8A%9F%E8%83%BD/2-22/3.png" \* MERGEFORMATINET </w:instrText>
      </w:r>
      <w:r>
        <w:fldChar w:fldCharType="separate"/>
      </w:r>
      <w:r>
        <w:fldChar w:fldCharType="begin"/>
      </w:r>
      <w:r>
        <w:instrText xml:space="preserve"> INCLUDEPICTURE  "https://www.tdx.com.cn/products/helpfile/tdxw/chm/%E7%AC%AC%E4%BA%8C%E7%AB%A0 %E5%8A%9F%E8%83%BD/2-22/3.png" \* MERGEFORMATINET </w:instrText>
      </w:r>
      <w:r>
        <w:fldChar w:fldCharType="separate"/>
      </w:r>
      <w:r>
        <w:fldChar w:fldCharType="begin"/>
      </w:r>
      <w:r>
        <w:instrText xml:space="preserve"> INCLUDEPICTURE  "https://www.tdx.com.cn/products/helpfile/tdxw/chm/%E7%AC%AC%E4%BA%8C%E7%AB%A0 %E5%8A%9F%E8%83%BD/2-22/3.png" \* MERGEFORMATINET </w:instrText>
      </w:r>
      <w:r>
        <w:fldChar w:fldCharType="separate"/>
      </w:r>
      <w:r>
        <w:drawing>
          <wp:inline distT="0" distB="0" distL="114300" distR="114300">
            <wp:extent cx="209550" cy="3209925"/>
            <wp:effectExtent l="0" t="0" r="0" b="9525"/>
            <wp:docPr id="191"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91"/>
                    <pic:cNvPicPr>
                      <a:picLocks noChangeAspect="1"/>
                    </pic:cNvPicPr>
                  </pic:nvPicPr>
                  <pic:blipFill>
                    <a:blip r:embed="rId373" r:link="rId374"/>
                    <a:stretch>
                      <a:fillRect/>
                    </a:stretch>
                  </pic:blipFill>
                  <pic:spPr>
                    <a:xfrm>
                      <a:off x="0" y="0"/>
                      <a:ext cx="209550" cy="3209925"/>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依次为：多股同列、切换走势模式、多日分时图、10%分时线坐标、画线工具、分时图/分析图切换、周期</w:t>
      </w:r>
    </w:p>
    <w:p>
      <w:pPr>
        <w:pStyle w:val="34"/>
      </w:pPr>
      <w:r>
        <w:rPr>
          <w:rFonts w:hint="eastAsia"/>
        </w:rPr>
        <w:t>组合窗口--分析图 </w:t>
      </w:r>
      <w:r>
        <w:fldChar w:fldCharType="begin"/>
      </w:r>
      <w:r>
        <w:instrText xml:space="preserve"> INCLUDEPICTURE  "https://www.tdx.com.cn/products/helpfile/tdxw/chm/%E7%AC%AC%E4%BA%8C%E7%AB%A0 %E5%8A%9F%E8%83%BD/2-22/4.png" \* MERGEFORMATINET </w:instrText>
      </w:r>
      <w:r>
        <w:fldChar w:fldCharType="separate"/>
      </w:r>
      <w:r>
        <w:fldChar w:fldCharType="begin"/>
      </w:r>
      <w:r>
        <w:instrText xml:space="preserve"> INCLUDEPICTURE  "https://www.tdx.com.cn/products/helpfile/tdxw/chm/%E7%AC%AC%E4%BA%8C%E7%AB%A0 %E5%8A%9F%E8%83%BD/2-22/4.png" \* MERGEFORMATINET </w:instrText>
      </w:r>
      <w:r>
        <w:fldChar w:fldCharType="separate"/>
      </w:r>
      <w:r>
        <w:fldChar w:fldCharType="begin"/>
      </w:r>
      <w:r>
        <w:instrText xml:space="preserve"> INCLUDEPICTURE  "https://www.tdx.com.cn/products/helpfile/tdxw/chm/%E7%AC%AC%E4%BA%8C%E7%AB%A0 %E5%8A%9F%E8%83%BD/2-22/4.png" \* MERGEFORMATINET </w:instrText>
      </w:r>
      <w:r>
        <w:fldChar w:fldCharType="separate"/>
      </w:r>
      <w:r>
        <w:fldChar w:fldCharType="begin"/>
      </w:r>
      <w:r>
        <w:instrText xml:space="preserve"> INCLUDEPICTURE  "https://www.tdx.com.cn/products/helpfile/tdxw/chm/%E7%AC%AC%E4%BA%8C%E7%AB%A0 %E5%8A%9F%E8%83%BD/2-22/4.png" \* MERGEFORMATINET </w:instrText>
      </w:r>
      <w:r>
        <w:fldChar w:fldCharType="separate"/>
      </w:r>
      <w:r>
        <w:drawing>
          <wp:inline distT="0" distB="0" distL="114300" distR="114300">
            <wp:extent cx="238125" cy="3181350"/>
            <wp:effectExtent l="0" t="0" r="9525" b="0"/>
            <wp:docPr id="192"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pic:cNvPicPr>
                      <a:picLocks noChangeAspect="1"/>
                    </pic:cNvPicPr>
                  </pic:nvPicPr>
                  <pic:blipFill>
                    <a:blip r:embed="rId375" r:link="rId376"/>
                    <a:stretch>
                      <a:fillRect/>
                    </a:stretch>
                  </pic:blipFill>
                  <pic:spPr>
                    <a:xfrm>
                      <a:off x="0" y="0"/>
                      <a:ext cx="238125" cy="3181350"/>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依次为：多股同列、选择指标、复权处理、平移画面、画线工具、周期</w:t>
      </w:r>
    </w:p>
    <w:p>
      <w:pPr>
        <w:pStyle w:val="34"/>
      </w:pPr>
      <w:r>
        <w:rPr>
          <w:rFonts w:hint="eastAsia"/>
        </w:rPr>
        <w:t>报表分析窗口 </w:t>
      </w:r>
      <w:r>
        <w:fldChar w:fldCharType="begin"/>
      </w:r>
      <w:r>
        <w:instrText xml:space="preserve"> INCLUDEPICTURE  "https://www.tdx.com.cn/products/helpfile/tdxw/chm/%E7%AC%AC%E4%BA%8C%E7%AB%A0 %E5%8A%9F%E8%83%BD/2-22/5.png" \* MERGEFORMATINET </w:instrText>
      </w:r>
      <w:r>
        <w:fldChar w:fldCharType="separate"/>
      </w:r>
      <w:r>
        <w:fldChar w:fldCharType="begin"/>
      </w:r>
      <w:r>
        <w:instrText xml:space="preserve"> INCLUDEPICTURE  "https://www.tdx.com.cn/products/helpfile/tdxw/chm/%E7%AC%AC%E4%BA%8C%E7%AB%A0 %E5%8A%9F%E8%83%BD/2-22/5.png" \* MERGEFORMATINET </w:instrText>
      </w:r>
      <w:r>
        <w:fldChar w:fldCharType="separate"/>
      </w:r>
      <w:r>
        <w:fldChar w:fldCharType="begin"/>
      </w:r>
      <w:r>
        <w:instrText xml:space="preserve"> INCLUDEPICTURE  "https://www.tdx.com.cn/products/helpfile/tdxw/chm/%E7%AC%AC%E4%BA%8C%E7%AB%A0 %E5%8A%9F%E8%83%BD/2-22/5.png" \* MERGEFORMATINET </w:instrText>
      </w:r>
      <w:r>
        <w:fldChar w:fldCharType="separate"/>
      </w:r>
      <w:r>
        <w:fldChar w:fldCharType="begin"/>
      </w:r>
      <w:r>
        <w:instrText xml:space="preserve"> INCLUDEPICTURE  "https://www.tdx.com.cn/products/helpfile/tdxw/chm/%E7%AC%AC%E4%BA%8C%E7%AB%A0 %E5%8A%9F%E8%83%BD/2-22/5.png" \* MERGEFORMATINET </w:instrText>
      </w:r>
      <w:r>
        <w:fldChar w:fldCharType="separate"/>
      </w:r>
      <w:r>
        <w:drawing>
          <wp:inline distT="0" distB="0" distL="114300" distR="114300">
            <wp:extent cx="238125" cy="971550"/>
            <wp:effectExtent l="0" t="0" r="9525" b="0"/>
            <wp:docPr id="193"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pic:cNvPicPr>
                      <a:picLocks noChangeAspect="1"/>
                    </pic:cNvPicPr>
                  </pic:nvPicPr>
                  <pic:blipFill>
                    <a:blip r:embed="rId377" r:link="rId378"/>
                    <a:stretch>
                      <a:fillRect/>
                    </a:stretch>
                  </pic:blipFill>
                  <pic:spPr>
                    <a:xfrm>
                      <a:off x="0" y="0"/>
                      <a:ext cx="238125" cy="971550"/>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p>
    <w:p>
      <w:pPr>
        <w:pStyle w:val="34"/>
      </w:pPr>
      <w:r>
        <w:rPr>
          <w:rFonts w:hint="eastAsia"/>
        </w:rPr>
        <w:t>依次为：板块分析、历史行情指标排序、 强弱分析、区间分析</w:t>
      </w:r>
    </w:p>
    <w:p>
      <w:pPr>
        <w:pStyle w:val="3"/>
      </w:pPr>
      <w:bookmarkStart w:id="32" w:name="_Toc90646151"/>
      <w:r>
        <w:rPr>
          <w:rFonts w:hint="eastAsia"/>
        </w:rPr>
        <w:t>状态栏</w:t>
      </w:r>
      <w:bookmarkEnd w:id="32"/>
    </w:p>
    <w:p>
      <w:pPr>
        <w:pStyle w:val="34"/>
      </w:pPr>
      <w:r>
        <w:rPr>
          <w:rFonts w:hint="eastAsia"/>
        </w:rPr>
        <w:t>状态栏位于系统窗口的最下面，由七个方格组成：</w:t>
      </w:r>
    </w:p>
    <w:p>
      <w:pPr>
        <w:pStyle w:val="34"/>
      </w:pPr>
      <w:r>
        <w:rPr>
          <w:rFonts w:hint="eastAsia"/>
        </w:rPr>
        <w:t>【沪指数栏】 </w:t>
      </w:r>
    </w:p>
    <w:p>
      <w:pPr>
        <w:pStyle w:val="34"/>
      </w:pPr>
      <w:r>
        <w:rPr>
          <w:rFonts w:hint="eastAsia"/>
        </w:rPr>
        <w:t>沪市的上证指数(999999)的现价，涨跌，成交金额。在任何窗口下，鼠标双击此栏，均可切换到上证指数的分时图画面（若已打开组合窗口，将替代原窗口显示的个股或指数信息）。 </w:t>
      </w:r>
    </w:p>
    <w:p>
      <w:pPr>
        <w:pStyle w:val="34"/>
      </w:pPr>
      <w:r>
        <w:rPr>
          <w:rFonts w:hint="eastAsia"/>
        </w:rPr>
        <w:t>【深指数栏】 </w:t>
      </w:r>
    </w:p>
    <w:p>
      <w:pPr>
        <w:pStyle w:val="34"/>
      </w:pPr>
      <w:r>
        <w:rPr>
          <w:rFonts w:hint="eastAsia"/>
        </w:rPr>
        <w:t>深市的深圳成指(399001)的现价，涨跌，成交金额。在任何窗口下，鼠标双击此栏，均可切换到深圳综指的分时图画面（若已打开组合窗口，将替代原窗口显示的个股或指数信息）。 </w:t>
      </w:r>
    </w:p>
    <w:p>
      <w:pPr>
        <w:pStyle w:val="34"/>
      </w:pPr>
      <w:r>
        <w:rPr>
          <w:rFonts w:hint="eastAsia"/>
        </w:rPr>
        <w:t>【沪深指栏】 </w:t>
      </w:r>
    </w:p>
    <w:p>
      <w:pPr>
        <w:pStyle w:val="34"/>
      </w:pPr>
      <w:r>
        <w:rPr>
          <w:rFonts w:hint="eastAsia"/>
        </w:rPr>
        <w:t>沪深300（000300)的现价，涨跌，成交金额。在任何窗口下，鼠标双击此栏，均可切换到沪深300的分时图画面（若已打开组合窗口，将替代原窗口显示的个股或指数信息）。 </w:t>
      </w:r>
    </w:p>
    <w:p>
      <w:pPr>
        <w:pStyle w:val="34"/>
      </w:pPr>
      <w:r>
        <w:rPr>
          <w:rFonts w:hint="eastAsia"/>
        </w:rPr>
        <w:t>【多空条栏】 </w:t>
      </w:r>
    </w:p>
    <w:p>
      <w:pPr>
        <w:pStyle w:val="34"/>
      </w:pPr>
      <w:r>
        <w:rPr>
          <w:rFonts w:hint="eastAsia"/>
        </w:rPr>
        <w:t>买卖多空的动态指示。 </w:t>
      </w:r>
    </w:p>
    <w:p>
      <w:pPr>
        <w:pStyle w:val="34"/>
      </w:pPr>
      <w:r>
        <w:rPr>
          <w:rFonts w:hint="eastAsia"/>
        </w:rPr>
        <w:t>【信息栏】 </w:t>
      </w:r>
    </w:p>
    <w:p>
      <w:pPr>
        <w:pStyle w:val="34"/>
      </w:pPr>
      <w:r>
        <w:rPr>
          <w:rFonts w:hint="eastAsia"/>
        </w:rPr>
        <w:t>点击感叹图标，可弹出一对话框。在网络版，显示所用计算机的网络地址和机器编号；在图文版，显示补线信息。 </w:t>
      </w:r>
    </w:p>
    <w:p>
      <w:pPr>
        <w:pStyle w:val="34"/>
      </w:pPr>
      <w:r>
        <w:rPr>
          <w:rFonts w:hint="eastAsia"/>
        </w:rPr>
        <w:t>【警示栏】 </w:t>
      </w:r>
    </w:p>
    <w:p>
      <w:pPr>
        <w:pStyle w:val="34"/>
      </w:pPr>
      <w:r>
        <w:rPr>
          <w:rFonts w:hint="eastAsia"/>
        </w:rPr>
        <w:t>在网络版与图文版，显示警示股票信息。在该栏按鼠标左键，可弹出一窗口，来显示预警列表；在盘后分析版，显示数据的日期，如果是当天日期，则变亮显示。</w:t>
      </w:r>
    </w:p>
    <w:p>
      <w:pPr>
        <w:pStyle w:val="3"/>
      </w:pPr>
      <w:bookmarkStart w:id="33" w:name="_Toc90646152"/>
      <w:r>
        <w:rPr>
          <w:rFonts w:hint="eastAsia"/>
        </w:rPr>
        <w:t>功能树</w:t>
      </w:r>
      <w:bookmarkEnd w:id="33"/>
    </w:p>
    <w:p>
      <w:pPr>
        <w:pStyle w:val="34"/>
      </w:pPr>
      <w:r>
        <w:rPr>
          <w:rFonts w:hint="eastAsia"/>
        </w:rPr>
        <w:t>打开方式：功能——功能树</w:t>
      </w:r>
    </w:p>
    <w:p>
      <w:pPr>
        <w:pStyle w:val="34"/>
      </w:pPr>
      <w:r>
        <w:rPr>
          <w:rFonts w:hint="eastAsia"/>
        </w:rPr>
        <w:t>功能树种类： </w:t>
      </w:r>
    </w:p>
    <w:p>
      <w:pPr>
        <w:pStyle w:val="34"/>
      </w:pPr>
      <w:r>
        <w:rPr>
          <w:rFonts w:hint="eastAsia"/>
        </w:rPr>
        <w:t>功能树 </w:t>
      </w:r>
    </w:p>
    <w:p>
      <w:pPr>
        <w:pStyle w:val="34"/>
      </w:pPr>
      <w:r>
        <w:rPr>
          <w:rFonts w:hint="eastAsia"/>
        </w:rPr>
        <w:t>资讯树 </w:t>
      </w:r>
    </w:p>
    <w:p>
      <w:pPr>
        <w:pStyle w:val="34"/>
      </w:pPr>
      <w:r>
        <w:rPr>
          <w:rFonts w:hint="eastAsia"/>
        </w:rPr>
        <w:t>品种树 </w:t>
      </w:r>
    </w:p>
    <w:p>
      <w:pPr>
        <w:pStyle w:val="34"/>
      </w:pPr>
      <w:r>
        <w:rPr>
          <w:rFonts w:hint="eastAsia"/>
        </w:rPr>
        <w:t>指标树 </w:t>
      </w:r>
    </w:p>
    <w:p>
      <w:pPr>
        <w:pStyle w:val="34"/>
      </w:pPr>
      <w:r>
        <w:fldChar w:fldCharType="begin"/>
      </w:r>
      <w:r>
        <w:instrText xml:space="preserve"> INCLUDEPICTURE  "https://www.tdx.com.cn/products/helpfile/tdxw/chm/%E7%AC%AC%E4%BA%8C%E7%AB%A0 %E5%8A%9F%E8%83%BD/2-24/1.png" \* MERGEFORMATINET </w:instrText>
      </w:r>
      <w:r>
        <w:fldChar w:fldCharType="separate"/>
      </w:r>
      <w:r>
        <w:fldChar w:fldCharType="begin"/>
      </w:r>
      <w:r>
        <w:instrText xml:space="preserve"> INCLUDEPICTURE  "https://www.tdx.com.cn/products/helpfile/tdxw/chm/%E7%AC%AC%E4%BA%8C%E7%AB%A0 %E5%8A%9F%E8%83%BD/2-24/1.png" \* MERGEFORMATINET </w:instrText>
      </w:r>
      <w:r>
        <w:fldChar w:fldCharType="separate"/>
      </w:r>
      <w:r>
        <w:fldChar w:fldCharType="begin"/>
      </w:r>
      <w:r>
        <w:instrText xml:space="preserve"> INCLUDEPICTURE  "https://www.tdx.com.cn/products/helpfile/tdxw/chm/%E7%AC%AC%E4%BA%8C%E7%AB%A0 %E5%8A%9F%E8%83%BD/2-24/1.png" \* MERGEFORMATINET </w:instrText>
      </w:r>
      <w:r>
        <w:fldChar w:fldCharType="separate"/>
      </w:r>
      <w:r>
        <w:fldChar w:fldCharType="begin"/>
      </w:r>
      <w:r>
        <w:instrText xml:space="preserve"> INCLUDEPICTURE  "https://www.tdx.com.cn/products/helpfile/tdxw/chm/%E7%AC%AC%E4%BA%8C%E7%AB%A0 %E5%8A%9F%E8%83%BD/2-24/1.png" \* MERGEFORMATINET </w:instrText>
      </w:r>
      <w:r>
        <w:fldChar w:fldCharType="separate"/>
      </w:r>
      <w:r>
        <w:drawing>
          <wp:inline distT="0" distB="0" distL="114300" distR="114300">
            <wp:extent cx="2019300" cy="3590925"/>
            <wp:effectExtent l="0" t="0" r="0" b="9525"/>
            <wp:docPr id="194"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pic:cNvPicPr>
                      <a:picLocks noChangeAspect="1"/>
                    </pic:cNvPicPr>
                  </pic:nvPicPr>
                  <pic:blipFill>
                    <a:blip r:embed="rId379" r:link="rId380"/>
                    <a:stretch>
                      <a:fillRect/>
                    </a:stretch>
                  </pic:blipFill>
                  <pic:spPr>
                    <a:xfrm>
                      <a:off x="0" y="0"/>
                      <a:ext cx="2019300" cy="3590925"/>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p>
    <w:p>
      <w:pPr>
        <w:pStyle w:val="34"/>
      </w:pPr>
      <w:r>
        <w:rPr>
          <w:rFonts w:hint="eastAsia"/>
        </w:rPr>
        <w:t>功能树 </w:t>
      </w:r>
    </w:p>
    <w:p>
      <w:pPr>
        <w:pStyle w:val="34"/>
      </w:pPr>
      <w:r>
        <w:rPr>
          <w:rFonts w:hint="eastAsia"/>
        </w:rPr>
        <w:t>功能树快捷键表 </w:t>
      </w:r>
    </w:p>
    <w:p>
      <w:pPr>
        <w:pStyle w:val="34"/>
      </w:pPr>
      <w:r>
        <w:rPr>
          <w:rFonts w:hint="eastAsia"/>
        </w:rPr>
        <w:t>功能 快捷键 </w:t>
      </w:r>
    </w:p>
    <w:p>
      <w:pPr>
        <w:pStyle w:val="34"/>
      </w:pPr>
      <w:r>
        <w:rPr>
          <w:rFonts w:hint="eastAsia"/>
        </w:rPr>
        <w:t>定制面板 . 001、.002、 .006多头鹰，势力榜，板块联动</w:t>
      </w:r>
    </w:p>
    <w:p>
      <w:pPr>
        <w:pStyle w:val="34"/>
      </w:pPr>
      <w:r>
        <w:rPr>
          <w:rFonts w:hint="eastAsia"/>
        </w:rPr>
        <w:t>大盘分析 . 101~. 116 </w:t>
      </w:r>
    </w:p>
    <w:p>
      <w:pPr>
        <w:pStyle w:val="34"/>
      </w:pPr>
      <w:r>
        <w:rPr>
          <w:rFonts w:hint="eastAsia"/>
        </w:rPr>
        <w:t>报价分析 . 201~. 226 </w:t>
      </w:r>
    </w:p>
    <w:p>
      <w:pPr>
        <w:pStyle w:val="34"/>
      </w:pPr>
      <w:r>
        <w:rPr>
          <w:rFonts w:hint="eastAsia"/>
        </w:rPr>
        <w:t>技术分析 . 301~. 322 </w:t>
      </w:r>
    </w:p>
    <w:p>
      <w:pPr>
        <w:pStyle w:val="34"/>
      </w:pPr>
      <w:r>
        <w:rPr>
          <w:rFonts w:hint="eastAsia"/>
        </w:rPr>
        <w:t>报表分析 . 400~. 406 </w:t>
      </w:r>
    </w:p>
    <w:p>
      <w:pPr>
        <w:pStyle w:val="34"/>
      </w:pPr>
      <w:r>
        <w:rPr>
          <w:rFonts w:hint="eastAsia"/>
        </w:rPr>
        <w:t>即时分析 . 501~. 508 </w:t>
      </w:r>
    </w:p>
    <w:p>
      <w:pPr>
        <w:pStyle w:val="34"/>
      </w:pPr>
      <w:r>
        <w:rPr>
          <w:rFonts w:hint="eastAsia"/>
        </w:rPr>
        <w:t>基本资料 F10 10 </w:t>
      </w:r>
    </w:p>
    <w:p>
      <w:pPr>
        <w:pStyle w:val="34"/>
      </w:pPr>
    </w:p>
    <w:p>
      <w:pPr>
        <w:pStyle w:val="34"/>
      </w:pPr>
      <w:r>
        <w:rPr>
          <w:rFonts w:hint="eastAsia"/>
        </w:rPr>
        <w:t>公式系统 . 901~. 904 </w:t>
      </w:r>
    </w:p>
    <w:p>
      <w:pPr>
        <w:pStyle w:val="34"/>
      </w:pPr>
      <w:r>
        <w:rPr>
          <w:rFonts w:hint="eastAsia"/>
        </w:rPr>
        <w:t>选股器 . 905~. 909 </w:t>
      </w:r>
    </w:p>
    <w:p>
      <w:pPr>
        <w:pStyle w:val="34"/>
      </w:pPr>
      <w:r>
        <w:rPr>
          <w:rFonts w:hint="eastAsia"/>
        </w:rPr>
        <w:t>预警系统 . 910~. 911 . 918~. 919 </w:t>
      </w:r>
    </w:p>
    <w:p>
      <w:pPr>
        <w:pStyle w:val="34"/>
      </w:pPr>
      <w:r>
        <w:rPr>
          <w:rFonts w:hint="eastAsia"/>
        </w:rPr>
        <w:t>其他功能 . 912~. 915 金融计算器、品种组合计算、金融记事本 </w:t>
      </w:r>
    </w:p>
    <w:p>
      <w:pPr>
        <w:pStyle w:val="34"/>
      </w:pPr>
      <w:r>
        <w:rPr>
          <w:rFonts w:hint="eastAsia"/>
        </w:rPr>
        <w:t>系统工具 . 930~. 934 </w:t>
      </w:r>
    </w:p>
    <w:p>
      <w:pPr>
        <w:pStyle w:val="34"/>
      </w:pPr>
    </w:p>
    <w:p>
      <w:pPr>
        <w:pStyle w:val="34"/>
      </w:pPr>
      <w:r>
        <w:rPr>
          <w:rFonts w:hint="eastAsia"/>
        </w:rPr>
        <w:t>资讯树 </w:t>
      </w:r>
    </w:p>
    <w:p>
      <w:pPr>
        <w:pStyle w:val="34"/>
      </w:pPr>
      <w:r>
        <w:rPr>
          <w:rFonts w:hint="eastAsia"/>
        </w:rPr>
        <w:t>资讯工具：资讯收藏夹、资讯设置、资讯检索、最近检索设置； </w:t>
      </w:r>
    </w:p>
    <w:p>
      <w:pPr>
        <w:pStyle w:val="34"/>
      </w:pPr>
      <w:r>
        <w:rPr>
          <w:rFonts w:hint="eastAsia"/>
        </w:rPr>
        <w:t>财经资讯：特别提示、特别关注、公司公告等资讯内容； </w:t>
      </w:r>
    </w:p>
    <w:p>
      <w:pPr>
        <w:pStyle w:val="34"/>
      </w:pPr>
      <w:r>
        <w:rPr>
          <w:rFonts w:hint="eastAsia"/>
        </w:rPr>
        <w:t>公告消息：服务器通告、信息港资讯。 </w:t>
      </w:r>
    </w:p>
    <w:p>
      <w:pPr>
        <w:pStyle w:val="34"/>
      </w:pPr>
    </w:p>
    <w:p>
      <w:pPr>
        <w:pStyle w:val="34"/>
      </w:pPr>
      <w:r>
        <w:rPr>
          <w:rFonts w:hint="eastAsia"/>
        </w:rPr>
        <w:t>品种树 </w:t>
      </w:r>
    </w:p>
    <w:p>
      <w:pPr>
        <w:pStyle w:val="34"/>
      </w:pPr>
      <w:r>
        <w:rPr>
          <w:rFonts w:hint="eastAsia"/>
        </w:rPr>
        <w:t>分类股票：1～9＋Enter </w:t>
      </w:r>
    </w:p>
    <w:p>
      <w:pPr>
        <w:pStyle w:val="34"/>
      </w:pPr>
      <w:r>
        <w:rPr>
          <w:rFonts w:hint="eastAsia"/>
        </w:rPr>
        <w:t>自选股：06 </w:t>
      </w:r>
    </w:p>
    <w:p>
      <w:pPr>
        <w:pStyle w:val="34"/>
      </w:pPr>
      <w:r>
        <w:rPr>
          <w:rFonts w:hint="eastAsia"/>
        </w:rPr>
        <w:t>地区分类板块：32种 </w:t>
      </w:r>
    </w:p>
    <w:p>
      <w:pPr>
        <w:pStyle w:val="34"/>
      </w:pPr>
      <w:r>
        <w:rPr>
          <w:rFonts w:hint="eastAsia"/>
        </w:rPr>
        <w:t>行业分类板块：52种 </w:t>
      </w:r>
    </w:p>
    <w:p>
      <w:pPr>
        <w:pStyle w:val="34"/>
      </w:pPr>
      <w:r>
        <w:rPr>
          <w:rFonts w:hint="eastAsia"/>
        </w:rPr>
        <w:t>概念类板块：96种 </w:t>
      </w:r>
    </w:p>
    <w:p>
      <w:pPr>
        <w:pStyle w:val="34"/>
      </w:pPr>
      <w:r>
        <w:rPr>
          <w:rFonts w:hint="eastAsia"/>
        </w:rPr>
        <w:t>用户定义板块 </w:t>
      </w:r>
    </w:p>
    <w:p>
      <w:pPr>
        <w:pStyle w:val="34"/>
      </w:pPr>
      <w:r>
        <w:rPr>
          <w:rFonts w:hint="eastAsia"/>
        </w:rPr>
        <w:t>拼音选板块：敲击板块名称拼音首字母组合，如：“STBK”---键盘精灵提示“ＳＴ板块”，回车进入“ST板块”报价表</w:t>
      </w:r>
    </w:p>
    <w:p>
      <w:pPr>
        <w:pStyle w:val="34"/>
      </w:pPr>
      <w:r>
        <w:rPr>
          <w:rFonts w:hint="eastAsia"/>
        </w:rPr>
        <w:t>0＋Enter 功能树 </w:t>
      </w:r>
    </w:p>
    <w:p>
      <w:pPr>
        <w:pStyle w:val="34"/>
      </w:pPr>
      <w:r>
        <w:rPr>
          <w:rFonts w:hint="eastAsia"/>
        </w:rPr>
        <w:t>1＋Enter 上证A股 </w:t>
      </w:r>
    </w:p>
    <w:p>
      <w:pPr>
        <w:pStyle w:val="34"/>
      </w:pPr>
      <w:r>
        <w:rPr>
          <w:rFonts w:hint="eastAsia"/>
        </w:rPr>
        <w:t>2＋Enter 上证B股 </w:t>
      </w:r>
    </w:p>
    <w:p>
      <w:pPr>
        <w:pStyle w:val="34"/>
      </w:pPr>
      <w:r>
        <w:rPr>
          <w:rFonts w:hint="eastAsia"/>
        </w:rPr>
        <w:t>3＋Enter 深圳A股 </w:t>
      </w:r>
    </w:p>
    <w:p>
      <w:pPr>
        <w:pStyle w:val="34"/>
      </w:pPr>
      <w:r>
        <w:rPr>
          <w:rFonts w:hint="eastAsia"/>
        </w:rPr>
        <w:t>4＋Enter 深圳B股 </w:t>
      </w:r>
    </w:p>
    <w:p>
      <w:pPr>
        <w:pStyle w:val="34"/>
      </w:pPr>
      <w:r>
        <w:rPr>
          <w:rFonts w:hint="eastAsia"/>
        </w:rPr>
        <w:t>5＋Enter 上证债券 </w:t>
      </w:r>
    </w:p>
    <w:p>
      <w:pPr>
        <w:pStyle w:val="34"/>
      </w:pPr>
      <w:r>
        <w:rPr>
          <w:rFonts w:hint="eastAsia"/>
        </w:rPr>
        <w:t>6＋Enter 深圳债券 </w:t>
      </w:r>
    </w:p>
    <w:p>
      <w:pPr>
        <w:pStyle w:val="34"/>
      </w:pPr>
      <w:r>
        <w:rPr>
          <w:rFonts w:hint="eastAsia"/>
        </w:rPr>
        <w:t>7＋Enter 深沪A股 </w:t>
      </w:r>
    </w:p>
    <w:p>
      <w:pPr>
        <w:pStyle w:val="34"/>
      </w:pPr>
      <w:r>
        <w:rPr>
          <w:rFonts w:hint="eastAsia"/>
        </w:rPr>
        <w:t>8＋Enter 深沪B股 </w:t>
      </w:r>
    </w:p>
    <w:p>
      <w:pPr>
        <w:pStyle w:val="34"/>
      </w:pPr>
    </w:p>
    <w:p>
      <w:pPr>
        <w:pStyle w:val="34"/>
      </w:pPr>
      <w:r>
        <w:rPr>
          <w:rFonts w:hint="eastAsia"/>
        </w:rPr>
        <w:t>10＋Enter 个股资料 </w:t>
      </w:r>
    </w:p>
    <w:p>
      <w:pPr>
        <w:pStyle w:val="34"/>
      </w:pPr>
      <w:r>
        <w:rPr>
          <w:rFonts w:hint="eastAsia"/>
        </w:rPr>
        <w:t>详情参考《快捷键》 </w:t>
      </w:r>
    </w:p>
    <w:p>
      <w:pPr>
        <w:pStyle w:val="34"/>
      </w:pPr>
    </w:p>
    <w:p>
      <w:pPr>
        <w:pStyle w:val="34"/>
      </w:pPr>
      <w:r>
        <w:rPr>
          <w:rFonts w:hint="eastAsia"/>
        </w:rPr>
        <w:t>指标树 </w:t>
      </w:r>
    </w:p>
    <w:p>
      <w:pPr>
        <w:pStyle w:val="34"/>
      </w:pPr>
      <w:r>
        <w:rPr>
          <w:rFonts w:hint="eastAsia"/>
        </w:rPr>
        <w:t>画线型指标 </w:t>
      </w:r>
    </w:p>
    <w:p>
      <w:pPr>
        <w:pStyle w:val="34"/>
      </w:pPr>
      <w:r>
        <w:rPr>
          <w:rFonts w:hint="eastAsia"/>
        </w:rPr>
        <w:t>大势型： </w:t>
      </w:r>
    </w:p>
    <w:p>
      <w:pPr>
        <w:pStyle w:val="34"/>
      </w:pPr>
      <w:r>
        <w:rPr>
          <w:rFonts w:hint="eastAsia"/>
        </w:rPr>
        <w:t>ABI 绝对广量指标 ；ADL 腾落指标 ；ADR 涨跌比率 ；ARMS 阿姆氏指标 ；BTI 广量冲力指标 ；MCL 麦克连指标；MSI 麦氏综合指标 ；OBOS 炒买炒卖指标 ；STIX 指数平滑广量。 </w:t>
      </w:r>
    </w:p>
    <w:p>
      <w:pPr>
        <w:pStyle w:val="34"/>
      </w:pPr>
      <w:r>
        <w:rPr>
          <w:rFonts w:hint="eastAsia"/>
        </w:rPr>
        <w:t>超买超卖型（KDJ） </w:t>
      </w:r>
    </w:p>
    <w:p>
      <w:pPr>
        <w:pStyle w:val="34"/>
      </w:pPr>
      <w:r>
        <w:rPr>
          <w:rFonts w:hint="eastAsia"/>
        </w:rPr>
        <w:t>趋势型（MACD） </w:t>
      </w:r>
    </w:p>
    <w:p>
      <w:pPr>
        <w:pStyle w:val="34"/>
      </w:pPr>
      <w:r>
        <w:rPr>
          <w:rFonts w:hint="eastAsia"/>
        </w:rPr>
        <w:t>能量型（VR） </w:t>
      </w:r>
    </w:p>
    <w:p>
      <w:pPr>
        <w:pStyle w:val="34"/>
      </w:pPr>
      <w:r>
        <w:rPr>
          <w:rFonts w:hint="eastAsia"/>
        </w:rPr>
        <w:t>成交量型（VOL） </w:t>
      </w:r>
    </w:p>
    <w:p>
      <w:pPr>
        <w:pStyle w:val="34"/>
      </w:pPr>
      <w:r>
        <w:rPr>
          <w:rFonts w:hint="eastAsia"/>
        </w:rPr>
        <w:t>均线型（MA） </w:t>
      </w:r>
    </w:p>
    <w:p>
      <w:pPr>
        <w:pStyle w:val="34"/>
      </w:pPr>
      <w:r>
        <w:rPr>
          <w:rFonts w:hint="eastAsia"/>
        </w:rPr>
        <w:t>图表型（ZX） </w:t>
      </w:r>
    </w:p>
    <w:p>
      <w:pPr>
        <w:pStyle w:val="34"/>
      </w:pPr>
      <w:r>
        <w:rPr>
          <w:rFonts w:hint="eastAsia"/>
        </w:rPr>
        <w:t>路径型（BOLL） </w:t>
      </w:r>
    </w:p>
    <w:p>
      <w:pPr>
        <w:pStyle w:val="34"/>
      </w:pPr>
      <w:r>
        <w:rPr>
          <w:rFonts w:hint="eastAsia"/>
        </w:rPr>
        <w:t>停损型（SAR） </w:t>
      </w:r>
    </w:p>
    <w:p>
      <w:pPr>
        <w:pStyle w:val="34"/>
      </w:pPr>
      <w:r>
        <w:rPr>
          <w:rFonts w:hint="eastAsia"/>
        </w:rPr>
        <w:t>交易型（SC、NDB） </w:t>
      </w:r>
    </w:p>
    <w:p>
      <w:pPr>
        <w:pStyle w:val="34"/>
      </w:pPr>
      <w:r>
        <w:rPr>
          <w:rFonts w:hint="eastAsia"/>
        </w:rPr>
        <w:t>神系（SG-XDT、SG-NDB、SG-SMX、SG-LB、SG-PF） </w:t>
      </w:r>
    </w:p>
    <w:p>
      <w:pPr>
        <w:pStyle w:val="34"/>
      </w:pPr>
      <w:r>
        <w:rPr>
          <w:rFonts w:hint="eastAsia"/>
        </w:rPr>
        <w:t>龙系（ZLJC） </w:t>
      </w:r>
    </w:p>
    <w:p>
      <w:pPr>
        <w:pStyle w:val="34"/>
      </w:pPr>
      <w:r>
        <w:rPr>
          <w:rFonts w:hint="eastAsia"/>
        </w:rPr>
        <w:t>鬼系（CYW） </w:t>
      </w:r>
    </w:p>
    <w:p>
      <w:pPr>
        <w:pStyle w:val="34"/>
      </w:pPr>
      <w:r>
        <w:rPr>
          <w:rFonts w:hint="eastAsia"/>
        </w:rPr>
        <w:t>其他系（XT、XJTJ、ZJL） </w:t>
      </w:r>
    </w:p>
    <w:p>
      <w:pPr>
        <w:pStyle w:val="34"/>
      </w:pPr>
      <w:r>
        <w:rPr>
          <w:rFonts w:hint="eastAsia"/>
        </w:rPr>
        <w:t>特色型（CPBS、WAVE、XLPL、TJCJL） </w:t>
      </w:r>
    </w:p>
    <w:p>
      <w:pPr>
        <w:pStyle w:val="34"/>
      </w:pPr>
    </w:p>
    <w:p>
      <w:pPr>
        <w:pStyle w:val="34"/>
      </w:pPr>
      <w:r>
        <w:rPr>
          <w:rFonts w:hint="eastAsia"/>
        </w:rPr>
        <w:t>特殊画线指标 </w:t>
      </w:r>
    </w:p>
    <w:p>
      <w:pPr>
        <w:pStyle w:val="34"/>
      </w:pPr>
      <w:r>
        <w:rPr>
          <w:rFonts w:hint="eastAsia"/>
        </w:rPr>
        <w:t>等量图（EQUVOL） </w:t>
      </w:r>
    </w:p>
    <w:p>
      <w:pPr>
        <w:pStyle w:val="34"/>
      </w:pPr>
      <w:r>
        <w:rPr>
          <w:rFonts w:hint="eastAsia"/>
        </w:rPr>
        <w:t>等量K线（EQUK） </w:t>
      </w:r>
    </w:p>
    <w:p>
      <w:pPr>
        <w:pStyle w:val="34"/>
      </w:pPr>
      <w:r>
        <w:rPr>
          <w:rFonts w:hint="eastAsia"/>
        </w:rPr>
        <w:t>压缩图（CAN） </w:t>
      </w:r>
    </w:p>
    <w:p>
      <w:pPr>
        <w:pStyle w:val="34"/>
      </w:pPr>
      <w:r>
        <w:rPr>
          <w:rFonts w:hint="eastAsia"/>
        </w:rPr>
        <w:t>圈叉图（OX） </w:t>
      </w:r>
    </w:p>
    <w:p>
      <w:pPr>
        <w:pStyle w:val="34"/>
      </w:pPr>
      <w:r>
        <w:rPr>
          <w:rFonts w:hint="eastAsia"/>
        </w:rPr>
        <w:t>四渡空间（TPO） </w:t>
      </w:r>
    </w:p>
    <w:p>
      <w:pPr>
        <w:pStyle w:val="34"/>
      </w:pPr>
      <w:r>
        <w:rPr>
          <w:rFonts w:hint="eastAsia"/>
        </w:rPr>
        <w:t>宝塔线（TOW） </w:t>
      </w:r>
    </w:p>
    <w:p>
      <w:pPr>
        <w:pStyle w:val="34"/>
      </w:pPr>
    </w:p>
    <w:p>
      <w:pPr>
        <w:pStyle w:val="34"/>
      </w:pPr>
      <w:r>
        <w:rPr>
          <w:rFonts w:hint="eastAsia"/>
        </w:rPr>
        <w:t>交易系统指示 </w:t>
      </w:r>
    </w:p>
    <w:p>
      <w:pPr>
        <w:pStyle w:val="34"/>
      </w:pPr>
      <w:r>
        <w:rPr>
          <w:rFonts w:hint="eastAsia"/>
        </w:rPr>
        <w:t>乖离率（BIAS） </w:t>
      </w:r>
    </w:p>
    <w:p>
      <w:pPr>
        <w:pStyle w:val="34"/>
      </w:pPr>
      <w:r>
        <w:rPr>
          <w:rFonts w:hint="eastAsia"/>
        </w:rPr>
        <w:t>商品路径（CCI） </w:t>
      </w:r>
    </w:p>
    <w:p>
      <w:pPr>
        <w:pStyle w:val="34"/>
      </w:pPr>
      <w:r>
        <w:rPr>
          <w:rFonts w:hint="eastAsia"/>
        </w:rPr>
        <w:t>趋向系统（DMI） </w:t>
      </w:r>
    </w:p>
    <w:p>
      <w:pPr>
        <w:pStyle w:val="34"/>
      </w:pPr>
      <w:r>
        <w:rPr>
          <w:rFonts w:hint="eastAsia"/>
        </w:rPr>
        <w:t>布林带（BOLL） </w:t>
      </w:r>
    </w:p>
    <w:p>
      <w:pPr>
        <w:pStyle w:val="34"/>
      </w:pPr>
      <w:r>
        <w:rPr>
          <w:rFonts w:hint="eastAsia"/>
        </w:rPr>
        <w:t>KDJ </w:t>
      </w:r>
    </w:p>
    <w:p>
      <w:pPr>
        <w:pStyle w:val="34"/>
      </w:pPr>
      <w:r>
        <w:rPr>
          <w:rFonts w:hint="eastAsia"/>
        </w:rPr>
        <w:t>均线（MA） </w:t>
      </w:r>
    </w:p>
    <w:p>
      <w:pPr>
        <w:pStyle w:val="34"/>
      </w:pPr>
      <w:r>
        <w:rPr>
          <w:rFonts w:hint="eastAsia"/>
        </w:rPr>
        <w:t>MACD </w:t>
      </w:r>
    </w:p>
    <w:p>
      <w:pPr>
        <w:pStyle w:val="34"/>
      </w:pPr>
      <w:r>
        <w:rPr>
          <w:rFonts w:hint="eastAsia"/>
        </w:rPr>
        <w:t>心理线（PSY） </w:t>
      </w:r>
    </w:p>
    <w:p>
      <w:pPr>
        <w:pStyle w:val="34"/>
      </w:pPr>
      <w:r>
        <w:rPr>
          <w:rFonts w:hint="eastAsia"/>
        </w:rPr>
        <w:t>相对强弱（RSI） </w:t>
      </w:r>
    </w:p>
    <w:p>
      <w:pPr>
        <w:pStyle w:val="34"/>
      </w:pPr>
      <w:r>
        <w:rPr>
          <w:rFonts w:hint="eastAsia"/>
        </w:rPr>
        <w:t>五彩K线指示 </w:t>
      </w:r>
    </w:p>
    <w:p>
      <w:pPr>
        <w:pStyle w:val="34"/>
      </w:pPr>
      <w:r>
        <w:rPr>
          <w:rFonts w:hint="eastAsia"/>
        </w:rPr>
        <w:t>单日K线形态（十字星） </w:t>
      </w:r>
    </w:p>
    <w:p>
      <w:pPr>
        <w:pStyle w:val="34"/>
      </w:pPr>
      <w:r>
        <w:rPr>
          <w:rFonts w:hint="eastAsia"/>
        </w:rPr>
        <w:t>多日K线形态（平顶） </w:t>
      </w:r>
    </w:p>
    <w:p>
      <w:pPr>
        <w:pStyle w:val="34"/>
      </w:pPr>
      <w:r>
        <w:rPr>
          <w:rFonts w:hint="eastAsia"/>
        </w:rPr>
        <w:t>走势形态（上升三部曲）</w:t>
      </w:r>
    </w:p>
    <w:p>
      <w:pPr>
        <w:pStyle w:val="34"/>
      </w:pPr>
      <w:r>
        <w:rPr>
          <w:rFonts w:hint="eastAsia"/>
        </w:rPr>
        <w:t>五彩K线指示 （CTRL+K）</w:t>
      </w:r>
    </w:p>
    <w:p>
      <w:pPr>
        <w:pStyle w:val="3"/>
      </w:pPr>
      <w:bookmarkStart w:id="34" w:name="_Toc90646153"/>
      <w:r>
        <w:rPr>
          <w:rFonts w:hint="eastAsia"/>
        </w:rPr>
        <w:t>其他功能集合</w:t>
      </w:r>
      <w:bookmarkEnd w:id="34"/>
    </w:p>
    <w:p>
      <w:pPr>
        <w:pStyle w:val="4"/>
      </w:pPr>
      <w:r>
        <w:rPr>
          <w:rFonts w:hint="eastAsia"/>
        </w:rPr>
        <w:t>综合排名</w:t>
      </w:r>
    </w:p>
    <w:p>
      <w:pPr>
        <w:pStyle w:val="34"/>
      </w:pPr>
      <w:r>
        <w:rPr>
          <w:rFonts w:hint="eastAsia"/>
        </w:rPr>
        <w:t>对不同市场前六只股票进行综合排名，显示了涨幅、跌幅、振幅、涨速、跌速、委比前、委比后、总金额等9个指标。方便用户对异动股票的全面关注。</w:t>
      </w:r>
    </w:p>
    <w:p>
      <w:pPr>
        <w:pStyle w:val="34"/>
      </w:pPr>
      <w:r>
        <w:rPr>
          <w:rFonts w:hint="eastAsia"/>
        </w:rPr>
        <w:t>点击工具栏动态图标按钮 </w:t>
      </w:r>
      <w:r>
        <w:fldChar w:fldCharType="begin"/>
      </w:r>
      <w:r>
        <w:instrText xml:space="preserve"> INCLUDEPICTURE  "https://www.tdx.com.cn/products/helpfile/tdxw/chm/%E7%AC%AC%E4%BA%8C%E7%AB%A0 %E5%8A%9F%E8%83%BD/2-25/2-25-1/1.png" \* MERGEFORMATINET </w:instrText>
      </w:r>
      <w:r>
        <w:fldChar w:fldCharType="separate"/>
      </w:r>
      <w:r>
        <w:fldChar w:fldCharType="begin"/>
      </w:r>
      <w:r>
        <w:instrText xml:space="preserve"> INCLUDEPICTURE  "https://www.tdx.com.cn/products/helpfile/tdxw/chm/%E7%AC%AC%E4%BA%8C%E7%AB%A0 %E5%8A%9F%E8%83%BD/2-25/2-25-1/1.png" \* MERGEFORMATINET </w:instrText>
      </w:r>
      <w:r>
        <w:fldChar w:fldCharType="separate"/>
      </w:r>
      <w:r>
        <w:fldChar w:fldCharType="begin"/>
      </w:r>
      <w:r>
        <w:instrText xml:space="preserve"> INCLUDEPICTURE  "https://www.tdx.com.cn/products/helpfile/tdxw/chm/%E7%AC%AC%E4%BA%8C%E7%AB%A0 %E5%8A%9F%E8%83%BD/2-25/2-25-1/1.png" \* MERGEFORMATINET </w:instrText>
      </w:r>
      <w:r>
        <w:fldChar w:fldCharType="separate"/>
      </w:r>
      <w:r>
        <w:fldChar w:fldCharType="begin"/>
      </w:r>
      <w:r>
        <w:instrText xml:space="preserve"> INCLUDEPICTURE  "https://www.tdx.com.cn/products/helpfile/tdxw/chm/%E7%AC%AC%E4%BA%8C%E7%AB%A0 %E5%8A%9F%E8%83%BD/2-25/2-25-1/1.png" \* MERGEFORMATINET </w:instrText>
      </w:r>
      <w:r>
        <w:fldChar w:fldCharType="separate"/>
      </w:r>
      <w:r>
        <w:drawing>
          <wp:inline distT="0" distB="0" distL="114300" distR="114300">
            <wp:extent cx="247650" cy="238125"/>
            <wp:effectExtent l="0" t="0" r="0" b="9525"/>
            <wp:docPr id="195"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pic:cNvPicPr>
                      <a:picLocks noChangeAspect="1"/>
                    </pic:cNvPicPr>
                  </pic:nvPicPr>
                  <pic:blipFill>
                    <a:blip r:embed="rId381" r:link="rId382"/>
                    <a:stretch>
                      <a:fillRect/>
                    </a:stretch>
                  </pic:blipFill>
                  <pic:spPr>
                    <a:xfrm>
                      <a:off x="0" y="0"/>
                      <a:ext cx="247650" cy="238125"/>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键盘精灵敲81~818</w:t>
      </w:r>
    </w:p>
    <w:p>
      <w:pPr>
        <w:pStyle w:val="34"/>
        <w:rPr>
          <w:kern w:val="0"/>
        </w:rPr>
      </w:pPr>
      <w:r>
        <w:rPr>
          <w:rFonts w:hint="eastAsia"/>
        </w:rPr>
        <w:t>点击右键---综合排名</w:t>
      </w:r>
    </w:p>
    <w:p>
      <w:pPr>
        <w:pStyle w:val="34"/>
      </w:pPr>
      <w:r>
        <w:rPr>
          <w:rFonts w:hint="eastAsia"/>
        </w:rPr>
        <w:t>80全部A股综合排名</w:t>
      </w:r>
    </w:p>
    <w:p>
      <w:pPr>
        <w:pStyle w:val="34"/>
      </w:pPr>
      <w:r>
        <w:rPr>
          <w:rFonts w:hint="eastAsia"/>
        </w:rPr>
        <w:t>81上证A股综合排名</w:t>
      </w:r>
    </w:p>
    <w:p>
      <w:pPr>
        <w:pStyle w:val="34"/>
      </w:pPr>
      <w:r>
        <w:rPr>
          <w:rFonts w:hint="eastAsia"/>
        </w:rPr>
        <w:t>82上证B股综合排名</w:t>
      </w:r>
    </w:p>
    <w:p>
      <w:pPr>
        <w:pStyle w:val="34"/>
      </w:pPr>
      <w:r>
        <w:rPr>
          <w:rFonts w:hint="eastAsia"/>
        </w:rPr>
        <w:t>83深证A股综合排名</w:t>
      </w:r>
    </w:p>
    <w:p>
      <w:pPr>
        <w:pStyle w:val="34"/>
      </w:pPr>
      <w:r>
        <w:rPr>
          <w:rFonts w:hint="eastAsia"/>
        </w:rPr>
        <w:t>84深证B股综合排名</w:t>
      </w:r>
    </w:p>
    <w:p>
      <w:pPr>
        <w:pStyle w:val="34"/>
      </w:pPr>
      <w:r>
        <w:rPr>
          <w:rFonts w:hint="eastAsia"/>
        </w:rPr>
        <w:t>85上证债券综合排名</w:t>
      </w:r>
    </w:p>
    <w:p>
      <w:pPr>
        <w:pStyle w:val="34"/>
      </w:pPr>
      <w:r>
        <w:rPr>
          <w:rFonts w:hint="eastAsia"/>
        </w:rPr>
        <w:t>86深证债券综合排名</w:t>
      </w:r>
    </w:p>
    <w:p>
      <w:pPr>
        <w:pStyle w:val="34"/>
      </w:pPr>
      <w:r>
        <w:rPr>
          <w:rFonts w:hint="eastAsia"/>
        </w:rPr>
        <w:t>87全部A股综合排名</w:t>
      </w:r>
    </w:p>
    <w:p>
      <w:pPr>
        <w:pStyle w:val="34"/>
      </w:pPr>
      <w:r>
        <w:rPr>
          <w:rFonts w:hint="eastAsia"/>
        </w:rPr>
        <w:t>88全部B股综合排名</w:t>
      </w:r>
    </w:p>
    <w:p>
      <w:pPr>
        <w:pStyle w:val="34"/>
      </w:pPr>
      <w:r>
        <w:rPr>
          <w:rFonts w:hint="eastAsia"/>
        </w:rPr>
        <w:t>89北证A股综合排名</w:t>
      </w:r>
    </w:p>
    <w:p>
      <w:pPr>
        <w:pStyle w:val="34"/>
      </w:pPr>
      <w:r>
        <w:rPr>
          <w:rFonts w:hint="eastAsia"/>
        </w:rPr>
        <w:t>812创业板综合排名</w:t>
      </w:r>
    </w:p>
    <w:p>
      <w:pPr>
        <w:pStyle w:val="34"/>
      </w:pPr>
      <w:r>
        <w:rPr>
          <w:rFonts w:hint="eastAsia"/>
        </w:rPr>
        <w:t>815板块指数综合排名</w:t>
      </w:r>
    </w:p>
    <w:p>
      <w:pPr>
        <w:pStyle w:val="34"/>
      </w:pPr>
      <w:r>
        <w:rPr>
          <w:rFonts w:hint="eastAsia"/>
        </w:rPr>
        <w:t>816 ETF基金综合排名</w:t>
      </w:r>
    </w:p>
    <w:p>
      <w:pPr>
        <w:pStyle w:val="34"/>
      </w:pPr>
      <w:r>
        <w:rPr>
          <w:rFonts w:hint="eastAsia"/>
        </w:rPr>
        <w:t>817可转债综合排名</w:t>
      </w:r>
    </w:p>
    <w:p>
      <w:pPr>
        <w:pStyle w:val="34"/>
      </w:pPr>
      <w:r>
        <w:rPr>
          <w:rFonts w:hint="eastAsia"/>
        </w:rPr>
        <w:t>818科创板综合排名</w:t>
      </w:r>
    </w:p>
    <w:p>
      <w:pPr>
        <w:pStyle w:val="34"/>
      </w:pPr>
      <w:r>
        <w:rPr>
          <w:rStyle w:val="51"/>
          <w:rFonts w:hint="eastAsia"/>
          <w:szCs w:val="18"/>
        </w:rPr>
        <w:t>为了动态看盘，设计“综合排名窗口”浮在分析图上，可以随意拖动；双击“综合排名窗口”中的任意股票，背景就会显示相关的分时走势图。 </w:t>
      </w:r>
    </w:p>
    <w:p>
      <w:pPr>
        <w:pStyle w:val="34"/>
        <w:rPr>
          <w:szCs w:val="27"/>
        </w:rPr>
      </w:pPr>
      <w:r>
        <w:rPr>
          <w:rStyle w:val="51"/>
          <w:rFonts w:hint="eastAsia"/>
          <w:szCs w:val="18"/>
        </w:rPr>
        <w:t>在综合排名中可以使用右键菜单选择查看不同的市场信息，同时可以“1行4列”“3行3列”的方式选择查看的方式。 </w:t>
      </w:r>
    </w:p>
    <w:p>
      <w:pPr>
        <w:pStyle w:val="34"/>
        <w:ind w:firstLine="540"/>
        <w:rPr>
          <w:sz w:val="27"/>
          <w:szCs w:val="27"/>
        </w:rPr>
      </w:pPr>
      <w:r>
        <w:rPr>
          <w:sz w:val="27"/>
          <w:szCs w:val="27"/>
        </w:rPr>
        <w:fldChar w:fldCharType="begin"/>
      </w:r>
      <w:r>
        <w:rPr>
          <w:sz w:val="27"/>
          <w:szCs w:val="27"/>
        </w:rPr>
        <w:instrText xml:space="preserve"> INCLUDEPICTURE  "https://www.tdx.com.cn/products/helpfile/tdxw/chm/%E7%AC%AC%E4%BA%8C%E7%AB%A0 %E5%8A%9F%E8%83%BD/2-25/2-25-1/2.png" \* MERGEFORMATINET </w:instrText>
      </w:r>
      <w:r>
        <w:rPr>
          <w:sz w:val="27"/>
          <w:szCs w:val="27"/>
        </w:rPr>
        <w:fldChar w:fldCharType="separate"/>
      </w:r>
      <w:r>
        <w:rPr>
          <w:sz w:val="27"/>
          <w:szCs w:val="27"/>
        </w:rPr>
        <w:fldChar w:fldCharType="begin"/>
      </w:r>
      <w:r>
        <w:rPr>
          <w:sz w:val="27"/>
          <w:szCs w:val="27"/>
        </w:rPr>
        <w:instrText xml:space="preserve"> INCLUDEPICTURE  "https://www.tdx.com.cn/products/helpfile/tdxw/chm/%E7%AC%AC%E4%BA%8C%E7%AB%A0 %E5%8A%9F%E8%83%BD/2-25/2-25-1/2.png" \* MERGEFORMATINET </w:instrText>
      </w:r>
      <w:r>
        <w:rPr>
          <w:sz w:val="27"/>
          <w:szCs w:val="27"/>
        </w:rPr>
        <w:fldChar w:fldCharType="separate"/>
      </w:r>
      <w:r>
        <w:rPr>
          <w:sz w:val="27"/>
          <w:szCs w:val="27"/>
        </w:rPr>
        <w:fldChar w:fldCharType="begin"/>
      </w:r>
      <w:r>
        <w:rPr>
          <w:sz w:val="27"/>
          <w:szCs w:val="27"/>
        </w:rPr>
        <w:instrText xml:space="preserve"> INCLUDEPICTURE  "https://www.tdx.com.cn/products/helpfile/tdxw/chm/%E7%AC%AC%E4%BA%8C%E7%AB%A0 %E5%8A%9F%E8%83%BD/2-25/2-25-1/2.png" \* MERGEFORMATINET </w:instrText>
      </w:r>
      <w:r>
        <w:rPr>
          <w:sz w:val="27"/>
          <w:szCs w:val="27"/>
        </w:rPr>
        <w:fldChar w:fldCharType="separate"/>
      </w:r>
      <w:r>
        <w:rPr>
          <w:sz w:val="27"/>
          <w:szCs w:val="27"/>
        </w:rPr>
        <w:fldChar w:fldCharType="begin"/>
      </w:r>
      <w:r>
        <w:rPr>
          <w:sz w:val="27"/>
          <w:szCs w:val="27"/>
        </w:rPr>
        <w:instrText xml:space="preserve"> INCLUDEPICTURE  "https://www.tdx.com.cn/products/helpfile/tdxw/chm/%E7%AC%AC%E4%BA%8C%E7%AB%A0 %E5%8A%9F%E8%83%BD/2-25/2-25-1/2.png" \* MERGEFORMATINET </w:instrText>
      </w:r>
      <w:r>
        <w:rPr>
          <w:sz w:val="27"/>
          <w:szCs w:val="27"/>
        </w:rPr>
        <w:fldChar w:fldCharType="separate"/>
      </w:r>
      <w:r>
        <w:rPr>
          <w:sz w:val="27"/>
          <w:szCs w:val="27"/>
        </w:rPr>
        <w:drawing>
          <wp:inline distT="0" distB="0" distL="114300" distR="114300">
            <wp:extent cx="7972425" cy="3667125"/>
            <wp:effectExtent l="0" t="0" r="9525" b="9525"/>
            <wp:docPr id="196"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pic:cNvPicPr>
                      <a:picLocks noChangeAspect="1"/>
                    </pic:cNvPicPr>
                  </pic:nvPicPr>
                  <pic:blipFill>
                    <a:blip r:embed="rId383" r:link="rId384"/>
                    <a:stretch>
                      <a:fillRect/>
                    </a:stretch>
                  </pic:blipFill>
                  <pic:spPr>
                    <a:xfrm>
                      <a:off x="0" y="0"/>
                      <a:ext cx="7972425" cy="3667125"/>
                    </a:xfrm>
                    <a:prstGeom prst="rect">
                      <a:avLst/>
                    </a:prstGeom>
                    <a:noFill/>
                    <a:ln>
                      <a:noFill/>
                    </a:ln>
                  </pic:spPr>
                </pic:pic>
              </a:graphicData>
            </a:graphic>
          </wp:inline>
        </w:drawing>
      </w:r>
      <w:r>
        <w:rPr>
          <w:sz w:val="27"/>
          <w:szCs w:val="27"/>
        </w:rPr>
        <w:fldChar w:fldCharType="end"/>
      </w:r>
      <w:r>
        <w:rPr>
          <w:sz w:val="27"/>
          <w:szCs w:val="27"/>
        </w:rPr>
        <w:fldChar w:fldCharType="end"/>
      </w:r>
      <w:r>
        <w:rPr>
          <w:sz w:val="27"/>
          <w:szCs w:val="27"/>
        </w:rPr>
        <w:fldChar w:fldCharType="end"/>
      </w:r>
      <w:r>
        <w:rPr>
          <w:sz w:val="27"/>
          <w:szCs w:val="27"/>
        </w:rPr>
        <w:fldChar w:fldCharType="end"/>
      </w:r>
    </w:p>
    <w:p>
      <w:pPr>
        <w:pStyle w:val="34"/>
      </w:pPr>
      <w:r>
        <w:drawing>
          <wp:inline distT="0" distB="0" distL="114300" distR="114300">
            <wp:extent cx="1104900" cy="466725"/>
            <wp:effectExtent l="0" t="0" r="0" b="9525"/>
            <wp:docPr id="197" name="图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7"/>
                    <pic:cNvPicPr>
                      <a:picLocks noChangeAspect="1"/>
                    </pic:cNvPicPr>
                  </pic:nvPicPr>
                  <pic:blipFill>
                    <a:blip r:embed="rId385"/>
                    <a:stretch>
                      <a:fillRect/>
                    </a:stretch>
                  </pic:blipFill>
                  <pic:spPr>
                    <a:xfrm>
                      <a:off x="0" y="0"/>
                      <a:ext cx="1104900" cy="466725"/>
                    </a:xfrm>
                    <a:prstGeom prst="rect">
                      <a:avLst/>
                    </a:prstGeom>
                    <a:noFill/>
                    <a:ln>
                      <a:noFill/>
                    </a:ln>
                  </pic:spPr>
                </pic:pic>
              </a:graphicData>
            </a:graphic>
          </wp:inline>
        </w:drawing>
      </w:r>
      <w:r>
        <w:rPr>
          <w:rFonts w:hint="eastAsia"/>
        </w:rPr>
        <w:t>右上角钉子含义：如图钉住，则输入其他代码查看其他代码时，此综合排名界面仍存在。</w:t>
      </w:r>
    </w:p>
    <w:p>
      <w:pPr>
        <w:pStyle w:val="4"/>
      </w:pPr>
      <w:r>
        <w:rPr>
          <w:rFonts w:hint="eastAsia"/>
        </w:rPr>
        <w:t>分价表</w:t>
      </w:r>
    </w:p>
    <w:p>
      <w:pPr>
        <w:pStyle w:val="34"/>
      </w:pPr>
      <w:r>
        <w:rPr>
          <w:rFonts w:hint="eastAsia"/>
        </w:rPr>
        <w:t>股票在当日所有成交价格的成交量。</w:t>
      </w:r>
    </w:p>
    <w:p>
      <w:pPr>
        <w:pStyle w:val="34"/>
      </w:pPr>
      <w:r>
        <w:rPr>
          <w:rFonts w:hint="eastAsia"/>
        </w:rPr>
        <w:t>快捷方式： </w:t>
      </w:r>
    </w:p>
    <w:p>
      <w:pPr>
        <w:pStyle w:val="34"/>
      </w:pPr>
      <w:r>
        <w:rPr>
          <w:rFonts w:hint="eastAsia"/>
        </w:rPr>
        <w:t>▲ 热键 F2 </w:t>
      </w:r>
    </w:p>
    <w:p>
      <w:pPr>
        <w:pStyle w:val="34"/>
      </w:pPr>
      <w:r>
        <w:rPr>
          <w:rFonts w:hint="eastAsia"/>
        </w:rPr>
        <w:t>▲ 键盘精灵 02或 .503 </w:t>
      </w:r>
    </w:p>
    <w:p>
      <w:pPr>
        <w:pStyle w:val="34"/>
      </w:pPr>
      <w:r>
        <w:rPr>
          <w:rFonts w:hint="eastAsia"/>
        </w:rPr>
        <w:t>▲ 组合窗口功能切换区---价 </w:t>
      </w:r>
    </w:p>
    <w:p>
      <w:pPr>
        <w:pStyle w:val="34"/>
      </w:pPr>
      <w:r>
        <w:rPr>
          <w:rFonts w:hint="eastAsia"/>
        </w:rPr>
        <w:t>展示界面：</w:t>
      </w:r>
    </w:p>
    <w:p>
      <w:pPr>
        <w:pStyle w:val="34"/>
      </w:pPr>
      <w:r>
        <w:fldChar w:fldCharType="begin"/>
      </w:r>
      <w:r>
        <w:instrText xml:space="preserve"> INCLUDEPICTURE  "https://www.tdx.com.cn/products/helpfile/tdxw/chm/%E7%AC%AC%E4%BA%8C%E7%AB%A0 %E5%8A%9F%E8%83%BD/2-25/2-25-2/1.png" \* MERGEFORMATINET </w:instrText>
      </w:r>
      <w:r>
        <w:fldChar w:fldCharType="separate"/>
      </w:r>
      <w:r>
        <w:fldChar w:fldCharType="begin"/>
      </w:r>
      <w:r>
        <w:instrText xml:space="preserve"> INCLUDEPICTURE  "https://www.tdx.com.cn/products/helpfile/tdxw/chm/%E7%AC%AC%E4%BA%8C%E7%AB%A0 %E5%8A%9F%E8%83%BD/2-25/2-25-2/1.png" \* MERGEFORMATINET </w:instrText>
      </w:r>
      <w:r>
        <w:fldChar w:fldCharType="separate"/>
      </w:r>
      <w:r>
        <w:fldChar w:fldCharType="begin"/>
      </w:r>
      <w:r>
        <w:instrText xml:space="preserve"> INCLUDEPICTURE  "https://www.tdx.com.cn/products/helpfile/tdxw/chm/%E7%AC%AC%E4%BA%8C%E7%AB%A0 %E5%8A%9F%E8%83%BD/2-25/2-25-2/1.png" \* MERGEFORMATINET </w:instrText>
      </w:r>
      <w:r>
        <w:fldChar w:fldCharType="separate"/>
      </w:r>
      <w:r>
        <w:fldChar w:fldCharType="begin"/>
      </w:r>
      <w:r>
        <w:instrText xml:space="preserve"> INCLUDEPICTURE  "https://www.tdx.com.cn/products/helpfile/tdxw/chm/%E7%AC%AC%E4%BA%8C%E7%AB%A0 %E5%8A%9F%E8%83%BD/2-25/2-25-2/1.png" \* MERGEFORMATINET </w:instrText>
      </w:r>
      <w:r>
        <w:fldChar w:fldCharType="separate"/>
      </w:r>
      <w:r>
        <w:drawing>
          <wp:inline distT="0" distB="0" distL="114300" distR="114300">
            <wp:extent cx="3829050" cy="4248150"/>
            <wp:effectExtent l="0" t="0" r="0" b="0"/>
            <wp:docPr id="198"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98"/>
                    <pic:cNvPicPr>
                      <a:picLocks noChangeAspect="1"/>
                    </pic:cNvPicPr>
                  </pic:nvPicPr>
                  <pic:blipFill>
                    <a:blip r:embed="rId386" r:link="rId387"/>
                    <a:stretch>
                      <a:fillRect/>
                    </a:stretch>
                  </pic:blipFill>
                  <pic:spPr>
                    <a:xfrm>
                      <a:off x="0" y="0"/>
                      <a:ext cx="3829050" cy="4248150"/>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虚框的宽度表示出现过某个价位的最大成交量； </w:t>
      </w:r>
    </w:p>
    <w:p>
      <w:pPr>
        <w:pStyle w:val="34"/>
      </w:pPr>
      <w:r>
        <w:rPr>
          <w:rFonts w:hint="eastAsia"/>
        </w:rPr>
        <w:t>红色部分表示此价位的主动性买成交量,绿色部分表示主动性卖成交量,灰色部分表示不明成交量； </w:t>
      </w:r>
    </w:p>
    <w:p>
      <w:pPr>
        <w:pStyle w:val="34"/>
      </w:pPr>
      <w:r>
        <w:rPr>
          <w:rFonts w:hint="eastAsia"/>
        </w:rPr>
        <w:t>后面的百分比表示当前价位上的成交量占所有价位整成交量的比率； </w:t>
      </w:r>
    </w:p>
    <w:p>
      <w:pPr>
        <w:pStyle w:val="34"/>
      </w:pPr>
      <w:r>
        <w:rPr>
          <w:rFonts w:hint="eastAsia"/>
        </w:rPr>
        <w:t>后方的竞买率，指当前价位上主动性买量占当前价位总成交量的比率； </w:t>
      </w:r>
    </w:p>
    <w:p>
      <w:pPr>
        <w:pStyle w:val="34"/>
      </w:pPr>
      <w:r>
        <w:rPr>
          <w:rFonts w:hint="eastAsia"/>
        </w:rPr>
        <w:t>灰色菱形表示此价位为当前的现价。</w:t>
      </w:r>
    </w:p>
    <w:p>
      <w:pPr>
        <w:pStyle w:val="34"/>
      </w:pPr>
      <w:r>
        <w:rPr>
          <w:rFonts w:hint="eastAsia"/>
        </w:rPr>
        <w:t>紫色代表成交量排名前三。</w:t>
      </w:r>
    </w:p>
    <w:p>
      <w:pPr>
        <w:pStyle w:val="4"/>
      </w:pPr>
      <w:r>
        <w:rPr>
          <w:rFonts w:hint="eastAsia"/>
        </w:rPr>
        <w:t>分时成交明细</w:t>
      </w:r>
    </w:p>
    <w:p>
      <w:pPr>
        <w:pStyle w:val="34"/>
      </w:pPr>
      <w:r>
        <w:rPr>
          <w:rFonts w:hint="eastAsia"/>
        </w:rPr>
        <w:t>某只股票当日每一分钟的成交明细表。</w:t>
      </w:r>
    </w:p>
    <w:p>
      <w:pPr>
        <w:pStyle w:val="34"/>
      </w:pPr>
      <w:r>
        <w:rPr>
          <w:rFonts w:hint="eastAsia"/>
        </w:rPr>
        <w:t>快捷方式： </w:t>
      </w:r>
    </w:p>
    <w:p>
      <w:pPr>
        <w:pStyle w:val="34"/>
      </w:pPr>
      <w:r>
        <w:rPr>
          <w:rFonts w:hint="eastAsia"/>
        </w:rPr>
        <w:t>▲ 热键 F1 </w:t>
      </w:r>
    </w:p>
    <w:p>
      <w:pPr>
        <w:pStyle w:val="34"/>
      </w:pPr>
      <w:r>
        <w:rPr>
          <w:rFonts w:hint="eastAsia"/>
        </w:rPr>
        <w:t>▲ 键盘精灵 01或 .502 </w:t>
      </w:r>
    </w:p>
    <w:p>
      <w:pPr>
        <w:pStyle w:val="34"/>
      </w:pPr>
      <w:r>
        <w:rPr>
          <w:rFonts w:hint="eastAsia"/>
        </w:rPr>
        <w:t>▲ 组合窗口功能切换区---笔 </w:t>
      </w:r>
    </w:p>
    <w:p>
      <w:pPr>
        <w:pStyle w:val="34"/>
      </w:pPr>
      <w:r>
        <w:rPr>
          <w:rFonts w:hint="eastAsia"/>
        </w:rPr>
        <w:t>展示界面如下：显示的是交易的时间、价格、现量。后面的灰色数字表示此记录由多少笔构成的。</w:t>
      </w:r>
    </w:p>
    <w:p>
      <w:pPr>
        <w:pStyle w:val="34"/>
      </w:pPr>
      <w:r>
        <w:fldChar w:fldCharType="begin"/>
      </w:r>
      <w:r>
        <w:instrText xml:space="preserve"> INCLUDEPICTURE  "https://www.tdx.com.cn/products/helpfile/tdxw/chm/%E7%AC%AC%E4%BA%8C%E7%AB%A0 %E5%8A%9F%E8%83%BD/2-25/2-25-3/1.png" \* MERGEFORMATINET </w:instrText>
      </w:r>
      <w:r>
        <w:fldChar w:fldCharType="separate"/>
      </w:r>
      <w:r>
        <w:fldChar w:fldCharType="begin"/>
      </w:r>
      <w:r>
        <w:instrText xml:space="preserve"> INCLUDEPICTURE  "https://www.tdx.com.cn/products/helpfile/tdxw/chm/%E7%AC%AC%E4%BA%8C%E7%AB%A0 %E5%8A%9F%E8%83%BD/2-25/2-25-3/1.png" \* MERGEFORMATINET </w:instrText>
      </w:r>
      <w:r>
        <w:fldChar w:fldCharType="separate"/>
      </w:r>
      <w:r>
        <w:fldChar w:fldCharType="begin"/>
      </w:r>
      <w:r>
        <w:instrText xml:space="preserve"> INCLUDEPICTURE  "https://www.tdx.com.cn/products/helpfile/tdxw/chm/%E7%AC%AC%E4%BA%8C%E7%AB%A0 %E5%8A%9F%E8%83%BD/2-25/2-25-3/1.png" \* MERGEFORMATINET </w:instrText>
      </w:r>
      <w:r>
        <w:fldChar w:fldCharType="separate"/>
      </w:r>
      <w:r>
        <w:fldChar w:fldCharType="begin"/>
      </w:r>
      <w:r>
        <w:instrText xml:space="preserve"> INCLUDEPICTURE  "https://www.tdx.com.cn/products/helpfile/tdxw/chm/%E7%AC%AC%E4%BA%8C%E7%AB%A0 %E5%8A%9F%E8%83%BD/2-25/2-25-3/1.png" \* MERGEFORMATINET </w:instrText>
      </w:r>
      <w:r>
        <w:fldChar w:fldCharType="separate"/>
      </w:r>
      <w:r>
        <w:drawing>
          <wp:inline distT="0" distB="0" distL="114300" distR="114300">
            <wp:extent cx="7181850" cy="4171950"/>
            <wp:effectExtent l="0" t="0" r="0" b="0"/>
            <wp:docPr id="199"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9"/>
                    <pic:cNvPicPr>
                      <a:picLocks noChangeAspect="1"/>
                    </pic:cNvPicPr>
                  </pic:nvPicPr>
                  <pic:blipFill>
                    <a:blip r:embed="rId388" r:link="rId389"/>
                    <a:stretch>
                      <a:fillRect/>
                    </a:stretch>
                  </pic:blipFill>
                  <pic:spPr>
                    <a:xfrm>
                      <a:off x="0" y="0"/>
                      <a:ext cx="7181850" cy="4171950"/>
                    </a:xfrm>
                    <a:prstGeom prst="rect">
                      <a:avLst/>
                    </a:prstGeom>
                    <a:noFill/>
                    <a:ln>
                      <a:noFill/>
                    </a:ln>
                  </pic:spPr>
                </pic:pic>
              </a:graphicData>
            </a:graphic>
          </wp:inline>
        </w:drawing>
      </w:r>
      <w:r>
        <w:fldChar w:fldCharType="end"/>
      </w:r>
      <w:r>
        <w:fldChar w:fldCharType="end"/>
      </w:r>
      <w:r>
        <w:fldChar w:fldCharType="end"/>
      </w:r>
      <w:r>
        <w:fldChar w:fldCharType="end"/>
      </w:r>
    </w:p>
    <w:p>
      <w:pPr>
        <w:pStyle w:val="4"/>
      </w:pPr>
      <w:r>
        <w:rPr>
          <w:rFonts w:hint="eastAsia"/>
        </w:rPr>
        <w:t>移动筹码分布</w:t>
      </w:r>
    </w:p>
    <w:p>
      <w:pPr>
        <w:pStyle w:val="34"/>
      </w:pPr>
      <w:r>
        <w:rPr>
          <w:rFonts w:hint="eastAsia"/>
        </w:rPr>
        <w:t>快捷方式： </w:t>
      </w:r>
    </w:p>
    <w:p>
      <w:pPr>
        <w:pStyle w:val="34"/>
      </w:pPr>
      <w:r>
        <w:rPr>
          <w:rFonts w:hint="eastAsia"/>
        </w:rPr>
        <w:t>▲ 热键 Ctrl+U </w:t>
      </w:r>
    </w:p>
    <w:p>
      <w:pPr>
        <w:pStyle w:val="34"/>
      </w:pPr>
      <w:r>
        <w:rPr>
          <w:rFonts w:hint="eastAsia"/>
        </w:rPr>
        <w:t>▲ 组合窗口功能切换区---筹</w:t>
      </w:r>
    </w:p>
    <w:p>
      <w:pPr>
        <w:pStyle w:val="34"/>
      </w:pPr>
      <w:r>
        <w:rPr>
          <w:rFonts w:hint="eastAsia"/>
        </w:rPr>
        <w:t>移动筹码分布展示的是不同价位上的投资者持有数量。投资者利用筹码的分散和密集来研判股价的运行趋势。</w:t>
      </w:r>
    </w:p>
    <w:p>
      <w:pPr>
        <w:pStyle w:val="34"/>
      </w:pPr>
      <w:r>
        <w:rPr>
          <w:rFonts w:hint="eastAsia"/>
        </w:rPr>
        <w:t>进入移动成本分布状态后，在K线图的右侧显示若干根水平线，线条的纵轴代表价格，横轴代表持仓筹码在这一价位的比例。随着十字光标的移动，线条长短会变化，指示不同时候的持仓成本分布状况。</w:t>
      </w:r>
    </w:p>
    <w:p>
      <w:pPr>
        <w:pStyle w:val="34"/>
      </w:pPr>
      <w:r>
        <w:fldChar w:fldCharType="begin"/>
      </w:r>
      <w:r>
        <w:instrText xml:space="preserve"> INCLUDEPICTURE  "https://www.tdx.com.cn/products/helpfile/tdxw/chm/%E7%AC%AC%E4%BA%8C%E7%AB%A0 %E5%8A%9F%E8%83%BD/2-25/2-25-5/1.png" \* MERGEFORMATINET </w:instrText>
      </w:r>
      <w:r>
        <w:fldChar w:fldCharType="separate"/>
      </w:r>
      <w:r>
        <w:fldChar w:fldCharType="begin"/>
      </w:r>
      <w:r>
        <w:instrText xml:space="preserve"> INCLUDEPICTURE  "https://www.tdx.com.cn/products/helpfile/tdxw/chm/%E7%AC%AC%E4%BA%8C%E7%AB%A0 %E5%8A%9F%E8%83%BD/2-25/2-25-5/1.png" \* MERGEFORMATINET </w:instrText>
      </w:r>
      <w:r>
        <w:fldChar w:fldCharType="separate"/>
      </w:r>
      <w:r>
        <w:fldChar w:fldCharType="begin"/>
      </w:r>
      <w:r>
        <w:instrText xml:space="preserve"> INCLUDEPICTURE  "https://www.tdx.com.cn/products/helpfile/tdxw/chm/%E7%AC%AC%E4%BA%8C%E7%AB%A0 %E5%8A%9F%E8%83%BD/2-25/2-25-5/1.png" \* MERGEFORMATINET </w:instrText>
      </w:r>
      <w:r>
        <w:fldChar w:fldCharType="separate"/>
      </w:r>
      <w:r>
        <w:fldChar w:fldCharType="begin"/>
      </w:r>
      <w:r>
        <w:instrText xml:space="preserve"> INCLUDEPICTURE  "https://www.tdx.com.cn/products/helpfile/tdxw/chm/%E7%AC%AC%E4%BA%8C%E7%AB%A0 %E5%8A%9F%E8%83%BD/2-25/2-25-5/1.png" \* MERGEFORMATINET </w:instrText>
      </w:r>
      <w:r>
        <w:fldChar w:fldCharType="separate"/>
      </w:r>
      <w:r>
        <w:drawing>
          <wp:inline distT="0" distB="0" distL="114300" distR="114300">
            <wp:extent cx="6953250" cy="4029075"/>
            <wp:effectExtent l="0" t="0" r="0" b="9525"/>
            <wp:docPr id="200"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00"/>
                    <pic:cNvPicPr>
                      <a:picLocks noChangeAspect="1"/>
                    </pic:cNvPicPr>
                  </pic:nvPicPr>
                  <pic:blipFill>
                    <a:blip r:embed="rId390" r:link="rId391"/>
                    <a:stretch>
                      <a:fillRect/>
                    </a:stretch>
                  </pic:blipFill>
                  <pic:spPr>
                    <a:xfrm>
                      <a:off x="0" y="0"/>
                      <a:ext cx="6953250" cy="4029075"/>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成本分布图的设置 </w:t>
      </w:r>
    </w:p>
    <w:p>
      <w:pPr>
        <w:pStyle w:val="34"/>
      </w:pPr>
      <w:r>
        <w:rPr>
          <w:rFonts w:hint="eastAsia"/>
        </w:rPr>
        <w:t>用鼠标点击成本分布图右上角的工具标志，对移动成本分析图的计算方式、成本线划分精度、近期和远期成本分布图显示的内容和颜色等参数进行设置。</w:t>
      </w:r>
    </w:p>
    <w:p>
      <w:pPr>
        <w:pStyle w:val="34"/>
      </w:pPr>
      <w:r>
        <w:fldChar w:fldCharType="begin"/>
      </w:r>
      <w:r>
        <w:instrText xml:space="preserve"> INCLUDEPICTURE  "https://www.tdx.com.cn/products/helpfile/tdxw/chm/%E7%AC%AC%E4%BA%8C%E7%AB%A0 %E5%8A%9F%E8%83%BD/2-25/2-25-5/2.png" \* MERGEFORMATINET </w:instrText>
      </w:r>
      <w:r>
        <w:fldChar w:fldCharType="separate"/>
      </w:r>
      <w:r>
        <w:fldChar w:fldCharType="begin"/>
      </w:r>
      <w:r>
        <w:instrText xml:space="preserve"> INCLUDEPICTURE  "https://www.tdx.com.cn/products/helpfile/tdxw/chm/%E7%AC%AC%E4%BA%8C%E7%AB%A0 %E5%8A%9F%E8%83%BD/2-25/2-25-5/2.png" \* MERGEFORMATINET </w:instrText>
      </w:r>
      <w:r>
        <w:fldChar w:fldCharType="separate"/>
      </w:r>
      <w:r>
        <w:fldChar w:fldCharType="begin"/>
      </w:r>
      <w:r>
        <w:instrText xml:space="preserve"> INCLUDEPICTURE  "https://www.tdx.com.cn/products/helpfile/tdxw/chm/%E7%AC%AC%E4%BA%8C%E7%AB%A0 %E5%8A%9F%E8%83%BD/2-25/2-25-5/2.png" \* MERGEFORMATINET </w:instrText>
      </w:r>
      <w:r>
        <w:fldChar w:fldCharType="separate"/>
      </w:r>
      <w:r>
        <w:fldChar w:fldCharType="begin"/>
      </w:r>
      <w:r>
        <w:instrText xml:space="preserve"> INCLUDEPICTURE  "https://www.tdx.com.cn/products/helpfile/tdxw/chm/%E7%AC%AC%E4%BA%8C%E7%AB%A0 %E5%8A%9F%E8%83%BD/2-25/2-25-5/2.png" \* MERGEFORMATINET </w:instrText>
      </w:r>
      <w:r>
        <w:fldChar w:fldCharType="separate"/>
      </w:r>
      <w:r>
        <w:drawing>
          <wp:inline distT="0" distB="0" distL="114300" distR="114300">
            <wp:extent cx="2733675" cy="2771775"/>
            <wp:effectExtent l="0" t="0" r="9525" b="9525"/>
            <wp:docPr id="201" name="图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01"/>
                    <pic:cNvPicPr>
                      <a:picLocks noChangeAspect="1"/>
                    </pic:cNvPicPr>
                  </pic:nvPicPr>
                  <pic:blipFill>
                    <a:blip r:embed="rId392" r:link="rId393"/>
                    <a:stretch>
                      <a:fillRect/>
                    </a:stretch>
                  </pic:blipFill>
                  <pic:spPr>
                    <a:xfrm>
                      <a:off x="0" y="0"/>
                      <a:ext cx="2733675" cy="2771775"/>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p>
    <w:p>
      <w:pPr>
        <w:pStyle w:val="34"/>
      </w:pPr>
      <w:r>
        <w:rPr>
          <w:rFonts w:hint="eastAsia"/>
        </w:rPr>
        <w:t>平均分布：将当日的换手筹码在当日的最高价和最低价之间平均分布。 </w:t>
      </w:r>
    </w:p>
    <w:p>
      <w:pPr>
        <w:pStyle w:val="34"/>
      </w:pPr>
      <w:r>
        <w:rPr>
          <w:rFonts w:hint="eastAsia"/>
        </w:rPr>
        <w:t>三角形分布：将当日的换手筹码在当日的最高价、最低价和平均价之间三角形分布。 </w:t>
      </w:r>
    </w:p>
    <w:p>
      <w:pPr>
        <w:pStyle w:val="34"/>
      </w:pPr>
      <w:r>
        <w:rPr>
          <w:rFonts w:hint="eastAsia"/>
        </w:rPr>
        <w:t>历史换手衰减系数：它是一个常数参数，我们用来赋予今天换手率，也既是当日被移动的成本的权重。如果今天的换手率是A，衰减系数是n，那么我们计算昨日的被移动的筹码的总量是A*n,如果n取值为1，就是一般意义上理解的今天换手多少，就有多少筹码被从作日的成本分布中被搬移；如果n是2，那么我们就放大了昨日被移动的筹码的总量..这样的目的在于突出“离现在越近的筹码分布其含义越明显”。#n的取值范围是0.1-10，火焰山和活跃度最多可以同时显示6种不同时间的筹码分布。</w:t>
      </w:r>
    </w:p>
    <w:p>
      <w:pPr>
        <w:pStyle w:val="34"/>
      </w:pPr>
      <w:r>
        <w:rPr>
          <w:rFonts w:hint="eastAsia"/>
        </w:rPr>
        <w:t>成本分布图下方的数字意义如下: </w:t>
      </w:r>
      <w:r>
        <w:fldChar w:fldCharType="begin"/>
      </w:r>
      <w:r>
        <w:instrText xml:space="preserve"> INCLUDEPICTURE  "https://www.tdx.com.cn/products/helpfile/tdxw/chm/%E7%AC%AC%E4%BA%8C%E7%AB%A0 %E5%8A%9F%E8%83%BD/2-25/2-25-5/3.png" \* MERGEFORMATINET </w:instrText>
      </w:r>
      <w:r>
        <w:fldChar w:fldCharType="separate"/>
      </w:r>
      <w:r>
        <w:fldChar w:fldCharType="begin"/>
      </w:r>
      <w:r>
        <w:instrText xml:space="preserve"> INCLUDEPICTURE  "https://www.tdx.com.cn/products/helpfile/tdxw/chm/%E7%AC%AC%E4%BA%8C%E7%AB%A0 %E5%8A%9F%E8%83%BD/2-25/2-25-5/3.png" \* MERGEFORMATINET </w:instrText>
      </w:r>
      <w:r>
        <w:fldChar w:fldCharType="separate"/>
      </w:r>
      <w:r>
        <w:fldChar w:fldCharType="begin"/>
      </w:r>
      <w:r>
        <w:instrText xml:space="preserve"> INCLUDEPICTURE  "https://www.tdx.com.cn/products/helpfile/tdxw/chm/%E7%AC%AC%E4%BA%8C%E7%AB%A0 %E5%8A%9F%E8%83%BD/2-25/2-25-5/3.png" \* MERGEFORMATINET </w:instrText>
      </w:r>
      <w:r>
        <w:fldChar w:fldCharType="separate"/>
      </w:r>
      <w:r>
        <w:fldChar w:fldCharType="begin"/>
      </w:r>
      <w:r>
        <w:instrText xml:space="preserve"> INCLUDEPICTURE  "https://www.tdx.com.cn/products/helpfile/tdxw/chm/%E7%AC%AC%E4%BA%8C%E7%AB%A0 %E5%8A%9F%E8%83%BD/2-25/2-25-5/3.png" \* MERGEFORMATINET </w:instrText>
      </w:r>
      <w:r>
        <w:fldChar w:fldCharType="separate"/>
      </w:r>
      <w:r>
        <w:drawing>
          <wp:inline distT="0" distB="0" distL="114300" distR="114300">
            <wp:extent cx="2133600" cy="1181100"/>
            <wp:effectExtent l="0" t="0" r="0" b="0"/>
            <wp:docPr id="202" name="图片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02"/>
                    <pic:cNvPicPr>
                      <a:picLocks noChangeAspect="1"/>
                    </pic:cNvPicPr>
                  </pic:nvPicPr>
                  <pic:blipFill>
                    <a:blip r:embed="rId394" r:link="rId395"/>
                    <a:stretch>
                      <a:fillRect/>
                    </a:stretch>
                  </pic:blipFill>
                  <pic:spPr>
                    <a:xfrm>
                      <a:off x="0" y="0"/>
                      <a:ext cx="2133600" cy="1181100"/>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第一行：日期。 </w:t>
      </w:r>
    </w:p>
    <w:p>
      <w:pPr>
        <w:pStyle w:val="34"/>
      </w:pPr>
      <w:r>
        <w:rPr>
          <w:rFonts w:hint="eastAsia"/>
        </w:rPr>
        <w:t>第二行：获利比例分布。白框表示套牢，黄框表示获利，框中的数字表示以收市价为参考点,在收盘价以下的筹码占总筹码的百分比。 </w:t>
      </w:r>
    </w:p>
    <w:p>
      <w:pPr>
        <w:pStyle w:val="34"/>
      </w:pPr>
      <w:r>
        <w:rPr>
          <w:rFonts w:hint="eastAsia"/>
        </w:rPr>
        <w:t>第三行：**元处获利盘**%。此行数值表示将光标移动至任意位置时，在此位置以下的筹码占总筹码的百分比。在具体运用中,你可以通过移动光标来测量任意价位的获利盘比例，比如将光标与分布图中的蓝色横线重合，其显示的获利盘比例应为50%，显示的价格与“平均成本”一致。 </w:t>
      </w:r>
    </w:p>
    <w:p>
      <w:pPr>
        <w:pStyle w:val="34"/>
      </w:pPr>
      <w:r>
        <w:rPr>
          <w:rFonts w:hint="eastAsia"/>
        </w:rPr>
        <w:t>第四行：平均成本。其含义为将市场所有价位的价格压缩成一个价格时的位置，在平均成本上方有50%的筹码，下方同样有50%的筹码分布。 </w:t>
      </w:r>
    </w:p>
    <w:p>
      <w:pPr>
        <w:pStyle w:val="34"/>
      </w:pPr>
      <w:r>
        <w:rPr>
          <w:rFonts w:hint="eastAsia"/>
        </w:rPr>
        <w:t>第五行：90%成本是获利5%和95%这2个获利比例的价位区间。数值越低，表示筹码越集中；数值越高，筹码越分散。</w:t>
      </w:r>
    </w:p>
    <w:p>
      <w:pPr>
        <w:pStyle w:val="34"/>
      </w:pPr>
      <w:r>
        <w:rPr>
          <w:rFonts w:hint="eastAsia"/>
        </w:rPr>
        <w:t>第六行：70%成本是获利15%和85%这2个获利比例的价位区间。 数值越低，表示筹码越集中；数值越高，筹码越分散。</w:t>
      </w:r>
    </w:p>
    <w:p>
      <w:pPr>
        <w:pStyle w:val="34"/>
      </w:pPr>
      <w:r>
        <w:rPr>
          <w:rFonts w:hint="eastAsia"/>
        </w:rPr>
        <w:t>A黄白线：</w:t>
      </w:r>
      <w:r>
        <w:fldChar w:fldCharType="begin"/>
      </w:r>
      <w:r>
        <w:instrText xml:space="preserve"> INCLUDEPICTURE  "https://www.tdx.com.cn/products/helpfile/tdxw/chm/%E7%AC%AC%E4%BA%8C%E7%AB%A0 %E5%8A%9F%E8%83%BD/2-25/2-25-5/4.png" \* MERGEFORMATINET </w:instrText>
      </w:r>
      <w:r>
        <w:fldChar w:fldCharType="separate"/>
      </w:r>
      <w:r>
        <w:fldChar w:fldCharType="begin"/>
      </w:r>
      <w:r>
        <w:instrText xml:space="preserve"> INCLUDEPICTURE  "https://www.tdx.com.cn/products/helpfile/tdxw/chm/%E7%AC%AC%E4%BA%8C%E7%AB%A0 %E5%8A%9F%E8%83%BD/2-25/2-25-5/4.png" \* MERGEFORMATINET </w:instrText>
      </w:r>
      <w:r>
        <w:fldChar w:fldCharType="separate"/>
      </w:r>
      <w:r>
        <w:fldChar w:fldCharType="begin"/>
      </w:r>
      <w:r>
        <w:instrText xml:space="preserve"> INCLUDEPICTURE  "https://www.tdx.com.cn/products/helpfile/tdxw/chm/%E7%AC%AC%E4%BA%8C%E7%AB%A0 %E5%8A%9F%E8%83%BD/2-25/2-25-5/4.png" \* MERGEFORMATINET </w:instrText>
      </w:r>
      <w:r>
        <w:fldChar w:fldCharType="separate"/>
      </w:r>
      <w:r>
        <w:fldChar w:fldCharType="begin"/>
      </w:r>
      <w:r>
        <w:instrText xml:space="preserve"> INCLUDEPICTURE  "https://www.tdx.com.cn/products/helpfile/tdxw/chm/%E7%AC%AC%E4%BA%8C%E7%AB%A0 %E5%8A%9F%E8%83%BD/2-25/2-25-5/4.png" \* MERGEFORMATINET </w:instrText>
      </w:r>
      <w:r>
        <w:fldChar w:fldCharType="separate"/>
      </w:r>
      <w:r>
        <w:drawing>
          <wp:inline distT="0" distB="0" distL="114300" distR="114300">
            <wp:extent cx="2171700" cy="2562225"/>
            <wp:effectExtent l="0" t="0" r="0" b="9525"/>
            <wp:docPr id="203"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3"/>
                    <pic:cNvPicPr>
                      <a:picLocks noChangeAspect="1"/>
                    </pic:cNvPicPr>
                  </pic:nvPicPr>
                  <pic:blipFill>
                    <a:blip r:embed="rId396" r:link="rId397"/>
                    <a:stretch>
                      <a:fillRect/>
                    </a:stretch>
                  </pic:blipFill>
                  <pic:spPr>
                    <a:xfrm>
                      <a:off x="0" y="0"/>
                      <a:ext cx="2171700" cy="2562225"/>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白线表示在当前股价下处于亏损的筹码；黄线显示当前股价处于盈利状态的筹码；蓝色线表示市场所有持仓筹码的平均成本。</w:t>
      </w:r>
    </w:p>
    <w:p>
      <w:pPr>
        <w:pStyle w:val="34"/>
      </w:pPr>
      <w:r>
        <w:rPr>
          <w:rFonts w:hint="eastAsia"/>
        </w:rPr>
        <w:t>B远期移动成本分布图（也称火焰山移动成本分布）</w:t>
      </w:r>
      <w:r>
        <w:fldChar w:fldCharType="begin"/>
      </w:r>
      <w:r>
        <w:instrText xml:space="preserve"> INCLUDEPICTURE  "https://www.tdx.com.cn/products/helpfile/tdxw/chm/%E7%AC%AC%E4%BA%8C%E7%AB%A0 %E5%8A%9F%E8%83%BD/2-25/2-25-5/5.png" \* MERGEFORMATINET </w:instrText>
      </w:r>
      <w:r>
        <w:fldChar w:fldCharType="separate"/>
      </w:r>
      <w:r>
        <w:fldChar w:fldCharType="begin"/>
      </w:r>
      <w:r>
        <w:instrText xml:space="preserve"> INCLUDEPICTURE  "https://www.tdx.com.cn/products/helpfile/tdxw/chm/%E7%AC%AC%E4%BA%8C%E7%AB%A0 %E5%8A%9F%E8%83%BD/2-25/2-25-5/5.png" \* MERGEFORMATINET </w:instrText>
      </w:r>
      <w:r>
        <w:fldChar w:fldCharType="separate"/>
      </w:r>
      <w:r>
        <w:fldChar w:fldCharType="begin"/>
      </w:r>
      <w:r>
        <w:instrText xml:space="preserve"> INCLUDEPICTURE  "https://www.tdx.com.cn/products/helpfile/tdxw/chm/%E7%AC%AC%E4%BA%8C%E7%AB%A0 %E5%8A%9F%E8%83%BD/2-25/2-25-5/5.png" \* MERGEFORMATINET </w:instrText>
      </w:r>
      <w:r>
        <w:fldChar w:fldCharType="separate"/>
      </w:r>
      <w:r>
        <w:fldChar w:fldCharType="begin"/>
      </w:r>
      <w:r>
        <w:instrText xml:space="preserve"> INCLUDEPICTURE  "https://www.tdx.com.cn/products/helpfile/tdxw/chm/%E7%AC%AC%E4%BA%8C%E7%AB%A0 %E5%8A%9F%E8%83%BD/2-25/2-25-5/5.png" \* MERGEFORMATINET </w:instrText>
      </w:r>
      <w:r>
        <w:fldChar w:fldCharType="separate"/>
      </w:r>
      <w:r>
        <w:drawing>
          <wp:inline distT="0" distB="0" distL="114300" distR="114300">
            <wp:extent cx="2124075" cy="3362325"/>
            <wp:effectExtent l="0" t="0" r="9525" b="9525"/>
            <wp:docPr id="204" name="图片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04"/>
                    <pic:cNvPicPr>
                      <a:picLocks noChangeAspect="1"/>
                    </pic:cNvPicPr>
                  </pic:nvPicPr>
                  <pic:blipFill>
                    <a:blip r:embed="rId398" r:link="rId399"/>
                    <a:stretch>
                      <a:fillRect/>
                    </a:stretch>
                  </pic:blipFill>
                  <pic:spPr>
                    <a:xfrm>
                      <a:off x="0" y="0"/>
                      <a:ext cx="2124075" cy="3362325"/>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点击右上部的第二个图标，显示远期移动成本分布图。比如，可以用不同颜色显示上市到30周期前的成本分布、上市到60周期前的成本分布、上市到100周期前的成本分布，要注意的是，30周期前的成本分布包含了60周期前的成本分布，因此除了它自身的颜色区域外，还包括60周期前的成本分布颜色区域；而60周期前的成本分布又包含了100周期前的成本分布，如此下去。 白色的表示直到5周期前的成本都没覆盖到的 也就是5周期内的成本范围。</w:t>
      </w:r>
    </w:p>
    <w:p>
      <w:pPr>
        <w:pStyle w:val="34"/>
      </w:pPr>
      <w:r>
        <w:rPr>
          <w:rFonts w:hint="eastAsia"/>
        </w:rPr>
        <w:t>显示了N周期前的成本分布，显示的色彩是由大红色到金黄色，(N越小)时间越长，颜色越红，(N越大)时间越短，颜色越黄。需要特别指出的是，由于各个时间段的筹码叠加的原因，所以其色彩图也是叠加的。</w:t>
      </w:r>
    </w:p>
    <w:p>
      <w:pPr>
        <w:pStyle w:val="34"/>
      </w:pPr>
      <w:r>
        <w:rPr>
          <w:rFonts w:hint="eastAsia"/>
        </w:rPr>
        <w:t> </w:t>
      </w:r>
    </w:p>
    <w:p>
      <w:pPr>
        <w:pStyle w:val="34"/>
      </w:pPr>
      <w:r>
        <w:rPr>
          <w:rFonts w:hint="eastAsia"/>
        </w:rPr>
        <w:t>C近期移动成本分布图:</w:t>
      </w:r>
      <w:r>
        <w:fldChar w:fldCharType="begin"/>
      </w:r>
      <w:r>
        <w:instrText xml:space="preserve"> INCLUDEPICTURE  "https://www.tdx.com.cn/products/helpfile/tdxw/chm/%E7%AC%AC%E4%BA%8C%E7%AB%A0 %E5%8A%9F%E8%83%BD/2-25/2-25-5/6.png" \* MERGEFORMATINET </w:instrText>
      </w:r>
      <w:r>
        <w:fldChar w:fldCharType="separate"/>
      </w:r>
      <w:r>
        <w:fldChar w:fldCharType="begin"/>
      </w:r>
      <w:r>
        <w:instrText xml:space="preserve"> INCLUDEPICTURE  "https://www.tdx.com.cn/products/helpfile/tdxw/chm/%E7%AC%AC%E4%BA%8C%E7%AB%A0 %E5%8A%9F%E8%83%BD/2-25/2-25-5/6.png" \* MERGEFORMATINET </w:instrText>
      </w:r>
      <w:r>
        <w:fldChar w:fldCharType="separate"/>
      </w:r>
      <w:r>
        <w:fldChar w:fldCharType="begin"/>
      </w:r>
      <w:r>
        <w:instrText xml:space="preserve"> INCLUDEPICTURE  "https://www.tdx.com.cn/products/helpfile/tdxw/chm/%E7%AC%AC%E4%BA%8C%E7%AB%A0 %E5%8A%9F%E8%83%BD/2-25/2-25-5/6.png" \* MERGEFORMATINET </w:instrText>
      </w:r>
      <w:r>
        <w:fldChar w:fldCharType="separate"/>
      </w:r>
      <w:r>
        <w:fldChar w:fldCharType="begin"/>
      </w:r>
      <w:r>
        <w:instrText xml:space="preserve"> INCLUDEPICTURE  "https://www.tdx.com.cn/products/helpfile/tdxw/chm/%E7%AC%AC%E4%BA%8C%E7%AB%A0 %E5%8A%9F%E8%83%BD/2-25/2-25-5/6.png" \* MERGEFORMATINET </w:instrText>
      </w:r>
      <w:r>
        <w:fldChar w:fldCharType="separate"/>
      </w:r>
      <w:r>
        <w:drawing>
          <wp:inline distT="0" distB="0" distL="114300" distR="114300">
            <wp:extent cx="2152650" cy="3371850"/>
            <wp:effectExtent l="0" t="0" r="0" b="0"/>
            <wp:docPr id="205"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05"/>
                    <pic:cNvPicPr>
                      <a:picLocks noChangeAspect="1"/>
                    </pic:cNvPicPr>
                  </pic:nvPicPr>
                  <pic:blipFill>
                    <a:blip r:embed="rId400" r:link="rId401"/>
                    <a:stretch>
                      <a:fillRect/>
                    </a:stretch>
                  </pic:blipFill>
                  <pic:spPr>
                    <a:xfrm>
                      <a:off x="0" y="0"/>
                      <a:ext cx="2152650" cy="3371850"/>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点击右上部的第三个图标，显示近期移动成本分布图。比如，可以用不同颜色显示5周期内的成本分布、20周期内的成本分布、60周期内的成本分布，要注意的是，20周期内的成本分布包含了5周期内成本分布，60周期内成本分布又包含了20周期内的成本分布。 白色表示100周期前的成本。</w:t>
      </w:r>
    </w:p>
    <w:p>
      <w:pPr>
        <w:pStyle w:val="34"/>
      </w:pPr>
      <w:r>
        <w:rPr>
          <w:rFonts w:hint="eastAsia"/>
        </w:rPr>
        <w:t>显示了N周期内的成本分布，显示的色彩是由浅兰到深兰，时间越短，兰色越浅，时间越长，兰色越深，也需要提醒的是，由于各个时间段的筹码叠加的原因，所以其色彩图也是叠加的。</w:t>
      </w:r>
    </w:p>
    <w:p>
      <w:pPr>
        <w:pStyle w:val="4"/>
      </w:pPr>
      <w:r>
        <w:rPr>
          <w:rFonts w:hint="eastAsia"/>
        </w:rPr>
        <w:t>显隐行情信息</w:t>
      </w:r>
    </w:p>
    <w:p>
      <w:pPr>
        <w:pStyle w:val="34"/>
      </w:pPr>
      <w:r>
        <w:rPr>
          <w:rFonts w:hint="eastAsia"/>
        </w:rPr>
        <w:t>当画面处于K线图或分时图状态时，激活隐藏右边信息区功能可以将走势图右边相关股票的行情信息隐藏。</w:t>
      </w:r>
    </w:p>
    <w:p>
      <w:pPr>
        <w:pStyle w:val="34"/>
      </w:pPr>
      <w:r>
        <w:rPr>
          <w:rFonts w:hint="eastAsia"/>
        </w:rPr>
        <w:t>快捷键：Ctrl+L。</w:t>
      </w:r>
    </w:p>
    <w:p>
      <w:pPr>
        <w:pStyle w:val="34"/>
      </w:pPr>
      <w:r>
        <w:fldChar w:fldCharType="begin"/>
      </w:r>
      <w:r>
        <w:instrText xml:space="preserve"> INCLUDEPICTURE  "https://www.tdx.com.cn/products/helpfile/tdxw/chm/%E7%AC%AC%E4%BA%8C%E7%AB%A0 %E5%8A%9F%E8%83%BD/2-25/2-25-6/1.png" \* MERGEFORMATINET </w:instrText>
      </w:r>
      <w:r>
        <w:fldChar w:fldCharType="separate"/>
      </w:r>
      <w:r>
        <w:fldChar w:fldCharType="begin"/>
      </w:r>
      <w:r>
        <w:instrText xml:space="preserve"> INCLUDEPICTURE  "https://www.tdx.com.cn/products/helpfile/tdxw/chm/%E7%AC%AC%E4%BA%8C%E7%AB%A0 %E5%8A%9F%E8%83%BD/2-25/2-25-6/1.png" \* MERGEFORMATINET </w:instrText>
      </w:r>
      <w:r>
        <w:fldChar w:fldCharType="separate"/>
      </w:r>
      <w:r>
        <w:fldChar w:fldCharType="begin"/>
      </w:r>
      <w:r>
        <w:instrText xml:space="preserve"> INCLUDEPICTURE  "https://www.tdx.com.cn/products/helpfile/tdxw/chm/%E7%AC%AC%E4%BA%8C%E7%AB%A0 %E5%8A%9F%E8%83%BD/2-25/2-25-6/1.png" \* MERGEFORMATINET </w:instrText>
      </w:r>
      <w:r>
        <w:fldChar w:fldCharType="separate"/>
      </w:r>
      <w:r>
        <w:fldChar w:fldCharType="begin"/>
      </w:r>
      <w:r>
        <w:instrText xml:space="preserve"> INCLUDEPICTURE  "https://www.tdx.com.cn/products/helpfile/tdxw/chm/%E7%AC%AC%E4%BA%8C%E7%AB%A0 %E5%8A%9F%E8%83%BD/2-25/2-25-6/1.png" \* MERGEFORMATINET </w:instrText>
      </w:r>
      <w:r>
        <w:fldChar w:fldCharType="separate"/>
      </w:r>
      <w:r>
        <w:drawing>
          <wp:inline distT="0" distB="0" distL="114300" distR="114300">
            <wp:extent cx="8982075" cy="5524500"/>
            <wp:effectExtent l="0" t="0" r="9525" b="0"/>
            <wp:docPr id="206" name="图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6"/>
                    <pic:cNvPicPr>
                      <a:picLocks noChangeAspect="1"/>
                    </pic:cNvPicPr>
                  </pic:nvPicPr>
                  <pic:blipFill>
                    <a:blip r:embed="rId402" r:link="rId403"/>
                    <a:stretch>
                      <a:fillRect/>
                    </a:stretch>
                  </pic:blipFill>
                  <pic:spPr>
                    <a:xfrm>
                      <a:off x="0" y="0"/>
                      <a:ext cx="8982075" cy="5524500"/>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隐藏后则变成：</w:t>
      </w:r>
    </w:p>
    <w:p>
      <w:pPr>
        <w:pStyle w:val="50"/>
        <w:rPr>
          <w:rFonts w:ascii="微软雅黑" w:hAnsi="微软雅黑" w:eastAsia="微软雅黑"/>
          <w:color w:val="000000"/>
          <w:sz w:val="18"/>
          <w:szCs w:val="18"/>
        </w:rPr>
      </w:pPr>
      <w:r>
        <w:rPr>
          <w:rFonts w:ascii="微软雅黑" w:hAnsi="微软雅黑" w:eastAsia="微软雅黑"/>
          <w:color w:val="000000"/>
          <w:sz w:val="18"/>
          <w:szCs w:val="18"/>
        </w:rPr>
        <w:fldChar w:fldCharType="begin"/>
      </w:r>
      <w:r>
        <w:rPr>
          <w:rFonts w:ascii="微软雅黑" w:hAnsi="微软雅黑" w:eastAsia="微软雅黑"/>
          <w:color w:val="000000"/>
          <w:sz w:val="18"/>
          <w:szCs w:val="18"/>
        </w:rPr>
        <w:instrText xml:space="preserve"> INCLUDEPICTURE  "https://www.tdx.com.cn/products/helpfile/tdxw/chm/%E7%AC%AC%E4%BA%8C%E7%AB%A0 %E5%8A%9F%E8%83%BD/2-25/2-25-6/2.png" \* MERGEFORMATINET </w:instrText>
      </w:r>
      <w:r>
        <w:rPr>
          <w:rFonts w:ascii="微软雅黑" w:hAnsi="微软雅黑" w:eastAsia="微软雅黑"/>
          <w:color w:val="000000"/>
          <w:sz w:val="18"/>
          <w:szCs w:val="18"/>
        </w:rPr>
        <w:fldChar w:fldCharType="separate"/>
      </w:r>
      <w:r>
        <w:rPr>
          <w:rFonts w:ascii="微软雅黑" w:hAnsi="微软雅黑" w:eastAsia="微软雅黑"/>
          <w:color w:val="000000"/>
          <w:sz w:val="18"/>
          <w:szCs w:val="18"/>
        </w:rPr>
        <w:fldChar w:fldCharType="begin"/>
      </w:r>
      <w:r>
        <w:rPr>
          <w:rFonts w:ascii="微软雅黑" w:hAnsi="微软雅黑" w:eastAsia="微软雅黑"/>
          <w:color w:val="000000"/>
          <w:sz w:val="18"/>
          <w:szCs w:val="18"/>
        </w:rPr>
        <w:instrText xml:space="preserve"> INCLUDEPICTURE  "https://www.tdx.com.cn/products/helpfile/tdxw/chm/%E7%AC%AC%E4%BA%8C%E7%AB%A0 %E5%8A%9F%E8%83%BD/2-25/2-25-6/2.png" \* MERGEFORMATINET </w:instrText>
      </w:r>
      <w:r>
        <w:rPr>
          <w:rFonts w:ascii="微软雅黑" w:hAnsi="微软雅黑" w:eastAsia="微软雅黑"/>
          <w:color w:val="000000"/>
          <w:sz w:val="18"/>
          <w:szCs w:val="18"/>
        </w:rPr>
        <w:fldChar w:fldCharType="separate"/>
      </w:r>
      <w:r>
        <w:rPr>
          <w:rFonts w:ascii="微软雅黑" w:hAnsi="微软雅黑" w:eastAsia="微软雅黑"/>
          <w:color w:val="000000"/>
          <w:sz w:val="18"/>
          <w:szCs w:val="18"/>
        </w:rPr>
        <w:fldChar w:fldCharType="begin"/>
      </w:r>
      <w:r>
        <w:rPr>
          <w:rFonts w:ascii="微软雅黑" w:hAnsi="微软雅黑" w:eastAsia="微软雅黑"/>
          <w:color w:val="000000"/>
          <w:sz w:val="18"/>
          <w:szCs w:val="18"/>
        </w:rPr>
        <w:instrText xml:space="preserve"> INCLUDEPICTURE  "https://www.tdx.com.cn/products/helpfile/tdxw/chm/%E7%AC%AC%E4%BA%8C%E7%AB%A0 %E5%8A%9F%E8%83%BD/2-25/2-25-6/2.png" \* MERGEFORMATINET </w:instrText>
      </w:r>
      <w:r>
        <w:rPr>
          <w:rFonts w:ascii="微软雅黑" w:hAnsi="微软雅黑" w:eastAsia="微软雅黑"/>
          <w:color w:val="000000"/>
          <w:sz w:val="18"/>
          <w:szCs w:val="18"/>
        </w:rPr>
        <w:fldChar w:fldCharType="separate"/>
      </w:r>
      <w:r>
        <w:rPr>
          <w:rFonts w:ascii="微软雅黑" w:hAnsi="微软雅黑" w:eastAsia="微软雅黑"/>
          <w:color w:val="000000"/>
          <w:sz w:val="18"/>
          <w:szCs w:val="18"/>
        </w:rPr>
        <w:fldChar w:fldCharType="begin"/>
      </w:r>
      <w:r>
        <w:rPr>
          <w:rFonts w:ascii="微软雅黑" w:hAnsi="微软雅黑" w:eastAsia="微软雅黑"/>
          <w:color w:val="000000"/>
          <w:sz w:val="18"/>
          <w:szCs w:val="18"/>
        </w:rPr>
        <w:instrText xml:space="preserve"> INCLUDEPICTURE  "https://www.tdx.com.cn/products/helpfile/tdxw/chm/%E7%AC%AC%E4%BA%8C%E7%AB%A0 %E5%8A%9F%E8%83%BD/2-25/2-25-6/2.png" \* MERGEFORMATINET </w:instrText>
      </w:r>
      <w:r>
        <w:rPr>
          <w:rFonts w:ascii="微软雅黑" w:hAnsi="微软雅黑" w:eastAsia="微软雅黑"/>
          <w:color w:val="000000"/>
          <w:sz w:val="18"/>
          <w:szCs w:val="18"/>
        </w:rPr>
        <w:fldChar w:fldCharType="separate"/>
      </w:r>
      <w:r>
        <w:rPr>
          <w:rFonts w:ascii="微软雅黑" w:hAnsi="微软雅黑" w:eastAsia="微软雅黑"/>
          <w:color w:val="000000"/>
          <w:sz w:val="18"/>
          <w:szCs w:val="18"/>
        </w:rPr>
        <w:drawing>
          <wp:inline distT="0" distB="0" distL="114300" distR="114300">
            <wp:extent cx="7886700" cy="4819650"/>
            <wp:effectExtent l="0" t="0" r="0" b="0"/>
            <wp:docPr id="207" name="图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07"/>
                    <pic:cNvPicPr>
                      <a:picLocks noChangeAspect="1"/>
                    </pic:cNvPicPr>
                  </pic:nvPicPr>
                  <pic:blipFill>
                    <a:blip r:embed="rId404" r:link="rId405"/>
                    <a:stretch>
                      <a:fillRect/>
                    </a:stretch>
                  </pic:blipFill>
                  <pic:spPr>
                    <a:xfrm>
                      <a:off x="0" y="0"/>
                      <a:ext cx="7886700" cy="4819650"/>
                    </a:xfrm>
                    <a:prstGeom prst="rect">
                      <a:avLst/>
                    </a:prstGeom>
                    <a:noFill/>
                    <a:ln>
                      <a:noFill/>
                    </a:ln>
                  </pic:spPr>
                </pic:pic>
              </a:graphicData>
            </a:graphic>
          </wp:inline>
        </w:drawing>
      </w:r>
      <w:r>
        <w:rPr>
          <w:rFonts w:ascii="微软雅黑" w:hAnsi="微软雅黑" w:eastAsia="微软雅黑"/>
          <w:color w:val="000000"/>
          <w:sz w:val="18"/>
          <w:szCs w:val="18"/>
        </w:rPr>
        <w:fldChar w:fldCharType="end"/>
      </w:r>
      <w:r>
        <w:rPr>
          <w:rFonts w:ascii="微软雅黑" w:hAnsi="微软雅黑" w:eastAsia="微软雅黑"/>
          <w:color w:val="000000"/>
          <w:sz w:val="18"/>
          <w:szCs w:val="18"/>
        </w:rPr>
        <w:fldChar w:fldCharType="end"/>
      </w:r>
      <w:r>
        <w:rPr>
          <w:rFonts w:ascii="微软雅黑" w:hAnsi="微软雅黑" w:eastAsia="微软雅黑"/>
          <w:color w:val="000000"/>
          <w:sz w:val="18"/>
          <w:szCs w:val="18"/>
        </w:rPr>
        <w:fldChar w:fldCharType="end"/>
      </w:r>
      <w:r>
        <w:rPr>
          <w:rFonts w:ascii="微软雅黑" w:hAnsi="微软雅黑" w:eastAsia="微软雅黑"/>
          <w:color w:val="000000"/>
          <w:sz w:val="18"/>
          <w:szCs w:val="18"/>
        </w:rPr>
        <w:fldChar w:fldCharType="end"/>
      </w:r>
    </w:p>
    <w:p>
      <w:pPr>
        <w:pStyle w:val="3"/>
      </w:pPr>
      <w:bookmarkStart w:id="35" w:name="_Toc90646154"/>
      <w:r>
        <w:rPr>
          <w:rFonts w:hint="eastAsia"/>
        </w:rPr>
        <w:t>北交所功能集合</w:t>
      </w:r>
      <w:bookmarkEnd w:id="35"/>
    </w:p>
    <w:p>
      <w:pPr>
        <w:pStyle w:val="4"/>
      </w:pPr>
      <w:r>
        <w:rPr>
          <w:rFonts w:hint="eastAsia"/>
        </w:rPr>
        <w:t>北交所行情报价</w:t>
      </w:r>
    </w:p>
    <w:p>
      <w:pPr>
        <w:pStyle w:val="34"/>
      </w:pPr>
      <w:r>
        <w:rPr>
          <w:rFonts w:hint="eastAsia"/>
        </w:rPr>
        <w:t>打开方式：</w:t>
      </w:r>
    </w:p>
    <w:p>
      <w:pPr>
        <w:pStyle w:val="34"/>
      </w:pPr>
      <w:r>
        <w:rPr>
          <w:rFonts w:hint="eastAsia"/>
        </w:rPr>
        <w:t>1快捷键9 </w:t>
      </w:r>
      <w:r>
        <w:fldChar w:fldCharType="begin"/>
      </w:r>
      <w:r>
        <w:instrText xml:space="preserve"> INCLUDEPICTURE  "https://www.tdx.com.cn/products/helpfile/tdxw/chm/%E7%AC%AC%E4%BA%8C%E7%AB%A0 %E5%8A%9F%E8%83%BD/2-26/2-26-1/1.4.png" \* MERGEFORMATINET </w:instrText>
      </w:r>
      <w:r>
        <w:fldChar w:fldCharType="separate"/>
      </w:r>
      <w:r>
        <w:fldChar w:fldCharType="begin"/>
      </w:r>
      <w:r>
        <w:instrText xml:space="preserve"> INCLUDEPICTURE  "https://www.tdx.com.cn/products/helpfile/tdxw/chm/%E7%AC%AC%E4%BA%8C%E7%AB%A0 %E5%8A%9F%E8%83%BD/2-26/2-26-1/1.4.png" \* MERGEFORMATINET </w:instrText>
      </w:r>
      <w:r>
        <w:fldChar w:fldCharType="separate"/>
      </w:r>
      <w:r>
        <w:fldChar w:fldCharType="begin"/>
      </w:r>
      <w:r>
        <w:instrText xml:space="preserve"> INCLUDEPICTURE  "https://www.tdx.com.cn/products/helpfile/tdxw/chm/%E7%AC%AC%E4%BA%8C%E7%AB%A0 %E5%8A%9F%E8%83%BD/2-26/2-26-1/1.4.png" \* MERGEFORMATINET </w:instrText>
      </w:r>
      <w:r>
        <w:fldChar w:fldCharType="separate"/>
      </w:r>
      <w:r>
        <w:fldChar w:fldCharType="begin"/>
      </w:r>
      <w:r>
        <w:instrText xml:space="preserve"> INCLUDEPICTURE  "https://www.tdx.com.cn/products/helpfile/tdxw/chm/%E7%AC%AC%E4%BA%8C%E7%AB%A0 %E5%8A%9F%E8%83%BD/2-26/2-26-1/1.4.png" \* MERGEFORMATINET </w:instrText>
      </w:r>
      <w:r>
        <w:fldChar w:fldCharType="separate"/>
      </w:r>
      <w:r>
        <w:drawing>
          <wp:inline distT="0" distB="0" distL="114300" distR="114300">
            <wp:extent cx="2714625" cy="3238500"/>
            <wp:effectExtent l="0" t="0" r="9525" b="0"/>
            <wp:docPr id="208" name="图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208"/>
                    <pic:cNvPicPr>
                      <a:picLocks noChangeAspect="1"/>
                    </pic:cNvPicPr>
                  </pic:nvPicPr>
                  <pic:blipFill>
                    <a:blip r:embed="rId406" r:link="rId407"/>
                    <a:stretch>
                      <a:fillRect/>
                    </a:stretch>
                  </pic:blipFill>
                  <pic:spPr>
                    <a:xfrm>
                      <a:off x="0" y="0"/>
                      <a:ext cx="2714625" cy="3238500"/>
                    </a:xfrm>
                    <a:prstGeom prst="rect">
                      <a:avLst/>
                    </a:prstGeom>
                    <a:noFill/>
                    <a:ln>
                      <a:noFill/>
                    </a:ln>
                  </pic:spPr>
                </pic:pic>
              </a:graphicData>
            </a:graphic>
          </wp:inline>
        </w:drawing>
      </w:r>
      <w:r>
        <w:fldChar w:fldCharType="end"/>
      </w:r>
      <w:r>
        <w:fldChar w:fldCharType="end"/>
      </w:r>
      <w:r>
        <w:fldChar w:fldCharType="end"/>
      </w:r>
      <w:r>
        <w:fldChar w:fldCharType="end"/>
      </w:r>
      <w:r>
        <w:rPr>
          <w:rFonts w:hint="eastAsia"/>
        </w:rPr>
        <w:t>或“BJ”；</w:t>
      </w:r>
      <w:r>
        <w:fldChar w:fldCharType="begin"/>
      </w:r>
      <w:r>
        <w:instrText xml:space="preserve"> INCLUDEPICTURE  "https://www.tdx.com.cn/products/helpfile/tdxw/chm/%E7%AC%AC%E4%BA%8C%E7%AB%A0 %E5%8A%9F%E8%83%BD/2-26/2-26-1/1.5.png" \* MERGEFORMATINET </w:instrText>
      </w:r>
      <w:r>
        <w:fldChar w:fldCharType="separate"/>
      </w:r>
      <w:r>
        <w:fldChar w:fldCharType="begin"/>
      </w:r>
      <w:r>
        <w:instrText xml:space="preserve"> INCLUDEPICTURE  "https://www.tdx.com.cn/products/helpfile/tdxw/chm/%E7%AC%AC%E4%BA%8C%E7%AB%A0 %E5%8A%9F%E8%83%BD/2-26/2-26-1/1.5.png" \* MERGEFORMATINET </w:instrText>
      </w:r>
      <w:r>
        <w:fldChar w:fldCharType="separate"/>
      </w:r>
      <w:r>
        <w:fldChar w:fldCharType="begin"/>
      </w:r>
      <w:r>
        <w:instrText xml:space="preserve"> INCLUDEPICTURE  "https://www.tdx.com.cn/products/helpfile/tdxw/chm/%E7%AC%AC%E4%BA%8C%E7%AB%A0 %E5%8A%9F%E8%83%BD/2-26/2-26-1/1.5.png" \* MERGEFORMATINET </w:instrText>
      </w:r>
      <w:r>
        <w:fldChar w:fldCharType="separate"/>
      </w:r>
      <w:r>
        <w:fldChar w:fldCharType="begin"/>
      </w:r>
      <w:r>
        <w:instrText xml:space="preserve"> INCLUDEPICTURE  "https://www.tdx.com.cn/products/helpfile/tdxw/chm/%E7%AC%AC%E4%BA%8C%E7%AB%A0 %E5%8A%9F%E8%83%BD/2-26/2-26-1/1.5.png" \* MERGEFORMATINET </w:instrText>
      </w:r>
      <w:r>
        <w:fldChar w:fldCharType="separate"/>
      </w:r>
      <w:r>
        <w:drawing>
          <wp:inline distT="0" distB="0" distL="114300" distR="114300">
            <wp:extent cx="2705100" cy="3238500"/>
            <wp:effectExtent l="0" t="0" r="0" b="0"/>
            <wp:docPr id="209"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09"/>
                    <pic:cNvPicPr>
                      <a:picLocks noChangeAspect="1"/>
                    </pic:cNvPicPr>
                  </pic:nvPicPr>
                  <pic:blipFill>
                    <a:blip r:embed="rId408" r:link="rId409"/>
                    <a:stretch>
                      <a:fillRect/>
                    </a:stretch>
                  </pic:blipFill>
                  <pic:spPr>
                    <a:xfrm>
                      <a:off x="0" y="0"/>
                      <a:ext cx="2705100" cy="3238500"/>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2行情报价标签栏——北证；</w:t>
      </w:r>
    </w:p>
    <w:p>
      <w:pPr>
        <w:pStyle w:val="34"/>
      </w:pPr>
      <w:r>
        <w:fldChar w:fldCharType="begin"/>
      </w:r>
      <w:r>
        <w:instrText xml:space="preserve"> INCLUDEPICTURE  "https://www.tdx.com.cn/products/helpfile/tdxw/chm/%E7%AC%AC%E4%BA%8C%E7%AB%A0 %E5%8A%9F%E8%83%BD/2-26/2-26-1/1.png" \* MERGEFORMATINET </w:instrText>
      </w:r>
      <w:r>
        <w:fldChar w:fldCharType="separate"/>
      </w:r>
      <w:r>
        <w:fldChar w:fldCharType="begin"/>
      </w:r>
      <w:r>
        <w:instrText xml:space="preserve"> INCLUDEPICTURE  "https://www.tdx.com.cn/products/helpfile/tdxw/chm/%E7%AC%AC%E4%BA%8C%E7%AB%A0 %E5%8A%9F%E8%83%BD/2-26/2-26-1/1.png" \* MERGEFORMATINET </w:instrText>
      </w:r>
      <w:r>
        <w:fldChar w:fldCharType="separate"/>
      </w:r>
      <w:r>
        <w:fldChar w:fldCharType="begin"/>
      </w:r>
      <w:r>
        <w:instrText xml:space="preserve"> INCLUDEPICTURE  "https://www.tdx.com.cn/products/helpfile/tdxw/chm/%E7%AC%AC%E4%BA%8C%E7%AB%A0 %E5%8A%9F%E8%83%BD/2-26/2-26-1/1.png" \* MERGEFORMATINET </w:instrText>
      </w:r>
      <w:r>
        <w:fldChar w:fldCharType="separate"/>
      </w:r>
      <w:r>
        <w:fldChar w:fldCharType="begin"/>
      </w:r>
      <w:r>
        <w:instrText xml:space="preserve"> INCLUDEPICTURE  "https://www.tdx.com.cn/products/helpfile/tdxw/chm/%E7%AC%AC%E4%BA%8C%E7%AB%A0 %E5%8A%9F%E8%83%BD/2-26/2-26-1/1.png" \* MERGEFORMATINET </w:instrText>
      </w:r>
      <w:r>
        <w:fldChar w:fldCharType="separate"/>
      </w:r>
      <w:r>
        <w:drawing>
          <wp:inline distT="0" distB="0" distL="114300" distR="114300">
            <wp:extent cx="7562850" cy="4324350"/>
            <wp:effectExtent l="0" t="0" r="0" b="0"/>
            <wp:docPr id="210"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10"/>
                    <pic:cNvPicPr>
                      <a:picLocks noChangeAspect="1"/>
                    </pic:cNvPicPr>
                  </pic:nvPicPr>
                  <pic:blipFill>
                    <a:blip r:embed="rId410" r:link="rId411"/>
                    <a:stretch>
                      <a:fillRect/>
                    </a:stretch>
                  </pic:blipFill>
                  <pic:spPr>
                    <a:xfrm>
                      <a:off x="0" y="0"/>
                      <a:ext cx="7562850" cy="4324350"/>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同时可以点击分类中的“沪深京A股”查看沪深京于一体的股票。</w:t>
      </w:r>
    </w:p>
    <w:p>
      <w:pPr>
        <w:pStyle w:val="34"/>
      </w:pPr>
      <w:r>
        <w:rPr>
          <w:rFonts w:hint="eastAsia"/>
        </w:rPr>
        <w:t>点击分类中“北证发行和要约”，可查看发行业务/要约收购及要约回购的子菜单。</w:t>
      </w:r>
    </w:p>
    <w:p>
      <w:pPr>
        <w:pStyle w:val="34"/>
      </w:pPr>
      <w:r>
        <w:fldChar w:fldCharType="begin"/>
      </w:r>
      <w:r>
        <w:instrText xml:space="preserve"> INCLUDEPICTURE  "https://www.tdx.com.cn/products/helpfile/tdxw/chm/%E7%AC%AC%E4%BA%8C%E7%AB%A0 %E5%8A%9F%E8%83%BD/2-26/2-26-1/2.png" \* MERGEFORMATINET </w:instrText>
      </w:r>
      <w:r>
        <w:fldChar w:fldCharType="separate"/>
      </w:r>
      <w:r>
        <w:fldChar w:fldCharType="begin"/>
      </w:r>
      <w:r>
        <w:instrText xml:space="preserve"> INCLUDEPICTURE  "https://www.tdx.com.cn/products/helpfile/tdxw/chm/%E7%AC%AC%E4%BA%8C%E7%AB%A0 %E5%8A%9F%E8%83%BD/2-26/2-26-1/2.png" \* MERGEFORMATINET </w:instrText>
      </w:r>
      <w:r>
        <w:fldChar w:fldCharType="separate"/>
      </w:r>
      <w:r>
        <w:fldChar w:fldCharType="begin"/>
      </w:r>
      <w:r>
        <w:instrText xml:space="preserve"> INCLUDEPICTURE  "https://www.tdx.com.cn/products/helpfile/tdxw/chm/%E7%AC%AC%E4%BA%8C%E7%AB%A0 %E5%8A%9F%E8%83%BD/2-26/2-26-1/2.png" \* MERGEFORMATINET </w:instrText>
      </w:r>
      <w:r>
        <w:fldChar w:fldCharType="separate"/>
      </w:r>
      <w:r>
        <w:fldChar w:fldCharType="begin"/>
      </w:r>
      <w:r>
        <w:instrText xml:space="preserve"> INCLUDEPICTURE  "https://www.tdx.com.cn/products/helpfile/tdxw/chm/%E7%AC%AC%E4%BA%8C%E7%AB%A0 %E5%8A%9F%E8%83%BD/2-26/2-26-1/2.png" \* MERGEFORMATINET </w:instrText>
      </w:r>
      <w:r>
        <w:fldChar w:fldCharType="separate"/>
      </w:r>
      <w:r>
        <w:drawing>
          <wp:inline distT="0" distB="0" distL="114300" distR="114300">
            <wp:extent cx="4105275" cy="5095875"/>
            <wp:effectExtent l="0" t="0" r="9525" b="9525"/>
            <wp:docPr id="211"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1"/>
                    <pic:cNvPicPr>
                      <a:picLocks noChangeAspect="1"/>
                    </pic:cNvPicPr>
                  </pic:nvPicPr>
                  <pic:blipFill>
                    <a:blip r:embed="rId412" r:link="rId413"/>
                    <a:stretch>
                      <a:fillRect/>
                    </a:stretch>
                  </pic:blipFill>
                  <pic:spPr>
                    <a:xfrm>
                      <a:off x="0" y="0"/>
                      <a:ext cx="4105275" cy="5095875"/>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点击69，则可快速查看北证A股的涨幅排名情况。</w:t>
      </w:r>
    </w:p>
    <w:p>
      <w:pPr>
        <w:pStyle w:val="34"/>
      </w:pPr>
      <w:r>
        <w:fldChar w:fldCharType="begin"/>
      </w:r>
      <w:r>
        <w:instrText xml:space="preserve"> INCLUDEPICTURE  "https://www.tdx.com.cn/products/helpfile/tdxw/chm/%E7%AC%AC%E4%BA%8C%E7%AB%A0 %E5%8A%9F%E8%83%BD/2-26/2-26-1/3.png" \* MERGEFORMATINET </w:instrText>
      </w:r>
      <w:r>
        <w:fldChar w:fldCharType="separate"/>
      </w:r>
      <w:r>
        <w:fldChar w:fldCharType="begin"/>
      </w:r>
      <w:r>
        <w:instrText xml:space="preserve"> INCLUDEPICTURE  "https://www.tdx.com.cn/products/helpfile/tdxw/chm/%E7%AC%AC%E4%BA%8C%E7%AB%A0 %E5%8A%9F%E8%83%BD/2-26/2-26-1/3.png" \* MERGEFORMATINET </w:instrText>
      </w:r>
      <w:r>
        <w:fldChar w:fldCharType="separate"/>
      </w:r>
      <w:r>
        <w:fldChar w:fldCharType="begin"/>
      </w:r>
      <w:r>
        <w:instrText xml:space="preserve"> INCLUDEPICTURE  "https://www.tdx.com.cn/products/helpfile/tdxw/chm/%E7%AC%AC%E4%BA%8C%E7%AB%A0 %E5%8A%9F%E8%83%BD/2-26/2-26-1/3.png" \* MERGEFORMATINET </w:instrText>
      </w:r>
      <w:r>
        <w:fldChar w:fldCharType="separate"/>
      </w:r>
      <w:r>
        <w:fldChar w:fldCharType="begin"/>
      </w:r>
      <w:r>
        <w:instrText xml:space="preserve"> INCLUDEPICTURE  "https://www.tdx.com.cn/products/helpfile/tdxw/chm/%E7%AC%AC%E4%BA%8C%E7%AB%A0 %E5%8A%9F%E8%83%BD/2-26/2-26-1/3.png" \* MERGEFORMATINET </w:instrText>
      </w:r>
      <w:r>
        <w:fldChar w:fldCharType="separate"/>
      </w:r>
      <w:r>
        <w:drawing>
          <wp:inline distT="0" distB="0" distL="114300" distR="114300">
            <wp:extent cx="6962775" cy="3857625"/>
            <wp:effectExtent l="0" t="0" r="9525" b="9525"/>
            <wp:docPr id="212"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12"/>
                    <pic:cNvPicPr>
                      <a:picLocks noChangeAspect="1"/>
                    </pic:cNvPicPr>
                  </pic:nvPicPr>
                  <pic:blipFill>
                    <a:blip r:embed="rId414" r:link="rId415"/>
                    <a:stretch>
                      <a:fillRect/>
                    </a:stretch>
                  </pic:blipFill>
                  <pic:spPr>
                    <a:xfrm>
                      <a:off x="0" y="0"/>
                      <a:ext cx="6962775" cy="3857625"/>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双击某支个股，可查看对应K线图及分时图。</w:t>
      </w:r>
    </w:p>
    <w:p>
      <w:pPr>
        <w:pStyle w:val="34"/>
      </w:pPr>
      <w:r>
        <w:fldChar w:fldCharType="begin"/>
      </w:r>
      <w:r>
        <w:instrText xml:space="preserve"> INCLUDEPICTURE  "https://www.tdx.com.cn/products/helpfile/tdxw/chm/%E7%AC%AC%E4%BA%8C%E7%AB%A0 %E5%8A%9F%E8%83%BD/2-26/2-26-1/4.png" \* MERGEFORMATINET </w:instrText>
      </w:r>
      <w:r>
        <w:fldChar w:fldCharType="separate"/>
      </w:r>
      <w:r>
        <w:fldChar w:fldCharType="begin"/>
      </w:r>
      <w:r>
        <w:instrText xml:space="preserve"> INCLUDEPICTURE  "https://www.tdx.com.cn/products/helpfile/tdxw/chm/%E7%AC%AC%E4%BA%8C%E7%AB%A0 %E5%8A%9F%E8%83%BD/2-26/2-26-1/4.png" \* MERGEFORMATINET </w:instrText>
      </w:r>
      <w:r>
        <w:fldChar w:fldCharType="separate"/>
      </w:r>
      <w:r>
        <w:fldChar w:fldCharType="begin"/>
      </w:r>
      <w:r>
        <w:instrText xml:space="preserve"> INCLUDEPICTURE  "https://www.tdx.com.cn/products/helpfile/tdxw/chm/%E7%AC%AC%E4%BA%8C%E7%AB%A0 %E5%8A%9F%E8%83%BD/2-26/2-26-1/4.png" \* MERGEFORMATINET </w:instrText>
      </w:r>
      <w:r>
        <w:fldChar w:fldCharType="separate"/>
      </w:r>
      <w:r>
        <w:fldChar w:fldCharType="begin"/>
      </w:r>
      <w:r>
        <w:instrText xml:space="preserve"> INCLUDEPICTURE  "https://www.tdx.com.cn/products/helpfile/tdxw/chm/%E7%AC%AC%E4%BA%8C%E7%AB%A0 %E5%8A%9F%E8%83%BD/2-26/2-26-1/4.png" \* MERGEFORMATINET </w:instrText>
      </w:r>
      <w:r>
        <w:fldChar w:fldCharType="separate"/>
      </w:r>
      <w:r>
        <w:drawing>
          <wp:inline distT="0" distB="0" distL="114300" distR="114300">
            <wp:extent cx="7019925" cy="3981450"/>
            <wp:effectExtent l="0" t="0" r="9525" b="0"/>
            <wp:docPr id="213"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3"/>
                    <pic:cNvPicPr>
                      <a:picLocks noChangeAspect="1"/>
                    </pic:cNvPicPr>
                  </pic:nvPicPr>
                  <pic:blipFill>
                    <a:blip r:embed="rId416" r:link="rId417"/>
                    <a:stretch>
                      <a:fillRect/>
                    </a:stretch>
                  </pic:blipFill>
                  <pic:spPr>
                    <a:xfrm>
                      <a:off x="0" y="0"/>
                      <a:ext cx="7019925" cy="3981450"/>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fldChar w:fldCharType="begin"/>
      </w:r>
      <w:r>
        <w:instrText xml:space="preserve"> INCLUDEPICTURE  "https://www.tdx.com.cn/products/helpfile/tdxw/chm/%E7%AC%AC%E4%BA%8C%E7%AB%A0 %E5%8A%9F%E8%83%BD/2-26/2-26-1/5.png" \* MERGEFORMATINET </w:instrText>
      </w:r>
      <w:r>
        <w:fldChar w:fldCharType="separate"/>
      </w:r>
      <w:r>
        <w:fldChar w:fldCharType="begin"/>
      </w:r>
      <w:r>
        <w:instrText xml:space="preserve"> INCLUDEPICTURE  "https://www.tdx.com.cn/products/helpfile/tdxw/chm/%E7%AC%AC%E4%BA%8C%E7%AB%A0 %E5%8A%9F%E8%83%BD/2-26/2-26-1/5.png" \* MERGEFORMATINET </w:instrText>
      </w:r>
      <w:r>
        <w:fldChar w:fldCharType="separate"/>
      </w:r>
      <w:r>
        <w:fldChar w:fldCharType="begin"/>
      </w:r>
      <w:r>
        <w:instrText xml:space="preserve"> INCLUDEPICTURE  "https://www.tdx.com.cn/products/helpfile/tdxw/chm/%E7%AC%AC%E4%BA%8C%E7%AB%A0 %E5%8A%9F%E8%83%BD/2-26/2-26-1/5.png" \* MERGEFORMATINET </w:instrText>
      </w:r>
      <w:r>
        <w:fldChar w:fldCharType="separate"/>
      </w:r>
      <w:r>
        <w:fldChar w:fldCharType="begin"/>
      </w:r>
      <w:r>
        <w:instrText xml:space="preserve"> INCLUDEPICTURE  "https://www.tdx.com.cn/products/helpfile/tdxw/chm/%E7%AC%AC%E4%BA%8C%E7%AB%A0 %E5%8A%9F%E8%83%BD/2-26/2-26-1/5.png" \* MERGEFORMATINET </w:instrText>
      </w:r>
      <w:r>
        <w:fldChar w:fldCharType="separate"/>
      </w:r>
      <w:r>
        <w:drawing>
          <wp:inline distT="0" distB="0" distL="114300" distR="114300">
            <wp:extent cx="7677150" cy="4343400"/>
            <wp:effectExtent l="0" t="0" r="0" b="0"/>
            <wp:docPr id="214"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14"/>
                    <pic:cNvPicPr>
                      <a:picLocks noChangeAspect="1"/>
                    </pic:cNvPicPr>
                  </pic:nvPicPr>
                  <pic:blipFill>
                    <a:blip r:embed="rId418" r:link="rId419"/>
                    <a:stretch>
                      <a:fillRect/>
                    </a:stretch>
                  </pic:blipFill>
                  <pic:spPr>
                    <a:xfrm>
                      <a:off x="0" y="0"/>
                      <a:ext cx="7677150" cy="4343400"/>
                    </a:xfrm>
                    <a:prstGeom prst="rect">
                      <a:avLst/>
                    </a:prstGeom>
                    <a:noFill/>
                    <a:ln>
                      <a:noFill/>
                    </a:ln>
                  </pic:spPr>
                </pic:pic>
              </a:graphicData>
            </a:graphic>
          </wp:inline>
        </w:drawing>
      </w:r>
      <w:r>
        <w:fldChar w:fldCharType="end"/>
      </w:r>
      <w:r>
        <w:fldChar w:fldCharType="end"/>
      </w:r>
      <w:r>
        <w:fldChar w:fldCharType="end"/>
      </w:r>
      <w:r>
        <w:fldChar w:fldCharType="end"/>
      </w:r>
    </w:p>
    <w:p>
      <w:pPr>
        <w:pStyle w:val="4"/>
      </w:pPr>
      <w:r>
        <w:rPr>
          <w:rFonts w:hint="eastAsia"/>
        </w:rPr>
        <w:t>沪深京综合</w:t>
      </w:r>
    </w:p>
    <w:p>
      <w:pPr>
        <w:pStyle w:val="34"/>
      </w:pPr>
      <w:r>
        <w:rPr>
          <w:rFonts w:hint="eastAsia"/>
        </w:rPr>
        <w:t>可全方面查看沪深京综合版面 （涨幅/跌幅，涨速/跌速等数据）。</w:t>
      </w:r>
    </w:p>
    <w:p>
      <w:r>
        <w:drawing>
          <wp:inline distT="0" distB="0" distL="114300" distR="114300">
            <wp:extent cx="8858250" cy="4448175"/>
            <wp:effectExtent l="0" t="0" r="0" b="9525"/>
            <wp:docPr id="215" name="图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15"/>
                    <pic:cNvPicPr>
                      <a:picLocks noChangeAspect="1"/>
                    </pic:cNvPicPr>
                  </pic:nvPicPr>
                  <pic:blipFill>
                    <a:blip r:embed="rId420"/>
                    <a:stretch>
                      <a:fillRect/>
                    </a:stretch>
                  </pic:blipFill>
                  <pic:spPr>
                    <a:xfrm>
                      <a:off x="0" y="0"/>
                      <a:ext cx="8858250" cy="4448175"/>
                    </a:xfrm>
                    <a:prstGeom prst="rect">
                      <a:avLst/>
                    </a:prstGeom>
                    <a:noFill/>
                    <a:ln>
                      <a:noFill/>
                    </a:ln>
                  </pic:spPr>
                </pic:pic>
              </a:graphicData>
            </a:graphic>
          </wp:inline>
        </w:drawing>
      </w:r>
    </w:p>
    <w:p>
      <w:pPr>
        <w:pStyle w:val="4"/>
      </w:pPr>
      <w:r>
        <w:rPr>
          <w:rFonts w:hint="eastAsia"/>
        </w:rPr>
        <w:t>北证股票市场行情</w:t>
      </w:r>
    </w:p>
    <w:p>
      <w:pPr>
        <w:pStyle w:val="34"/>
      </w:pPr>
      <w:r>
        <w:rPr>
          <w:rFonts w:hint="eastAsia"/>
        </w:rPr>
        <w:t>市场——股票行情</w:t>
      </w:r>
    </w:p>
    <w:p>
      <w:pPr>
        <w:pStyle w:val="34"/>
      </w:pPr>
      <w:r>
        <w:rPr>
          <w:rFonts w:hint="eastAsia"/>
        </w:rPr>
        <w:t>可集合北证股票的行情报价/分析图/分时图/综合排名/资讯信息于一体的综合版面。</w:t>
      </w:r>
    </w:p>
    <w:p>
      <w:r>
        <w:drawing>
          <wp:inline distT="0" distB="0" distL="114300" distR="114300">
            <wp:extent cx="8858250" cy="4695825"/>
            <wp:effectExtent l="0" t="0" r="0" b="9525"/>
            <wp:docPr id="216"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6"/>
                    <pic:cNvPicPr>
                      <a:picLocks noChangeAspect="1"/>
                    </pic:cNvPicPr>
                  </pic:nvPicPr>
                  <pic:blipFill>
                    <a:blip r:embed="rId421"/>
                    <a:stretch>
                      <a:fillRect/>
                    </a:stretch>
                  </pic:blipFill>
                  <pic:spPr>
                    <a:xfrm>
                      <a:off x="0" y="0"/>
                      <a:ext cx="8858250" cy="4695825"/>
                    </a:xfrm>
                    <a:prstGeom prst="rect">
                      <a:avLst/>
                    </a:prstGeom>
                    <a:noFill/>
                    <a:ln>
                      <a:noFill/>
                    </a:ln>
                  </pic:spPr>
                </pic:pic>
              </a:graphicData>
            </a:graphic>
          </wp:inline>
        </w:drawing>
      </w:r>
    </w:p>
    <w:p>
      <w:pPr>
        <w:pStyle w:val="4"/>
      </w:pPr>
      <w:r>
        <w:rPr>
          <w:rFonts w:hint="eastAsia"/>
        </w:rPr>
        <w:t>北交所掘金</w:t>
      </w:r>
    </w:p>
    <w:p>
      <w:pPr>
        <w:pStyle w:val="34"/>
      </w:pPr>
      <w:r>
        <w:rPr>
          <w:rFonts w:hint="eastAsia"/>
        </w:rPr>
        <w:t>发现功能中“发行上市”包含主板、创业板、科创板、北交所掘金以及REITs的发行上市情况，供投资者挖掘值得投资的新股。</w:t>
      </w:r>
    </w:p>
    <w:p>
      <w:r>
        <w:drawing>
          <wp:inline distT="0" distB="0" distL="114300" distR="114300">
            <wp:extent cx="8858250" cy="4638675"/>
            <wp:effectExtent l="0" t="0" r="0" b="9525"/>
            <wp:docPr id="217" name="图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17"/>
                    <pic:cNvPicPr>
                      <a:picLocks noChangeAspect="1"/>
                    </pic:cNvPicPr>
                  </pic:nvPicPr>
                  <pic:blipFill>
                    <a:blip r:embed="rId422"/>
                    <a:stretch>
                      <a:fillRect/>
                    </a:stretch>
                  </pic:blipFill>
                  <pic:spPr>
                    <a:xfrm>
                      <a:off x="0" y="0"/>
                      <a:ext cx="8858250" cy="4638675"/>
                    </a:xfrm>
                    <a:prstGeom prst="rect">
                      <a:avLst/>
                    </a:prstGeom>
                    <a:noFill/>
                    <a:ln>
                      <a:noFill/>
                    </a:ln>
                  </pic:spPr>
                </pic:pic>
              </a:graphicData>
            </a:graphic>
          </wp:inline>
        </w:drawing>
      </w:r>
    </w:p>
    <w:p>
      <w:pPr>
        <w:pStyle w:val="4"/>
      </w:pPr>
      <w:r>
        <w:rPr>
          <w:rFonts w:hint="eastAsia"/>
        </w:rPr>
        <w:t>北证综合排名</w:t>
      </w:r>
    </w:p>
    <w:p>
      <w:pPr>
        <w:pStyle w:val="34"/>
      </w:pPr>
      <w:r>
        <w:rPr>
          <w:rFonts w:hint="eastAsia"/>
        </w:rPr>
        <w:t>不同市场前六只股票进行综合排名，显示了涨幅、跌幅、振幅、涨速、跌速、委比前、委比后、总金额等9个指标。方便用户对异动股票的全面关注。</w:t>
      </w:r>
    </w:p>
    <w:p>
      <w:pPr>
        <w:pStyle w:val="34"/>
      </w:pPr>
      <w:r>
        <w:rPr>
          <w:rStyle w:val="51"/>
          <w:rFonts w:hint="eastAsia"/>
          <w:szCs w:val="18"/>
        </w:rPr>
        <w:t>快捷键：89 北证A股综合排名</w:t>
      </w:r>
    </w:p>
    <w:p>
      <w:r>
        <w:drawing>
          <wp:inline distT="0" distB="0" distL="114300" distR="114300">
            <wp:extent cx="8362950" cy="3867150"/>
            <wp:effectExtent l="0" t="0" r="0" b="0"/>
            <wp:docPr id="218" name="图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18"/>
                    <pic:cNvPicPr>
                      <a:picLocks noChangeAspect="1"/>
                    </pic:cNvPicPr>
                  </pic:nvPicPr>
                  <pic:blipFill>
                    <a:blip r:embed="rId423"/>
                    <a:stretch>
                      <a:fillRect/>
                    </a:stretch>
                  </pic:blipFill>
                  <pic:spPr>
                    <a:xfrm>
                      <a:off x="0" y="0"/>
                      <a:ext cx="8362950" cy="3867150"/>
                    </a:xfrm>
                    <a:prstGeom prst="rect">
                      <a:avLst/>
                    </a:prstGeom>
                    <a:noFill/>
                    <a:ln>
                      <a:noFill/>
                    </a:ln>
                  </pic:spPr>
                </pic:pic>
              </a:graphicData>
            </a:graphic>
          </wp:inline>
        </w:drawing>
      </w:r>
    </w:p>
    <w:p>
      <w:pPr>
        <w:pStyle w:val="4"/>
      </w:pPr>
      <w:r>
        <w:rPr>
          <w:rFonts w:hint="eastAsia"/>
        </w:rPr>
        <w:t>北证高端资讯</w:t>
      </w:r>
    </w:p>
    <w:p>
      <w:pPr>
        <w:pStyle w:val="34"/>
      </w:pPr>
      <w:r>
        <w:rPr>
          <w:rFonts w:hint="eastAsia"/>
        </w:rPr>
        <w:t>1、可查看北证股票的综合资讯（新闻研报及最新公告）和侧边栏信息。</w:t>
      </w:r>
    </w:p>
    <w:p>
      <w:pPr>
        <w:pStyle w:val="50"/>
        <w:rPr>
          <w:rFonts w:ascii="微软雅黑" w:hAnsi="微软雅黑" w:eastAsia="微软雅黑"/>
          <w:color w:val="000000"/>
          <w:sz w:val="18"/>
          <w:szCs w:val="18"/>
        </w:rPr>
      </w:pPr>
      <w:r>
        <w:rPr>
          <w:rFonts w:ascii="微软雅黑" w:hAnsi="微软雅黑" w:eastAsia="微软雅黑"/>
          <w:color w:val="000000"/>
          <w:sz w:val="18"/>
          <w:szCs w:val="18"/>
        </w:rPr>
        <w:fldChar w:fldCharType="begin"/>
      </w:r>
      <w:r>
        <w:rPr>
          <w:rFonts w:ascii="微软雅黑" w:hAnsi="微软雅黑" w:eastAsia="微软雅黑"/>
          <w:color w:val="000000"/>
          <w:sz w:val="18"/>
          <w:szCs w:val="18"/>
        </w:rPr>
        <w:instrText xml:space="preserve"> INCLUDEPICTURE  "https://www.tdx.com.cn/products/helpfile/tdxw/chm/%E7%AC%AC%E4%BA%8C%E7%AB%A0 %E5%8A%9F%E8%83%BD/2-26/2-26-6/1.png" \* MERGEFORMATINET </w:instrText>
      </w:r>
      <w:r>
        <w:rPr>
          <w:rFonts w:ascii="微软雅黑" w:hAnsi="微软雅黑" w:eastAsia="微软雅黑"/>
          <w:color w:val="000000"/>
          <w:sz w:val="18"/>
          <w:szCs w:val="18"/>
        </w:rPr>
        <w:fldChar w:fldCharType="separate"/>
      </w:r>
      <w:r>
        <w:rPr>
          <w:rFonts w:ascii="微软雅黑" w:hAnsi="微软雅黑" w:eastAsia="微软雅黑"/>
          <w:color w:val="000000"/>
          <w:sz w:val="18"/>
          <w:szCs w:val="18"/>
        </w:rPr>
        <w:fldChar w:fldCharType="begin"/>
      </w:r>
      <w:r>
        <w:rPr>
          <w:rFonts w:ascii="微软雅黑" w:hAnsi="微软雅黑" w:eastAsia="微软雅黑"/>
          <w:color w:val="000000"/>
          <w:sz w:val="18"/>
          <w:szCs w:val="18"/>
        </w:rPr>
        <w:instrText xml:space="preserve"> INCLUDEPICTURE  "https://www.tdx.com.cn/products/helpfile/tdxw/chm/%E7%AC%AC%E4%BA%8C%E7%AB%A0 %E5%8A%9F%E8%83%BD/2-26/2-26-6/1.png" \* MERGEFORMATINET </w:instrText>
      </w:r>
      <w:r>
        <w:rPr>
          <w:rFonts w:ascii="微软雅黑" w:hAnsi="微软雅黑" w:eastAsia="微软雅黑"/>
          <w:color w:val="000000"/>
          <w:sz w:val="18"/>
          <w:szCs w:val="18"/>
        </w:rPr>
        <w:fldChar w:fldCharType="separate"/>
      </w:r>
      <w:r>
        <w:rPr>
          <w:rFonts w:ascii="微软雅黑" w:hAnsi="微软雅黑" w:eastAsia="微软雅黑"/>
          <w:color w:val="000000"/>
          <w:sz w:val="18"/>
          <w:szCs w:val="18"/>
        </w:rPr>
        <w:fldChar w:fldCharType="begin"/>
      </w:r>
      <w:r>
        <w:rPr>
          <w:rFonts w:ascii="微软雅黑" w:hAnsi="微软雅黑" w:eastAsia="微软雅黑"/>
          <w:color w:val="000000"/>
          <w:sz w:val="18"/>
          <w:szCs w:val="18"/>
        </w:rPr>
        <w:instrText xml:space="preserve"> INCLUDEPICTURE  "https://www.tdx.com.cn/products/helpfile/tdxw/chm/%E7%AC%AC%E4%BA%8C%E7%AB%A0 %E5%8A%9F%E8%83%BD/2-26/2-26-6/1.png" \* MERGEFORMATINET </w:instrText>
      </w:r>
      <w:r>
        <w:rPr>
          <w:rFonts w:ascii="微软雅黑" w:hAnsi="微软雅黑" w:eastAsia="微软雅黑"/>
          <w:color w:val="000000"/>
          <w:sz w:val="18"/>
          <w:szCs w:val="18"/>
        </w:rPr>
        <w:fldChar w:fldCharType="separate"/>
      </w:r>
      <w:r>
        <w:rPr>
          <w:rFonts w:ascii="微软雅黑" w:hAnsi="微软雅黑" w:eastAsia="微软雅黑"/>
          <w:color w:val="000000"/>
          <w:sz w:val="18"/>
          <w:szCs w:val="18"/>
        </w:rPr>
        <w:fldChar w:fldCharType="begin"/>
      </w:r>
      <w:r>
        <w:rPr>
          <w:rFonts w:ascii="微软雅黑" w:hAnsi="微软雅黑" w:eastAsia="微软雅黑"/>
          <w:color w:val="000000"/>
          <w:sz w:val="18"/>
          <w:szCs w:val="18"/>
        </w:rPr>
        <w:instrText xml:space="preserve"> INCLUDEPICTURE  "https://www.tdx.com.cn/products/helpfile/tdxw/chm/%E7%AC%AC%E4%BA%8C%E7%AB%A0 %E5%8A%9F%E8%83%BD/2-26/2-26-6/1.png" \* MERGEFORMATINET </w:instrText>
      </w:r>
      <w:r>
        <w:rPr>
          <w:rFonts w:ascii="微软雅黑" w:hAnsi="微软雅黑" w:eastAsia="微软雅黑"/>
          <w:color w:val="000000"/>
          <w:sz w:val="18"/>
          <w:szCs w:val="18"/>
        </w:rPr>
        <w:fldChar w:fldCharType="separate"/>
      </w:r>
      <w:r>
        <w:rPr>
          <w:rFonts w:ascii="微软雅黑" w:hAnsi="微软雅黑" w:eastAsia="微软雅黑"/>
          <w:color w:val="000000"/>
          <w:sz w:val="18"/>
          <w:szCs w:val="18"/>
        </w:rPr>
        <w:drawing>
          <wp:inline distT="0" distB="0" distL="114300" distR="114300">
            <wp:extent cx="7848600" cy="4057650"/>
            <wp:effectExtent l="0" t="0" r="0" b="0"/>
            <wp:docPr id="219" name="图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19"/>
                    <pic:cNvPicPr>
                      <a:picLocks noChangeAspect="1"/>
                    </pic:cNvPicPr>
                  </pic:nvPicPr>
                  <pic:blipFill>
                    <a:blip r:embed="rId424" r:link="rId425"/>
                    <a:stretch>
                      <a:fillRect/>
                    </a:stretch>
                  </pic:blipFill>
                  <pic:spPr>
                    <a:xfrm>
                      <a:off x="0" y="0"/>
                      <a:ext cx="7848600" cy="4057650"/>
                    </a:xfrm>
                    <a:prstGeom prst="rect">
                      <a:avLst/>
                    </a:prstGeom>
                    <a:noFill/>
                    <a:ln>
                      <a:noFill/>
                    </a:ln>
                  </pic:spPr>
                </pic:pic>
              </a:graphicData>
            </a:graphic>
          </wp:inline>
        </w:drawing>
      </w:r>
      <w:r>
        <w:rPr>
          <w:rFonts w:ascii="微软雅黑" w:hAnsi="微软雅黑" w:eastAsia="微软雅黑"/>
          <w:color w:val="000000"/>
          <w:sz w:val="18"/>
          <w:szCs w:val="18"/>
        </w:rPr>
        <w:fldChar w:fldCharType="end"/>
      </w:r>
      <w:r>
        <w:rPr>
          <w:rFonts w:ascii="微软雅黑" w:hAnsi="微软雅黑" w:eastAsia="微软雅黑"/>
          <w:color w:val="000000"/>
          <w:sz w:val="18"/>
          <w:szCs w:val="18"/>
        </w:rPr>
        <w:fldChar w:fldCharType="end"/>
      </w:r>
      <w:r>
        <w:rPr>
          <w:rFonts w:ascii="微软雅黑" w:hAnsi="微软雅黑" w:eastAsia="微软雅黑"/>
          <w:color w:val="000000"/>
          <w:sz w:val="18"/>
          <w:szCs w:val="18"/>
        </w:rPr>
        <w:fldChar w:fldCharType="end"/>
      </w:r>
      <w:r>
        <w:rPr>
          <w:rFonts w:ascii="微软雅黑" w:hAnsi="微软雅黑" w:eastAsia="微软雅黑"/>
          <w:color w:val="000000"/>
          <w:sz w:val="18"/>
          <w:szCs w:val="18"/>
        </w:rPr>
        <w:fldChar w:fldCharType="end"/>
      </w:r>
    </w:p>
    <w:p>
      <w:pPr>
        <w:pStyle w:val="34"/>
      </w:pPr>
      <w:r>
        <w:rPr>
          <w:rFonts w:hint="eastAsia"/>
        </w:rPr>
        <w:t>2、点击“图文F10”可查看其公司最新提示，财务分析，股东研究等图文于一体的高端资讯。</w:t>
      </w:r>
    </w:p>
    <w:p>
      <w:pPr>
        <w:pStyle w:val="50"/>
        <w:rPr>
          <w:rFonts w:ascii="微软雅黑" w:hAnsi="微软雅黑" w:eastAsia="微软雅黑"/>
          <w:color w:val="000000"/>
          <w:sz w:val="18"/>
          <w:szCs w:val="18"/>
        </w:rPr>
      </w:pPr>
      <w:r>
        <w:drawing>
          <wp:inline distT="0" distB="0" distL="114300" distR="114300">
            <wp:extent cx="8867775" cy="4562475"/>
            <wp:effectExtent l="0" t="0" r="9525" b="9525"/>
            <wp:docPr id="220" name="图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20"/>
                    <pic:cNvPicPr>
                      <a:picLocks noChangeAspect="1"/>
                    </pic:cNvPicPr>
                  </pic:nvPicPr>
                  <pic:blipFill>
                    <a:blip r:embed="rId426"/>
                    <a:stretch>
                      <a:fillRect/>
                    </a:stretch>
                  </pic:blipFill>
                  <pic:spPr>
                    <a:xfrm>
                      <a:off x="0" y="0"/>
                      <a:ext cx="8867775" cy="4562475"/>
                    </a:xfrm>
                    <a:prstGeom prst="rect">
                      <a:avLst/>
                    </a:prstGeom>
                    <a:noFill/>
                    <a:ln>
                      <a:noFill/>
                    </a:ln>
                  </pic:spPr>
                </pic:pic>
              </a:graphicData>
            </a:graphic>
          </wp:inline>
        </w:drawing>
      </w:r>
    </w:p>
    <w:p>
      <w:pPr>
        <w:pStyle w:val="2"/>
      </w:pPr>
      <w:bookmarkStart w:id="36" w:name="_Toc90646155"/>
      <w:r>
        <w:rPr>
          <w:rFonts w:hint="eastAsia"/>
        </w:rPr>
        <w:t>版面/公式</w:t>
      </w:r>
      <w:bookmarkEnd w:id="36"/>
    </w:p>
    <w:p>
      <w:pPr>
        <w:pStyle w:val="3"/>
      </w:pPr>
      <w:bookmarkStart w:id="37" w:name="_Toc90646156"/>
      <w:r>
        <w:rPr>
          <w:rFonts w:hint="eastAsia"/>
        </w:rPr>
        <w:t>定制版面</w:t>
      </w:r>
      <w:bookmarkEnd w:id="37"/>
    </w:p>
    <w:p>
      <w:pPr>
        <w:pStyle w:val="3"/>
      </w:pPr>
      <w:r>
        <w:rPr>
          <w:rFonts w:hint="eastAsia"/>
        </w:rPr>
        <w:t>新建定制版面</w:t>
      </w:r>
    </w:p>
    <w:p>
      <w:pPr>
        <w:ind w:firstLine="360" w:firstLineChars="150"/>
        <w:rPr>
          <w:szCs w:val="21"/>
        </w:rPr>
      </w:pPr>
      <w:r>
        <w:rPr>
          <w:rFonts w:hint="eastAsia"/>
          <w:szCs w:val="21"/>
        </w:rPr>
        <w:t>定制版面是通达信特有的功能，按客户需求将功能模块内容自定义到同一版面显示。</w:t>
      </w:r>
    </w:p>
    <w:p>
      <w:pPr>
        <w:rPr>
          <w:szCs w:val="21"/>
        </w:rPr>
      </w:pPr>
      <w:r>
        <w:rPr>
          <w:rFonts w:hint="eastAsia"/>
          <w:szCs w:val="21"/>
        </w:rPr>
        <w:t>■功能——定制版面——新建空白版面</w:t>
      </w:r>
    </w:p>
    <w:p>
      <w:pPr>
        <w:rPr>
          <w:szCs w:val="21"/>
        </w:rPr>
      </w:pPr>
      <w:r>
        <w:rPr>
          <w:rFonts w:hint="eastAsia"/>
          <w:szCs w:val="21"/>
        </w:rPr>
        <w:t>■定制版面功能界面右键操作（可以选择基本上客户端所有的基础功能单元模块）</w:t>
      </w:r>
    </w:p>
    <w:p>
      <w:pPr>
        <w:rPr>
          <w:szCs w:val="21"/>
        </w:rPr>
      </w:pPr>
      <w:r>
        <w:rPr>
          <w:rFonts w:hint="eastAsia"/>
          <w:szCs w:val="21"/>
        </w:rPr>
        <w:t>■定制版面结构布局。进行左右上下插入操作构建分区版面，设计界面展示布局，将一个界面分成不同的矩形区域展示不同的功能单元。如图1所示。</w:t>
      </w:r>
    </w:p>
    <w:p>
      <w:pPr>
        <w:rPr>
          <w:szCs w:val="21"/>
        </w:rPr>
      </w:pPr>
      <w:r>
        <w:rPr>
          <w:rFonts w:hint="eastAsia"/>
          <w:szCs w:val="21"/>
        </w:rPr>
        <w:t>■设置添加单元功能类型，即添加版面布局内的各分区版面内容。空白单元区，右键操作提供有丰富的单元功能类型。如图1所示。</w:t>
      </w:r>
    </w:p>
    <w:p>
      <w:r>
        <w:drawing>
          <wp:inline distT="0" distB="0" distL="114300" distR="114300">
            <wp:extent cx="5267325" cy="3705225"/>
            <wp:effectExtent l="0" t="0" r="9525" b="9525"/>
            <wp:docPr id="221"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21"/>
                    <pic:cNvPicPr>
                      <a:picLocks noChangeAspect="1"/>
                    </pic:cNvPicPr>
                  </pic:nvPicPr>
                  <pic:blipFill>
                    <a:blip r:embed="rId427"/>
                    <a:stretch>
                      <a:fillRect/>
                    </a:stretch>
                  </pic:blipFill>
                  <pic:spPr>
                    <a:xfrm>
                      <a:off x="0" y="0"/>
                      <a:ext cx="5267325" cy="3705225"/>
                    </a:xfrm>
                    <a:prstGeom prst="rect">
                      <a:avLst/>
                    </a:prstGeom>
                    <a:noFill/>
                    <a:ln>
                      <a:noFill/>
                    </a:ln>
                  </pic:spPr>
                </pic:pic>
              </a:graphicData>
            </a:graphic>
          </wp:inline>
        </w:drawing>
      </w:r>
    </w:p>
    <w:p>
      <w:pPr>
        <w:jc w:val="center"/>
      </w:pPr>
      <w:r>
        <w:rPr>
          <w:rFonts w:hint="eastAsia"/>
        </w:rPr>
        <w:t>图1</w:t>
      </w:r>
    </w:p>
    <w:p>
      <w:pPr>
        <w:rPr>
          <w:szCs w:val="21"/>
        </w:rPr>
      </w:pPr>
      <w:r>
        <w:rPr>
          <w:rFonts w:hint="eastAsia"/>
          <w:szCs w:val="21"/>
        </w:rPr>
        <w:t>■保存版面设置。如图2所示。</w:t>
      </w:r>
    </w:p>
    <w:p>
      <w:r>
        <w:drawing>
          <wp:inline distT="0" distB="0" distL="114300" distR="114300">
            <wp:extent cx="4210050" cy="3590925"/>
            <wp:effectExtent l="0" t="0" r="0" b="9525"/>
            <wp:docPr id="222"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22"/>
                    <pic:cNvPicPr>
                      <a:picLocks noChangeAspect="1"/>
                    </pic:cNvPicPr>
                  </pic:nvPicPr>
                  <pic:blipFill>
                    <a:blip r:embed="rId428"/>
                    <a:stretch>
                      <a:fillRect/>
                    </a:stretch>
                  </pic:blipFill>
                  <pic:spPr>
                    <a:xfrm>
                      <a:off x="0" y="0"/>
                      <a:ext cx="4210050" cy="3590925"/>
                    </a:xfrm>
                    <a:prstGeom prst="rect">
                      <a:avLst/>
                    </a:prstGeom>
                    <a:noFill/>
                    <a:ln>
                      <a:noFill/>
                    </a:ln>
                  </pic:spPr>
                </pic:pic>
              </a:graphicData>
            </a:graphic>
          </wp:inline>
        </w:drawing>
      </w:r>
    </w:p>
    <w:p>
      <w:pPr>
        <w:jc w:val="center"/>
      </w:pPr>
      <w:r>
        <w:rPr>
          <w:rFonts w:hint="eastAsia"/>
        </w:rPr>
        <w:t>图2</w:t>
      </w:r>
    </w:p>
    <w:p>
      <w:pPr>
        <w:pStyle w:val="3"/>
      </w:pPr>
      <w:r>
        <w:rPr>
          <w:rFonts w:hint="eastAsia"/>
        </w:rPr>
        <w:t>修改定制版面</w:t>
      </w:r>
    </w:p>
    <w:p>
      <w:pPr>
        <w:ind w:firstLine="480" w:firstLineChars="200"/>
        <w:rPr>
          <w:szCs w:val="21"/>
        </w:rPr>
      </w:pPr>
      <w:r>
        <w:rPr>
          <w:rFonts w:hint="eastAsia"/>
          <w:szCs w:val="21"/>
        </w:rPr>
        <w:t>修改定制版面，即对已设置过的版面进行修改和设置，可以在设置版面栏点击“设置当前版面”和“修改版面信息”如图所示。</w:t>
      </w:r>
    </w:p>
    <w:p>
      <w:pPr>
        <w:jc w:val="center"/>
      </w:pPr>
    </w:p>
    <w:p>
      <w:r>
        <w:drawing>
          <wp:inline distT="0" distB="0" distL="114300" distR="114300">
            <wp:extent cx="5267325" cy="3181350"/>
            <wp:effectExtent l="0" t="0" r="9525" b="0"/>
            <wp:docPr id="223"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223"/>
                    <pic:cNvPicPr>
                      <a:picLocks noChangeAspect="1"/>
                    </pic:cNvPicPr>
                  </pic:nvPicPr>
                  <pic:blipFill>
                    <a:blip r:embed="rId429"/>
                    <a:srcRect b="9721"/>
                    <a:stretch>
                      <a:fillRect/>
                    </a:stretch>
                  </pic:blipFill>
                  <pic:spPr>
                    <a:xfrm>
                      <a:off x="0" y="0"/>
                      <a:ext cx="5267325" cy="3181350"/>
                    </a:xfrm>
                    <a:prstGeom prst="rect">
                      <a:avLst/>
                    </a:prstGeom>
                    <a:noFill/>
                    <a:ln>
                      <a:noFill/>
                    </a:ln>
                  </pic:spPr>
                </pic:pic>
              </a:graphicData>
            </a:graphic>
          </wp:inline>
        </w:drawing>
      </w:r>
    </w:p>
    <w:p>
      <w:r>
        <w:rPr>
          <w:rFonts w:hint="eastAsia"/>
          <w:szCs w:val="21"/>
        </w:rPr>
        <w:t>■调出设置工具。选择要设置或修改的定制版面，在界面左上角处点击设置版面，选择“设置当前版面”，并在整个界面的右上角处带点击并调出【设置工具】条，进行相应设置。如下图所示。</w:t>
      </w:r>
    </w:p>
    <w:p>
      <w:r>
        <w:drawing>
          <wp:inline distT="0" distB="0" distL="114300" distR="114300">
            <wp:extent cx="5267325" cy="2657475"/>
            <wp:effectExtent l="0" t="0" r="9525" b="9525"/>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pic:cNvPicPr>
                      <a:picLocks noChangeAspect="1"/>
                    </pic:cNvPicPr>
                  </pic:nvPicPr>
                  <pic:blipFill>
                    <a:blip r:embed="rId430"/>
                    <a:stretch>
                      <a:fillRect/>
                    </a:stretch>
                  </pic:blipFill>
                  <pic:spPr>
                    <a:xfrm>
                      <a:off x="0" y="0"/>
                      <a:ext cx="5267325" cy="2657475"/>
                    </a:xfrm>
                    <a:prstGeom prst="rect">
                      <a:avLst/>
                    </a:prstGeom>
                    <a:noFill/>
                    <a:ln>
                      <a:noFill/>
                    </a:ln>
                  </pic:spPr>
                </pic:pic>
              </a:graphicData>
            </a:graphic>
          </wp:inline>
        </w:drawing>
      </w:r>
    </w:p>
    <w:p>
      <w:r>
        <w:drawing>
          <wp:inline distT="0" distB="0" distL="114300" distR="114300">
            <wp:extent cx="5257800" cy="3724275"/>
            <wp:effectExtent l="0" t="0" r="0" b="9525"/>
            <wp:docPr id="225"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25"/>
                    <pic:cNvPicPr>
                      <a:picLocks noChangeAspect="1"/>
                    </pic:cNvPicPr>
                  </pic:nvPicPr>
                  <pic:blipFill>
                    <a:blip r:embed="rId431"/>
                    <a:stretch>
                      <a:fillRect/>
                    </a:stretch>
                  </pic:blipFill>
                  <pic:spPr>
                    <a:xfrm>
                      <a:off x="0" y="0"/>
                      <a:ext cx="5257800" cy="3724275"/>
                    </a:xfrm>
                    <a:prstGeom prst="rect">
                      <a:avLst/>
                    </a:prstGeom>
                    <a:noFill/>
                    <a:ln>
                      <a:noFill/>
                    </a:ln>
                  </pic:spPr>
                </pic:pic>
              </a:graphicData>
            </a:graphic>
          </wp:inline>
        </w:drawing>
      </w:r>
    </w:p>
    <w:p/>
    <w:p>
      <w:pPr>
        <w:rPr>
          <w:szCs w:val="21"/>
        </w:rPr>
      </w:pPr>
      <w:r>
        <w:rPr>
          <w:rFonts w:hint="eastAsia"/>
          <w:szCs w:val="21"/>
        </w:rPr>
        <w:t>■修改版面信息。在设置版面栏目下点击“修改版面信息”，或者在设置工具条点击修改版面信息，调出【修改版面信息】的设置框，进行相应信息的设置修改。修改版面信息的设置框，初始状态默认未展开，可以点击“....”按钮，进行展开。</w:t>
      </w:r>
    </w:p>
    <w:p>
      <w:pPr>
        <w:rPr>
          <w:szCs w:val="21"/>
        </w:rPr>
      </w:pPr>
      <w:r>
        <w:drawing>
          <wp:inline distT="0" distB="0" distL="114300" distR="114300">
            <wp:extent cx="3743325" cy="4914900"/>
            <wp:effectExtent l="0" t="0" r="9525" b="0"/>
            <wp:docPr id="226"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26"/>
                    <pic:cNvPicPr>
                      <a:picLocks noChangeAspect="1"/>
                    </pic:cNvPicPr>
                  </pic:nvPicPr>
                  <pic:blipFill>
                    <a:blip r:embed="rId432"/>
                    <a:stretch>
                      <a:fillRect/>
                    </a:stretch>
                  </pic:blipFill>
                  <pic:spPr>
                    <a:xfrm>
                      <a:off x="0" y="0"/>
                      <a:ext cx="3743325" cy="4914900"/>
                    </a:xfrm>
                    <a:prstGeom prst="rect">
                      <a:avLst/>
                    </a:prstGeom>
                    <a:noFill/>
                    <a:ln>
                      <a:noFill/>
                    </a:ln>
                  </pic:spPr>
                </pic:pic>
              </a:graphicData>
            </a:graphic>
          </wp:inline>
        </w:drawing>
      </w:r>
    </w:p>
    <w:p>
      <w:pPr>
        <w:pStyle w:val="3"/>
      </w:pPr>
      <w:r>
        <w:rPr>
          <w:rFonts w:hint="eastAsia"/>
        </w:rPr>
        <w:t>关联设置</w:t>
      </w:r>
    </w:p>
    <w:p>
      <w:pPr>
        <w:ind w:firstLine="480" w:firstLineChars="200"/>
      </w:pPr>
      <w:r>
        <w:rPr>
          <w:rFonts w:hint="eastAsia"/>
        </w:rPr>
        <w:t>通达信定制版面功能，提供了各种场景下所需要的关联设置。用户可根据看盘需要，进行不同关联功能设置，进行简单或复杂的界面关联。举例几种不同场景下的关联设置：</w:t>
      </w:r>
    </w:p>
    <w:p>
      <w:pPr>
        <w:pStyle w:val="4"/>
      </w:pPr>
      <w:r>
        <w:rPr>
          <w:rFonts w:hint="eastAsia"/>
        </w:rPr>
        <w:t>基本关联</w:t>
      </w:r>
    </w:p>
    <w:p>
      <w:pPr>
        <w:ind w:firstLine="482" w:firstLineChars="200"/>
        <w:rPr>
          <w:b/>
        </w:rPr>
      </w:pPr>
      <w:r>
        <w:rPr>
          <w:rFonts w:hint="eastAsia"/>
          <w:b/>
        </w:rPr>
        <w:t>基本关联——多个窗口与一个窗口进行同步联动。</w:t>
      </w:r>
    </w:p>
    <w:p>
      <w:pPr>
        <w:ind w:firstLine="480" w:firstLineChars="200"/>
      </w:pPr>
      <w:r>
        <w:rPr>
          <w:rFonts w:hint="eastAsia"/>
        </w:rPr>
        <w:t>例如，右侧关联报价和分析图浏览组件，与左侧行情报价单元（所有市场）组件进行联动。插入设置好单元后，点左上角设置版面——设置当前版面——设置分组，默认都设置分组1。保存定制版面后退出。此时点击左侧行情报价单元中的个股，右侧关联报价与分析图会与对应个股进行联动。</w:t>
      </w:r>
    </w:p>
    <w:p>
      <w:r>
        <w:drawing>
          <wp:inline distT="0" distB="0" distL="114300" distR="114300">
            <wp:extent cx="5267325" cy="2943225"/>
            <wp:effectExtent l="0" t="0" r="9525" b="9525"/>
            <wp:docPr id="22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6"/>
                    <pic:cNvPicPr>
                      <a:picLocks noChangeAspect="1"/>
                    </pic:cNvPicPr>
                  </pic:nvPicPr>
                  <pic:blipFill>
                    <a:blip r:embed="rId433"/>
                    <a:stretch>
                      <a:fillRect/>
                    </a:stretch>
                  </pic:blipFill>
                  <pic:spPr>
                    <a:xfrm>
                      <a:off x="0" y="0"/>
                      <a:ext cx="5267325" cy="2943225"/>
                    </a:xfrm>
                    <a:prstGeom prst="rect">
                      <a:avLst/>
                    </a:prstGeom>
                    <a:noFill/>
                    <a:ln>
                      <a:noFill/>
                    </a:ln>
                  </pic:spPr>
                </pic:pic>
              </a:graphicData>
            </a:graphic>
          </wp:inline>
        </w:drawing>
      </w:r>
    </w:p>
    <w:p>
      <w:pPr>
        <w:ind w:firstLine="480" w:firstLineChars="200"/>
      </w:pPr>
      <w:r>
        <w:rPr>
          <w:rFonts w:hint="eastAsia"/>
        </w:rPr>
        <w:t>更改单元类型分组继承</w:t>
      </w:r>
    </w:p>
    <w:p>
      <w:pPr>
        <w:ind w:firstLine="480" w:firstLineChars="200"/>
      </w:pPr>
      <w:r>
        <w:rPr>
          <w:rFonts w:hint="eastAsia"/>
        </w:rPr>
        <w:t>如果一个自定义版面一个行情报价单元和一个k线分析界面是同属分组4的。将这个k线分析界面单元更换成普通分时界面的时候就不用重新给他分组（就是分组4），也不用担心他默认直接属于分组1，之前的分析界面的分组4由他继承过来了。</w:t>
      </w:r>
    </w:p>
    <w:p>
      <w:pPr>
        <w:pStyle w:val="4"/>
      </w:pPr>
      <w:r>
        <w:rPr>
          <w:rFonts w:hint="eastAsia"/>
        </w:rPr>
        <w:t>组间联动</w:t>
      </w:r>
    </w:p>
    <w:p>
      <w:pPr>
        <w:ind w:firstLine="482" w:firstLineChars="200"/>
        <w:rPr>
          <w:b/>
        </w:rPr>
      </w:pPr>
      <w:r>
        <w:rPr>
          <w:rFonts w:hint="eastAsia"/>
          <w:b/>
        </w:rPr>
        <w:t>设置组间联动板块，实现板块指数报价单元与板块成分股、板块指数走势图、对应个股分析图单元的联动。</w:t>
      </w:r>
    </w:p>
    <w:p>
      <w:pPr>
        <w:ind w:firstLine="480" w:firstLineChars="200"/>
      </w:pPr>
      <w:r>
        <w:rPr>
          <w:rFonts w:hint="eastAsia"/>
        </w:rPr>
        <w:t>分组1添加“板块指数”单元，分组2添加“板块联动（下组）”，实现选中上面板块指数后分组2联动显示指数对应的成分股。</w:t>
      </w:r>
    </w:p>
    <w:p>
      <w:pPr>
        <w:numPr>
          <w:ilvl w:val="0"/>
          <w:numId w:val="3"/>
        </w:numPr>
      </w:pPr>
      <w:r>
        <w:rPr>
          <w:rFonts w:hint="eastAsia"/>
        </w:rPr>
        <w:t>设置两个不同分组，要实现联动，两个分组要分别添加一个分析图或者分时图基本单元；</w:t>
      </w:r>
    </w:p>
    <w:p>
      <w:pPr>
        <w:numPr>
          <w:ilvl w:val="0"/>
          <w:numId w:val="3"/>
        </w:numPr>
      </w:pPr>
      <w:r>
        <w:rPr>
          <w:rFonts w:hint="eastAsia"/>
        </w:rPr>
        <w:t>“板块指数”单元和“组间联动板块”单元行情报价属性分别选择“选择行并联动”，如图。</w:t>
      </w:r>
    </w:p>
    <w:p>
      <w:r>
        <w:rPr>
          <w:rFonts w:hint="eastAsia"/>
        </w:rPr>
        <w:t>设置完后的联动效果图，如下图所示：</w:t>
      </w:r>
    </w:p>
    <w:p/>
    <w:p>
      <w:r>
        <w:drawing>
          <wp:inline distT="0" distB="0" distL="114300" distR="114300">
            <wp:extent cx="5267325" cy="2924175"/>
            <wp:effectExtent l="0" t="0" r="9525" b="9525"/>
            <wp:docPr id="22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7"/>
                    <pic:cNvPicPr>
                      <a:picLocks noChangeAspect="1"/>
                    </pic:cNvPicPr>
                  </pic:nvPicPr>
                  <pic:blipFill>
                    <a:blip r:embed="rId434"/>
                    <a:stretch>
                      <a:fillRect/>
                    </a:stretch>
                  </pic:blipFill>
                  <pic:spPr>
                    <a:xfrm>
                      <a:off x="0" y="0"/>
                      <a:ext cx="5267325" cy="2924175"/>
                    </a:xfrm>
                    <a:prstGeom prst="rect">
                      <a:avLst/>
                    </a:prstGeom>
                    <a:noFill/>
                    <a:ln>
                      <a:noFill/>
                    </a:ln>
                  </pic:spPr>
                </pic:pic>
              </a:graphicData>
            </a:graphic>
          </wp:inline>
        </w:drawing>
      </w:r>
    </w:p>
    <w:p>
      <w:pPr>
        <w:pStyle w:val="4"/>
      </w:pPr>
      <w:r>
        <w:rPr>
          <w:rFonts w:hint="eastAsia"/>
        </w:rPr>
        <w:t>分组联动</w:t>
      </w:r>
    </w:p>
    <w:p>
      <w:pPr>
        <w:ind w:firstLine="482" w:firstLineChars="200"/>
        <w:rPr>
          <w:b/>
        </w:rPr>
      </w:pPr>
      <w:r>
        <w:rPr>
          <w:rFonts w:hint="eastAsia"/>
          <w:b/>
        </w:rPr>
        <w:t>设置分组间的分别联动——在一个定制版面设置多个分组组合，分别进行联动；不同分组组合之间互不影响。</w:t>
      </w:r>
    </w:p>
    <w:p>
      <w:pPr>
        <w:ind w:firstLine="480" w:firstLineChars="200"/>
      </w:pPr>
      <w:r>
        <w:rPr>
          <w:rFonts w:hint="eastAsia"/>
        </w:rPr>
        <w:t>例如，点击左上图，联动右上图；点击左下图，联动右下图。两个分组组合之间互不影响。</w:t>
      </w:r>
    </w:p>
    <w:p>
      <w:r>
        <w:drawing>
          <wp:inline distT="0" distB="0" distL="114300" distR="114300">
            <wp:extent cx="5267325" cy="2962275"/>
            <wp:effectExtent l="0" t="0" r="9525" b="9525"/>
            <wp:docPr id="2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1"/>
                    <pic:cNvPicPr>
                      <a:picLocks noChangeAspect="1"/>
                    </pic:cNvPicPr>
                  </pic:nvPicPr>
                  <pic:blipFill>
                    <a:blip r:embed="rId435"/>
                    <a:stretch>
                      <a:fillRect/>
                    </a:stretch>
                  </pic:blipFill>
                  <pic:spPr>
                    <a:xfrm>
                      <a:off x="0" y="0"/>
                      <a:ext cx="5267325" cy="2962275"/>
                    </a:xfrm>
                    <a:prstGeom prst="rect">
                      <a:avLst/>
                    </a:prstGeom>
                    <a:noFill/>
                    <a:ln>
                      <a:noFill/>
                    </a:ln>
                  </pic:spPr>
                </pic:pic>
              </a:graphicData>
            </a:graphic>
          </wp:inline>
        </w:drawing>
      </w:r>
    </w:p>
    <w:p>
      <w:r>
        <w:drawing>
          <wp:inline distT="0" distB="0" distL="114300" distR="114300">
            <wp:extent cx="5267325" cy="4857750"/>
            <wp:effectExtent l="0" t="0" r="9525" b="0"/>
            <wp:docPr id="23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
                    <pic:cNvPicPr>
                      <a:picLocks noChangeAspect="1"/>
                    </pic:cNvPicPr>
                  </pic:nvPicPr>
                  <pic:blipFill>
                    <a:blip r:embed="rId436"/>
                    <a:stretch>
                      <a:fillRect/>
                    </a:stretch>
                  </pic:blipFill>
                  <pic:spPr>
                    <a:xfrm>
                      <a:off x="0" y="0"/>
                      <a:ext cx="5267325" cy="4857750"/>
                    </a:xfrm>
                    <a:prstGeom prst="rect">
                      <a:avLst/>
                    </a:prstGeom>
                    <a:noFill/>
                    <a:ln>
                      <a:noFill/>
                    </a:ln>
                  </pic:spPr>
                </pic:pic>
              </a:graphicData>
            </a:graphic>
          </wp:inline>
        </w:drawing>
      </w:r>
    </w:p>
    <w:p>
      <w:pPr>
        <w:pStyle w:val="4"/>
      </w:pPr>
      <w:r>
        <w:rPr>
          <w:rFonts w:hint="eastAsia"/>
        </w:rPr>
        <w:t>顺序联动</w:t>
      </w:r>
    </w:p>
    <w:p>
      <w:pPr>
        <w:ind w:firstLine="482" w:firstLineChars="200"/>
        <w:rPr>
          <w:b/>
        </w:rPr>
      </w:pPr>
      <w:r>
        <w:rPr>
          <w:rFonts w:hint="eastAsia"/>
          <w:b/>
        </w:rPr>
        <w:t>设置顺序联动——在一个定制版面内让多个窗口按照顺序去联动行情报价列表的主窗口，可以通过顺序联动所有分组的设置来进行实现。</w:t>
      </w:r>
    </w:p>
    <w:p>
      <w:pPr>
        <w:ind w:firstLine="480" w:firstLineChars="200"/>
      </w:pPr>
      <w:r>
        <w:rPr>
          <w:rFonts w:hint="eastAsia"/>
        </w:rPr>
        <w:t>被联动的主窗口一般为行情列表，可以进行多只标的的顺序展示。例如，点击左图为行情列主窗口，右侧有九个分时行情的小窗口，将九个小窗口依次设置分组1、分组2、分组3、分组4、分组5、分组6、分组7、分组8、分组9；主窗口点击后，右上角点击设置工具条，在属性区选择“顺序联动所有分组”，保存版面。如图所示：</w:t>
      </w:r>
    </w:p>
    <w:p>
      <w:pPr>
        <w:ind w:left="480" w:hanging="480" w:hangingChars="200"/>
      </w:pPr>
      <w:r>
        <w:drawing>
          <wp:inline distT="0" distB="0" distL="114300" distR="114300">
            <wp:extent cx="2914650" cy="3771900"/>
            <wp:effectExtent l="0" t="0" r="0" b="0"/>
            <wp:docPr id="23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5"/>
                    <pic:cNvPicPr>
                      <a:picLocks noChangeAspect="1"/>
                    </pic:cNvPicPr>
                  </pic:nvPicPr>
                  <pic:blipFill>
                    <a:blip r:embed="rId437"/>
                    <a:stretch>
                      <a:fillRect/>
                    </a:stretch>
                  </pic:blipFill>
                  <pic:spPr>
                    <a:xfrm>
                      <a:off x="0" y="0"/>
                      <a:ext cx="2914650" cy="3771900"/>
                    </a:xfrm>
                    <a:prstGeom prst="rect">
                      <a:avLst/>
                    </a:prstGeom>
                    <a:noFill/>
                    <a:ln>
                      <a:noFill/>
                    </a:ln>
                  </pic:spPr>
                </pic:pic>
              </a:graphicData>
            </a:graphic>
          </wp:inline>
        </w:drawing>
      </w:r>
    </w:p>
    <w:p>
      <w:pPr>
        <w:ind w:left="480" w:hanging="480" w:hangingChars="200"/>
      </w:pPr>
      <w:r>
        <w:rPr>
          <w:rFonts w:hint="eastAsia"/>
        </w:rPr>
        <w:t>此时已经设置好顺序联动的版面，点击左侧栏的行情列表，右侧九个窗口会按照顺序依</w:t>
      </w:r>
    </w:p>
    <w:p>
      <w:r>
        <w:rPr>
          <w:rFonts w:hint="eastAsia"/>
        </w:rPr>
        <w:t>次展开九只股票的分时图，方便交易员快速浏览多只股票。</w:t>
      </w:r>
    </w:p>
    <w:p>
      <w:r>
        <w:drawing>
          <wp:inline distT="0" distB="0" distL="114300" distR="114300">
            <wp:extent cx="5267325" cy="2343150"/>
            <wp:effectExtent l="0" t="0" r="9525" b="0"/>
            <wp:docPr id="23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3"/>
                    <pic:cNvPicPr>
                      <a:picLocks noChangeAspect="1"/>
                    </pic:cNvPicPr>
                  </pic:nvPicPr>
                  <pic:blipFill>
                    <a:blip r:embed="rId438"/>
                    <a:stretch>
                      <a:fillRect/>
                    </a:stretch>
                  </pic:blipFill>
                  <pic:spPr>
                    <a:xfrm>
                      <a:off x="0" y="0"/>
                      <a:ext cx="5267325" cy="2343150"/>
                    </a:xfrm>
                    <a:prstGeom prst="rect">
                      <a:avLst/>
                    </a:prstGeom>
                    <a:noFill/>
                    <a:ln>
                      <a:noFill/>
                    </a:ln>
                  </pic:spPr>
                </pic:pic>
              </a:graphicData>
            </a:graphic>
          </wp:inline>
        </w:drawing>
      </w:r>
    </w:p>
    <w:p>
      <w:pPr>
        <w:ind w:firstLine="480" w:firstLineChars="200"/>
      </w:pPr>
      <w:r>
        <w:rPr>
          <w:rFonts w:hint="eastAsia"/>
        </w:rPr>
        <w:t>将第二个小窗口图也设置为分组1，则点击主窗口联动显示时，在第一个、第二个小窗口均显示第一张图。用户可以根据场景自行设置分组，比如第1个小窗口设置分时图---分组1，第2个小窗口设置k线图----分组1；第3个小窗口设置分时图---分组2，第4个小窗口设置k线图----分组2；依次设置，可以按照顺序展示主窗口行情列表个股的分时图与k线图。</w:t>
      </w:r>
    </w:p>
    <w:p>
      <w:r>
        <w:drawing>
          <wp:inline distT="0" distB="0" distL="114300" distR="114300">
            <wp:extent cx="5267325" cy="2771775"/>
            <wp:effectExtent l="0" t="0" r="9525" b="9525"/>
            <wp:docPr id="23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4"/>
                    <pic:cNvPicPr>
                      <a:picLocks noChangeAspect="1"/>
                    </pic:cNvPicPr>
                  </pic:nvPicPr>
                  <pic:blipFill>
                    <a:blip r:embed="rId439"/>
                    <a:stretch>
                      <a:fillRect/>
                    </a:stretch>
                  </pic:blipFill>
                  <pic:spPr>
                    <a:xfrm>
                      <a:off x="0" y="0"/>
                      <a:ext cx="5267325" cy="2771775"/>
                    </a:xfrm>
                    <a:prstGeom prst="rect">
                      <a:avLst/>
                    </a:prstGeom>
                    <a:noFill/>
                    <a:ln>
                      <a:noFill/>
                    </a:ln>
                  </pic:spPr>
                </pic:pic>
              </a:graphicData>
            </a:graphic>
          </wp:inline>
        </w:drawing>
      </w:r>
    </w:p>
    <w:p>
      <w:pPr>
        <w:pStyle w:val="4"/>
      </w:pPr>
      <w:r>
        <w:rPr>
          <w:rFonts w:hint="eastAsia"/>
        </w:rPr>
        <w:t>分组的关联组</w:t>
      </w:r>
    </w:p>
    <w:p>
      <w:pPr>
        <w:ind w:firstLine="420"/>
        <w:rPr>
          <w:b/>
        </w:rPr>
      </w:pPr>
      <w:r>
        <w:rPr>
          <w:rFonts w:hint="eastAsia"/>
          <w:b/>
        </w:rPr>
        <w:t>设置分组的关联组——实现随分组1品种变化，分组1的关联组对应的功能（可设置品种对应的指数、对应的AH股、所属行业指数或对应标的品种）进行关联变化。</w:t>
      </w:r>
    </w:p>
    <w:p>
      <w:r>
        <w:rPr>
          <w:rFonts w:hint="eastAsia"/>
        </w:rPr>
        <w:t>注意：</w:t>
      </w:r>
    </w:p>
    <w:p>
      <w:pPr>
        <w:numPr>
          <w:ilvl w:val="0"/>
          <w:numId w:val="4"/>
        </w:numPr>
      </w:pPr>
      <w:r>
        <w:rPr>
          <w:rFonts w:hint="eastAsia"/>
        </w:rPr>
        <w:t>要实现联动，分组1要添加一个分析图或者分时图基本单元；</w:t>
      </w:r>
    </w:p>
    <w:p>
      <w:pPr>
        <w:numPr>
          <w:ilvl w:val="0"/>
          <w:numId w:val="4"/>
        </w:numPr>
      </w:pPr>
      <w:r>
        <w:rPr>
          <w:rFonts w:hint="eastAsia"/>
        </w:rPr>
        <w:t>具体的关联关系需在左上方设置版面-修改版面信息中设置，如图选择的是关联所属行业指数；</w:t>
      </w:r>
    </w:p>
    <w:p>
      <w:r>
        <w:drawing>
          <wp:inline distT="0" distB="0" distL="114300" distR="114300">
            <wp:extent cx="3048000" cy="6886575"/>
            <wp:effectExtent l="0" t="0" r="0" b="9525"/>
            <wp:docPr id="23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8"/>
                    <pic:cNvPicPr>
                      <a:picLocks noChangeAspect="1"/>
                    </pic:cNvPicPr>
                  </pic:nvPicPr>
                  <pic:blipFill>
                    <a:blip r:embed="rId440"/>
                    <a:stretch>
                      <a:fillRect/>
                    </a:stretch>
                  </pic:blipFill>
                  <pic:spPr>
                    <a:xfrm>
                      <a:off x="0" y="0"/>
                      <a:ext cx="3048000" cy="6886575"/>
                    </a:xfrm>
                    <a:prstGeom prst="rect">
                      <a:avLst/>
                    </a:prstGeom>
                    <a:noFill/>
                    <a:ln>
                      <a:noFill/>
                    </a:ln>
                  </pic:spPr>
                </pic:pic>
              </a:graphicData>
            </a:graphic>
          </wp:inline>
        </w:drawing>
      </w:r>
    </w:p>
    <w:p/>
    <w:p>
      <w:pPr>
        <w:ind w:firstLine="420"/>
        <w:rPr>
          <w:b/>
        </w:rPr>
      </w:pPr>
      <w:r>
        <w:rPr>
          <w:rFonts w:hint="eastAsia"/>
          <w:b/>
        </w:rPr>
        <w:t>设置分组1的关联组</w:t>
      </w:r>
    </w:p>
    <w:p>
      <w:pPr>
        <w:ind w:firstLine="420"/>
      </w:pPr>
      <w:r>
        <w:rPr>
          <w:rFonts w:hint="eastAsia"/>
          <w:bCs/>
        </w:rPr>
        <w:t>设置分组1的关联组。</w:t>
      </w:r>
      <w:r>
        <w:rPr>
          <w:rFonts w:hint="eastAsia"/>
        </w:rPr>
        <w:t>例如，设置分析图和分时图为分组1，与行情报价单元（所有市场）进行关联联动，当设置右下角的分时图为分组1的关联组（关联组类型选所属指数关联），则右下角分组1的分时图展示对应对应报价单元中定位的平安银行的所属指数的分时图，而不是展示平安银行的分时图。</w:t>
      </w:r>
    </w:p>
    <w:p>
      <w:pPr>
        <w:rPr>
          <w:b/>
          <w:bCs/>
        </w:rPr>
      </w:pPr>
    </w:p>
    <w:p>
      <w:r>
        <w:drawing>
          <wp:inline distT="0" distB="0" distL="114300" distR="114300">
            <wp:extent cx="5267325" cy="2924175"/>
            <wp:effectExtent l="0" t="0" r="9525" b="9525"/>
            <wp:docPr id="23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9"/>
                    <pic:cNvPicPr>
                      <a:picLocks noChangeAspect="1"/>
                    </pic:cNvPicPr>
                  </pic:nvPicPr>
                  <pic:blipFill>
                    <a:blip r:embed="rId441"/>
                    <a:stretch>
                      <a:fillRect/>
                    </a:stretch>
                  </pic:blipFill>
                  <pic:spPr>
                    <a:xfrm>
                      <a:off x="0" y="0"/>
                      <a:ext cx="5267325" cy="2924175"/>
                    </a:xfrm>
                    <a:prstGeom prst="rect">
                      <a:avLst/>
                    </a:prstGeom>
                    <a:noFill/>
                    <a:ln>
                      <a:noFill/>
                    </a:ln>
                  </pic:spPr>
                </pic:pic>
              </a:graphicData>
            </a:graphic>
          </wp:inline>
        </w:drawing>
      </w:r>
    </w:p>
    <w:p/>
    <w:p>
      <w:pPr>
        <w:ind w:firstLine="420"/>
        <w:rPr>
          <w:b/>
        </w:rPr>
      </w:pPr>
      <w:r>
        <w:rPr>
          <w:rFonts w:hint="eastAsia"/>
          <w:b/>
        </w:rPr>
        <w:t>设置分组1的第二种关联</w:t>
      </w:r>
    </w:p>
    <w:p>
      <w:pPr>
        <w:ind w:firstLine="420"/>
      </w:pPr>
      <w:r>
        <w:rPr>
          <w:rFonts w:hint="eastAsia"/>
          <w:bCs/>
        </w:rPr>
        <w:t>设置分组1的第二种关联。</w:t>
      </w:r>
      <w:r>
        <w:rPr>
          <w:rFonts w:hint="eastAsia"/>
        </w:rPr>
        <w:t>例如，设置分析图和分时图为分组1，与行情报价单元（所有市场）进行两种关联联动，当设置右下角的分时图为分组1的关联组（关联组类型选所属指数关联），则右下角分组1的分时图展示对应对应报价单元中定位的平安银行的所属指数的分时图；设置右下角分析图为分组1的第二种关联，则展示平安银行的所属行业的指数k线走势图。</w:t>
      </w:r>
    </w:p>
    <w:p>
      <w:r>
        <w:drawing>
          <wp:inline distT="0" distB="0" distL="114300" distR="114300">
            <wp:extent cx="5257800" cy="2667000"/>
            <wp:effectExtent l="0" t="0" r="0" b="0"/>
            <wp:docPr id="23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10"/>
                    <pic:cNvPicPr>
                      <a:picLocks noChangeAspect="1"/>
                    </pic:cNvPicPr>
                  </pic:nvPicPr>
                  <pic:blipFill>
                    <a:blip r:embed="rId442"/>
                    <a:stretch>
                      <a:fillRect/>
                    </a:stretch>
                  </pic:blipFill>
                  <pic:spPr>
                    <a:xfrm>
                      <a:off x="0" y="0"/>
                      <a:ext cx="5257800" cy="2667000"/>
                    </a:xfrm>
                    <a:prstGeom prst="rect">
                      <a:avLst/>
                    </a:prstGeom>
                    <a:noFill/>
                    <a:ln>
                      <a:noFill/>
                    </a:ln>
                  </pic:spPr>
                </pic:pic>
              </a:graphicData>
            </a:graphic>
          </wp:inline>
        </w:drawing>
      </w:r>
    </w:p>
    <w:p>
      <w:pPr>
        <w:pStyle w:val="4"/>
      </w:pPr>
      <w:r>
        <w:rPr>
          <w:rFonts w:hint="eastAsia"/>
        </w:rPr>
        <w:t>标签切换联动</w:t>
      </w:r>
    </w:p>
    <w:p>
      <w:pPr>
        <w:ind w:firstLine="420"/>
        <w:rPr>
          <w:b/>
        </w:rPr>
      </w:pPr>
      <w:r>
        <w:rPr>
          <w:rFonts w:hint="eastAsia"/>
          <w:b/>
        </w:rPr>
        <w:t>叠加标签设置，实现叠加单元的联动切换</w:t>
      </w:r>
    </w:p>
    <w:p>
      <w:pPr>
        <w:ind w:firstLine="480" w:firstLineChars="200"/>
      </w:pPr>
      <w:r>
        <w:rPr>
          <w:rFonts w:hint="eastAsia"/>
        </w:rPr>
        <w:t>叠加标签设置勾选叠加单元模式，标签可以设置标题名称、描述、联动、标签风格；选择要联动的标签。</w:t>
      </w:r>
    </w:p>
    <w:p>
      <w:pPr>
        <w:ind w:firstLine="480" w:firstLineChars="200"/>
      </w:pPr>
      <w:r>
        <w:rPr>
          <w:rFonts w:hint="eastAsia"/>
        </w:rPr>
        <w:t>例如：点击图1分析图单元，右键启用叠加标签设置，选择要与图1分析图单元联动的单元（如图2的关联报价单元、图3的固定市场单元，点击图1分析图单元的分析图标签，可实现点击“分析图”单元，联动跳到图2的关联报价单元、图3的固定市场单元，实现三组单元之间的联动。如下图所示：</w:t>
      </w:r>
    </w:p>
    <w:p>
      <w:r>
        <w:drawing>
          <wp:inline distT="0" distB="0" distL="114300" distR="114300">
            <wp:extent cx="5267325" cy="3886200"/>
            <wp:effectExtent l="0" t="0" r="9525" b="0"/>
            <wp:docPr id="23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12"/>
                    <pic:cNvPicPr>
                      <a:picLocks noChangeAspect="1"/>
                    </pic:cNvPicPr>
                  </pic:nvPicPr>
                  <pic:blipFill>
                    <a:blip r:embed="rId443"/>
                    <a:stretch>
                      <a:fillRect/>
                    </a:stretch>
                  </pic:blipFill>
                  <pic:spPr>
                    <a:xfrm>
                      <a:off x="0" y="0"/>
                      <a:ext cx="5267325" cy="3886200"/>
                    </a:xfrm>
                    <a:prstGeom prst="rect">
                      <a:avLst/>
                    </a:prstGeom>
                    <a:noFill/>
                    <a:ln>
                      <a:noFill/>
                    </a:ln>
                  </pic:spPr>
                </pic:pic>
              </a:graphicData>
            </a:graphic>
          </wp:inline>
        </w:drawing>
      </w:r>
    </w:p>
    <w:p>
      <w:pPr>
        <w:pStyle w:val="4"/>
      </w:pPr>
      <w:r>
        <w:rPr>
          <w:rFonts w:hint="eastAsia"/>
        </w:rPr>
        <w:t>组合嵌套联动</w:t>
      </w:r>
    </w:p>
    <w:p>
      <w:pPr>
        <w:ind w:firstLine="420"/>
        <w:rPr>
          <w:b/>
        </w:rPr>
      </w:pPr>
      <w:r>
        <w:rPr>
          <w:rFonts w:hint="eastAsia"/>
          <w:b/>
        </w:rPr>
        <w:t>通过分组联动与叠加标签设置，实现多分组多单元的组合嵌套联动</w:t>
      </w:r>
    </w:p>
    <w:p>
      <w:pPr>
        <w:ind w:firstLine="480" w:firstLineChars="200"/>
      </w:pPr>
      <w:r>
        <w:t>根据上述的各种联动设置操作，可以进行如图所示的复杂组间联动：</w:t>
      </w:r>
    </w:p>
    <w:p>
      <w:pPr>
        <w:ind w:firstLine="420"/>
      </w:pPr>
      <w:r>
        <w:t>联动组1：分组1的所有市场单元与分组1的关联组分时图（或分析图）单元、分组1 分时图（或关联报价）单元的联动。</w:t>
      </w:r>
    </w:p>
    <w:p>
      <w:pPr>
        <w:ind w:firstLine="420"/>
      </w:pPr>
      <w:r>
        <w:t>联动组2：分组2的所有单元与分组2的关联组分析图（或固定市场）单元、分组2 分析图单元的联动。</w:t>
      </w:r>
    </w:p>
    <w:p>
      <w:pPr>
        <w:ind w:firstLine="420"/>
      </w:pPr>
      <w:r>
        <w:t>联动组3：点击分组1关联组的分析图标签，与分组1 关联报价单元和分组2的关联组的固定市场单元实现不同标签单元的联动切换。</w:t>
      </w:r>
    </w:p>
    <w:p>
      <w:pPr>
        <w:ind w:firstLine="420"/>
      </w:pPr>
    </w:p>
    <w:p>
      <w:pPr>
        <w:rPr>
          <w:b/>
          <w:bCs/>
        </w:rPr>
      </w:pPr>
      <w:r>
        <w:drawing>
          <wp:inline distT="0" distB="0" distL="114300" distR="114300">
            <wp:extent cx="5295900" cy="3067050"/>
            <wp:effectExtent l="0" t="0" r="0" b="0"/>
            <wp:docPr id="23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13"/>
                    <pic:cNvPicPr>
                      <a:picLocks noChangeAspect="1"/>
                    </pic:cNvPicPr>
                  </pic:nvPicPr>
                  <pic:blipFill>
                    <a:blip r:embed="rId444"/>
                    <a:stretch>
                      <a:fillRect/>
                    </a:stretch>
                  </pic:blipFill>
                  <pic:spPr>
                    <a:xfrm>
                      <a:off x="0" y="0"/>
                      <a:ext cx="5295900" cy="3067050"/>
                    </a:xfrm>
                    <a:prstGeom prst="rect">
                      <a:avLst/>
                    </a:prstGeom>
                    <a:noFill/>
                    <a:ln>
                      <a:noFill/>
                    </a:ln>
                  </pic:spPr>
                </pic:pic>
              </a:graphicData>
            </a:graphic>
          </wp:inline>
        </w:drawing>
      </w:r>
    </w:p>
    <w:p>
      <w:pPr>
        <w:pStyle w:val="4"/>
        <w:rPr>
          <w:szCs w:val="27"/>
        </w:rPr>
      </w:pPr>
      <w:r>
        <w:rPr>
          <w:rFonts w:hint="eastAsia"/>
        </w:rPr>
        <w:t>其他设置</w:t>
      </w:r>
    </w:p>
    <w:p>
      <w:pPr>
        <w:pStyle w:val="34"/>
        <w:rPr>
          <w:rFonts w:ascii="微软雅黑" w:hAnsi="微软雅黑" w:eastAsia="微软雅黑"/>
          <w:color w:val="000000"/>
          <w:sz w:val="18"/>
          <w:szCs w:val="18"/>
        </w:rPr>
      </w:pPr>
      <w:r>
        <w:rPr>
          <w:rFonts w:hint="eastAsia"/>
          <w:szCs w:val="18"/>
        </w:rPr>
        <w:t>分时成交明细单元属性区有“显示资金流向数据”选项。</w:t>
      </w:r>
    </w:p>
    <w:p>
      <w:pPr>
        <w:pStyle w:val="34"/>
        <w:ind w:firstLine="360"/>
        <w:rPr>
          <w:rFonts w:ascii="微软雅黑" w:hAnsi="微软雅黑" w:eastAsia="微软雅黑"/>
          <w:color w:val="000000"/>
          <w:sz w:val="18"/>
          <w:szCs w:val="18"/>
        </w:rPr>
      </w:pPr>
      <w:r>
        <w:rPr>
          <w:rFonts w:ascii="微软雅黑" w:hAnsi="微软雅黑" w:eastAsia="微软雅黑"/>
          <w:color w:val="000000"/>
          <w:sz w:val="18"/>
          <w:szCs w:val="18"/>
        </w:rPr>
        <w:fldChar w:fldCharType="begin"/>
      </w:r>
      <w:r>
        <w:rPr>
          <w:rFonts w:ascii="微软雅黑" w:hAnsi="微软雅黑" w:eastAsia="微软雅黑"/>
          <w:color w:val="000000"/>
          <w:sz w:val="18"/>
          <w:szCs w:val="18"/>
        </w:rPr>
        <w:instrText xml:space="preserve"> INCLUDEPICTURE  "https://www.tdx.com.cn/products/helpfile/tdxw/chm/%E7%AC%AC%E4%B8%89%E7%AB%A0  %E7%89%88%E9%9D%A2%E5%92%8C%E5%85%AC%E5%BC%8F/3-1/33.png" \* MERGEFORMATINET </w:instrText>
      </w:r>
      <w:r>
        <w:rPr>
          <w:rFonts w:ascii="微软雅黑" w:hAnsi="微软雅黑" w:eastAsia="微软雅黑"/>
          <w:color w:val="000000"/>
          <w:sz w:val="18"/>
          <w:szCs w:val="18"/>
        </w:rPr>
        <w:fldChar w:fldCharType="separate"/>
      </w:r>
      <w:r>
        <w:rPr>
          <w:rFonts w:ascii="微软雅黑" w:hAnsi="微软雅黑" w:eastAsia="微软雅黑"/>
          <w:color w:val="000000"/>
          <w:sz w:val="18"/>
          <w:szCs w:val="18"/>
        </w:rPr>
        <w:fldChar w:fldCharType="begin"/>
      </w:r>
      <w:r>
        <w:rPr>
          <w:rFonts w:ascii="微软雅黑" w:hAnsi="微软雅黑" w:eastAsia="微软雅黑"/>
          <w:color w:val="000000"/>
          <w:sz w:val="18"/>
          <w:szCs w:val="18"/>
        </w:rPr>
        <w:instrText xml:space="preserve"> INCLUDEPICTURE  "https://www.tdx.com.cn/products/helpfile/tdxw/chm/%E7%AC%AC%E4%B8%89%E7%AB%A0  %E7%89%88%E9%9D%A2%E5%92%8C%E5%85%AC%E5%BC%8F/3-1/33.png" \* MERGEFORMATINET </w:instrText>
      </w:r>
      <w:r>
        <w:rPr>
          <w:rFonts w:ascii="微软雅黑" w:hAnsi="微软雅黑" w:eastAsia="微软雅黑"/>
          <w:color w:val="000000"/>
          <w:sz w:val="18"/>
          <w:szCs w:val="18"/>
        </w:rPr>
        <w:fldChar w:fldCharType="separate"/>
      </w:r>
      <w:r>
        <w:rPr>
          <w:rFonts w:ascii="微软雅黑" w:hAnsi="微软雅黑" w:eastAsia="微软雅黑"/>
          <w:color w:val="000000"/>
          <w:sz w:val="18"/>
          <w:szCs w:val="18"/>
        </w:rPr>
        <w:fldChar w:fldCharType="begin"/>
      </w:r>
      <w:r>
        <w:rPr>
          <w:rFonts w:ascii="微软雅黑" w:hAnsi="微软雅黑" w:eastAsia="微软雅黑"/>
          <w:color w:val="000000"/>
          <w:sz w:val="18"/>
          <w:szCs w:val="18"/>
        </w:rPr>
        <w:instrText xml:space="preserve"> INCLUDEPICTURE  "https://www.tdx.com.cn/products/helpfile/tdxw/chm/%E7%AC%AC%E4%B8%89%E7%AB%A0  %E7%89%88%E9%9D%A2%E5%92%8C%E5%85%AC%E5%BC%8F/3-1/33.png" \* MERGEFORMATINET </w:instrText>
      </w:r>
      <w:r>
        <w:rPr>
          <w:rFonts w:ascii="微软雅黑" w:hAnsi="微软雅黑" w:eastAsia="微软雅黑"/>
          <w:color w:val="000000"/>
          <w:sz w:val="18"/>
          <w:szCs w:val="18"/>
        </w:rPr>
        <w:fldChar w:fldCharType="separate"/>
      </w:r>
      <w:r>
        <w:rPr>
          <w:rFonts w:ascii="微软雅黑" w:hAnsi="微软雅黑" w:eastAsia="微软雅黑"/>
          <w:color w:val="000000"/>
          <w:sz w:val="18"/>
          <w:szCs w:val="18"/>
        </w:rPr>
        <w:fldChar w:fldCharType="begin"/>
      </w:r>
      <w:r>
        <w:rPr>
          <w:rFonts w:ascii="微软雅黑" w:hAnsi="微软雅黑" w:eastAsia="微软雅黑"/>
          <w:color w:val="000000"/>
          <w:sz w:val="18"/>
          <w:szCs w:val="18"/>
        </w:rPr>
        <w:instrText xml:space="preserve"> INCLUDEPICTURE  "https://www.tdx.com.cn/products/helpfile/tdxw/chm/%E7%AC%AC%E4%B8%89%E7%AB%A0  %E7%89%88%E9%9D%A2%E5%92%8C%E5%85%AC%E5%BC%8F/3-1/33.png" \* MERGEFORMATINET </w:instrText>
      </w:r>
      <w:r>
        <w:rPr>
          <w:rFonts w:ascii="微软雅黑" w:hAnsi="微软雅黑" w:eastAsia="微软雅黑"/>
          <w:color w:val="000000"/>
          <w:sz w:val="18"/>
          <w:szCs w:val="18"/>
        </w:rPr>
        <w:fldChar w:fldCharType="separate"/>
      </w:r>
      <w:r>
        <w:rPr>
          <w:rFonts w:ascii="微软雅黑" w:hAnsi="微软雅黑" w:eastAsia="微软雅黑"/>
          <w:color w:val="000000"/>
          <w:sz w:val="18"/>
          <w:szCs w:val="18"/>
        </w:rPr>
        <w:drawing>
          <wp:inline distT="0" distB="0" distL="114300" distR="114300">
            <wp:extent cx="3495675" cy="5286375"/>
            <wp:effectExtent l="0" t="0" r="9525" b="9525"/>
            <wp:docPr id="239"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39"/>
                    <pic:cNvPicPr>
                      <a:picLocks noChangeAspect="1"/>
                    </pic:cNvPicPr>
                  </pic:nvPicPr>
                  <pic:blipFill>
                    <a:blip r:embed="rId445" r:link="rId446"/>
                    <a:stretch>
                      <a:fillRect/>
                    </a:stretch>
                  </pic:blipFill>
                  <pic:spPr>
                    <a:xfrm>
                      <a:off x="0" y="0"/>
                      <a:ext cx="3495675" cy="5286375"/>
                    </a:xfrm>
                    <a:prstGeom prst="rect">
                      <a:avLst/>
                    </a:prstGeom>
                    <a:noFill/>
                    <a:ln>
                      <a:noFill/>
                    </a:ln>
                  </pic:spPr>
                </pic:pic>
              </a:graphicData>
            </a:graphic>
          </wp:inline>
        </w:drawing>
      </w:r>
      <w:r>
        <w:rPr>
          <w:rFonts w:ascii="微软雅黑" w:hAnsi="微软雅黑" w:eastAsia="微软雅黑"/>
          <w:color w:val="000000"/>
          <w:sz w:val="18"/>
          <w:szCs w:val="18"/>
        </w:rPr>
        <w:fldChar w:fldCharType="end"/>
      </w:r>
      <w:r>
        <w:rPr>
          <w:rFonts w:ascii="微软雅黑" w:hAnsi="微软雅黑" w:eastAsia="微软雅黑"/>
          <w:color w:val="000000"/>
          <w:sz w:val="18"/>
          <w:szCs w:val="18"/>
        </w:rPr>
        <w:fldChar w:fldCharType="end"/>
      </w:r>
      <w:r>
        <w:rPr>
          <w:rFonts w:ascii="微软雅黑" w:hAnsi="微软雅黑" w:eastAsia="微软雅黑"/>
          <w:color w:val="000000"/>
          <w:sz w:val="18"/>
          <w:szCs w:val="18"/>
        </w:rPr>
        <w:fldChar w:fldCharType="end"/>
      </w:r>
      <w:r>
        <w:rPr>
          <w:rFonts w:ascii="微软雅黑" w:hAnsi="微软雅黑" w:eastAsia="微软雅黑"/>
          <w:color w:val="000000"/>
          <w:sz w:val="18"/>
          <w:szCs w:val="18"/>
        </w:rPr>
        <w:fldChar w:fldCharType="end"/>
      </w:r>
    </w:p>
    <w:p>
      <w:pPr>
        <w:pStyle w:val="3"/>
      </w:pPr>
      <w:bookmarkStart w:id="38" w:name="_Toc90646157"/>
      <w:r>
        <w:rPr>
          <w:rFonts w:hint="eastAsia"/>
        </w:rPr>
        <w:t>公式</w:t>
      </w:r>
      <w:bookmarkEnd w:id="38"/>
    </w:p>
    <w:p>
      <w:pPr>
        <w:pStyle w:val="4"/>
      </w:pPr>
      <w:r>
        <w:rPr>
          <w:rFonts w:hint="eastAsia"/>
        </w:rPr>
        <w:t>公式管理器</w:t>
      </w:r>
    </w:p>
    <w:p>
      <w:pPr>
        <w:pStyle w:val="34"/>
      </w:pPr>
      <w:r>
        <w:rPr>
          <w:rFonts w:hint="eastAsia"/>
        </w:rPr>
        <w:t>▲ 工具栏主功能图标按钮 </w:t>
      </w:r>
      <w:r>
        <w:fldChar w:fldCharType="begin"/>
      </w:r>
      <w:r>
        <w:instrText xml:space="preserve"> INCLUDEPICTURE  "https://www.tdx.com.cn/products/helpfile/tdxw/chm/%E7%AC%AC%E4%B8%89%E7%AB%A0  %E7%89%88%E9%9D%A2%E5%92%8C%E5%85%AC%E5%BC%8F/3-2/3-2-1/1.png" \* MERGEFORMATINET </w:instrText>
      </w:r>
      <w:r>
        <w:fldChar w:fldCharType="separate"/>
      </w:r>
      <w:r>
        <w:fldChar w:fldCharType="begin"/>
      </w:r>
      <w:r>
        <w:instrText xml:space="preserve"> INCLUDEPICTURE  "https://www.tdx.com.cn/products/helpfile/tdxw/chm/%E7%AC%AC%E4%B8%89%E7%AB%A0  %E7%89%88%E9%9D%A2%E5%92%8C%E5%85%AC%E5%BC%8F/3-2/3-2-1/1.png" \* MERGEFORMATINET </w:instrText>
      </w:r>
      <w:r>
        <w:fldChar w:fldCharType="separate"/>
      </w:r>
      <w:r>
        <w:fldChar w:fldCharType="begin"/>
      </w:r>
      <w:r>
        <w:instrText xml:space="preserve"> INCLUDEPICTURE  "https://www.tdx.com.cn/products/helpfile/tdxw/chm/%E7%AC%AC%E4%B8%89%E7%AB%A0  %E7%89%88%E9%9D%A2%E5%92%8C%E5%85%AC%E5%BC%8F/3-2/3-2-1/1.png" \* MERGEFORMATINET </w:instrText>
      </w:r>
      <w:r>
        <w:fldChar w:fldCharType="separate"/>
      </w:r>
      <w:r>
        <w:fldChar w:fldCharType="begin"/>
      </w:r>
      <w:r>
        <w:instrText xml:space="preserve"> INCLUDEPICTURE  "https://www.tdx.com.cn/products/helpfile/tdxw/chm/%E7%AC%AC%E4%B8%89%E7%AB%A0  %E7%89%88%E9%9D%A2%E5%92%8C%E5%85%AC%E5%BC%8F/3-2/3-2-1/1.png" \* MERGEFORMATINET </w:instrText>
      </w:r>
      <w:r>
        <w:fldChar w:fldCharType="separate"/>
      </w:r>
      <w:r>
        <w:drawing>
          <wp:inline distT="0" distB="0" distL="114300" distR="114300">
            <wp:extent cx="238125" cy="266700"/>
            <wp:effectExtent l="0" t="0" r="9525" b="0"/>
            <wp:docPr id="240"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40"/>
                    <pic:cNvPicPr>
                      <a:picLocks noChangeAspect="1"/>
                    </pic:cNvPicPr>
                  </pic:nvPicPr>
                  <pic:blipFill>
                    <a:blip r:embed="rId447" r:link="rId448"/>
                    <a:stretch>
                      <a:fillRect/>
                    </a:stretch>
                  </pic:blipFill>
                  <pic:spPr>
                    <a:xfrm>
                      <a:off x="0" y="0"/>
                      <a:ext cx="238125" cy="266700"/>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 公式---公式管理器 </w:t>
      </w:r>
    </w:p>
    <w:p>
      <w:pPr>
        <w:pStyle w:val="34"/>
      </w:pPr>
      <w:r>
        <w:rPr>
          <w:rFonts w:hint="eastAsia"/>
        </w:rPr>
        <w:t>▲ 热键 Ctrl+F </w:t>
      </w:r>
    </w:p>
    <w:p>
      <w:pPr>
        <w:pStyle w:val="34"/>
      </w:pPr>
      <w:r>
        <w:rPr>
          <w:rFonts w:hint="eastAsia"/>
        </w:rPr>
        <w:t>▲ 键盘精灵 .901</w:t>
      </w:r>
    </w:p>
    <w:p>
      <w:pPr>
        <w:pStyle w:val="34"/>
      </w:pPr>
      <w:r>
        <w:fldChar w:fldCharType="begin"/>
      </w:r>
      <w:r>
        <w:instrText xml:space="preserve"> INCLUDEPICTURE  "https://www.tdx.com.cn/products/helpfile/tdxw/chm/%E7%AC%AC%E4%B8%89%E7%AB%A0  %E7%89%88%E9%9D%A2%E5%92%8C%E5%85%AC%E5%BC%8F/3-2/3-2-1/2.png" \* MERGEFORMATINET </w:instrText>
      </w:r>
      <w:r>
        <w:fldChar w:fldCharType="separate"/>
      </w:r>
      <w:r>
        <w:fldChar w:fldCharType="begin"/>
      </w:r>
      <w:r>
        <w:instrText xml:space="preserve"> INCLUDEPICTURE  "https://www.tdx.com.cn/products/helpfile/tdxw/chm/%E7%AC%AC%E4%B8%89%E7%AB%A0  %E7%89%88%E9%9D%A2%E5%92%8C%E5%85%AC%E5%BC%8F/3-2/3-2-1/2.png" \* MERGEFORMATINET </w:instrText>
      </w:r>
      <w:r>
        <w:fldChar w:fldCharType="separate"/>
      </w:r>
      <w:r>
        <w:fldChar w:fldCharType="begin"/>
      </w:r>
      <w:r>
        <w:instrText xml:space="preserve"> INCLUDEPICTURE  "https://www.tdx.com.cn/products/helpfile/tdxw/chm/%E7%AC%AC%E4%B8%89%E7%AB%A0  %E7%89%88%E9%9D%A2%E5%92%8C%E5%85%AC%E5%BC%8F/3-2/3-2-1/2.png" \* MERGEFORMATINET </w:instrText>
      </w:r>
      <w:r>
        <w:fldChar w:fldCharType="separate"/>
      </w:r>
      <w:r>
        <w:fldChar w:fldCharType="begin"/>
      </w:r>
      <w:r>
        <w:instrText xml:space="preserve"> INCLUDEPICTURE  "https://www.tdx.com.cn/products/helpfile/tdxw/chm/%E7%AC%AC%E4%B8%89%E7%AB%A0  %E7%89%88%E9%9D%A2%E5%92%8C%E5%85%AC%E5%BC%8F/3-2/3-2-1/2.png" \* MERGEFORMATINET </w:instrText>
      </w:r>
      <w:r>
        <w:fldChar w:fldCharType="separate"/>
      </w:r>
      <w:r>
        <w:drawing>
          <wp:inline distT="0" distB="0" distL="114300" distR="114300">
            <wp:extent cx="4305300" cy="6096000"/>
            <wp:effectExtent l="0" t="0" r="0" b="0"/>
            <wp:docPr id="241"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41"/>
                    <pic:cNvPicPr>
                      <a:picLocks noChangeAspect="1"/>
                    </pic:cNvPicPr>
                  </pic:nvPicPr>
                  <pic:blipFill>
                    <a:blip r:embed="rId449" r:link="rId450"/>
                    <a:stretch>
                      <a:fillRect/>
                    </a:stretch>
                  </pic:blipFill>
                  <pic:spPr>
                    <a:xfrm>
                      <a:off x="0" y="0"/>
                      <a:ext cx="4305300" cy="6096000"/>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公式管理器可管理四种类型的公式： </w:t>
      </w:r>
    </w:p>
    <w:p>
      <w:pPr>
        <w:pStyle w:val="34"/>
      </w:pPr>
      <w:r>
        <w:rPr>
          <w:rFonts w:hint="eastAsia"/>
        </w:rPr>
        <w:t>技术指标公式：用于指标图形的绘制。 </w:t>
      </w:r>
    </w:p>
    <w:p>
      <w:pPr>
        <w:pStyle w:val="34"/>
      </w:pPr>
      <w:r>
        <w:rPr>
          <w:rFonts w:hint="eastAsia"/>
        </w:rPr>
        <w:t>条件选股公式：用于条件选股。 </w:t>
      </w:r>
    </w:p>
    <w:p>
      <w:pPr>
        <w:pStyle w:val="34"/>
      </w:pPr>
      <w:r>
        <w:rPr>
          <w:rFonts w:hint="eastAsia"/>
        </w:rPr>
        <w:t>专家系统公式：用于专家指示及测参、测指。 </w:t>
      </w:r>
    </w:p>
    <w:p>
      <w:pPr>
        <w:pStyle w:val="34"/>
      </w:pPr>
      <w:r>
        <w:rPr>
          <w:rFonts w:hint="eastAsia"/>
        </w:rPr>
        <w:t>五彩K线公式：用于K线模式指示。 </w:t>
      </w:r>
    </w:p>
    <w:p>
      <w:pPr>
        <w:pStyle w:val="34"/>
      </w:pPr>
      <w:r>
        <w:rPr>
          <w:rFonts w:hint="eastAsia"/>
        </w:rPr>
        <w:t>这四种公式相互独立，名称可以相同，但其内容和作用不同。</w:t>
      </w:r>
    </w:p>
    <w:p>
      <w:pPr>
        <w:pStyle w:val="34"/>
      </w:pPr>
    </w:p>
    <w:p>
      <w:pPr>
        <w:pStyle w:val="34"/>
      </w:pPr>
      <w:r>
        <w:rPr>
          <w:rFonts w:hint="eastAsia"/>
        </w:rPr>
        <w:t>每种类型的公式包括四种形式： </w:t>
      </w:r>
    </w:p>
    <w:p>
      <w:pPr>
        <w:pStyle w:val="34"/>
      </w:pPr>
      <w:r>
        <w:rPr>
          <w:rFonts w:hint="eastAsia"/>
        </w:rPr>
        <w:t>系统加密公式：用绿色图标和锁形符号显示，要进行密码确认 </w:t>
      </w:r>
    </w:p>
    <w:p>
      <w:pPr>
        <w:pStyle w:val="34"/>
      </w:pPr>
      <w:r>
        <w:rPr>
          <w:rFonts w:hint="eastAsia"/>
        </w:rPr>
        <w:t>系统公式：用绿色图标显示，可进行删改 </w:t>
      </w:r>
    </w:p>
    <w:p>
      <w:pPr>
        <w:pStyle w:val="34"/>
      </w:pPr>
      <w:r>
        <w:rPr>
          <w:rFonts w:hint="eastAsia"/>
        </w:rPr>
        <w:t>用户加密公式：用红色图标和锁形符号显示，要进行密码确认 </w:t>
      </w:r>
    </w:p>
    <w:p>
      <w:pPr>
        <w:pStyle w:val="34"/>
      </w:pPr>
      <w:r>
        <w:rPr>
          <w:rFonts w:hint="eastAsia"/>
        </w:rPr>
        <w:t>用户公式：用红色图标显示，可进行删改。同时用户分组中也支持对公式拖动进行重新分组归类（只在用户分组内部）。</w:t>
      </w:r>
    </w:p>
    <w:p>
      <w:pPr>
        <w:pStyle w:val="34"/>
      </w:pPr>
      <w:r>
        <w:rPr>
          <w:rFonts w:hint="eastAsia"/>
        </w:rPr>
        <w:t>■新建各类别自定公式：选择公式组一个一级节点或者二级节点，然后新建自定义公式。 </w:t>
      </w:r>
    </w:p>
    <w:p>
      <w:pPr>
        <w:pStyle w:val="34"/>
      </w:pPr>
      <w:r>
        <w:rPr>
          <w:rFonts w:hint="eastAsia"/>
        </w:rPr>
        <w:t>包括新建技术指标公式、条件选股公式、专家系统公式（交易系统公式）、五彩K线公式。 </w:t>
      </w:r>
    </w:p>
    <w:p>
      <w:pPr>
        <w:pStyle w:val="34"/>
      </w:pPr>
      <w:r>
        <w:rPr>
          <w:rFonts w:hint="eastAsia"/>
        </w:rPr>
        <w:t>■另存为公式：支持已有公式另存为其他名称的公式。 </w:t>
      </w:r>
    </w:p>
    <w:p>
      <w:pPr>
        <w:pStyle w:val="34"/>
      </w:pPr>
      <w:r>
        <w:rPr>
          <w:rFonts w:hint="eastAsia"/>
        </w:rPr>
        <w:t>■修改公式（ALT+S）、导入导出公式。</w:t>
      </w:r>
    </w:p>
    <w:p>
      <w:pPr>
        <w:pStyle w:val="34"/>
      </w:pPr>
      <w:r>
        <w:rPr>
          <w:rFonts w:hint="eastAsia"/>
        </w:rPr>
        <w:t>主要快捷键</w:t>
      </w:r>
    </w:p>
    <w:tbl>
      <w:tblPr>
        <w:tblStyle w:val="25"/>
        <w:tblW w:w="0" w:type="auto"/>
        <w:tblCellSpacing w:w="0" w:type="dxa"/>
        <w:tblInd w:w="0" w:type="dxa"/>
        <w:tblBorders>
          <w:top w:val="outset" w:color="auto" w:sz="6" w:space="0"/>
          <w:left w:val="outset" w:color="auto" w:sz="6" w:space="0"/>
          <w:bottom w:val="outset" w:color="auto" w:sz="6" w:space="0"/>
          <w:right w:val="outset" w:color="auto" w:sz="6" w:space="0"/>
          <w:insideH w:val="none" w:color="auto" w:sz="0" w:space="0"/>
          <w:insideV w:val="none" w:color="auto" w:sz="0" w:space="0"/>
        </w:tblBorders>
        <w:tblLayout w:type="autofit"/>
        <w:tblCellMar>
          <w:top w:w="0" w:type="dxa"/>
          <w:left w:w="0" w:type="dxa"/>
          <w:bottom w:w="0" w:type="dxa"/>
          <w:right w:w="0" w:type="dxa"/>
        </w:tblCellMar>
      </w:tblPr>
      <w:tblGrid>
        <w:gridCol w:w="1560"/>
        <w:gridCol w:w="870"/>
        <w:gridCol w:w="5805"/>
      </w:tblGrid>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560" w:type="dxa"/>
            <w:tcBorders>
              <w:top w:val="outset" w:color="auto" w:sz="6" w:space="0"/>
              <w:left w:val="outset" w:color="auto" w:sz="6" w:space="0"/>
              <w:bottom w:val="outset" w:color="auto" w:sz="6" w:space="0"/>
              <w:right w:val="outset" w:color="auto" w:sz="6" w:space="0"/>
            </w:tcBorders>
            <w:vAlign w:val="center"/>
          </w:tcPr>
          <w:p>
            <w:pPr>
              <w:pStyle w:val="34"/>
            </w:pPr>
          </w:p>
          <w:p>
            <w:pPr>
              <w:pStyle w:val="34"/>
              <w:rPr>
                <w:rFonts w:cs="宋体"/>
              </w:rPr>
            </w:pPr>
            <w:r>
              <w:rPr>
                <w:rFonts w:hint="eastAsia"/>
              </w:rPr>
              <w:t>操作</w:t>
            </w:r>
          </w:p>
        </w:tc>
        <w:tc>
          <w:tcPr>
            <w:tcW w:w="870"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快捷键</w:t>
            </w:r>
          </w:p>
        </w:tc>
        <w:tc>
          <w:tcPr>
            <w:tcW w:w="5805"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意义</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560"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修改指标公式</w:t>
            </w:r>
          </w:p>
        </w:tc>
        <w:tc>
          <w:tcPr>
            <w:tcW w:w="870"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Alt+S</w:t>
            </w:r>
          </w:p>
        </w:tc>
        <w:tc>
          <w:tcPr>
            <w:tcW w:w="5805"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修改自定义公式</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560"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指标用法注释</w:t>
            </w:r>
          </w:p>
        </w:tc>
        <w:tc>
          <w:tcPr>
            <w:tcW w:w="870"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ALT+R</w:t>
            </w:r>
          </w:p>
        </w:tc>
        <w:tc>
          <w:tcPr>
            <w:tcW w:w="5805"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查看指标用法注释如果指标公式添加了注释的话</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560"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调整指标参数</w:t>
            </w:r>
          </w:p>
        </w:tc>
        <w:tc>
          <w:tcPr>
            <w:tcW w:w="870"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ALT+T</w:t>
            </w:r>
          </w:p>
        </w:tc>
        <w:tc>
          <w:tcPr>
            <w:tcW w:w="5805"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修改已有公式的参数默认值</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560"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删除当前指标</w:t>
            </w:r>
          </w:p>
        </w:tc>
        <w:tc>
          <w:tcPr>
            <w:tcW w:w="870"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Del</w:t>
            </w:r>
          </w:p>
        </w:tc>
        <w:tc>
          <w:tcPr>
            <w:tcW w:w="5805"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删除当前窗口的当前选中的指标</w:t>
            </w:r>
          </w:p>
        </w:tc>
      </w:tr>
    </w:tbl>
    <w:p>
      <w:pPr>
        <w:pStyle w:val="34"/>
      </w:pPr>
      <w:r>
        <w:rPr>
          <w:rFonts w:hint="eastAsia"/>
        </w:rPr>
        <w:t>主要操作</w:t>
      </w:r>
    </w:p>
    <w:p>
      <w:pPr>
        <w:pStyle w:val="34"/>
      </w:pPr>
      <w:r>
        <w:rPr>
          <w:rFonts w:hint="eastAsia"/>
        </w:rPr>
        <w:t>查找公式：点击“查找”输入要查找公式的关键词然后按F3不断向下查找。 </w:t>
      </w:r>
    </w:p>
    <w:p>
      <w:pPr>
        <w:pStyle w:val="34"/>
      </w:pPr>
      <w:r>
        <w:rPr>
          <w:rFonts w:hint="eastAsia"/>
        </w:rPr>
        <w:t>预览（关联预览）：公式管理器界面选中一个公式后点击“预览”就可以看到k线界面展示选择指标。如果勾选了“关联预览”每选一个公式k线界面就自动预览展示，如果没有勾选，每选一个公式都要点击一次“预览”才能预览展示。 </w:t>
      </w:r>
    </w:p>
    <w:p>
      <w:pPr>
        <w:pStyle w:val="34"/>
      </w:pPr>
      <w:r>
        <w:rPr>
          <w:rFonts w:hint="eastAsia"/>
        </w:rPr>
        <w:t>临时导入：临时导入的公式，重启软件就会自动消失。 </w:t>
      </w:r>
    </w:p>
    <w:p>
      <w:pPr>
        <w:pStyle w:val="34"/>
      </w:pPr>
      <w:r>
        <w:rPr>
          <w:rFonts w:hint="eastAsia"/>
        </w:rPr>
        <w:t>新建公式中的引用指标公式：引用已有的公式指标代码，参数一并可以全部引用过去。 </w:t>
      </w:r>
    </w:p>
    <w:p>
      <w:pPr>
        <w:pStyle w:val="34"/>
      </w:pPr>
      <w:r>
        <w:rPr>
          <w:rFonts w:hint="eastAsia"/>
        </w:rPr>
        <w:t>新建公式中的插入函数：选择需要使用的函数编写自定义公式，以及学习各函数用法。</w:t>
      </w:r>
    </w:p>
    <w:p>
      <w:pPr>
        <w:pStyle w:val="34"/>
      </w:pPr>
      <w:r>
        <w:rPr>
          <w:rFonts w:hint="eastAsia"/>
        </w:rPr>
        <w:t>公式恢复：如意外出现公式丢失，可以通过公式管理器中公式恢复，找回以前的公式。</w:t>
      </w:r>
    </w:p>
    <w:p>
      <w:pPr>
        <w:pStyle w:val="34"/>
      </w:pPr>
      <w:r>
        <w:fldChar w:fldCharType="begin"/>
      </w:r>
      <w:r>
        <w:instrText xml:space="preserve"> INCLUDEPICTURE  "https://www.tdx.com.cn/products/helpfile/tdxw/chm/%E7%AC%AC%E4%B8%89%E7%AB%A0  %E7%89%88%E9%9D%A2%E5%92%8C%E5%85%AC%E5%BC%8F/3-2/3-2-1/3.png" \* MERGEFORMATINET </w:instrText>
      </w:r>
      <w:r>
        <w:fldChar w:fldCharType="separate"/>
      </w:r>
      <w:r>
        <w:fldChar w:fldCharType="begin"/>
      </w:r>
      <w:r>
        <w:instrText xml:space="preserve"> INCLUDEPICTURE  "https://www.tdx.com.cn/products/helpfile/tdxw/chm/%E7%AC%AC%E4%B8%89%E7%AB%A0  %E7%89%88%E9%9D%A2%E5%92%8C%E5%85%AC%E5%BC%8F/3-2/3-2-1/3.png" \* MERGEFORMATINET </w:instrText>
      </w:r>
      <w:r>
        <w:fldChar w:fldCharType="separate"/>
      </w:r>
      <w:r>
        <w:fldChar w:fldCharType="begin"/>
      </w:r>
      <w:r>
        <w:instrText xml:space="preserve"> INCLUDEPICTURE  "https://www.tdx.com.cn/products/helpfile/tdxw/chm/%E7%AC%AC%E4%B8%89%E7%AB%A0  %E7%89%88%E9%9D%A2%E5%92%8C%E5%85%AC%E5%BC%8F/3-2/3-2-1/3.png" \* MERGEFORMATINET </w:instrText>
      </w:r>
      <w:r>
        <w:fldChar w:fldCharType="separate"/>
      </w:r>
      <w:r>
        <w:fldChar w:fldCharType="begin"/>
      </w:r>
      <w:r>
        <w:instrText xml:space="preserve"> INCLUDEPICTURE  "https://www.tdx.com.cn/products/helpfile/tdxw/chm/%E7%AC%AC%E4%B8%89%E7%AB%A0  %E7%89%88%E9%9D%A2%E5%92%8C%E5%85%AC%E5%BC%8F/3-2/3-2-1/3.png" \* MERGEFORMATINET </w:instrText>
      </w:r>
      <w:r>
        <w:fldChar w:fldCharType="separate"/>
      </w:r>
      <w:r>
        <w:drawing>
          <wp:inline distT="0" distB="0" distL="114300" distR="114300">
            <wp:extent cx="3857625" cy="2457450"/>
            <wp:effectExtent l="0" t="0" r="9525" b="0"/>
            <wp:docPr id="242"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42"/>
                    <pic:cNvPicPr>
                      <a:picLocks noChangeAspect="1"/>
                    </pic:cNvPicPr>
                  </pic:nvPicPr>
                  <pic:blipFill>
                    <a:blip r:embed="rId451" r:link="rId452"/>
                    <a:stretch>
                      <a:fillRect/>
                    </a:stretch>
                  </pic:blipFill>
                  <pic:spPr>
                    <a:xfrm>
                      <a:off x="0" y="0"/>
                      <a:ext cx="3857625" cy="2457450"/>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语法说明 </w:t>
      </w:r>
    </w:p>
    <w:p>
      <w:pPr>
        <w:pStyle w:val="34"/>
      </w:pPr>
      <w:r>
        <w:rPr>
          <w:rFonts w:hint="eastAsia"/>
        </w:rPr>
        <w:t>公式辨析 </w:t>
      </w:r>
    </w:p>
    <w:p>
      <w:pPr>
        <w:pStyle w:val="34"/>
      </w:pPr>
      <w:r>
        <w:rPr>
          <w:rFonts w:hint="eastAsia"/>
        </w:rPr>
        <w:t>本系统所有基本分析功能都建立在这四类公式运算的基础上：指标公式、条件选股公式、交易系统公式和五彩K线公式。 </w:t>
      </w:r>
    </w:p>
    <w:p>
      <w:pPr>
        <w:pStyle w:val="34"/>
      </w:pPr>
      <w:r>
        <w:rPr>
          <w:rFonts w:hint="eastAsia"/>
        </w:rPr>
        <w:t>指标公式即通常所说画线指标，此类公式的主要目的是通过对数据采取一定的运算，将输出结果直观的显现在分析图上，为投资者提供研判行情的基本依据。此类指标至少要有一条输出线，本系统允许最多6条的输出线。 </w:t>
      </w:r>
    </w:p>
    <w:p>
      <w:pPr>
        <w:pStyle w:val="34"/>
      </w:pPr>
      <w:r>
        <w:rPr>
          <w:rFonts w:hint="eastAsia"/>
        </w:rPr>
        <w:t>条件选股公式和五彩K线公式都有且仅有一个输出，其目的都是为投资者提供买入或卖出点的指示，不同之处在于：条件选股公式仅对最近数据提示买入或卖出，而五彩K线公式则对输入的所有历史数据进行提示。另外，五彩K线公式的输出是在K线图上，　　通过各种颜色对提示数据进行标识，条件选股公式的输出是找出符合最近条件的所有股票。 </w:t>
      </w:r>
    </w:p>
    <w:p>
      <w:pPr>
        <w:pStyle w:val="34"/>
      </w:pPr>
      <w:r>
        <w:rPr>
          <w:rFonts w:hint="eastAsia"/>
        </w:rPr>
        <w:t>交易系统公式是通过设定买入和卖出点(有且仅有这两个输出)，由计算机进行模拟操作。以此为依据，系统一方面可以进行五彩K线公式的功能，同时提示买入和卖出；另一方面可以通过模拟操作，对指标买卖的收益、指标的最佳参数及最佳指标等各情形进行测试。</w:t>
      </w:r>
    </w:p>
    <w:p>
      <w:pPr>
        <w:pStyle w:val="34"/>
      </w:pPr>
      <w:r>
        <w:rPr>
          <w:rFonts w:hint="eastAsia"/>
        </w:rPr>
        <w:t>语义约定 </w:t>
      </w:r>
    </w:p>
    <w:p>
      <w:pPr>
        <w:pStyle w:val="34"/>
      </w:pPr>
      <w:r>
        <w:rPr>
          <w:rFonts w:hint="eastAsia"/>
        </w:rPr>
        <w:t>由于力求公式简易化、大众化，系统对公式语义采取了自然语言化的处理，所译即所得。</w:t>
      </w:r>
    </w:p>
    <w:p>
      <w:pPr>
        <w:pStyle w:val="34"/>
      </w:pPr>
      <w:r>
        <w:rPr>
          <w:rFonts w:hint="eastAsia"/>
        </w:rPr>
        <w:t>格式约定 </w:t>
      </w:r>
    </w:p>
    <w:p>
      <w:pPr>
        <w:pStyle w:val="34"/>
      </w:pPr>
      <w:r>
        <w:rPr>
          <w:rFonts w:hint="eastAsia"/>
        </w:rPr>
        <w:t>　　 系统采用类C语言格式，每条语句即为一个输出或赋值，约定除最后一条语句外，每一语句必须有变量名或输出线名，以"；"结尾。</w:t>
      </w:r>
    </w:p>
    <w:p>
      <w:pPr>
        <w:pStyle w:val="34"/>
      </w:pPr>
      <w:r>
        <w:rPr>
          <w:rFonts w:hint="eastAsia"/>
        </w:rPr>
        <w:t>变量使用 </w:t>
      </w:r>
    </w:p>
    <w:p>
      <w:pPr>
        <w:pStyle w:val="34"/>
      </w:pPr>
      <w:r>
        <w:rPr>
          <w:rFonts w:hint="eastAsia"/>
        </w:rPr>
        <w:t>变量主要用于存储中间计算结果，系统约定变量名只能以字母开头，而且不能与函数同名。例如： BTI、BTI1合法，而 1BTI、MA不合法（1BTI以数字打头，MA为系统函数）。 </w:t>
      </w:r>
    </w:p>
    <w:p>
      <w:pPr>
        <w:pStyle w:val="34"/>
      </w:pPr>
      <w:r>
        <w:rPr>
          <w:rFonts w:hint="eastAsia"/>
        </w:rPr>
        <w:t>变量的定义不需额外说明，在赋值时，以":=" 操作符加其后即可实现，但赋值后不可再次赋值，即变量只能赋值一次，而可以反复使用。 </w:t>
      </w:r>
    </w:p>
    <w:p>
      <w:pPr>
        <w:pStyle w:val="34"/>
      </w:pPr>
      <w:r>
        <w:rPr>
          <w:rFonts w:hint="eastAsia"/>
        </w:rPr>
        <w:t>例如： MID:=CLOSE </w:t>
      </w:r>
    </w:p>
    <w:p>
      <w:pPr>
        <w:pStyle w:val="34"/>
      </w:pPr>
      <w:r>
        <w:rPr>
          <w:rFonts w:hint="eastAsia"/>
        </w:rPr>
        <w:t>该语句将收盘价赋给了变量MID，此后MID便等同于收盘价，如：START:MA(MID,10)； 若再次赋值，如：MID:=OPEN 则使用失败。</w:t>
      </w:r>
    </w:p>
    <w:p>
      <w:pPr>
        <w:pStyle w:val="34"/>
      </w:pPr>
      <w:r>
        <w:rPr>
          <w:rFonts w:hint="eastAsia"/>
        </w:rPr>
        <w:t>输出线定义 </w:t>
      </w:r>
    </w:p>
    <w:p>
      <w:pPr>
        <w:pStyle w:val="34"/>
      </w:pPr>
      <w:r>
        <w:rPr>
          <w:rFonts w:hint="eastAsia"/>
        </w:rPr>
        <w:t>输出线变量名命名以":"操作符实现，其规则和使用同于一般变量。</w:t>
      </w:r>
    </w:p>
    <w:p>
      <w:pPr>
        <w:pStyle w:val="34"/>
      </w:pPr>
      <w:r>
        <w:rPr>
          <w:rFonts w:hint="eastAsia"/>
        </w:rPr>
        <w:t>参数使用 </w:t>
      </w:r>
    </w:p>
    <w:p>
      <w:pPr>
        <w:pStyle w:val="34"/>
      </w:pPr>
      <w:r>
        <w:rPr>
          <w:rFonts w:hint="eastAsia"/>
        </w:rPr>
        <w:t>定义参数是为了方便在不改变公式的前提下，通过调节参数值得到不同的输出数值或画线。与参数相关的概念，还有最小值、最大值和缺省值等，用于约束参数的范围及恢复缺省值。参数名的定义规范和使用同于变量名，但参数只能用于数值类型。 </w:t>
      </w:r>
    </w:p>
    <w:p>
      <w:pPr>
        <w:pStyle w:val="34"/>
      </w:pPr>
      <w:r>
        <w:rPr>
          <w:rFonts w:hint="eastAsia"/>
        </w:rPr>
        <w:t>本系统新增了参数精灵的概念，用于智能化的修改参数，其语法为"Param#?"（"？"指明第几个参数）。例如定义了参数M, 参数精灵填充为"Param#1日均线"，则调整参数时，系统会自动在"Param#1"处替换显示调节对话框。</w:t>
      </w:r>
    </w:p>
    <w:p>
      <w:pPr>
        <w:pStyle w:val="34"/>
      </w:pPr>
    </w:p>
    <w:p>
      <w:pPr>
        <w:pStyle w:val="34"/>
      </w:pPr>
      <w:r>
        <w:rPr>
          <w:rFonts w:hint="eastAsia"/>
        </w:rPr>
        <w:t>函数运用 </w:t>
      </w:r>
    </w:p>
    <w:p>
      <w:pPr>
        <w:pStyle w:val="34"/>
      </w:pPr>
      <w:r>
        <w:rPr>
          <w:rFonts w:hint="eastAsia"/>
        </w:rPr>
        <w:t>系统提供了丰富的函数供用户使用，函数使用按其语法规范套用即可。 </w:t>
      </w:r>
    </w:p>
    <w:p>
      <w:pPr>
        <w:pStyle w:val="34"/>
      </w:pPr>
      <w:r>
        <w:rPr>
          <w:rFonts w:hint="eastAsia"/>
        </w:rPr>
        <w:t>例如：MA 函数提示使用为MA(X,M)，表示X的M日简单移动平均 </w:t>
      </w:r>
    </w:p>
    <w:p>
      <w:pPr>
        <w:pStyle w:val="34"/>
      </w:pPr>
      <w:r>
        <w:rPr>
          <w:rFonts w:hint="eastAsia"/>
        </w:rPr>
        <w:t>那么，所以对5日平均线则可定义为：MA5:MA(CLOSE,5)。 </w:t>
      </w:r>
    </w:p>
    <w:p>
      <w:pPr>
        <w:pStyle w:val="34"/>
      </w:pPr>
      <w:r>
        <w:rPr>
          <w:rFonts w:hint="eastAsia"/>
        </w:rPr>
        <w:t>此外，函数还支持嵌套调用，如5日均线的5日均线可定义为：MA5:MA(MA(CLOSE,5),5)</w:t>
      </w:r>
    </w:p>
    <w:p>
      <w:pPr>
        <w:pStyle w:val="34"/>
      </w:pPr>
      <w:r>
        <w:rPr>
          <w:rFonts w:hint="eastAsia"/>
        </w:rPr>
        <w:t>五彩K线颜色定义 </w:t>
      </w:r>
    </w:p>
    <w:p>
      <w:pPr>
        <w:pStyle w:val="34"/>
      </w:pPr>
      <w:r>
        <w:rPr>
          <w:rFonts w:hint="eastAsia"/>
        </w:rPr>
        <w:t>K线指示允许自定义画线颜色，语法是将颜色值加于输出线后。其中的颜色定义如下（共16种）： </w:t>
      </w:r>
    </w:p>
    <w:p>
      <w:pPr>
        <w:pStyle w:val="34"/>
      </w:pPr>
      <w:r>
        <w:rPr>
          <w:rFonts w:hint="eastAsia"/>
        </w:rPr>
        <w:t>COLORBLACK 黑 色 </w:t>
      </w:r>
    </w:p>
    <w:p>
      <w:pPr>
        <w:pStyle w:val="34"/>
      </w:pPr>
      <w:r>
        <w:rPr>
          <w:rFonts w:hint="eastAsia"/>
        </w:rPr>
        <w:t>COLORBLUE 蓝 色 </w:t>
      </w:r>
    </w:p>
    <w:p>
      <w:pPr>
        <w:pStyle w:val="34"/>
      </w:pPr>
      <w:r>
        <w:rPr>
          <w:rFonts w:hint="eastAsia"/>
        </w:rPr>
        <w:t>COLORGREEN 绿 色 </w:t>
      </w:r>
    </w:p>
    <w:p>
      <w:pPr>
        <w:pStyle w:val="34"/>
      </w:pPr>
      <w:r>
        <w:rPr>
          <w:rFonts w:hint="eastAsia"/>
        </w:rPr>
        <w:t>COLORCYAN 青 色 </w:t>
      </w:r>
    </w:p>
    <w:p>
      <w:pPr>
        <w:pStyle w:val="34"/>
      </w:pPr>
      <w:r>
        <w:rPr>
          <w:rFonts w:hint="eastAsia"/>
        </w:rPr>
        <w:t>COLORYELLOW 黄 色 </w:t>
      </w:r>
    </w:p>
    <w:p>
      <w:pPr>
        <w:pStyle w:val="34"/>
      </w:pPr>
      <w:r>
        <w:rPr>
          <w:rFonts w:hint="eastAsia"/>
        </w:rPr>
        <w:t>COLORWHITE 白 色 </w:t>
      </w:r>
    </w:p>
    <w:p>
      <w:pPr>
        <w:pStyle w:val="34"/>
      </w:pPr>
      <w:r>
        <w:rPr>
          <w:rFonts w:hint="eastAsia"/>
        </w:rPr>
        <w:t>COLORBROWN 棕 色 </w:t>
      </w:r>
    </w:p>
    <w:p>
      <w:pPr>
        <w:pStyle w:val="34"/>
      </w:pPr>
      <w:r>
        <w:rPr>
          <w:rFonts w:hint="eastAsia"/>
        </w:rPr>
        <w:t>0COLORRED 红 色 </w:t>
      </w:r>
    </w:p>
    <w:p>
      <w:pPr>
        <w:pStyle w:val="34"/>
      </w:pPr>
      <w:r>
        <w:rPr>
          <w:rFonts w:hint="eastAsia"/>
        </w:rPr>
        <w:t>COLORMAGENTA 洋 红 色 </w:t>
      </w:r>
    </w:p>
    <w:p>
      <w:pPr>
        <w:pStyle w:val="34"/>
      </w:pPr>
      <w:r>
        <w:rPr>
          <w:rFonts w:hint="eastAsia"/>
        </w:rPr>
        <w:t>COLORLIGHTGRAY 淡 灰 色 </w:t>
      </w:r>
    </w:p>
    <w:p>
      <w:pPr>
        <w:pStyle w:val="34"/>
      </w:pPr>
      <w:r>
        <w:rPr>
          <w:rFonts w:hint="eastAsia"/>
        </w:rPr>
        <w:t>COLORDARKGRAY 深 灰 色 </w:t>
      </w:r>
    </w:p>
    <w:p>
      <w:pPr>
        <w:pStyle w:val="34"/>
      </w:pPr>
      <w:r>
        <w:rPr>
          <w:rFonts w:hint="eastAsia"/>
        </w:rPr>
        <w:t>COLORLIGHTBLUE 淡 蓝 色 </w:t>
      </w:r>
    </w:p>
    <w:p>
      <w:pPr>
        <w:pStyle w:val="34"/>
      </w:pPr>
      <w:r>
        <w:rPr>
          <w:rFonts w:hint="eastAsia"/>
        </w:rPr>
        <w:t>COLORLIGHTGREEN 淡 绿 色 </w:t>
      </w:r>
    </w:p>
    <w:p>
      <w:pPr>
        <w:pStyle w:val="34"/>
      </w:pPr>
      <w:r>
        <w:rPr>
          <w:rFonts w:hint="eastAsia"/>
        </w:rPr>
        <w:t>COLORLIGHTCYAN 淡 青 色 </w:t>
      </w:r>
    </w:p>
    <w:p>
      <w:pPr>
        <w:pStyle w:val="34"/>
      </w:pPr>
      <w:r>
        <w:rPr>
          <w:rFonts w:hint="eastAsia"/>
        </w:rPr>
        <w:t>COLORLIGHTRED 淡 红 色 </w:t>
      </w:r>
    </w:p>
    <w:p>
      <w:pPr>
        <w:pStyle w:val="34"/>
      </w:pPr>
      <w:r>
        <w:rPr>
          <w:rFonts w:hint="eastAsia"/>
        </w:rPr>
        <w:t>COLORLIGHTMAGENTA 淡洋红色</w:t>
      </w:r>
    </w:p>
    <w:p>
      <w:pPr>
        <w:pStyle w:val="34"/>
      </w:pPr>
      <w:r>
        <w:rPr>
          <w:rFonts w:hint="eastAsia"/>
        </w:rPr>
        <w:t>公式举例 </w:t>
      </w:r>
    </w:p>
    <w:p>
      <w:pPr>
        <w:pStyle w:val="34"/>
      </w:pPr>
      <w:r>
        <w:rPr>
          <w:rFonts w:hint="eastAsia"/>
        </w:rPr>
        <w:t>下面以条件选股公式为例，说明公式的编辑，其他类公式的定义与之类似。 </w:t>
      </w:r>
    </w:p>
    <w:p>
      <w:pPr>
        <w:pStyle w:val="34"/>
      </w:pPr>
      <w:r>
        <w:rPr>
          <w:rFonts w:hint="eastAsia"/>
        </w:rPr>
        <w:t>1. 找出近5日内创历史新高的股票： NHIGH:HHV(HIGH,5)== HHV(HIGH,0); </w:t>
      </w:r>
    </w:p>
    <w:p>
      <w:pPr>
        <w:pStyle w:val="34"/>
      </w:pPr>
      <w:r>
        <w:rPr>
          <w:rFonts w:hint="eastAsia"/>
        </w:rPr>
        <w:t>首先定义输出线变量：NHIGH，对其进行输出。 5日内创历史新高，也即近5日的最高价为历史最高价，由HHV(HIGH,5)可以求出近5日的最高价，而HHV函数的第二个参数为0时，表示对所有数据求值，所以由HHV(HIGH,0)可以得到历史最高价。最后，由条件判断确定这两个新高是否同一数值。 </w:t>
      </w:r>
    </w:p>
    <w:p>
      <w:pPr>
        <w:pStyle w:val="34"/>
      </w:pPr>
      <w:r>
        <w:rPr>
          <w:rFonts w:hint="eastAsia"/>
        </w:rPr>
        <w:t>2. 找出一直在60日季均线下潜伏，近日上攻的股票。 </w:t>
      </w:r>
    </w:p>
    <w:p>
      <w:pPr>
        <w:pStyle w:val="34"/>
      </w:pPr>
      <w:r>
        <w:rPr>
          <w:rFonts w:hint="eastAsia"/>
        </w:rPr>
        <w:t>在60日季均线下潜伏，也即收盘价一直低于其60日移动平均；近日上攻，也即近日上穿其均线：  NCROSS:LAST(CLOSE&lt;MA(CLOSE,60),60,5)&amp;&amp;CLOSE&gt;MA(CLOSE,60)； </w:t>
      </w:r>
    </w:p>
    <w:p>
      <w:pPr>
        <w:pStyle w:val="34"/>
      </w:pPr>
      <w:r>
        <w:rPr>
          <w:rFonts w:hint="eastAsia"/>
        </w:rPr>
        <w:t>3. 找出今日涨幅大于大盘涨幅的股票 </w:t>
      </w:r>
    </w:p>
    <w:p>
      <w:pPr>
        <w:pStyle w:val="34"/>
      </w:pPr>
      <w:r>
        <w:rPr>
          <w:rFonts w:hint="eastAsia"/>
        </w:rPr>
        <w:t xml:space="preserve"> NMAX1:=(CLOSE-REF(CLOSE,1))/REF(CLOSE,1); </w:t>
      </w:r>
    </w:p>
    <w:p>
      <w:pPr>
        <w:pStyle w:val="34"/>
      </w:pPr>
      <w:r>
        <w:rPr>
          <w:rFonts w:hint="eastAsia"/>
        </w:rPr>
        <w:t xml:space="preserve"> NMAX2:=(INDEXC-REF(INDEXC,1))/REF(INDEXC,1); </w:t>
      </w:r>
    </w:p>
    <w:p>
      <w:pPr>
        <w:pStyle w:val="34"/>
      </w:pPr>
      <w:r>
        <w:rPr>
          <w:rFonts w:hint="eastAsia"/>
        </w:rPr>
        <w:t xml:space="preserve"> NMAX:NMAX1&gt;NMAX2； </w:t>
      </w:r>
    </w:p>
    <w:p>
      <w:pPr>
        <w:pStyle w:val="34"/>
      </w:pPr>
      <w:r>
        <w:rPr>
          <w:rFonts w:hint="eastAsia"/>
        </w:rPr>
        <w:t>4. 找出近7日都收阳线的股票 </w:t>
      </w:r>
    </w:p>
    <w:p>
      <w:pPr>
        <w:pStyle w:val="34"/>
      </w:pPr>
      <w:r>
        <w:rPr>
          <w:rFonts w:hint="eastAsia"/>
        </w:rPr>
        <w:t xml:space="preserve"> NRED:EVERY(CLOSE&gt;OPEN,7)；</w:t>
      </w:r>
    </w:p>
    <w:p>
      <w:pPr>
        <w:pStyle w:val="34"/>
      </w:pPr>
      <w:r>
        <w:rPr>
          <w:rFonts w:hint="eastAsia"/>
        </w:rPr>
        <w:t>《通达信集成版》软件新语法新函数 </w:t>
      </w:r>
    </w:p>
    <w:p>
      <w:pPr>
        <w:pStyle w:val="34"/>
      </w:pPr>
      <w:r>
        <w:rPr>
          <w:rFonts w:hint="eastAsia"/>
        </w:rPr>
        <w:t>引用各种公式 </w:t>
      </w:r>
    </w:p>
    <w:p>
      <w:pPr>
        <w:pStyle w:val="34"/>
      </w:pPr>
      <w:r>
        <w:rPr>
          <w:rFonts w:hint="eastAsia"/>
        </w:rPr>
        <w:t>从《通达信集成版》软件开始，交易系统公式、条件选股公式也可以被引用。引用时若有参数指定，则使用指定参数，否则使用指标的缺省参数；指定了指标的某一条输出线，则使用该输出线，否则使用第一条输出线。 </w:t>
      </w:r>
    </w:p>
    <w:p>
      <w:pPr>
        <w:pStyle w:val="34"/>
      </w:pPr>
      <w:r>
        <w:rPr>
          <w:rFonts w:hint="eastAsia"/>
        </w:rPr>
        <w:t>引用画线指标公式 </w:t>
      </w:r>
    </w:p>
    <w:p>
      <w:pPr>
        <w:pStyle w:val="34"/>
      </w:pPr>
      <w:r>
        <w:rPr>
          <w:rFonts w:hint="eastAsia"/>
        </w:rPr>
        <w:t>画线指标直接引用或以引号说明。 </w:t>
      </w:r>
    </w:p>
    <w:p>
      <w:pPr>
        <w:pStyle w:val="34"/>
      </w:pPr>
      <w:r>
        <w:rPr>
          <w:rFonts w:hint="eastAsia"/>
        </w:rPr>
        <w:t>例如：MID:=KDJ.K(10,2) 或 MID:="KDJ.K"(10,2)表示以（10，2）为参数计算指标公式KDJ的K值，并赋值给MID。 </w:t>
      </w:r>
    </w:p>
    <w:p>
      <w:pPr>
        <w:pStyle w:val="34"/>
      </w:pPr>
      <w:r>
        <w:rPr>
          <w:rFonts w:hint="eastAsia"/>
        </w:rPr>
        <w:t>引用分析家的公式 </w:t>
      </w:r>
    </w:p>
    <w:p>
      <w:pPr>
        <w:pStyle w:val="34"/>
      </w:pPr>
      <w:r>
        <w:rPr>
          <w:rFonts w:hint="eastAsia"/>
        </w:rPr>
        <w:t>"公式名称．指标线名称"（参数表） </w:t>
      </w:r>
    </w:p>
    <w:p>
      <w:pPr>
        <w:pStyle w:val="34"/>
      </w:pPr>
      <w:r>
        <w:rPr>
          <w:rFonts w:hint="eastAsia"/>
        </w:rPr>
        <w:t>其中参数表中的参数个数应该与该公式的实际参数数量一致，若不写参数表，则表示使用缺省参数。例如"MACD．DIF"表示引用根据缺省参数计算的MACD指标中的DIF指标线数值。 </w:t>
      </w:r>
    </w:p>
    <w:p>
      <w:pPr>
        <w:pStyle w:val="34"/>
      </w:pPr>
      <w:r>
        <w:rPr>
          <w:rFonts w:hint="eastAsia"/>
        </w:rPr>
        <w:t>引用交易系统公式 </w:t>
      </w:r>
    </w:p>
    <w:p>
      <w:pPr>
        <w:pStyle w:val="34"/>
        <w:ind w:firstLine="0" w:firstLineChars="0"/>
      </w:pPr>
      <w:r>
        <w:rPr>
          <w:rFonts w:hint="eastAsia"/>
        </w:rPr>
        <w:t>　 "SYSTEM．公式名称．交易类型"（参数表） </w:t>
      </w:r>
    </w:p>
    <w:p>
      <w:pPr>
        <w:pStyle w:val="34"/>
        <w:ind w:firstLine="0" w:firstLineChars="0"/>
      </w:pPr>
      <w:r>
        <w:rPr>
          <w:rFonts w:hint="eastAsia"/>
        </w:rPr>
        <w:t>　 交易类型可以为ENTERLONG、EXITLONG、ENTERSHORT或者EXITSHORT，分别表示引用多头买入、多头卖出、空头买入、空头卖出。考虑兼容，BUYPOINT、 </w:t>
      </w:r>
    </w:p>
    <w:p>
      <w:pPr>
        <w:pStyle w:val="34"/>
      </w:pPr>
      <w:r>
        <w:rPr>
          <w:rFonts w:hint="eastAsia"/>
        </w:rPr>
        <w:t>SELLPOINT等老的方式仍然支持。 </w:t>
      </w:r>
    </w:p>
    <w:p>
      <w:pPr>
        <w:pStyle w:val="34"/>
      </w:pPr>
      <w:r>
        <w:rPr>
          <w:rFonts w:hint="eastAsia"/>
        </w:rPr>
        <w:t>引用条件选股公式 </w:t>
      </w:r>
    </w:p>
    <w:p>
      <w:pPr>
        <w:pStyle w:val="34"/>
      </w:pPr>
      <w:r>
        <w:rPr>
          <w:rFonts w:hint="eastAsia"/>
        </w:rPr>
        <w:t>条件选股公式由"EXPLORER"导出。 </w:t>
      </w:r>
    </w:p>
    <w:p>
      <w:pPr>
        <w:pStyle w:val="34"/>
      </w:pPr>
      <w:r>
        <w:rPr>
          <w:rFonts w:hint="eastAsia"/>
        </w:rPr>
        <w:t>例如引用条件选股的KDJ，则表述为：EXPLORER. KDJ；交易系统公式由"SYSTEM"导出。系统暂时还不支持引用五彩K线公式。 </w:t>
      </w:r>
    </w:p>
    <w:p>
      <w:pPr>
        <w:pStyle w:val="34"/>
      </w:pPr>
      <w:r>
        <w:rPr>
          <w:rFonts w:hint="eastAsia"/>
        </w:rPr>
        <w:t>例如，要指示涨停版的K线画蓝色，可以定义输出线：UP:CLOSE&gt;=REF(CLOSE,1)×1.1, COLORBLUE。 </w:t>
      </w:r>
    </w:p>
    <w:p>
      <w:pPr>
        <w:pStyle w:val="34"/>
      </w:pPr>
      <w:r>
        <w:rPr>
          <w:rFonts w:hint="eastAsia"/>
        </w:rPr>
        <w:t>跨周期引用公式 </w:t>
      </w:r>
    </w:p>
    <w:p>
      <w:pPr>
        <w:pStyle w:val="34"/>
      </w:pPr>
      <w:r>
        <w:rPr>
          <w:rFonts w:hint="eastAsia"/>
        </w:rPr>
        <w:t>引用其他周期数据，使用"#"运算符指明周期。 </w:t>
      </w:r>
    </w:p>
    <w:p>
      <w:pPr>
        <w:pStyle w:val="34"/>
      </w:pPr>
      <w:r>
        <w:rPr>
          <w:rFonts w:hint="eastAsia"/>
        </w:rPr>
        <w:t>包括： MIN1[分钟]、MIN5[5分钟]、MIN15[15分钟]、MIN30[30分钟]、MIN60[60分钟]、DAY[日线]、WEEK[周线]、MONTH[月线]。 </w:t>
      </w:r>
    </w:p>
    <w:p>
      <w:pPr>
        <w:pStyle w:val="34"/>
      </w:pPr>
      <w:r>
        <w:rPr>
          <w:rFonts w:hint="eastAsia"/>
        </w:rPr>
        <w:t>例如得到KDJ的周线数据，可以表述为:MACD#WEEK。应注意的是，只能从较短周期引用较长周期，反方向的引用不允许。</w:t>
      </w:r>
    </w:p>
    <w:p>
      <w:pPr>
        <w:pStyle w:val="34"/>
      </w:pPr>
      <w:r>
        <w:rPr>
          <w:rFonts w:hint="eastAsia"/>
        </w:rPr>
        <w:t>引用其它股票数据 </w:t>
      </w:r>
    </w:p>
    <w:p>
      <w:pPr>
        <w:pStyle w:val="34"/>
      </w:pPr>
      <w:r>
        <w:rPr>
          <w:rFonts w:hint="eastAsia"/>
        </w:rPr>
        <w:t>您还可以在公式中引用其它任和股票的数据，方法为： "股票代码$数据名称" </w:t>
      </w:r>
    </w:p>
    <w:p>
      <w:pPr>
        <w:pStyle w:val="34"/>
      </w:pPr>
      <w:r>
        <w:rPr>
          <w:rFonts w:hint="eastAsia"/>
        </w:rPr>
        <w:t>例如要得到0001的收盘价，可以表示:"0001$CLOSE"; </w:t>
      </w:r>
    </w:p>
    <w:p>
      <w:pPr>
        <w:pStyle w:val="34"/>
      </w:pPr>
      <w:r>
        <w:rPr>
          <w:rFonts w:hint="eastAsia"/>
        </w:rPr>
        <w:t>数据名称可以是OPEN、HIGH、LOW、CLOSE、VOL、AMOUNT，分别表示包括开盘价、最高价、最低价、收盘价、成交量、成交额。 </w:t>
      </w:r>
    </w:p>
    <w:p>
      <w:pPr>
        <w:pStyle w:val="34"/>
      </w:pPr>
      <w:r>
        <w:rPr>
          <w:rFonts w:hint="eastAsia"/>
        </w:rPr>
        <w:t>公式导出、导入 </w:t>
      </w:r>
    </w:p>
    <w:p>
      <w:pPr>
        <w:pStyle w:val="34"/>
      </w:pPr>
      <w:r>
        <w:rPr>
          <w:rFonts w:hint="eastAsia"/>
        </w:rPr>
        <w:t>导出公式 </w:t>
      </w:r>
    </w:p>
    <w:p>
      <w:pPr>
        <w:pStyle w:val="34"/>
      </w:pPr>
      <w:r>
        <w:rPr>
          <w:rFonts w:hint="eastAsia"/>
        </w:rPr>
        <w:t>1.点击公式管理器的〖导出公式〗按钮，弹出对话框供用户输出公式。 </w:t>
      </w:r>
    </w:p>
    <w:p>
      <w:pPr>
        <w:pStyle w:val="34"/>
      </w:pPr>
      <w:r>
        <w:rPr>
          <w:rFonts w:hint="eastAsia"/>
        </w:rPr>
        <w:t>2.在输出公式时，系统列出可供输出的四类公式，用鼠标点取待输出公式前的方框将其选中。 </w:t>
      </w:r>
    </w:p>
    <w:p>
      <w:pPr>
        <w:pStyle w:val="34"/>
      </w:pPr>
      <w:r>
        <w:rPr>
          <w:rFonts w:hint="eastAsia"/>
        </w:rPr>
        <w:t>导入公式 </w:t>
      </w:r>
    </w:p>
    <w:p>
      <w:pPr>
        <w:pStyle w:val="34"/>
      </w:pPr>
      <w:r>
        <w:rPr>
          <w:rFonts w:hint="eastAsia"/>
        </w:rPr>
        <w:t>在引入公式时，系统显示所有待引入的公式。若某公式在系统中已存在同名公式则会在"导入公式"对话框下方提示。新引入公式的名称可以被更改，方法是先选中该公式，然后用鼠标再次点击它的名称部分。</w:t>
      </w:r>
    </w:p>
    <w:p>
      <w:pPr>
        <w:pStyle w:val="34"/>
      </w:pPr>
      <w:r>
        <w:rPr>
          <w:rFonts w:hint="eastAsia"/>
        </w:rPr>
        <w:t>临时引入 </w:t>
      </w:r>
    </w:p>
    <w:p>
      <w:pPr>
        <w:pStyle w:val="34"/>
      </w:pPr>
      <w:r>
        <w:rPr>
          <w:rFonts w:hint="eastAsia"/>
        </w:rPr>
        <w:t>临时引入的公式将不保存在系统硬盘上，退出后这些公式随即自动消失。这对需要公式保密的网络版用户很有帮助。 </w:t>
      </w:r>
    </w:p>
    <w:p>
      <w:pPr>
        <w:pStyle w:val="34"/>
      </w:pPr>
      <w:r>
        <w:rPr>
          <w:rFonts w:hint="eastAsia"/>
        </w:rPr>
        <w:t>恢复指标公式：</w:t>
      </w:r>
    </w:p>
    <w:p>
      <w:pPr>
        <w:pStyle w:val="34"/>
      </w:pPr>
      <w:r>
        <w:rPr>
          <w:rFonts w:hint="eastAsia"/>
        </w:rPr>
        <w:t>1.关闭通达信软件</w:t>
      </w:r>
    </w:p>
    <w:p>
      <w:pPr>
        <w:pStyle w:val="34"/>
      </w:pPr>
      <w:r>
        <w:rPr>
          <w:rFonts w:hint="eastAsia"/>
        </w:rPr>
        <w:t>2.进入通达信软件安装的文件夹，找到T0002文件夹进入</w:t>
      </w:r>
    </w:p>
    <w:p>
      <w:pPr>
        <w:pStyle w:val="34"/>
      </w:pPr>
      <w:r>
        <w:rPr>
          <w:rFonts w:hint="eastAsia"/>
        </w:rPr>
        <w:t>3.进入gs_bak文件夹，此文件夹内为公式备份</w:t>
      </w:r>
    </w:p>
    <w:p>
      <w:pPr>
        <w:pStyle w:val="34"/>
      </w:pPr>
      <w:r>
        <w:rPr>
          <w:rFonts w:hint="eastAsia"/>
        </w:rPr>
        <w:t>4.将日期为最近的以下三个文件改名即可。文件为： 20100310_PriGS.dat --&gt;PriGS.dat ，20100310_PriCS.dat--&gt;PriCS.dat ,20100310_PriText.dat--&gt;PriText.dat</w:t>
      </w:r>
    </w:p>
    <w:p>
      <w:pPr>
        <w:pStyle w:val="34"/>
      </w:pPr>
      <w:r>
        <w:rPr>
          <w:rFonts w:hint="eastAsia"/>
        </w:rPr>
        <w:t>其中20100310为日期数，如10号的备份文件名就是20100310_PriGS.dat ，改名的规则就是20100310_PriGS.dat --&gt;PriGS.dat </w:t>
      </w:r>
    </w:p>
    <w:p>
      <w:pPr>
        <w:pStyle w:val="34"/>
      </w:pPr>
      <w:r>
        <w:rPr>
          <w:rFonts w:hint="eastAsia"/>
        </w:rPr>
        <w:t>5.然后将改名后的三个文件复制到T0002目录内覆盖即可。</w:t>
      </w:r>
    </w:p>
    <w:p>
      <w:pPr>
        <w:pStyle w:val="34"/>
      </w:pPr>
      <w:r>
        <w:rPr>
          <w:rFonts w:hint="eastAsia"/>
        </w:rPr>
        <w:t>6.重启通达信软件。</w:t>
      </w:r>
    </w:p>
    <w:p>
      <w:pPr>
        <w:pStyle w:val="4"/>
      </w:pPr>
      <w:r>
        <w:rPr>
          <w:rFonts w:hint="eastAsia"/>
        </w:rPr>
        <w:t>自定义数据管理器</w:t>
      </w:r>
    </w:p>
    <w:p>
      <w:pPr>
        <w:pStyle w:val="34"/>
      </w:pPr>
      <w:r>
        <w:rPr>
          <w:rFonts w:hint="eastAsia"/>
        </w:rPr>
        <w:t>现在，用户可以通过公式系统提供的对应函数引用这些数据进行股票的技术分析、基本面分析。但有些数据是用户需要而在系统内又无法引用到的，所以我们开发出了自定义数据功能。</w:t>
      </w:r>
    </w:p>
    <w:p>
      <w:pPr>
        <w:pStyle w:val="34"/>
      </w:pPr>
      <w:r>
        <w:rPr>
          <w:rFonts w:hint="eastAsia"/>
        </w:rPr>
        <w:t> </w:t>
      </w:r>
    </w:p>
    <w:p>
      <w:pPr>
        <w:pStyle w:val="34"/>
      </w:pPr>
      <w:r>
        <w:rPr>
          <w:rFonts w:hint="eastAsia"/>
        </w:rPr>
        <w:t>调出路径：公式——自定义数据管理器。如下图：</w:t>
      </w:r>
    </w:p>
    <w:p>
      <w:pPr>
        <w:pStyle w:val="34"/>
      </w:pPr>
      <w:r>
        <w:fldChar w:fldCharType="begin"/>
      </w:r>
      <w:r>
        <w:instrText xml:space="preserve"> INCLUDEPICTURE  "https://www.tdx.com.cn/products/helpfile/tdxw/chm/%E7%AC%AC%E4%B8%89%E7%AB%A0  %E7%89%88%E9%9D%A2%E5%92%8C%E5%85%AC%E5%BC%8F/3-2/3-2-2/1.png" \* MERGEFORMATINET </w:instrText>
      </w:r>
      <w:r>
        <w:fldChar w:fldCharType="separate"/>
      </w:r>
      <w:r>
        <w:fldChar w:fldCharType="begin"/>
      </w:r>
      <w:r>
        <w:instrText xml:space="preserve"> INCLUDEPICTURE  "https://www.tdx.com.cn/products/helpfile/tdxw/chm/%E7%AC%AC%E4%B8%89%E7%AB%A0  %E7%89%88%E9%9D%A2%E5%92%8C%E5%85%AC%E5%BC%8F/3-2/3-2-2/1.png" \* MERGEFORMATINET </w:instrText>
      </w:r>
      <w:r>
        <w:fldChar w:fldCharType="separate"/>
      </w:r>
      <w:r>
        <w:fldChar w:fldCharType="begin"/>
      </w:r>
      <w:r>
        <w:instrText xml:space="preserve"> INCLUDEPICTURE  "https://www.tdx.com.cn/products/helpfile/tdxw/chm/%E7%AC%AC%E4%B8%89%E7%AB%A0  %E7%89%88%E9%9D%A2%E5%92%8C%E5%85%AC%E5%BC%8F/3-2/3-2-2/1.png" \* MERGEFORMATINET </w:instrText>
      </w:r>
      <w:r>
        <w:fldChar w:fldCharType="separate"/>
      </w:r>
      <w:r>
        <w:fldChar w:fldCharType="begin"/>
      </w:r>
      <w:r>
        <w:instrText xml:space="preserve"> INCLUDEPICTURE  "https://www.tdx.com.cn/products/helpfile/tdxw/chm/%E7%AC%AC%E4%B8%89%E7%AB%A0  %E7%89%88%E9%9D%A2%E5%92%8C%E5%85%AC%E5%BC%8F/3-2/3-2-2/1.png" \* MERGEFORMATINET </w:instrText>
      </w:r>
      <w:r>
        <w:fldChar w:fldCharType="separate"/>
      </w:r>
      <w:r>
        <w:drawing>
          <wp:inline distT="0" distB="0" distL="114300" distR="114300">
            <wp:extent cx="4829175" cy="2962275"/>
            <wp:effectExtent l="0" t="0" r="9525" b="9525"/>
            <wp:docPr id="243"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3"/>
                    <pic:cNvPicPr>
                      <a:picLocks noChangeAspect="1"/>
                    </pic:cNvPicPr>
                  </pic:nvPicPr>
                  <pic:blipFill>
                    <a:blip r:embed="rId453" r:link="rId454"/>
                    <a:stretch>
                      <a:fillRect/>
                    </a:stretch>
                  </pic:blipFill>
                  <pic:spPr>
                    <a:xfrm>
                      <a:off x="0" y="0"/>
                      <a:ext cx="4829175" cy="2962275"/>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数据项管理</w:t>
      </w:r>
    </w:p>
    <w:p>
      <w:pPr>
        <w:pStyle w:val="34"/>
      </w:pPr>
      <w:r>
        <w:rPr>
          <w:rFonts w:hint="eastAsia"/>
        </w:rPr>
        <w:t>通过 1.1 中方式调出自定义数据管理器，如下</w:t>
      </w:r>
    </w:p>
    <w:p>
      <w:pPr>
        <w:pStyle w:val="34"/>
      </w:pPr>
      <w:r>
        <w:fldChar w:fldCharType="begin"/>
      </w:r>
      <w:r>
        <w:instrText xml:space="preserve"> INCLUDEPICTURE  "https://www.tdx.com.cn/products/helpfile/tdxw/chm/%E7%AC%AC%E4%B8%89%E7%AB%A0  %E7%89%88%E9%9D%A2%E5%92%8C%E5%85%AC%E5%BC%8F/3-2/3-2-2/2.png" \* MERGEFORMATINET </w:instrText>
      </w:r>
      <w:r>
        <w:fldChar w:fldCharType="separate"/>
      </w:r>
      <w:r>
        <w:fldChar w:fldCharType="begin"/>
      </w:r>
      <w:r>
        <w:instrText xml:space="preserve"> INCLUDEPICTURE  "https://www.tdx.com.cn/products/helpfile/tdxw/chm/%E7%AC%AC%E4%B8%89%E7%AB%A0  %E7%89%88%E9%9D%A2%E5%92%8C%E5%85%AC%E5%BC%8F/3-2/3-2-2/2.png" \* MERGEFORMATINET </w:instrText>
      </w:r>
      <w:r>
        <w:fldChar w:fldCharType="separate"/>
      </w:r>
      <w:r>
        <w:fldChar w:fldCharType="begin"/>
      </w:r>
      <w:r>
        <w:instrText xml:space="preserve"> INCLUDEPICTURE  "https://www.tdx.com.cn/products/helpfile/tdxw/chm/%E7%AC%AC%E4%B8%89%E7%AB%A0  %E7%89%88%E9%9D%A2%E5%92%8C%E5%85%AC%E5%BC%8F/3-2/3-2-2/2.png" \* MERGEFORMATINET </w:instrText>
      </w:r>
      <w:r>
        <w:fldChar w:fldCharType="separate"/>
      </w:r>
      <w:r>
        <w:fldChar w:fldCharType="begin"/>
      </w:r>
      <w:r>
        <w:instrText xml:space="preserve"> INCLUDEPICTURE  "https://www.tdx.com.cn/products/helpfile/tdxw/chm/%E7%AC%AC%E4%B8%89%E7%AB%A0  %E7%89%88%E9%9D%A2%E5%92%8C%E5%85%AC%E5%BC%8F/3-2/3-2-2/2.png" \* MERGEFORMATINET </w:instrText>
      </w:r>
      <w:r>
        <w:fldChar w:fldCharType="separate"/>
      </w:r>
      <w:r>
        <w:drawing>
          <wp:inline distT="0" distB="0" distL="114300" distR="114300">
            <wp:extent cx="4791075" cy="3933825"/>
            <wp:effectExtent l="0" t="0" r="9525" b="9525"/>
            <wp:docPr id="244" name="图片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44"/>
                    <pic:cNvPicPr>
                      <a:picLocks noChangeAspect="1"/>
                    </pic:cNvPicPr>
                  </pic:nvPicPr>
                  <pic:blipFill>
                    <a:blip r:embed="rId455" r:link="rId456"/>
                    <a:stretch>
                      <a:fillRect/>
                    </a:stretch>
                  </pic:blipFill>
                  <pic:spPr>
                    <a:xfrm>
                      <a:off x="0" y="0"/>
                      <a:ext cx="4791075" cy="3933825"/>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如上图所示，管理器提供了新建、删除、修改等三个对数据项的管理功能。有三点注意事项：</w:t>
      </w:r>
    </w:p>
    <w:p>
      <w:pPr>
        <w:pStyle w:val="34"/>
      </w:pPr>
      <w:r>
        <w:rPr>
          <w:rFonts w:hint="eastAsia"/>
        </w:rPr>
        <w:t>1新建数据项的数据号不能与已有数据项的数据号相同；</w:t>
      </w:r>
    </w:p>
    <w:p>
      <w:pPr>
        <w:pStyle w:val="34"/>
      </w:pPr>
      <w:r>
        <w:rPr>
          <w:rFonts w:hint="eastAsia"/>
        </w:rPr>
        <w:t>2数据项删除会将该数据项内的所有自定义数据都删除；</w:t>
      </w:r>
    </w:p>
    <w:p>
      <w:pPr>
        <w:pStyle w:val="34"/>
      </w:pPr>
      <w:r>
        <w:rPr>
          <w:rFonts w:hint="eastAsia"/>
        </w:rPr>
        <w:t>3数据项修改不能对数据项的属性进行更改。</w:t>
      </w:r>
    </w:p>
    <w:p>
      <w:pPr>
        <w:pStyle w:val="34"/>
      </w:pPr>
      <w:r>
        <w:rPr>
          <w:rFonts w:hint="eastAsia"/>
        </w:rPr>
        <w:t>在管理器右下方有个修改数据按钮，它将切换到数据项内子数据的管理界面。</w:t>
      </w:r>
    </w:p>
    <w:p>
      <w:pPr>
        <w:pStyle w:val="34"/>
      </w:pPr>
      <w:r>
        <w:rPr>
          <w:rFonts w:hint="eastAsia"/>
        </w:rPr>
        <w:t>数据管理界面</w:t>
      </w:r>
    </w:p>
    <w:p>
      <w:pPr>
        <w:pStyle w:val="34"/>
      </w:pPr>
      <w:r>
        <w:rPr>
          <w:rFonts w:hint="eastAsia"/>
        </w:rPr>
        <w:t>以上图为例，进入方式如下：</w:t>
      </w:r>
    </w:p>
    <w:p>
      <w:pPr>
        <w:pStyle w:val="34"/>
      </w:pPr>
      <w:r>
        <w:rPr>
          <w:rFonts w:hint="eastAsia"/>
        </w:rPr>
        <w:t>1选中一个外部 / 序列数据项；</w:t>
      </w:r>
    </w:p>
    <w:p>
      <w:pPr>
        <w:pStyle w:val="34"/>
      </w:pPr>
      <w:r>
        <w:rPr>
          <w:rFonts w:hint="eastAsia"/>
        </w:rPr>
        <w:t>2双击，或者点击右下方的修改数据按钮；</w:t>
      </w:r>
    </w:p>
    <w:p>
      <w:pPr>
        <w:pStyle w:val="34"/>
      </w:pPr>
      <w:r>
        <w:rPr>
          <w:rFonts w:hint="eastAsia"/>
        </w:rPr>
        <w:t>3弹出图1（外部数据）或者图2（序列数据）；</w:t>
      </w:r>
    </w:p>
    <w:p>
      <w:pPr>
        <w:pStyle w:val="34"/>
      </w:pPr>
      <w:r>
        <w:fldChar w:fldCharType="begin"/>
      </w:r>
      <w:r>
        <w:instrText xml:space="preserve"> INCLUDEPICTURE  "https://www.tdx.com.cn/products/helpfile/tdxw/chm/%E7%AC%AC%E4%B8%89%E7%AB%A0  %E7%89%88%E9%9D%A2%E5%92%8C%E5%85%AC%E5%BC%8F/3-2/3-2-2/3.png" \* MERGEFORMATINET </w:instrText>
      </w:r>
      <w:r>
        <w:fldChar w:fldCharType="separate"/>
      </w:r>
      <w:r>
        <w:fldChar w:fldCharType="begin"/>
      </w:r>
      <w:r>
        <w:instrText xml:space="preserve"> INCLUDEPICTURE  "https://www.tdx.com.cn/products/helpfile/tdxw/chm/%E7%AC%AC%E4%B8%89%E7%AB%A0  %E7%89%88%E9%9D%A2%E5%92%8C%E5%85%AC%E5%BC%8F/3-2/3-2-2/3.png" \* MERGEFORMATINET </w:instrText>
      </w:r>
      <w:r>
        <w:fldChar w:fldCharType="separate"/>
      </w:r>
      <w:r>
        <w:fldChar w:fldCharType="begin"/>
      </w:r>
      <w:r>
        <w:instrText xml:space="preserve"> INCLUDEPICTURE  "https://www.tdx.com.cn/products/helpfile/tdxw/chm/%E7%AC%AC%E4%B8%89%E7%AB%A0  %E7%89%88%E9%9D%A2%E5%92%8C%E5%85%AC%E5%BC%8F/3-2/3-2-2/3.png" \* MERGEFORMATINET </w:instrText>
      </w:r>
      <w:r>
        <w:fldChar w:fldCharType="separate"/>
      </w:r>
      <w:r>
        <w:fldChar w:fldCharType="begin"/>
      </w:r>
      <w:r>
        <w:instrText xml:space="preserve"> INCLUDEPICTURE  "https://www.tdx.com.cn/products/helpfile/tdxw/chm/%E7%AC%AC%E4%B8%89%E7%AB%A0  %E7%89%88%E9%9D%A2%E5%92%8C%E5%85%AC%E5%BC%8F/3-2/3-2-2/3.png" \* MERGEFORMATINET </w:instrText>
      </w:r>
      <w:r>
        <w:fldChar w:fldCharType="separate"/>
      </w:r>
      <w:r>
        <w:drawing>
          <wp:inline distT="0" distB="0" distL="114300" distR="114300">
            <wp:extent cx="4543425" cy="4495800"/>
            <wp:effectExtent l="0" t="0" r="9525" b="0"/>
            <wp:docPr id="245" name="图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5"/>
                    <pic:cNvPicPr>
                      <a:picLocks noChangeAspect="1"/>
                    </pic:cNvPicPr>
                  </pic:nvPicPr>
                  <pic:blipFill>
                    <a:blip r:embed="rId457" r:link="rId458"/>
                    <a:stretch>
                      <a:fillRect/>
                    </a:stretch>
                  </pic:blipFill>
                  <pic:spPr>
                    <a:xfrm>
                      <a:off x="0" y="0"/>
                      <a:ext cx="4543425" cy="4495800"/>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图1</w:t>
      </w:r>
    </w:p>
    <w:p>
      <w:pPr>
        <w:pStyle w:val="34"/>
      </w:pPr>
      <w:r>
        <w:fldChar w:fldCharType="begin"/>
      </w:r>
      <w:r>
        <w:instrText xml:space="preserve"> INCLUDEPICTURE  "https://www.tdx.com.cn/products/helpfile/tdxw/chm/%E7%AC%AC%E4%B8%89%E7%AB%A0  %E7%89%88%E9%9D%A2%E5%92%8C%E5%85%AC%E5%BC%8F/3-2/3-2-2/4.png" \* MERGEFORMATINET </w:instrText>
      </w:r>
      <w:r>
        <w:fldChar w:fldCharType="separate"/>
      </w:r>
      <w:r>
        <w:fldChar w:fldCharType="begin"/>
      </w:r>
      <w:r>
        <w:instrText xml:space="preserve"> INCLUDEPICTURE  "https://www.tdx.com.cn/products/helpfile/tdxw/chm/%E7%AC%AC%E4%B8%89%E7%AB%A0  %E7%89%88%E9%9D%A2%E5%92%8C%E5%85%AC%E5%BC%8F/3-2/3-2-2/4.png" \* MERGEFORMATINET </w:instrText>
      </w:r>
      <w:r>
        <w:fldChar w:fldCharType="separate"/>
      </w:r>
      <w:r>
        <w:fldChar w:fldCharType="begin"/>
      </w:r>
      <w:r>
        <w:instrText xml:space="preserve"> INCLUDEPICTURE  "https://www.tdx.com.cn/products/helpfile/tdxw/chm/%E7%AC%AC%E4%B8%89%E7%AB%A0  %E7%89%88%E9%9D%A2%E5%92%8C%E5%85%AC%E5%BC%8F/3-2/3-2-2/4.png" \* MERGEFORMATINET </w:instrText>
      </w:r>
      <w:r>
        <w:fldChar w:fldCharType="separate"/>
      </w:r>
      <w:r>
        <w:fldChar w:fldCharType="begin"/>
      </w:r>
      <w:r>
        <w:instrText xml:space="preserve"> INCLUDEPICTURE  "https://www.tdx.com.cn/products/helpfile/tdxw/chm/%E7%AC%AC%E4%B8%89%E7%AB%A0  %E7%89%88%E9%9D%A2%E5%92%8C%E5%85%AC%E5%BC%8F/3-2/3-2-2/4.png" \* MERGEFORMATINET </w:instrText>
      </w:r>
      <w:r>
        <w:fldChar w:fldCharType="separate"/>
      </w:r>
      <w:r>
        <w:drawing>
          <wp:inline distT="0" distB="0" distL="114300" distR="114300">
            <wp:extent cx="4591050" cy="4495800"/>
            <wp:effectExtent l="0" t="0" r="0" b="0"/>
            <wp:docPr id="246" name="图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46"/>
                    <pic:cNvPicPr>
                      <a:picLocks noChangeAspect="1"/>
                    </pic:cNvPicPr>
                  </pic:nvPicPr>
                  <pic:blipFill>
                    <a:blip r:embed="rId459" r:link="rId460"/>
                    <a:stretch>
                      <a:fillRect/>
                    </a:stretch>
                  </pic:blipFill>
                  <pic:spPr>
                    <a:xfrm>
                      <a:off x="0" y="0"/>
                      <a:ext cx="4591050" cy="4495800"/>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图2</w:t>
      </w:r>
    </w:p>
    <w:p>
      <w:pPr>
        <w:pStyle w:val="34"/>
      </w:pPr>
      <w:r>
        <w:rPr>
          <w:rFonts w:hint="eastAsia"/>
        </w:rPr>
        <w:t>数据管理界面构成</w:t>
      </w:r>
    </w:p>
    <w:p>
      <w:pPr>
        <w:pStyle w:val="34"/>
      </w:pPr>
      <w:r>
        <w:rPr>
          <w:rFonts w:hint="eastAsia"/>
        </w:rPr>
        <w:t>以图1 、2 为例，外部数据管理界面构成：</w:t>
      </w:r>
    </w:p>
    <w:p>
      <w:pPr>
        <w:pStyle w:val="34"/>
      </w:pPr>
      <w:r>
        <w:rPr>
          <w:rFonts w:hint="eastAsia"/>
        </w:rPr>
        <w:t>1窗口中间是一个数据列表，有代码、字符串、数值三个字段，每行记录一条数据；</w:t>
      </w:r>
    </w:p>
    <w:p>
      <w:pPr>
        <w:pStyle w:val="34"/>
      </w:pPr>
      <w:r>
        <w:rPr>
          <w:rFonts w:hint="eastAsia"/>
        </w:rPr>
        <w:t>2窗口下边是一排操作按钮，图2 的操作按钮比图1多了一个切换品种；在外部数据中每个品种一条数据，而在序列数据中。</w:t>
      </w:r>
    </w:p>
    <w:p>
      <w:pPr>
        <w:pStyle w:val="34"/>
      </w:pPr>
      <w:r>
        <w:rPr>
          <w:rFonts w:hint="eastAsia"/>
        </w:rPr>
        <w:t>导出</w:t>
      </w:r>
    </w:p>
    <w:p>
      <w:pPr>
        <w:pStyle w:val="34"/>
      </w:pPr>
      <w:r>
        <w:rPr>
          <w:rFonts w:hint="eastAsia"/>
        </w:rPr>
        <w:t>导出过程介绍：</w:t>
      </w:r>
    </w:p>
    <w:p>
      <w:pPr>
        <w:pStyle w:val="34"/>
      </w:pPr>
      <w:r>
        <w:rPr>
          <w:rFonts w:hint="eastAsia"/>
        </w:rPr>
        <w:t>1点击导出按钮，首先弹出的是选择文件对话框，修改为要保存的文件名；</w:t>
      </w:r>
    </w:p>
    <w:p>
      <w:pPr>
        <w:pStyle w:val="34"/>
      </w:pPr>
      <w:r>
        <w:rPr>
          <w:rFonts w:hint="eastAsia"/>
        </w:rPr>
        <w:t>2如果导出的是序列数据，则还有一个询问框 ，选择导出当前品种或所有品种。</w:t>
      </w:r>
    </w:p>
    <w:p>
      <w:pPr>
        <w:pStyle w:val="34"/>
      </w:pPr>
      <w:r>
        <w:fldChar w:fldCharType="begin"/>
      </w:r>
      <w:r>
        <w:instrText xml:space="preserve"> INCLUDEPICTURE  "https://www.tdx.com.cn/products/helpfile/tdxw/chm/%E7%AC%AC%E4%B8%89%E7%AB%A0  %E7%89%88%E9%9D%A2%E5%92%8C%E5%85%AC%E5%BC%8F/3-2/3-2-2/5.png" \* MERGEFORMATINET </w:instrText>
      </w:r>
      <w:r>
        <w:fldChar w:fldCharType="separate"/>
      </w:r>
      <w:r>
        <w:fldChar w:fldCharType="begin"/>
      </w:r>
      <w:r>
        <w:instrText xml:space="preserve"> INCLUDEPICTURE  "https://www.tdx.com.cn/products/helpfile/tdxw/chm/%E7%AC%AC%E4%B8%89%E7%AB%A0  %E7%89%88%E9%9D%A2%E5%92%8C%E5%85%AC%E5%BC%8F/3-2/3-2-2/5.png" \* MERGEFORMATINET </w:instrText>
      </w:r>
      <w:r>
        <w:fldChar w:fldCharType="separate"/>
      </w:r>
      <w:r>
        <w:fldChar w:fldCharType="begin"/>
      </w:r>
      <w:r>
        <w:instrText xml:space="preserve"> INCLUDEPICTURE  "https://www.tdx.com.cn/products/helpfile/tdxw/chm/%E7%AC%AC%E4%B8%89%E7%AB%A0  %E7%89%88%E9%9D%A2%E5%92%8C%E5%85%AC%E5%BC%8F/3-2/3-2-2/5.png" \* MERGEFORMATINET </w:instrText>
      </w:r>
      <w:r>
        <w:fldChar w:fldCharType="separate"/>
      </w:r>
      <w:r>
        <w:fldChar w:fldCharType="begin"/>
      </w:r>
      <w:r>
        <w:instrText xml:space="preserve"> INCLUDEPICTURE  "https://www.tdx.com.cn/products/helpfile/tdxw/chm/%E7%AC%AC%E4%B8%89%E7%AB%A0  %E7%89%88%E9%9D%A2%E5%92%8C%E5%85%AC%E5%BC%8F/3-2/3-2-2/5.png" \* MERGEFORMATINET </w:instrText>
      </w:r>
      <w:r>
        <w:fldChar w:fldCharType="separate"/>
      </w:r>
      <w:r>
        <w:drawing>
          <wp:inline distT="0" distB="0" distL="114300" distR="114300">
            <wp:extent cx="3276600" cy="1343025"/>
            <wp:effectExtent l="0" t="0" r="0" b="9525"/>
            <wp:docPr id="247"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pic:cNvPicPr>
                      <a:picLocks noChangeAspect="1"/>
                    </pic:cNvPicPr>
                  </pic:nvPicPr>
                  <pic:blipFill>
                    <a:blip r:embed="rId461" r:link="rId462"/>
                    <a:stretch>
                      <a:fillRect/>
                    </a:stretch>
                  </pic:blipFill>
                  <pic:spPr>
                    <a:xfrm>
                      <a:off x="0" y="0"/>
                      <a:ext cx="3276600" cy="1343025"/>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导出文件格式：</w:t>
      </w:r>
    </w:p>
    <w:p>
      <w:pPr>
        <w:pStyle w:val="34"/>
      </w:pPr>
      <w:r>
        <w:rPr>
          <w:rFonts w:hint="eastAsia"/>
        </w:rPr>
        <w:t>1. 外部数据导出文本文件格式：市场号 | 品种代码 | 字符串数据 | 数值数据。各字段间以 '|' 为间隔符，每条数据一行。示例：</w:t>
      </w:r>
    </w:p>
    <w:p>
      <w:pPr>
        <w:pStyle w:val="34"/>
      </w:pPr>
      <w:r>
        <w:rPr>
          <w:rFonts w:hint="eastAsia"/>
        </w:rPr>
        <w:t>1|600000| 股份制银行，净息差波动，上海国际金融中心建设 |0.000</w:t>
      </w:r>
    </w:p>
    <w:p>
      <w:pPr>
        <w:pStyle w:val="34"/>
      </w:pPr>
      <w:r>
        <w:rPr>
          <w:rFonts w:hint="eastAsia"/>
        </w:rPr>
        <w:t>2. 序列数据导出文本文件格式：市场号 | 品种代码 | 日期 | 数值数据。各字段间以 '|' 为间隔符，每条数据一行。日期格式： YYYYMMDD ， YYYY 对应年， MM 对应月， DD 对应日。示例：</w:t>
      </w:r>
    </w:p>
    <w:p>
      <w:pPr>
        <w:pStyle w:val="34"/>
      </w:pPr>
      <w:r>
        <w:rPr>
          <w:rFonts w:hint="eastAsia"/>
        </w:rPr>
        <w:t>0|000001|20090105|15.000</w:t>
      </w:r>
    </w:p>
    <w:p>
      <w:pPr>
        <w:pStyle w:val="34"/>
      </w:pPr>
      <w:r>
        <w:rPr>
          <w:rFonts w:hint="eastAsia"/>
        </w:rPr>
        <w:t>0|000001|20090106|64.000</w:t>
      </w:r>
    </w:p>
    <w:p>
      <w:pPr>
        <w:pStyle w:val="34"/>
      </w:pPr>
      <w:r>
        <w:rPr>
          <w:rFonts w:hint="eastAsia"/>
        </w:rPr>
        <w:t>导入</w:t>
      </w:r>
    </w:p>
    <w:p>
      <w:pPr>
        <w:pStyle w:val="34"/>
      </w:pPr>
      <w:r>
        <w:rPr>
          <w:rFonts w:hint="eastAsia"/>
        </w:rPr>
        <w:t>导入过程介绍：</w:t>
      </w:r>
    </w:p>
    <w:p>
      <w:pPr>
        <w:pStyle w:val="34"/>
      </w:pPr>
      <w:r>
        <w:rPr>
          <w:rFonts w:hint="eastAsia"/>
        </w:rPr>
        <w:t>1. 点击导入按钮，首先弹出的是选择文件对话框，选择相应格式的导入文件，文件格式见前面介绍 ，间隔符也可以是除导出指定间隔符 '|' 外的其他间隔符；</w:t>
      </w:r>
    </w:p>
    <w:p>
      <w:pPr>
        <w:pStyle w:val="34"/>
      </w:pPr>
      <w:r>
        <w:rPr>
          <w:rFonts w:hint="eastAsia"/>
        </w:rPr>
        <w:t>2. 如果导出的是序列数据，则还有一个询问框 ，选择导出当前品种或所有品种。</w:t>
      </w:r>
    </w:p>
    <w:p>
      <w:pPr>
        <w:pStyle w:val="34"/>
      </w:pPr>
      <w:r>
        <w:rPr>
          <w:rFonts w:hint="eastAsia"/>
        </w:rPr>
        <w:t>3设置完导入方式，点击确定按钮；</w:t>
      </w:r>
    </w:p>
    <w:p>
      <w:pPr>
        <w:pStyle w:val="34"/>
      </w:pPr>
      <w:r>
        <w:fldChar w:fldCharType="begin"/>
      </w:r>
      <w:r>
        <w:instrText xml:space="preserve"> INCLUDEPICTURE  "https://www.tdx.com.cn/products/helpfile/tdxw/chm/%E7%AC%AC%E4%B8%89%E7%AB%A0  %E7%89%88%E9%9D%A2%E5%92%8C%E5%85%AC%E5%BC%8F/3-2/3-2-2/6.png" \* MERGEFORMATINET </w:instrText>
      </w:r>
      <w:r>
        <w:fldChar w:fldCharType="separate"/>
      </w:r>
      <w:r>
        <w:fldChar w:fldCharType="begin"/>
      </w:r>
      <w:r>
        <w:instrText xml:space="preserve"> INCLUDEPICTURE  "https://www.tdx.com.cn/products/helpfile/tdxw/chm/%E7%AC%AC%E4%B8%89%E7%AB%A0  %E7%89%88%E9%9D%A2%E5%92%8C%E5%85%AC%E5%BC%8F/3-2/3-2-2/6.png" \* MERGEFORMATINET </w:instrText>
      </w:r>
      <w:r>
        <w:fldChar w:fldCharType="separate"/>
      </w:r>
      <w:r>
        <w:fldChar w:fldCharType="begin"/>
      </w:r>
      <w:r>
        <w:instrText xml:space="preserve"> INCLUDEPICTURE  "https://www.tdx.com.cn/products/helpfile/tdxw/chm/%E7%AC%AC%E4%B8%89%E7%AB%A0  %E7%89%88%E9%9D%A2%E5%92%8C%E5%85%AC%E5%BC%8F/3-2/3-2-2/6.png" \* MERGEFORMATINET </w:instrText>
      </w:r>
      <w:r>
        <w:fldChar w:fldCharType="separate"/>
      </w:r>
      <w:r>
        <w:fldChar w:fldCharType="begin"/>
      </w:r>
      <w:r>
        <w:instrText xml:space="preserve"> INCLUDEPICTURE  "https://www.tdx.com.cn/products/helpfile/tdxw/chm/%E7%AC%AC%E4%B8%89%E7%AB%A0  %E7%89%88%E9%9D%A2%E5%92%8C%E5%85%AC%E5%BC%8F/3-2/3-2-2/6.png" \* MERGEFORMATINET </w:instrText>
      </w:r>
      <w:r>
        <w:fldChar w:fldCharType="separate"/>
      </w:r>
      <w:r>
        <w:drawing>
          <wp:inline distT="0" distB="0" distL="114300" distR="114300">
            <wp:extent cx="4114800" cy="3286125"/>
            <wp:effectExtent l="0" t="0" r="0" b="9525"/>
            <wp:docPr id="248" name="图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8"/>
                    <pic:cNvPicPr>
                      <a:picLocks noChangeAspect="1"/>
                    </pic:cNvPicPr>
                  </pic:nvPicPr>
                  <pic:blipFill>
                    <a:blip r:embed="rId463" r:link="rId464"/>
                    <a:stretch>
                      <a:fillRect/>
                    </a:stretch>
                  </pic:blipFill>
                  <pic:spPr>
                    <a:xfrm>
                      <a:off x="0" y="0"/>
                      <a:ext cx="4114800" cy="3286125"/>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列间隔符列表：</w:t>
      </w:r>
    </w:p>
    <w:p>
      <w:pPr>
        <w:pStyle w:val="34"/>
      </w:pPr>
      <w:r>
        <w:fldChar w:fldCharType="begin"/>
      </w:r>
      <w:r>
        <w:instrText xml:space="preserve"> INCLUDEPICTURE  "https://www.tdx.com.cn/products/helpfile/tdxw/chm/%E7%AC%AC%E4%B8%89%E7%AB%A0  %E7%89%88%E9%9D%A2%E5%92%8C%E5%85%AC%E5%BC%8F/3-2/3-2-2/7.png" \* MERGEFORMATINET </w:instrText>
      </w:r>
      <w:r>
        <w:fldChar w:fldCharType="separate"/>
      </w:r>
      <w:r>
        <w:fldChar w:fldCharType="begin"/>
      </w:r>
      <w:r>
        <w:instrText xml:space="preserve"> INCLUDEPICTURE  "https://www.tdx.com.cn/products/helpfile/tdxw/chm/%E7%AC%AC%E4%B8%89%E7%AB%A0  %E7%89%88%E9%9D%A2%E5%92%8C%E5%85%AC%E5%BC%8F/3-2/3-2-2/7.png" \* MERGEFORMATINET </w:instrText>
      </w:r>
      <w:r>
        <w:fldChar w:fldCharType="separate"/>
      </w:r>
      <w:r>
        <w:fldChar w:fldCharType="begin"/>
      </w:r>
      <w:r>
        <w:instrText xml:space="preserve"> INCLUDEPICTURE  "https://www.tdx.com.cn/products/helpfile/tdxw/chm/%E7%AC%AC%E4%B8%89%E7%AB%A0  %E7%89%88%E9%9D%A2%E5%92%8C%E5%85%AC%E5%BC%8F/3-2/3-2-2/7.png" \* MERGEFORMATINET </w:instrText>
      </w:r>
      <w:r>
        <w:fldChar w:fldCharType="separate"/>
      </w:r>
      <w:r>
        <w:fldChar w:fldCharType="begin"/>
      </w:r>
      <w:r>
        <w:instrText xml:space="preserve"> INCLUDEPICTURE  "https://www.tdx.com.cn/products/helpfile/tdxw/chm/%E7%AC%AC%E4%B8%89%E7%AB%A0  %E7%89%88%E9%9D%A2%E5%92%8C%E5%85%AC%E5%BC%8F/3-2/3-2-2/7.png" \* MERGEFORMATINET </w:instrText>
      </w:r>
      <w:r>
        <w:fldChar w:fldCharType="separate"/>
      </w:r>
      <w:r>
        <w:drawing>
          <wp:inline distT="0" distB="0" distL="114300" distR="114300">
            <wp:extent cx="1476375" cy="1304925"/>
            <wp:effectExtent l="0" t="0" r="9525" b="9525"/>
            <wp:docPr id="249" name="图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49"/>
                    <pic:cNvPicPr>
                      <a:picLocks noChangeAspect="1"/>
                    </pic:cNvPicPr>
                  </pic:nvPicPr>
                  <pic:blipFill>
                    <a:blip r:embed="rId465" r:link="rId466"/>
                    <a:stretch>
                      <a:fillRect/>
                    </a:stretch>
                  </pic:blipFill>
                  <pic:spPr>
                    <a:xfrm>
                      <a:off x="0" y="0"/>
                      <a:ext cx="1476375" cy="1304925"/>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添加</w:t>
      </w:r>
    </w:p>
    <w:p>
      <w:pPr>
        <w:pStyle w:val="34"/>
      </w:pPr>
      <w:r>
        <w:rPr>
          <w:rFonts w:hint="eastAsia"/>
        </w:rPr>
        <w:t>点击添加按钮，弹出新建数据对话框：</w:t>
      </w:r>
    </w:p>
    <w:p>
      <w:pPr>
        <w:pStyle w:val="34"/>
      </w:pPr>
      <w:r>
        <w:rPr>
          <w:rFonts w:hint="eastAsia"/>
        </w:rPr>
        <w:t>新建外部数据</w:t>
      </w:r>
    </w:p>
    <w:p>
      <w:pPr>
        <w:pStyle w:val="34"/>
      </w:pPr>
      <w:r>
        <w:fldChar w:fldCharType="begin"/>
      </w:r>
      <w:r>
        <w:instrText xml:space="preserve"> INCLUDEPICTURE  "https://www.tdx.com.cn/products/helpfile/tdxw/chm/%E7%AC%AC%E4%B8%89%E7%AB%A0  %E7%89%88%E9%9D%A2%E5%92%8C%E5%85%AC%E5%BC%8F/3-2/3-2-2/8.png" \* MERGEFORMATINET </w:instrText>
      </w:r>
      <w:r>
        <w:fldChar w:fldCharType="separate"/>
      </w:r>
      <w:r>
        <w:fldChar w:fldCharType="begin"/>
      </w:r>
      <w:r>
        <w:instrText xml:space="preserve"> INCLUDEPICTURE  "https://www.tdx.com.cn/products/helpfile/tdxw/chm/%E7%AC%AC%E4%B8%89%E7%AB%A0  %E7%89%88%E9%9D%A2%E5%92%8C%E5%85%AC%E5%BC%8F/3-2/3-2-2/8.png" \* MERGEFORMATINET </w:instrText>
      </w:r>
      <w:r>
        <w:fldChar w:fldCharType="separate"/>
      </w:r>
      <w:r>
        <w:fldChar w:fldCharType="begin"/>
      </w:r>
      <w:r>
        <w:instrText xml:space="preserve"> INCLUDEPICTURE  "https://www.tdx.com.cn/products/helpfile/tdxw/chm/%E7%AC%AC%E4%B8%89%E7%AB%A0  %E7%89%88%E9%9D%A2%E5%92%8C%E5%85%AC%E5%BC%8F/3-2/3-2-2/8.png" \* MERGEFORMATINET </w:instrText>
      </w:r>
      <w:r>
        <w:fldChar w:fldCharType="separate"/>
      </w:r>
      <w:r>
        <w:fldChar w:fldCharType="begin"/>
      </w:r>
      <w:r>
        <w:instrText xml:space="preserve"> INCLUDEPICTURE  "https://www.tdx.com.cn/products/helpfile/tdxw/chm/%E7%AC%AC%E4%B8%89%E7%AB%A0  %E7%89%88%E9%9D%A2%E5%92%8C%E5%85%AC%E5%BC%8F/3-2/3-2-2/8.png" \* MERGEFORMATINET </w:instrText>
      </w:r>
      <w:r>
        <w:fldChar w:fldCharType="separate"/>
      </w:r>
      <w:r>
        <w:drawing>
          <wp:inline distT="0" distB="0" distL="114300" distR="114300">
            <wp:extent cx="4029075" cy="1800225"/>
            <wp:effectExtent l="0" t="0" r="9525" b="9525"/>
            <wp:docPr id="250" name="图片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50"/>
                    <pic:cNvPicPr>
                      <a:picLocks noChangeAspect="1"/>
                    </pic:cNvPicPr>
                  </pic:nvPicPr>
                  <pic:blipFill>
                    <a:blip r:embed="rId467" r:link="rId468"/>
                    <a:stretch>
                      <a:fillRect/>
                    </a:stretch>
                  </pic:blipFill>
                  <pic:spPr>
                    <a:xfrm>
                      <a:off x="0" y="0"/>
                      <a:ext cx="4029075" cy="1800225"/>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新建序列数据</w:t>
      </w:r>
    </w:p>
    <w:p>
      <w:pPr>
        <w:pStyle w:val="34"/>
      </w:pPr>
      <w:r>
        <w:fldChar w:fldCharType="begin"/>
      </w:r>
      <w:r>
        <w:instrText xml:space="preserve"> INCLUDEPICTURE  "https://www.tdx.com.cn/products/helpfile/tdxw/chm/%E7%AC%AC%E4%B8%89%E7%AB%A0  %E7%89%88%E9%9D%A2%E5%92%8C%E5%85%AC%E5%BC%8F/3-2/3-2-2/9.png" \* MERGEFORMATINET </w:instrText>
      </w:r>
      <w:r>
        <w:fldChar w:fldCharType="separate"/>
      </w:r>
      <w:r>
        <w:fldChar w:fldCharType="begin"/>
      </w:r>
      <w:r>
        <w:instrText xml:space="preserve"> INCLUDEPICTURE  "https://www.tdx.com.cn/products/helpfile/tdxw/chm/%E7%AC%AC%E4%B8%89%E7%AB%A0  %E7%89%88%E9%9D%A2%E5%92%8C%E5%85%AC%E5%BC%8F/3-2/3-2-2/9.png" \* MERGEFORMATINET </w:instrText>
      </w:r>
      <w:r>
        <w:fldChar w:fldCharType="separate"/>
      </w:r>
      <w:r>
        <w:fldChar w:fldCharType="begin"/>
      </w:r>
      <w:r>
        <w:instrText xml:space="preserve"> INCLUDEPICTURE  "https://www.tdx.com.cn/products/helpfile/tdxw/chm/%E7%AC%AC%E4%B8%89%E7%AB%A0  %E7%89%88%E9%9D%A2%E5%92%8C%E5%85%AC%E5%BC%8F/3-2/3-2-2/9.png" \* MERGEFORMATINET </w:instrText>
      </w:r>
      <w:r>
        <w:fldChar w:fldCharType="separate"/>
      </w:r>
      <w:r>
        <w:fldChar w:fldCharType="begin"/>
      </w:r>
      <w:r>
        <w:instrText xml:space="preserve"> INCLUDEPICTURE  "https://www.tdx.com.cn/products/helpfile/tdxw/chm/%E7%AC%AC%E4%B8%89%E7%AB%A0  %E7%89%88%E9%9D%A2%E5%92%8C%E5%85%AC%E5%BC%8F/3-2/3-2-2/9.png" \* MERGEFORMATINET </w:instrText>
      </w:r>
      <w:r>
        <w:fldChar w:fldCharType="separate"/>
      </w:r>
      <w:r>
        <w:drawing>
          <wp:inline distT="0" distB="0" distL="114300" distR="114300">
            <wp:extent cx="4143375" cy="1800225"/>
            <wp:effectExtent l="0" t="0" r="9525" b="9525"/>
            <wp:docPr id="251" name="图片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51"/>
                    <pic:cNvPicPr>
                      <a:picLocks noChangeAspect="1"/>
                    </pic:cNvPicPr>
                  </pic:nvPicPr>
                  <pic:blipFill>
                    <a:blip r:embed="rId469" r:link="rId470"/>
                    <a:stretch>
                      <a:fillRect/>
                    </a:stretch>
                  </pic:blipFill>
                  <pic:spPr>
                    <a:xfrm>
                      <a:off x="0" y="0"/>
                      <a:ext cx="4143375" cy="1800225"/>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在品种代码框内输出品种名称或品种代码，会弹出键盘精灵：</w:t>
      </w:r>
    </w:p>
    <w:p>
      <w:pPr>
        <w:pStyle w:val="34"/>
      </w:pPr>
      <w:r>
        <w:fldChar w:fldCharType="begin"/>
      </w:r>
      <w:r>
        <w:instrText xml:space="preserve"> INCLUDEPICTURE  "https://www.tdx.com.cn/products/helpfile/tdxw/chm/%E7%AC%AC%E4%B8%89%E7%AB%A0  %E7%89%88%E9%9D%A2%E5%92%8C%E5%85%AC%E5%BC%8F/3-2/3-2-2/10.png" \* MERGEFORMATINET </w:instrText>
      </w:r>
      <w:r>
        <w:fldChar w:fldCharType="separate"/>
      </w:r>
      <w:r>
        <w:fldChar w:fldCharType="begin"/>
      </w:r>
      <w:r>
        <w:instrText xml:space="preserve"> INCLUDEPICTURE  "https://www.tdx.com.cn/products/helpfile/tdxw/chm/%E7%AC%AC%E4%B8%89%E7%AB%A0  %E7%89%88%E9%9D%A2%E5%92%8C%E5%85%AC%E5%BC%8F/3-2/3-2-2/10.png" \* MERGEFORMATINET </w:instrText>
      </w:r>
      <w:r>
        <w:fldChar w:fldCharType="separate"/>
      </w:r>
      <w:r>
        <w:fldChar w:fldCharType="begin"/>
      </w:r>
      <w:r>
        <w:instrText xml:space="preserve"> INCLUDEPICTURE  "https://www.tdx.com.cn/products/helpfile/tdxw/chm/%E7%AC%AC%E4%B8%89%E7%AB%A0  %E7%89%88%E9%9D%A2%E5%92%8C%E5%85%AC%E5%BC%8F/3-2/3-2-2/10.png" \* MERGEFORMATINET </w:instrText>
      </w:r>
      <w:r>
        <w:fldChar w:fldCharType="separate"/>
      </w:r>
      <w:r>
        <w:fldChar w:fldCharType="begin"/>
      </w:r>
      <w:r>
        <w:instrText xml:space="preserve"> INCLUDEPICTURE  "https://www.tdx.com.cn/products/helpfile/tdxw/chm/%E7%AC%AC%E4%B8%89%E7%AB%A0  %E7%89%88%E9%9D%A2%E5%92%8C%E5%85%AC%E5%BC%8F/3-2/3-2-2/10.png" \* MERGEFORMATINET </w:instrText>
      </w:r>
      <w:r>
        <w:fldChar w:fldCharType="separate"/>
      </w:r>
      <w:r>
        <w:drawing>
          <wp:inline distT="0" distB="0" distL="114300" distR="114300">
            <wp:extent cx="1790700" cy="2286000"/>
            <wp:effectExtent l="0" t="0" r="0" b="0"/>
            <wp:docPr id="252" name="图片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pic:cNvPicPr>
                      <a:picLocks noChangeAspect="1"/>
                    </pic:cNvPicPr>
                  </pic:nvPicPr>
                  <pic:blipFill>
                    <a:blip r:embed="rId471" r:link="rId472"/>
                    <a:stretch>
                      <a:fillRect/>
                    </a:stretch>
                  </pic:blipFill>
                  <pic:spPr>
                    <a:xfrm>
                      <a:off x="0" y="0"/>
                      <a:ext cx="1790700" cy="2286000"/>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注：</w:t>
      </w:r>
    </w:p>
    <w:p>
      <w:pPr>
        <w:pStyle w:val="34"/>
      </w:pPr>
      <w:r>
        <w:rPr>
          <w:rFonts w:hint="eastAsia"/>
        </w:rPr>
        <w:t>1. 外部数据，一个品种（一只股）只有一条数据，添加重复品种会提示是否覆盖；</w:t>
      </w:r>
    </w:p>
    <w:p>
      <w:pPr>
        <w:pStyle w:val="34"/>
      </w:pPr>
      <w:r>
        <w:rPr>
          <w:rFonts w:hint="eastAsia"/>
        </w:rPr>
        <w:t>2. 序列数据，一个品种一个日期只有一条数据，添加重复日期数据会提示是否覆盖。</w:t>
      </w:r>
    </w:p>
    <w:p>
      <w:pPr>
        <w:pStyle w:val="34"/>
      </w:pPr>
      <w:r>
        <w:rPr>
          <w:rFonts w:hint="eastAsia"/>
        </w:rPr>
        <w:t>修改</w:t>
      </w:r>
    </w:p>
    <w:p>
      <w:pPr>
        <w:pStyle w:val="34"/>
      </w:pPr>
      <w:r>
        <w:rPr>
          <w:rFonts w:hint="eastAsia"/>
        </w:rPr>
        <w:t>选中一条数据后点击修改或者双击鼠标左键，弹出数据修改界面，即可修改该品种的数据，品种代码不可更改。</w:t>
      </w:r>
    </w:p>
    <w:p>
      <w:pPr>
        <w:pStyle w:val="34"/>
      </w:pPr>
      <w:r>
        <w:rPr>
          <w:rFonts w:hint="eastAsia"/>
        </w:rPr>
        <w:t>外部数据修改界面：</w:t>
      </w:r>
    </w:p>
    <w:p>
      <w:pPr>
        <w:pStyle w:val="34"/>
      </w:pPr>
      <w:r>
        <w:fldChar w:fldCharType="begin"/>
      </w:r>
      <w:r>
        <w:instrText xml:space="preserve"> INCLUDEPICTURE  "https://www.tdx.com.cn/products/helpfile/tdxw/chm/%E7%AC%AC%E4%B8%89%E7%AB%A0  %E7%89%88%E9%9D%A2%E5%92%8C%E5%85%AC%E5%BC%8F/3-2/3-2-2/11.png" \* MERGEFORMATINET </w:instrText>
      </w:r>
      <w:r>
        <w:fldChar w:fldCharType="separate"/>
      </w:r>
      <w:r>
        <w:fldChar w:fldCharType="begin"/>
      </w:r>
      <w:r>
        <w:instrText xml:space="preserve"> INCLUDEPICTURE  "https://www.tdx.com.cn/products/helpfile/tdxw/chm/%E7%AC%AC%E4%B8%89%E7%AB%A0  %E7%89%88%E9%9D%A2%E5%92%8C%E5%85%AC%E5%BC%8F/3-2/3-2-2/11.png" \* MERGEFORMATINET </w:instrText>
      </w:r>
      <w:r>
        <w:fldChar w:fldCharType="separate"/>
      </w:r>
      <w:r>
        <w:fldChar w:fldCharType="begin"/>
      </w:r>
      <w:r>
        <w:instrText xml:space="preserve"> INCLUDEPICTURE  "https://www.tdx.com.cn/products/helpfile/tdxw/chm/%E7%AC%AC%E4%B8%89%E7%AB%A0  %E7%89%88%E9%9D%A2%E5%92%8C%E5%85%AC%E5%BC%8F/3-2/3-2-2/11.png" \* MERGEFORMATINET </w:instrText>
      </w:r>
      <w:r>
        <w:fldChar w:fldCharType="separate"/>
      </w:r>
      <w:r>
        <w:fldChar w:fldCharType="begin"/>
      </w:r>
      <w:r>
        <w:instrText xml:space="preserve"> INCLUDEPICTURE  "https://www.tdx.com.cn/products/helpfile/tdxw/chm/%E7%AC%AC%E4%B8%89%E7%AB%A0  %E7%89%88%E9%9D%A2%E5%92%8C%E5%85%AC%E5%BC%8F/3-2/3-2-2/11.png" \* MERGEFORMATINET </w:instrText>
      </w:r>
      <w:r>
        <w:fldChar w:fldCharType="separate"/>
      </w:r>
      <w:r>
        <w:drawing>
          <wp:inline distT="0" distB="0" distL="114300" distR="114300">
            <wp:extent cx="4057650" cy="1866900"/>
            <wp:effectExtent l="0" t="0" r="0" b="0"/>
            <wp:docPr id="253"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53"/>
                    <pic:cNvPicPr>
                      <a:picLocks noChangeAspect="1"/>
                    </pic:cNvPicPr>
                  </pic:nvPicPr>
                  <pic:blipFill>
                    <a:blip r:embed="rId473" r:link="rId474"/>
                    <a:stretch>
                      <a:fillRect/>
                    </a:stretch>
                  </pic:blipFill>
                  <pic:spPr>
                    <a:xfrm>
                      <a:off x="0" y="0"/>
                      <a:ext cx="4057650" cy="1866900"/>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序列数据修改界面：</w:t>
      </w:r>
    </w:p>
    <w:p>
      <w:pPr>
        <w:pStyle w:val="34"/>
      </w:pPr>
      <w:r>
        <w:fldChar w:fldCharType="begin"/>
      </w:r>
      <w:r>
        <w:instrText xml:space="preserve"> INCLUDEPICTURE  "https://www.tdx.com.cn/products/helpfile/tdxw/chm/%E7%AC%AC%E4%B8%89%E7%AB%A0  %E7%89%88%E9%9D%A2%E5%92%8C%E5%85%AC%E5%BC%8F/3-2/3-2-2/12.png" \* MERGEFORMATINET </w:instrText>
      </w:r>
      <w:r>
        <w:fldChar w:fldCharType="separate"/>
      </w:r>
      <w:r>
        <w:fldChar w:fldCharType="begin"/>
      </w:r>
      <w:r>
        <w:instrText xml:space="preserve"> INCLUDEPICTURE  "https://www.tdx.com.cn/products/helpfile/tdxw/chm/%E7%AC%AC%E4%B8%89%E7%AB%A0  %E7%89%88%E9%9D%A2%E5%92%8C%E5%85%AC%E5%BC%8F/3-2/3-2-2/12.png" \* MERGEFORMATINET </w:instrText>
      </w:r>
      <w:r>
        <w:fldChar w:fldCharType="separate"/>
      </w:r>
      <w:r>
        <w:fldChar w:fldCharType="begin"/>
      </w:r>
      <w:r>
        <w:instrText xml:space="preserve"> INCLUDEPICTURE  "https://www.tdx.com.cn/products/helpfile/tdxw/chm/%E7%AC%AC%E4%B8%89%E7%AB%A0  %E7%89%88%E9%9D%A2%E5%92%8C%E5%85%AC%E5%BC%8F/3-2/3-2-2/12.png" \* MERGEFORMATINET </w:instrText>
      </w:r>
      <w:r>
        <w:fldChar w:fldCharType="separate"/>
      </w:r>
      <w:r>
        <w:fldChar w:fldCharType="begin"/>
      </w:r>
      <w:r>
        <w:instrText xml:space="preserve"> INCLUDEPICTURE  "https://www.tdx.com.cn/products/helpfile/tdxw/chm/%E7%AC%AC%E4%B8%89%E7%AB%A0  %E7%89%88%E9%9D%A2%E5%92%8C%E5%85%AC%E5%BC%8F/3-2/3-2-2/12.png" \* MERGEFORMATINET </w:instrText>
      </w:r>
      <w:r>
        <w:fldChar w:fldCharType="separate"/>
      </w:r>
      <w:r>
        <w:drawing>
          <wp:inline distT="0" distB="0" distL="114300" distR="114300">
            <wp:extent cx="4419600" cy="1809750"/>
            <wp:effectExtent l="0" t="0" r="0" b="0"/>
            <wp:docPr id="254" name="图片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254"/>
                    <pic:cNvPicPr>
                      <a:picLocks noChangeAspect="1"/>
                    </pic:cNvPicPr>
                  </pic:nvPicPr>
                  <pic:blipFill>
                    <a:blip r:embed="rId475" r:link="rId476"/>
                    <a:stretch>
                      <a:fillRect/>
                    </a:stretch>
                  </pic:blipFill>
                  <pic:spPr>
                    <a:xfrm>
                      <a:off x="0" y="0"/>
                      <a:ext cx="4419600" cy="1809750"/>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注：</w:t>
      </w:r>
    </w:p>
    <w:p>
      <w:pPr>
        <w:pStyle w:val="34"/>
      </w:pPr>
      <w:r>
        <w:rPr>
          <w:rFonts w:hint="eastAsia"/>
        </w:rPr>
        <w:t>1. 修改序列数据时，修改日期是一种特殊操作，如果修改后的日期为一个新日期，那么点击确定后会插入一条新数据，原来日期对应的数据不变；如果修改后的日期为一个已存在的日期，那么效果与添加重复日期数据效果相同，会提示是否覆盖。</w:t>
      </w:r>
    </w:p>
    <w:p>
      <w:pPr>
        <w:pStyle w:val="34"/>
      </w:pPr>
      <w:r>
        <w:rPr>
          <w:rFonts w:hint="eastAsia"/>
        </w:rPr>
        <w:t>删除</w:t>
      </w:r>
    </w:p>
    <w:p>
      <w:pPr>
        <w:pStyle w:val="34"/>
      </w:pPr>
      <w:r>
        <w:rPr>
          <w:rFonts w:hint="eastAsia"/>
        </w:rPr>
        <w:t>选中数据，点击删除按钮，弹出删除询问框，用户确认后，删除该数据。</w:t>
      </w:r>
    </w:p>
    <w:p>
      <w:pPr>
        <w:pStyle w:val="34"/>
      </w:pPr>
      <w:r>
        <w:rPr>
          <w:rFonts w:hint="eastAsia"/>
        </w:rPr>
        <w:t>清空</w:t>
      </w:r>
    </w:p>
    <w:p>
      <w:pPr>
        <w:pStyle w:val="34"/>
      </w:pPr>
      <w:r>
        <w:rPr>
          <w:rFonts w:hint="eastAsia"/>
        </w:rPr>
        <w:t>选中一条数据后点击清空，弹出清空询问框，用户确认后清空数据。</w:t>
      </w:r>
    </w:p>
    <w:p>
      <w:pPr>
        <w:pStyle w:val="34"/>
      </w:pPr>
      <w:r>
        <w:rPr>
          <w:rFonts w:hint="eastAsia"/>
        </w:rPr>
        <w:t>外部数据清空询问框：</w:t>
      </w:r>
    </w:p>
    <w:p>
      <w:pPr>
        <w:pStyle w:val="34"/>
      </w:pPr>
      <w:r>
        <w:fldChar w:fldCharType="begin"/>
      </w:r>
      <w:r>
        <w:instrText xml:space="preserve"> INCLUDEPICTURE  "https://www.tdx.com.cn/products/helpfile/tdxw/chm/%E7%AC%AC%E4%B8%89%E7%AB%A0  %E7%89%88%E9%9D%A2%E5%92%8C%E5%85%AC%E5%BC%8F/3-2/3-2-2/13.png" \* MERGEFORMATINET </w:instrText>
      </w:r>
      <w:r>
        <w:fldChar w:fldCharType="separate"/>
      </w:r>
      <w:r>
        <w:fldChar w:fldCharType="begin"/>
      </w:r>
      <w:r>
        <w:instrText xml:space="preserve"> INCLUDEPICTURE  "https://www.tdx.com.cn/products/helpfile/tdxw/chm/%E7%AC%AC%E4%B8%89%E7%AB%A0  %E7%89%88%E9%9D%A2%E5%92%8C%E5%85%AC%E5%BC%8F/3-2/3-2-2/13.png" \* MERGEFORMATINET </w:instrText>
      </w:r>
      <w:r>
        <w:fldChar w:fldCharType="separate"/>
      </w:r>
      <w:r>
        <w:fldChar w:fldCharType="begin"/>
      </w:r>
      <w:r>
        <w:instrText xml:space="preserve"> INCLUDEPICTURE  "https://www.tdx.com.cn/products/helpfile/tdxw/chm/%E7%AC%AC%E4%B8%89%E7%AB%A0  %E7%89%88%E9%9D%A2%E5%92%8C%E5%85%AC%E5%BC%8F/3-2/3-2-2/13.png" \* MERGEFORMATINET </w:instrText>
      </w:r>
      <w:r>
        <w:fldChar w:fldCharType="separate"/>
      </w:r>
      <w:r>
        <w:fldChar w:fldCharType="begin"/>
      </w:r>
      <w:r>
        <w:instrText xml:space="preserve"> INCLUDEPICTURE  "https://www.tdx.com.cn/products/helpfile/tdxw/chm/%E7%AC%AC%E4%B8%89%E7%AB%A0  %E7%89%88%E9%9D%A2%E5%92%8C%E5%85%AC%E5%BC%8F/3-2/3-2-2/13.png" \* MERGEFORMATINET </w:instrText>
      </w:r>
      <w:r>
        <w:fldChar w:fldCharType="separate"/>
      </w:r>
      <w:r>
        <w:drawing>
          <wp:inline distT="0" distB="0" distL="114300" distR="114300">
            <wp:extent cx="1809750" cy="962025"/>
            <wp:effectExtent l="0" t="0" r="0" b="9525"/>
            <wp:docPr id="255"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55"/>
                    <pic:cNvPicPr>
                      <a:picLocks noChangeAspect="1"/>
                    </pic:cNvPicPr>
                  </pic:nvPicPr>
                  <pic:blipFill>
                    <a:blip r:embed="rId477" r:link="rId478"/>
                    <a:stretch>
                      <a:fillRect/>
                    </a:stretch>
                  </pic:blipFill>
                  <pic:spPr>
                    <a:xfrm>
                      <a:off x="0" y="0"/>
                      <a:ext cx="1809750" cy="962025"/>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序列数据清空询问框：</w:t>
      </w:r>
    </w:p>
    <w:p>
      <w:pPr>
        <w:pStyle w:val="34"/>
      </w:pPr>
      <w:r>
        <w:fldChar w:fldCharType="begin"/>
      </w:r>
      <w:r>
        <w:instrText xml:space="preserve"> INCLUDEPICTURE  "https://www.tdx.com.cn/products/helpfile/tdxw/chm/%E7%AC%AC%E4%B8%89%E7%AB%A0  %E7%89%88%E9%9D%A2%E5%92%8C%E5%85%AC%E5%BC%8F/3-2/3-2-2/14.png" \* MERGEFORMATINET </w:instrText>
      </w:r>
      <w:r>
        <w:fldChar w:fldCharType="separate"/>
      </w:r>
      <w:r>
        <w:fldChar w:fldCharType="begin"/>
      </w:r>
      <w:r>
        <w:instrText xml:space="preserve"> INCLUDEPICTURE  "https://www.tdx.com.cn/products/helpfile/tdxw/chm/%E7%AC%AC%E4%B8%89%E7%AB%A0  %E7%89%88%E9%9D%A2%E5%92%8C%E5%85%AC%E5%BC%8F/3-2/3-2-2/14.png" \* MERGEFORMATINET </w:instrText>
      </w:r>
      <w:r>
        <w:fldChar w:fldCharType="separate"/>
      </w:r>
      <w:r>
        <w:fldChar w:fldCharType="begin"/>
      </w:r>
      <w:r>
        <w:instrText xml:space="preserve"> INCLUDEPICTURE  "https://www.tdx.com.cn/products/helpfile/tdxw/chm/%E7%AC%AC%E4%B8%89%E7%AB%A0  %E7%89%88%E9%9D%A2%E5%92%8C%E5%85%AC%E5%BC%8F/3-2/3-2-2/14.png" \* MERGEFORMATINET </w:instrText>
      </w:r>
      <w:r>
        <w:fldChar w:fldCharType="separate"/>
      </w:r>
      <w:r>
        <w:fldChar w:fldCharType="begin"/>
      </w:r>
      <w:r>
        <w:instrText xml:space="preserve"> INCLUDEPICTURE  "https://www.tdx.com.cn/products/helpfile/tdxw/chm/%E7%AC%AC%E4%B8%89%E7%AB%A0  %E7%89%88%E9%9D%A2%E5%92%8C%E5%85%AC%E5%BC%8F/3-2/3-2-2/14.png" \* MERGEFORMATINET </w:instrText>
      </w:r>
      <w:r>
        <w:fldChar w:fldCharType="separate"/>
      </w:r>
      <w:r>
        <w:drawing>
          <wp:inline distT="0" distB="0" distL="114300" distR="114300">
            <wp:extent cx="2914650" cy="1200150"/>
            <wp:effectExtent l="0" t="0" r="0" b="0"/>
            <wp:docPr id="256" name="图片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256"/>
                    <pic:cNvPicPr>
                      <a:picLocks noChangeAspect="1"/>
                    </pic:cNvPicPr>
                  </pic:nvPicPr>
                  <pic:blipFill>
                    <a:blip r:embed="rId479" r:link="rId480"/>
                    <a:stretch>
                      <a:fillRect/>
                    </a:stretch>
                  </pic:blipFill>
                  <pic:spPr>
                    <a:xfrm>
                      <a:off x="0" y="0"/>
                      <a:ext cx="2914650" cy="1200150"/>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切换品种</w:t>
      </w:r>
    </w:p>
    <w:p>
      <w:pPr>
        <w:pStyle w:val="34"/>
      </w:pPr>
      <w:r>
        <w:rPr>
          <w:rFonts w:hint="eastAsia"/>
        </w:rPr>
        <w:t>切换品种功能仅序列数据有。显示序列数据时，列表框内仅显示一只股票的数据，因此要查看其他品种的序列数据需要切换品种。</w:t>
      </w:r>
    </w:p>
    <w:p>
      <w:pPr>
        <w:pStyle w:val="34"/>
      </w:pPr>
      <w:r>
        <w:fldChar w:fldCharType="begin"/>
      </w:r>
      <w:r>
        <w:instrText xml:space="preserve"> INCLUDEPICTURE  "https://www.tdx.com.cn/products/helpfile/tdxw/chm/%E7%AC%AC%E4%B8%89%E7%AB%A0  %E7%89%88%E9%9D%A2%E5%92%8C%E5%85%AC%E5%BC%8F/3-2/3-2-2/15.png" \* MERGEFORMATINET </w:instrText>
      </w:r>
      <w:r>
        <w:fldChar w:fldCharType="separate"/>
      </w:r>
      <w:r>
        <w:fldChar w:fldCharType="begin"/>
      </w:r>
      <w:r>
        <w:instrText xml:space="preserve"> INCLUDEPICTURE  "https://www.tdx.com.cn/products/helpfile/tdxw/chm/%E7%AC%AC%E4%B8%89%E7%AB%A0  %E7%89%88%E9%9D%A2%E5%92%8C%E5%85%AC%E5%BC%8F/3-2/3-2-2/15.png" \* MERGEFORMATINET </w:instrText>
      </w:r>
      <w:r>
        <w:fldChar w:fldCharType="separate"/>
      </w:r>
      <w:r>
        <w:fldChar w:fldCharType="begin"/>
      </w:r>
      <w:r>
        <w:instrText xml:space="preserve"> INCLUDEPICTURE  "https://www.tdx.com.cn/products/helpfile/tdxw/chm/%E7%AC%AC%E4%B8%89%E7%AB%A0  %E7%89%88%E9%9D%A2%E5%92%8C%E5%85%AC%E5%BC%8F/3-2/3-2-2/15.png" \* MERGEFORMATINET </w:instrText>
      </w:r>
      <w:r>
        <w:fldChar w:fldCharType="separate"/>
      </w:r>
      <w:r>
        <w:fldChar w:fldCharType="begin"/>
      </w:r>
      <w:r>
        <w:instrText xml:space="preserve"> INCLUDEPICTURE  "https://www.tdx.com.cn/products/helpfile/tdxw/chm/%E7%AC%AC%E4%B8%89%E7%AB%A0  %E7%89%88%E9%9D%A2%E5%92%8C%E5%85%AC%E5%BC%8F/3-2/3-2-2/15.png" \* MERGEFORMATINET </w:instrText>
      </w:r>
      <w:r>
        <w:fldChar w:fldCharType="separate"/>
      </w:r>
      <w:r>
        <w:drawing>
          <wp:inline distT="0" distB="0" distL="114300" distR="114300">
            <wp:extent cx="1914525" cy="3571875"/>
            <wp:effectExtent l="0" t="0" r="9525" b="9525"/>
            <wp:docPr id="257" name="图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57"/>
                    <pic:cNvPicPr>
                      <a:picLocks noChangeAspect="1"/>
                    </pic:cNvPicPr>
                  </pic:nvPicPr>
                  <pic:blipFill>
                    <a:blip r:embed="rId481" r:link="rId482"/>
                    <a:stretch>
                      <a:fillRect/>
                    </a:stretch>
                  </pic:blipFill>
                  <pic:spPr>
                    <a:xfrm>
                      <a:off x="0" y="0"/>
                      <a:ext cx="1914525" cy="3571875"/>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如上图列表内列出了当前数据项中所有的品种，用户可以在编辑框中输入要查看品种的代码或者代码前缀，列表框内就会即时选出所有符合的品种，选中目标品种，点击选择或者双击该品种即可切换股票。</w:t>
      </w:r>
    </w:p>
    <w:p>
      <w:pPr>
        <w:pStyle w:val="4"/>
      </w:pPr>
      <w:r>
        <w:rPr>
          <w:rFonts w:hint="eastAsia"/>
        </w:rPr>
        <w:t>扩展数据管理器</w:t>
      </w:r>
    </w:p>
    <w:p>
      <w:pPr>
        <w:pStyle w:val="34"/>
      </w:pPr>
      <w:r>
        <w:rPr>
          <w:rFonts w:hint="eastAsia"/>
        </w:rPr>
        <w:t>功能简述：实现对指定股票实现指定数据范围内的指标输出进行横向排序统计。</w:t>
      </w:r>
    </w:p>
    <w:p>
      <w:pPr>
        <w:pStyle w:val="34"/>
      </w:pPr>
    </w:p>
    <w:p>
      <w:pPr>
        <w:pStyle w:val="34"/>
      </w:pPr>
      <w:r>
        <w:rPr>
          <w:rFonts w:hint="eastAsia"/>
        </w:rPr>
        <w:t>进入方式</w:t>
      </w:r>
    </w:p>
    <w:p>
      <w:pPr>
        <w:pStyle w:val="34"/>
      </w:pPr>
      <w:r>
        <w:rPr>
          <w:rFonts w:hint="eastAsia"/>
        </w:rPr>
        <w:t>公式——扩展数据管理器或用键盘精灵输入.902</w:t>
      </w:r>
    </w:p>
    <w:p>
      <w:pPr>
        <w:pStyle w:val="34"/>
      </w:pPr>
    </w:p>
    <w:p>
      <w:pPr>
        <w:pStyle w:val="34"/>
      </w:pPr>
      <w:r>
        <w:fldChar w:fldCharType="begin"/>
      </w:r>
      <w:r>
        <w:instrText xml:space="preserve"> INCLUDEPICTURE  "https://www.tdx.com.cn/products/helpfile/tdxw/chm/%E7%AC%AC%E4%B8%89%E7%AB%A0  %E7%89%88%E9%9D%A2%E5%92%8C%E5%85%AC%E5%BC%8F/3-2/3-2-3/1.png" \* MERGEFORMATINET </w:instrText>
      </w:r>
      <w:r>
        <w:fldChar w:fldCharType="separate"/>
      </w:r>
      <w:r>
        <w:fldChar w:fldCharType="begin"/>
      </w:r>
      <w:r>
        <w:instrText xml:space="preserve"> INCLUDEPICTURE  "https://www.tdx.com.cn/products/helpfile/tdxw/chm/%E7%AC%AC%E4%B8%89%E7%AB%A0  %E7%89%88%E9%9D%A2%E5%92%8C%E5%85%AC%E5%BC%8F/3-2/3-2-3/1.png" \* MERGEFORMATINET </w:instrText>
      </w:r>
      <w:r>
        <w:fldChar w:fldCharType="separate"/>
      </w:r>
      <w:r>
        <w:fldChar w:fldCharType="begin"/>
      </w:r>
      <w:r>
        <w:instrText xml:space="preserve"> INCLUDEPICTURE  "https://www.tdx.com.cn/products/helpfile/tdxw/chm/%E7%AC%AC%E4%B8%89%E7%AB%A0  %E7%89%88%E9%9D%A2%E5%92%8C%E5%85%AC%E5%BC%8F/3-2/3-2-3/1.png" \* MERGEFORMATINET </w:instrText>
      </w:r>
      <w:r>
        <w:fldChar w:fldCharType="separate"/>
      </w:r>
      <w:r>
        <w:fldChar w:fldCharType="begin"/>
      </w:r>
      <w:r>
        <w:instrText xml:space="preserve"> INCLUDEPICTURE  "https://www.tdx.com.cn/products/helpfile/tdxw/chm/%E7%AC%AC%E4%B8%89%E7%AB%A0  %E7%89%88%E9%9D%A2%E5%92%8C%E5%85%AC%E5%BC%8F/3-2/3-2-3/1.png" \* MERGEFORMATINET </w:instrText>
      </w:r>
      <w:r>
        <w:fldChar w:fldCharType="separate"/>
      </w:r>
      <w:r>
        <w:drawing>
          <wp:inline distT="0" distB="0" distL="114300" distR="114300">
            <wp:extent cx="4781550" cy="4010025"/>
            <wp:effectExtent l="0" t="0" r="0" b="9525"/>
            <wp:docPr id="258" name="图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258"/>
                    <pic:cNvPicPr>
                      <a:picLocks noChangeAspect="1"/>
                    </pic:cNvPicPr>
                  </pic:nvPicPr>
                  <pic:blipFill>
                    <a:blip r:embed="rId483" r:link="rId484"/>
                    <a:stretch>
                      <a:fillRect/>
                    </a:stretch>
                  </pic:blipFill>
                  <pic:spPr>
                    <a:xfrm>
                      <a:off x="0" y="0"/>
                      <a:ext cx="4781550" cy="4010025"/>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p>
    <w:p>
      <w:pPr>
        <w:pStyle w:val="34"/>
      </w:pPr>
      <w:r>
        <w:rPr>
          <w:rFonts w:hint="eastAsia"/>
        </w:rPr>
        <w:t>操作步骤 </w:t>
      </w:r>
    </w:p>
    <w:p>
      <w:pPr>
        <w:pStyle w:val="34"/>
      </w:pPr>
      <w:r>
        <w:rPr>
          <w:rFonts w:hint="eastAsia"/>
        </w:rPr>
        <w:t>⑴双击上方的数据行进行数据N的设置，进入下方的设置界面 </w:t>
      </w:r>
    </w:p>
    <w:p>
      <w:pPr>
        <w:pStyle w:val="34"/>
      </w:pPr>
      <w:r>
        <w:fldChar w:fldCharType="begin"/>
      </w:r>
      <w:r>
        <w:instrText xml:space="preserve"> INCLUDEPICTURE  "https://www.tdx.com.cn/products/helpfile/tdxw/chm/%E7%AC%AC%E4%B8%89%E7%AB%A0  %E7%89%88%E9%9D%A2%E5%92%8C%E5%85%AC%E5%BC%8F/3-2/3-2-3/2.png" \* MERGEFORMATINET </w:instrText>
      </w:r>
      <w:r>
        <w:fldChar w:fldCharType="separate"/>
      </w:r>
      <w:r>
        <w:fldChar w:fldCharType="begin"/>
      </w:r>
      <w:r>
        <w:instrText xml:space="preserve"> INCLUDEPICTURE  "https://www.tdx.com.cn/products/helpfile/tdxw/chm/%E7%AC%AC%E4%B8%89%E7%AB%A0  %E7%89%88%E9%9D%A2%E5%92%8C%E5%85%AC%E5%BC%8F/3-2/3-2-3/2.png" \* MERGEFORMATINET </w:instrText>
      </w:r>
      <w:r>
        <w:fldChar w:fldCharType="separate"/>
      </w:r>
      <w:r>
        <w:fldChar w:fldCharType="begin"/>
      </w:r>
      <w:r>
        <w:instrText xml:space="preserve"> INCLUDEPICTURE  "https://www.tdx.com.cn/products/helpfile/tdxw/chm/%E7%AC%AC%E4%B8%89%E7%AB%A0  %E7%89%88%E9%9D%A2%E5%92%8C%E5%85%AC%E5%BC%8F/3-2/3-2-3/2.png" \* MERGEFORMATINET </w:instrText>
      </w:r>
      <w:r>
        <w:fldChar w:fldCharType="separate"/>
      </w:r>
      <w:r>
        <w:fldChar w:fldCharType="begin"/>
      </w:r>
      <w:r>
        <w:instrText xml:space="preserve"> INCLUDEPICTURE  "https://www.tdx.com.cn/products/helpfile/tdxw/chm/%E7%AC%AC%E4%B8%89%E7%AB%A0  %E7%89%88%E9%9D%A2%E5%92%8C%E5%85%AC%E5%BC%8F/3-2/3-2-3/2.png" \* MERGEFORMATINET </w:instrText>
      </w:r>
      <w:r>
        <w:fldChar w:fldCharType="separate"/>
      </w:r>
      <w:r>
        <w:drawing>
          <wp:inline distT="0" distB="0" distL="114300" distR="114300">
            <wp:extent cx="4905375" cy="5210175"/>
            <wp:effectExtent l="0" t="0" r="9525" b="9525"/>
            <wp:docPr id="259" name="图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59"/>
                    <pic:cNvPicPr>
                      <a:picLocks noChangeAspect="1"/>
                    </pic:cNvPicPr>
                  </pic:nvPicPr>
                  <pic:blipFill>
                    <a:blip r:embed="rId485" r:link="rId486"/>
                    <a:stretch>
                      <a:fillRect/>
                    </a:stretch>
                  </pic:blipFill>
                  <pic:spPr>
                    <a:xfrm>
                      <a:off x="0" y="0"/>
                      <a:ext cx="4905375" cy="5210175"/>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p>
    <w:p>
      <w:pPr>
        <w:pStyle w:val="34"/>
      </w:pPr>
      <w:r>
        <w:rPr>
          <w:rFonts w:hint="eastAsia"/>
        </w:rPr>
        <w:t>⑵选择需要的数据来源（可选择范围是所有的技术指标公式） </w:t>
      </w:r>
    </w:p>
    <w:p>
      <w:pPr>
        <w:pStyle w:val="34"/>
      </w:pPr>
      <w:r>
        <w:rPr>
          <w:rFonts w:hint="eastAsia"/>
        </w:rPr>
        <w:t>⑶设置所选择的指标公式的参数</w:t>
      </w:r>
    </w:p>
    <w:p>
      <w:pPr>
        <w:pStyle w:val="34"/>
      </w:pPr>
      <w:r>
        <w:rPr>
          <w:rFonts w:hint="eastAsia"/>
        </w:rPr>
        <w:t>⑷设置计算的k线范围（可以计算最近500根k线数据、指定自己需要的时间段、和对下载的近3000根K线本地数据进行三种模式） </w:t>
      </w:r>
    </w:p>
    <w:p>
      <w:pPr>
        <w:pStyle w:val="34"/>
      </w:pPr>
      <w:r>
        <w:rPr>
          <w:rFonts w:hint="eastAsia"/>
        </w:rPr>
        <w:t>⑸命名数据名称 </w:t>
      </w:r>
    </w:p>
    <w:p>
      <w:pPr>
        <w:pStyle w:val="34"/>
      </w:pPr>
      <w:r>
        <w:rPr>
          <w:rFonts w:hint="eastAsia"/>
        </w:rPr>
        <w:t>⑹选择指标计算周期。</w:t>
      </w:r>
      <w:r>
        <w:rPr>
          <w:rStyle w:val="28"/>
          <w:rFonts w:hint="eastAsia" w:ascii="微软雅黑" w:hAnsi="微软雅黑" w:eastAsia="微软雅黑"/>
          <w:color w:val="000000"/>
          <w:sz w:val="18"/>
          <w:szCs w:val="18"/>
        </w:rPr>
        <w:t>选择周期后显示相应的输出值还是遵循小周期引用大周期不要大周期引用小周期的原则。 </w:t>
      </w:r>
    </w:p>
    <w:p>
      <w:pPr>
        <w:pStyle w:val="34"/>
      </w:pPr>
      <w:r>
        <w:rPr>
          <w:rFonts w:hint="eastAsia"/>
        </w:rPr>
        <w:t>⑺选择要计算和输出的指标公式输出数据项 </w:t>
      </w:r>
    </w:p>
    <w:p>
      <w:pPr>
        <w:pStyle w:val="34"/>
      </w:pPr>
      <w:r>
        <w:rPr>
          <w:rFonts w:hint="eastAsia"/>
        </w:rPr>
        <w:t>⑻选择计算股票范围 </w:t>
      </w:r>
    </w:p>
    <w:p>
      <w:pPr>
        <w:pStyle w:val="34"/>
      </w:pPr>
      <w:r>
        <w:rPr>
          <w:rFonts w:hint="eastAsia"/>
        </w:rPr>
        <w:t>⑼选择输出数值的形式</w:t>
      </w:r>
    </w:p>
    <w:p>
      <w:pPr>
        <w:pStyle w:val="34"/>
      </w:pPr>
    </w:p>
    <w:p>
      <w:pPr>
        <w:pStyle w:val="34"/>
      </w:pPr>
      <w:r>
        <w:rPr>
          <w:rFonts w:hint="eastAsia"/>
        </w:rPr>
        <w:t>不选择“生成横向排序数据”则输出是上方选择的指标输出值如果选择了 就是显示根据此指标输出值大小进行横向统计的排序结果。</w:t>
      </w:r>
    </w:p>
    <w:p>
      <w:pPr>
        <w:pStyle w:val="34"/>
      </w:pPr>
      <w:r>
        <w:rPr>
          <w:rFonts w:hint="eastAsia"/>
        </w:rPr>
        <w:t>归一化排序：将所有计算排序结果的数值限定在归一化的数值范围内不会有超过设定的归一化区间。</w:t>
      </w:r>
    </w:p>
    <w:p>
      <w:pPr>
        <w:pStyle w:val="34"/>
      </w:pPr>
    </w:p>
    <w:p>
      <w:pPr>
        <w:pStyle w:val="34"/>
      </w:pPr>
      <w:r>
        <w:rPr>
          <w:rFonts w:hint="eastAsia"/>
        </w:rPr>
        <w:t>副图中显示扩展数据输出</w:t>
      </w:r>
    </w:p>
    <w:p>
      <w:pPr>
        <w:pStyle w:val="34"/>
      </w:pPr>
      <w:r>
        <w:rPr>
          <w:rFonts w:hint="eastAsia"/>
        </w:rPr>
        <w:t>DCC:EXTDATA_USER(1,1);</w:t>
      </w:r>
    </w:p>
    <w:p>
      <w:pPr>
        <w:pStyle w:val="34"/>
      </w:pPr>
      <w:r>
        <w:rPr>
          <w:rFonts w:hint="eastAsia"/>
        </w:rPr>
        <w:t>DCC1:EXTDATA_USER(2,1);</w:t>
      </w:r>
    </w:p>
    <w:p>
      <w:pPr>
        <w:pStyle w:val="34"/>
      </w:pPr>
      <w:r>
        <w:rPr>
          <w:rFonts w:hint="eastAsia"/>
        </w:rPr>
        <w:t>{EXTDATA_USER(N,TYPE),N取(1-100),表示读当前品种的N号扩展序列数据,TYPE:为1表示做平滑处理,没有自定义数据的周期返回上一周期的值;为0表示不做平滑处理.}</w:t>
      </w:r>
    </w:p>
    <w:p>
      <w:pPr>
        <w:pStyle w:val="34"/>
      </w:pPr>
    </w:p>
    <w:p>
      <w:pPr>
        <w:pStyle w:val="34"/>
        <w:ind w:firstLine="360"/>
      </w:pPr>
      <w:r>
        <w:rPr>
          <w:rStyle w:val="28"/>
          <w:rFonts w:hint="eastAsia" w:ascii="微软雅黑" w:hAnsi="微软雅黑" w:eastAsia="微软雅黑"/>
          <w:color w:val="000000"/>
          <w:sz w:val="18"/>
          <w:szCs w:val="18"/>
        </w:rPr>
        <w:t>输出展示 </w:t>
      </w:r>
    </w:p>
    <w:p>
      <w:pPr>
        <w:pStyle w:val="34"/>
      </w:pPr>
      <w:r>
        <w:rPr>
          <w:rFonts w:hint="eastAsia"/>
        </w:rPr>
        <w:t>下图为同一个指标输出排名一个是自然排序一个是归一化排序</w:t>
      </w:r>
    </w:p>
    <w:p>
      <w:pPr>
        <w:pStyle w:val="34"/>
      </w:pPr>
      <w:r>
        <w:fldChar w:fldCharType="begin"/>
      </w:r>
      <w:r>
        <w:instrText xml:space="preserve"> INCLUDEPICTURE  "https://www.tdx.com.cn/products/helpfile/tdxw/chm/%E7%AC%AC%E4%B8%89%E7%AB%A0  %E7%89%88%E9%9D%A2%E5%92%8C%E5%85%AC%E5%BC%8F/3-2/3-2-3/%E6%A8%A1%E7%89%88_clip_image006.jpg" \* MERGEFORMATINET </w:instrText>
      </w:r>
      <w:r>
        <w:fldChar w:fldCharType="separate"/>
      </w:r>
      <w:r>
        <w:fldChar w:fldCharType="begin"/>
      </w:r>
      <w:r>
        <w:instrText xml:space="preserve"> INCLUDEPICTURE  "https://www.tdx.com.cn/products/helpfile/tdxw/chm/%E7%AC%AC%E4%B8%89%E7%AB%A0  %E7%89%88%E9%9D%A2%E5%92%8C%E5%85%AC%E5%BC%8F/3-2/3-2-3/%E6%A8%A1%E7%89%88_clip_image006.jpg" \* MERGEFORMATINET </w:instrText>
      </w:r>
      <w:r>
        <w:fldChar w:fldCharType="separate"/>
      </w:r>
      <w:r>
        <w:fldChar w:fldCharType="begin"/>
      </w:r>
      <w:r>
        <w:instrText xml:space="preserve"> INCLUDEPICTURE  "https://www.tdx.com.cn/products/helpfile/tdxw/chm/%E7%AC%AC%E4%B8%89%E7%AB%A0  %E7%89%88%E9%9D%A2%E5%92%8C%E5%85%AC%E5%BC%8F/3-2/3-2-3/%E6%A8%A1%E7%89%88_clip_image006.jpg" \* MERGEFORMATINET </w:instrText>
      </w:r>
      <w:r>
        <w:fldChar w:fldCharType="separate"/>
      </w:r>
      <w:r>
        <w:fldChar w:fldCharType="begin"/>
      </w:r>
      <w:r>
        <w:instrText xml:space="preserve"> INCLUDEPICTURE  "https://www.tdx.com.cn/products/helpfile/tdxw/chm/%E7%AC%AC%E4%B8%89%E7%AB%A0  %E7%89%88%E9%9D%A2%E5%92%8C%E5%85%AC%E5%BC%8F/3-2/3-2-3/%E6%A8%A1%E7%89%88_clip_image006.jpg" \* MERGEFORMATINET </w:instrText>
      </w:r>
      <w:r>
        <w:fldChar w:fldCharType="separate"/>
      </w:r>
      <w:r>
        <w:drawing>
          <wp:inline distT="0" distB="0" distL="114300" distR="114300">
            <wp:extent cx="5486400" cy="1000125"/>
            <wp:effectExtent l="0" t="0" r="0" b="9525"/>
            <wp:docPr id="260" name="图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260"/>
                    <pic:cNvPicPr>
                      <a:picLocks noChangeAspect="1"/>
                    </pic:cNvPicPr>
                  </pic:nvPicPr>
                  <pic:blipFill>
                    <a:blip r:embed="rId487" r:link="rId488"/>
                    <a:stretch>
                      <a:fillRect/>
                    </a:stretch>
                  </pic:blipFill>
                  <pic:spPr>
                    <a:xfrm>
                      <a:off x="0" y="0"/>
                      <a:ext cx="5486400" cy="1000125"/>
                    </a:xfrm>
                    <a:prstGeom prst="rect">
                      <a:avLst/>
                    </a:prstGeom>
                    <a:noFill/>
                    <a:ln>
                      <a:noFill/>
                    </a:ln>
                  </pic:spPr>
                </pic:pic>
              </a:graphicData>
            </a:graphic>
          </wp:inline>
        </w:drawing>
      </w:r>
      <w:r>
        <w:fldChar w:fldCharType="end"/>
      </w:r>
      <w:r>
        <w:fldChar w:fldCharType="end"/>
      </w:r>
      <w:r>
        <w:fldChar w:fldCharType="end"/>
      </w:r>
      <w:r>
        <w:fldChar w:fldCharType="end"/>
      </w:r>
    </w:p>
    <w:p>
      <w:pPr>
        <w:pStyle w:val="4"/>
      </w:pPr>
      <w:r>
        <w:rPr>
          <w:rFonts w:hint="eastAsia"/>
        </w:rPr>
        <w:t>程序交易评测系统</w:t>
      </w:r>
    </w:p>
    <w:p>
      <w:pPr>
        <w:pStyle w:val="34"/>
        <w:rPr>
          <w:kern w:val="0"/>
        </w:rPr>
      </w:pPr>
      <w:r>
        <w:rPr>
          <w:rFonts w:hint="eastAsia"/>
          <w:kern w:val="0"/>
        </w:rPr>
        <w:t>进入方式</w:t>
      </w:r>
    </w:p>
    <w:p>
      <w:pPr>
        <w:pStyle w:val="34"/>
        <w:rPr>
          <w:kern w:val="0"/>
        </w:rPr>
      </w:pPr>
      <w:r>
        <w:rPr>
          <w:rFonts w:hint="eastAsia"/>
          <w:kern w:val="0"/>
        </w:rPr>
        <w:t>1、公式——程序交易评测系统</w:t>
      </w:r>
    </w:p>
    <w:p>
      <w:pPr>
        <w:pStyle w:val="34"/>
        <w:rPr>
          <w:kern w:val="0"/>
        </w:rPr>
      </w:pPr>
      <w:r>
        <w:rPr>
          <w:rFonts w:hint="eastAsia"/>
          <w:kern w:val="0"/>
        </w:rPr>
        <w:t>2、 </w:t>
      </w:r>
      <w:r>
        <w:rPr>
          <w:rFonts w:hint="eastAsia"/>
          <w:b/>
          <w:bCs/>
          <w:kern w:val="0"/>
        </w:rPr>
        <w:t>CTRL+S</w:t>
      </w:r>
    </w:p>
    <w:p>
      <w:pPr>
        <w:pStyle w:val="34"/>
        <w:rPr>
          <w:kern w:val="0"/>
        </w:rPr>
      </w:pPr>
      <w:r>
        <w:rPr>
          <w:rFonts w:hint="eastAsia"/>
          <w:kern w:val="0"/>
        </w:rPr>
        <w:t>3、键盘精灵输入.903</w:t>
      </w:r>
    </w:p>
    <w:p>
      <w:pPr>
        <w:pStyle w:val="34"/>
        <w:rPr>
          <w:kern w:val="0"/>
        </w:rPr>
      </w:pPr>
      <w:r>
        <w:rPr>
          <w:rFonts w:hint="eastAsia"/>
          <w:kern w:val="0"/>
        </w:rPr>
        <w:t>操作步骤</w:t>
      </w:r>
    </w:p>
    <w:p>
      <w:pPr>
        <w:pStyle w:val="34"/>
        <w:rPr>
          <w:kern w:val="0"/>
        </w:rPr>
      </w:pPr>
      <w:r>
        <w:rPr>
          <w:rFonts w:hint="eastAsia"/>
          <w:kern w:val="0"/>
        </w:rPr>
        <w:t>设定建仓的条件</w:t>
      </w:r>
    </w:p>
    <w:p>
      <w:pPr>
        <w:pStyle w:val="34"/>
        <w:rPr>
          <w:kern w:val="0"/>
        </w:rPr>
      </w:pPr>
      <w:r>
        <w:rPr>
          <w:rFonts w:hint="eastAsia"/>
          <w:kern w:val="0"/>
        </w:rPr>
        <w:t>选择一个专家系统公式（如果选择其他的公式还需要设置输出变量限制条件）</w:t>
      </w:r>
    </w:p>
    <w:p>
      <w:pPr>
        <w:pStyle w:val="34"/>
        <w:rPr>
          <w:kern w:val="0"/>
        </w:rPr>
      </w:pPr>
      <w:r>
        <w:rPr>
          <w:rFonts w:hint="eastAsia"/>
          <w:kern w:val="0"/>
        </w:rPr>
        <w:t>这里选择5日均线上穿 20日均线时买入。</w:t>
      </w:r>
    </w:p>
    <w:p>
      <w:pPr>
        <w:pStyle w:val="34"/>
        <w:rPr>
          <w:kern w:val="0"/>
        </w:rPr>
      </w:pPr>
      <w:r>
        <w:rPr>
          <w:kern w:val="0"/>
        </w:rPr>
        <w:fldChar w:fldCharType="begin"/>
      </w:r>
      <w:r>
        <w:rPr>
          <w:kern w:val="0"/>
        </w:rPr>
        <w:instrText xml:space="preserve"> INCLUDEPICTURE  "https://www.tdx.com.cn/products/helpfile/tdxw/chm/%E7%AC%AC%E4%B8%89%E7%AB%A0  %E7%89%88%E9%9D%A2%E5%92%8C%E5%85%AC%E5%BC%8F/3-2/3-2-4/1.png" \* MERGEFORMATINET </w:instrText>
      </w:r>
      <w:r>
        <w:rPr>
          <w:kern w:val="0"/>
        </w:rPr>
        <w:fldChar w:fldCharType="separate"/>
      </w:r>
      <w:r>
        <w:rPr>
          <w:kern w:val="0"/>
        </w:rPr>
        <w:fldChar w:fldCharType="begin"/>
      </w:r>
      <w:r>
        <w:rPr>
          <w:kern w:val="0"/>
        </w:rPr>
        <w:instrText xml:space="preserve"> INCLUDEPICTURE  "https://www.tdx.com.cn/products/helpfile/tdxw/chm/%E7%AC%AC%E4%B8%89%E7%AB%A0  %E7%89%88%E9%9D%A2%E5%92%8C%E5%85%AC%E5%BC%8F/3-2/3-2-4/1.png" \* MERGEFORMATINET </w:instrText>
      </w:r>
      <w:r>
        <w:rPr>
          <w:kern w:val="0"/>
        </w:rPr>
        <w:fldChar w:fldCharType="separate"/>
      </w:r>
      <w:r>
        <w:rPr>
          <w:kern w:val="0"/>
        </w:rPr>
        <w:fldChar w:fldCharType="begin"/>
      </w:r>
      <w:r>
        <w:rPr>
          <w:kern w:val="0"/>
        </w:rPr>
        <w:instrText xml:space="preserve"> INCLUDEPICTURE  "https://www.tdx.com.cn/products/helpfile/tdxw/chm/%E7%AC%AC%E4%B8%89%E7%AB%A0  %E7%89%88%E9%9D%A2%E5%92%8C%E5%85%AC%E5%BC%8F/3-2/3-2-4/1.png" \* MERGEFORMATINET </w:instrText>
      </w:r>
      <w:r>
        <w:rPr>
          <w:kern w:val="0"/>
        </w:rPr>
        <w:fldChar w:fldCharType="separate"/>
      </w:r>
      <w:r>
        <w:rPr>
          <w:kern w:val="0"/>
        </w:rPr>
        <w:fldChar w:fldCharType="begin"/>
      </w:r>
      <w:r>
        <w:rPr>
          <w:kern w:val="0"/>
        </w:rPr>
        <w:instrText xml:space="preserve"> INCLUDEPICTURE  "https://www.tdx.com.cn/products/helpfile/tdxw/chm/%E7%AC%AC%E4%B8%89%E7%AB%A0  %E7%89%88%E9%9D%A2%E5%92%8C%E5%85%AC%E5%BC%8F/3-2/3-2-4/1.png" \* MERGEFORMATINET </w:instrText>
      </w:r>
      <w:r>
        <w:rPr>
          <w:kern w:val="0"/>
        </w:rPr>
        <w:fldChar w:fldCharType="separate"/>
      </w:r>
      <w:r>
        <w:rPr>
          <w:kern w:val="0"/>
        </w:rPr>
        <w:drawing>
          <wp:inline distT="0" distB="0" distL="114300" distR="114300">
            <wp:extent cx="6943725" cy="4086225"/>
            <wp:effectExtent l="0" t="0" r="9525" b="9525"/>
            <wp:docPr id="261" name="图片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261"/>
                    <pic:cNvPicPr>
                      <a:picLocks noChangeAspect="1"/>
                    </pic:cNvPicPr>
                  </pic:nvPicPr>
                  <pic:blipFill>
                    <a:blip r:embed="rId489" r:link="rId490"/>
                    <a:stretch>
                      <a:fillRect/>
                    </a:stretch>
                  </pic:blipFill>
                  <pic:spPr>
                    <a:xfrm>
                      <a:off x="0" y="0"/>
                      <a:ext cx="6943725" cy="4086225"/>
                    </a:xfrm>
                    <a:prstGeom prst="rect">
                      <a:avLst/>
                    </a:prstGeom>
                    <a:noFill/>
                    <a:ln>
                      <a:noFill/>
                    </a:ln>
                  </pic:spPr>
                </pic:pic>
              </a:graphicData>
            </a:graphic>
          </wp:inline>
        </w:drawing>
      </w:r>
      <w:r>
        <w:rPr>
          <w:kern w:val="0"/>
        </w:rPr>
        <w:fldChar w:fldCharType="end"/>
      </w:r>
      <w:r>
        <w:rPr>
          <w:kern w:val="0"/>
        </w:rPr>
        <w:fldChar w:fldCharType="end"/>
      </w:r>
      <w:r>
        <w:rPr>
          <w:kern w:val="0"/>
        </w:rPr>
        <w:fldChar w:fldCharType="end"/>
      </w:r>
      <w:r>
        <w:rPr>
          <w:kern w:val="0"/>
        </w:rPr>
        <w:fldChar w:fldCharType="end"/>
      </w:r>
    </w:p>
    <w:p>
      <w:pPr>
        <w:pStyle w:val="34"/>
        <w:rPr>
          <w:kern w:val="0"/>
        </w:rPr>
      </w:pPr>
      <w:r>
        <w:rPr>
          <w:rFonts w:hint="eastAsia"/>
          <w:kern w:val="0"/>
        </w:rPr>
        <w:t>注意：如果是新建的公式在左边选择列表中看不到需要选择的公式可以点击“</w:t>
      </w:r>
      <w:r>
        <w:rPr>
          <w:rFonts w:hint="eastAsia"/>
          <w:b/>
          <w:bCs/>
          <w:kern w:val="0"/>
        </w:rPr>
        <w:t>刷新指标树和周期</w:t>
      </w:r>
      <w:r>
        <w:rPr>
          <w:rFonts w:hint="eastAsia"/>
          <w:kern w:val="0"/>
        </w:rPr>
        <w:t>”来展示新建指标公式。</w:t>
      </w:r>
    </w:p>
    <w:p>
      <w:pPr>
        <w:pStyle w:val="34"/>
        <w:ind w:firstLine="540"/>
        <w:rPr>
          <w:kern w:val="0"/>
          <w:sz w:val="27"/>
          <w:szCs w:val="27"/>
        </w:rPr>
      </w:pPr>
      <w:r>
        <w:rPr>
          <w:rFonts w:hint="eastAsia"/>
          <w:kern w:val="0"/>
          <w:sz w:val="27"/>
          <w:szCs w:val="27"/>
        </w:rPr>
        <w:t> </w:t>
      </w:r>
    </w:p>
    <w:p>
      <w:pPr>
        <w:pStyle w:val="34"/>
        <w:rPr>
          <w:kern w:val="0"/>
        </w:rPr>
      </w:pPr>
      <w:r>
        <w:rPr>
          <w:rFonts w:hint="eastAsia"/>
          <w:kern w:val="0"/>
        </w:rPr>
        <w:t>设定建仓规则</w:t>
      </w:r>
    </w:p>
    <w:p>
      <w:pPr>
        <w:pStyle w:val="34"/>
        <w:rPr>
          <w:kern w:val="0"/>
        </w:rPr>
      </w:pPr>
      <w:r>
        <w:rPr>
          <w:rFonts w:hint="eastAsia"/>
          <w:kern w:val="0"/>
        </w:rPr>
        <w:t>默认的评测时间段是最近一年期限；建仓规则设定可以选择全仓买入和部分仓模式。建议选择全仓买入模式（评测结果简单）。 </w:t>
      </w:r>
    </w:p>
    <w:p>
      <w:pPr>
        <w:pStyle w:val="34"/>
        <w:rPr>
          <w:kern w:val="0"/>
        </w:rPr>
      </w:pPr>
      <w:r>
        <w:rPr>
          <w:rFonts w:hint="eastAsia"/>
          <w:kern w:val="0"/>
        </w:rPr>
        <w:t>（如果是全仓买入那么在买入一次后还未平仓时即使再有满足建仓条件也不能建仓，只有平仓后有资金情况下才会在建仓条件下再建仓） </w:t>
      </w:r>
    </w:p>
    <w:p>
      <w:pPr>
        <w:pStyle w:val="34"/>
        <w:rPr>
          <w:kern w:val="0"/>
        </w:rPr>
      </w:pPr>
      <w:r>
        <w:rPr>
          <w:kern w:val="0"/>
        </w:rPr>
        <w:fldChar w:fldCharType="begin"/>
      </w:r>
      <w:r>
        <w:rPr>
          <w:kern w:val="0"/>
        </w:rPr>
        <w:instrText xml:space="preserve"> INCLUDEPICTURE  "https://www.tdx.com.cn/products/helpfile/tdxw/chm/%E7%AC%AC%E4%B8%89%E7%AB%A0  %E7%89%88%E9%9D%A2%E5%92%8C%E5%85%AC%E5%BC%8F/3-2/3-2-4/2.png" \* MERGEFORMATINET </w:instrText>
      </w:r>
      <w:r>
        <w:rPr>
          <w:kern w:val="0"/>
        </w:rPr>
        <w:fldChar w:fldCharType="separate"/>
      </w:r>
      <w:r>
        <w:rPr>
          <w:kern w:val="0"/>
        </w:rPr>
        <w:fldChar w:fldCharType="begin"/>
      </w:r>
      <w:r>
        <w:rPr>
          <w:kern w:val="0"/>
        </w:rPr>
        <w:instrText xml:space="preserve"> INCLUDEPICTURE  "https://www.tdx.com.cn/products/helpfile/tdxw/chm/%E7%AC%AC%E4%B8%89%E7%AB%A0  %E7%89%88%E9%9D%A2%E5%92%8C%E5%85%AC%E5%BC%8F/3-2/3-2-4/2.png" \* MERGEFORMATINET </w:instrText>
      </w:r>
      <w:r>
        <w:rPr>
          <w:kern w:val="0"/>
        </w:rPr>
        <w:fldChar w:fldCharType="separate"/>
      </w:r>
      <w:r>
        <w:rPr>
          <w:kern w:val="0"/>
        </w:rPr>
        <w:fldChar w:fldCharType="begin"/>
      </w:r>
      <w:r>
        <w:rPr>
          <w:kern w:val="0"/>
        </w:rPr>
        <w:instrText xml:space="preserve"> INCLUDEPICTURE  "https://www.tdx.com.cn/products/helpfile/tdxw/chm/%E7%AC%AC%E4%B8%89%E7%AB%A0  %E7%89%88%E9%9D%A2%E5%92%8C%E5%85%AC%E5%BC%8F/3-2/3-2-4/2.png" \* MERGEFORMATINET </w:instrText>
      </w:r>
      <w:r>
        <w:rPr>
          <w:kern w:val="0"/>
        </w:rPr>
        <w:fldChar w:fldCharType="separate"/>
      </w:r>
      <w:r>
        <w:rPr>
          <w:kern w:val="0"/>
        </w:rPr>
        <w:fldChar w:fldCharType="begin"/>
      </w:r>
      <w:r>
        <w:rPr>
          <w:kern w:val="0"/>
        </w:rPr>
        <w:instrText xml:space="preserve"> INCLUDEPICTURE  "https://www.tdx.com.cn/products/helpfile/tdxw/chm/%E7%AC%AC%E4%B8%89%E7%AB%A0  %E7%89%88%E9%9D%A2%E5%92%8C%E5%85%AC%E5%BC%8F/3-2/3-2-4/2.png" \* MERGEFORMATINET </w:instrText>
      </w:r>
      <w:r>
        <w:rPr>
          <w:kern w:val="0"/>
        </w:rPr>
        <w:fldChar w:fldCharType="separate"/>
      </w:r>
      <w:r>
        <w:rPr>
          <w:kern w:val="0"/>
        </w:rPr>
        <w:drawing>
          <wp:inline distT="0" distB="0" distL="114300" distR="114300">
            <wp:extent cx="6943725" cy="4086225"/>
            <wp:effectExtent l="0" t="0" r="9525" b="9525"/>
            <wp:docPr id="262" name="图片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262"/>
                    <pic:cNvPicPr>
                      <a:picLocks noChangeAspect="1"/>
                    </pic:cNvPicPr>
                  </pic:nvPicPr>
                  <pic:blipFill>
                    <a:blip r:embed="rId491" r:link="rId492"/>
                    <a:stretch>
                      <a:fillRect/>
                    </a:stretch>
                  </pic:blipFill>
                  <pic:spPr>
                    <a:xfrm>
                      <a:off x="0" y="0"/>
                      <a:ext cx="6943725" cy="4086225"/>
                    </a:xfrm>
                    <a:prstGeom prst="rect">
                      <a:avLst/>
                    </a:prstGeom>
                    <a:noFill/>
                    <a:ln>
                      <a:noFill/>
                    </a:ln>
                  </pic:spPr>
                </pic:pic>
              </a:graphicData>
            </a:graphic>
          </wp:inline>
        </w:drawing>
      </w:r>
      <w:r>
        <w:rPr>
          <w:kern w:val="0"/>
        </w:rPr>
        <w:fldChar w:fldCharType="end"/>
      </w:r>
      <w:r>
        <w:rPr>
          <w:kern w:val="0"/>
        </w:rPr>
        <w:fldChar w:fldCharType="end"/>
      </w:r>
      <w:r>
        <w:rPr>
          <w:kern w:val="0"/>
        </w:rPr>
        <w:fldChar w:fldCharType="end"/>
      </w:r>
      <w:r>
        <w:rPr>
          <w:kern w:val="0"/>
        </w:rPr>
        <w:fldChar w:fldCharType="end"/>
      </w:r>
    </w:p>
    <w:p>
      <w:pPr>
        <w:pStyle w:val="34"/>
        <w:rPr>
          <w:kern w:val="0"/>
        </w:rPr>
      </w:pPr>
      <w:r>
        <w:rPr>
          <w:rFonts w:hint="eastAsia"/>
          <w:kern w:val="0"/>
        </w:rPr>
        <w:t>注意：评测时段默认是加载最近一年的 但是如果之前保存过默认方案，这里再进入时默认不能加载最近一年而是保存的方案的时间段，如果需要加载最近一年需要手动设置</w:t>
      </w:r>
    </w:p>
    <w:p>
      <w:pPr>
        <w:pStyle w:val="34"/>
        <w:ind w:firstLine="540"/>
        <w:rPr>
          <w:kern w:val="0"/>
          <w:sz w:val="27"/>
          <w:szCs w:val="27"/>
        </w:rPr>
      </w:pPr>
      <w:r>
        <w:rPr>
          <w:rFonts w:hint="eastAsia"/>
          <w:kern w:val="0"/>
          <w:sz w:val="27"/>
          <w:szCs w:val="27"/>
        </w:rPr>
        <w:t> </w:t>
      </w:r>
    </w:p>
    <w:p>
      <w:pPr>
        <w:pStyle w:val="34"/>
        <w:rPr>
          <w:kern w:val="0"/>
        </w:rPr>
      </w:pPr>
      <w:r>
        <w:rPr>
          <w:rFonts w:hint="eastAsia"/>
          <w:kern w:val="0"/>
        </w:rPr>
        <w:t>交易方式设置</w:t>
      </w:r>
    </w:p>
    <w:p>
      <w:pPr>
        <w:pStyle w:val="34"/>
        <w:rPr>
          <w:kern w:val="0"/>
        </w:rPr>
      </w:pPr>
      <w:r>
        <w:rPr>
          <w:kern w:val="0"/>
        </w:rPr>
        <w:fldChar w:fldCharType="begin"/>
      </w:r>
      <w:r>
        <w:rPr>
          <w:kern w:val="0"/>
        </w:rPr>
        <w:instrText xml:space="preserve"> INCLUDEPICTURE  "https://www.tdx.com.cn/products/helpfile/tdxw/chm/%E7%AC%AC%E4%B8%89%E7%AB%A0  %E7%89%88%E9%9D%A2%E5%92%8C%E5%85%AC%E5%BC%8F/3-2/3-2-4/3.png" \* MERGEFORMATINET </w:instrText>
      </w:r>
      <w:r>
        <w:rPr>
          <w:kern w:val="0"/>
        </w:rPr>
        <w:fldChar w:fldCharType="separate"/>
      </w:r>
      <w:r>
        <w:rPr>
          <w:kern w:val="0"/>
        </w:rPr>
        <w:fldChar w:fldCharType="begin"/>
      </w:r>
      <w:r>
        <w:rPr>
          <w:kern w:val="0"/>
        </w:rPr>
        <w:instrText xml:space="preserve"> INCLUDEPICTURE  "https://www.tdx.com.cn/products/helpfile/tdxw/chm/%E7%AC%AC%E4%B8%89%E7%AB%A0  %E7%89%88%E9%9D%A2%E5%92%8C%E5%85%AC%E5%BC%8F/3-2/3-2-4/3.png" \* MERGEFORMATINET </w:instrText>
      </w:r>
      <w:r>
        <w:rPr>
          <w:kern w:val="0"/>
        </w:rPr>
        <w:fldChar w:fldCharType="separate"/>
      </w:r>
      <w:r>
        <w:rPr>
          <w:kern w:val="0"/>
        </w:rPr>
        <w:fldChar w:fldCharType="begin"/>
      </w:r>
      <w:r>
        <w:rPr>
          <w:kern w:val="0"/>
        </w:rPr>
        <w:instrText xml:space="preserve"> INCLUDEPICTURE  "https://www.tdx.com.cn/products/helpfile/tdxw/chm/%E7%AC%AC%E4%B8%89%E7%AB%A0  %E7%89%88%E9%9D%A2%E5%92%8C%E5%85%AC%E5%BC%8F/3-2/3-2-4/3.png" \* MERGEFORMATINET </w:instrText>
      </w:r>
      <w:r>
        <w:rPr>
          <w:kern w:val="0"/>
        </w:rPr>
        <w:fldChar w:fldCharType="separate"/>
      </w:r>
      <w:r>
        <w:rPr>
          <w:kern w:val="0"/>
        </w:rPr>
        <w:fldChar w:fldCharType="begin"/>
      </w:r>
      <w:r>
        <w:rPr>
          <w:kern w:val="0"/>
        </w:rPr>
        <w:instrText xml:space="preserve"> INCLUDEPICTURE  "https://www.tdx.com.cn/products/helpfile/tdxw/chm/%E7%AC%AC%E4%B8%89%E7%AB%A0  %E7%89%88%E9%9D%A2%E5%92%8C%E5%85%AC%E5%BC%8F/3-2/3-2-4/3.png" \* MERGEFORMATINET </w:instrText>
      </w:r>
      <w:r>
        <w:rPr>
          <w:kern w:val="0"/>
        </w:rPr>
        <w:fldChar w:fldCharType="separate"/>
      </w:r>
      <w:r>
        <w:rPr>
          <w:kern w:val="0"/>
        </w:rPr>
        <w:drawing>
          <wp:inline distT="0" distB="0" distL="114300" distR="114300">
            <wp:extent cx="6943725" cy="4086225"/>
            <wp:effectExtent l="0" t="0" r="9525" b="9525"/>
            <wp:docPr id="263"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263"/>
                    <pic:cNvPicPr>
                      <a:picLocks noChangeAspect="1"/>
                    </pic:cNvPicPr>
                  </pic:nvPicPr>
                  <pic:blipFill>
                    <a:blip r:embed="rId493" r:link="rId494"/>
                    <a:stretch>
                      <a:fillRect/>
                    </a:stretch>
                  </pic:blipFill>
                  <pic:spPr>
                    <a:xfrm>
                      <a:off x="0" y="0"/>
                      <a:ext cx="6943725" cy="4086225"/>
                    </a:xfrm>
                    <a:prstGeom prst="rect">
                      <a:avLst/>
                    </a:prstGeom>
                    <a:noFill/>
                    <a:ln>
                      <a:noFill/>
                    </a:ln>
                  </pic:spPr>
                </pic:pic>
              </a:graphicData>
            </a:graphic>
          </wp:inline>
        </w:drawing>
      </w:r>
      <w:r>
        <w:rPr>
          <w:kern w:val="0"/>
        </w:rPr>
        <w:fldChar w:fldCharType="end"/>
      </w:r>
      <w:r>
        <w:rPr>
          <w:kern w:val="0"/>
        </w:rPr>
        <w:fldChar w:fldCharType="end"/>
      </w:r>
      <w:r>
        <w:rPr>
          <w:kern w:val="0"/>
        </w:rPr>
        <w:fldChar w:fldCharType="end"/>
      </w:r>
      <w:r>
        <w:rPr>
          <w:kern w:val="0"/>
        </w:rPr>
        <w:fldChar w:fldCharType="end"/>
      </w:r>
    </w:p>
    <w:p>
      <w:pPr>
        <w:pStyle w:val="34"/>
        <w:rPr>
          <w:kern w:val="0"/>
        </w:rPr>
      </w:pPr>
      <w:r>
        <w:rPr>
          <w:rFonts w:hint="eastAsia"/>
          <w:kern w:val="0"/>
        </w:rPr>
        <w:t>交易手续费设置：默认按成交额计算（自定义设置费率点数） </w:t>
      </w:r>
    </w:p>
    <w:p>
      <w:pPr>
        <w:pStyle w:val="34"/>
        <w:rPr>
          <w:kern w:val="0"/>
        </w:rPr>
      </w:pPr>
      <w:r>
        <w:rPr>
          <w:rFonts w:hint="eastAsia"/>
          <w:kern w:val="0"/>
        </w:rPr>
        <w:t>介入时机与价位、计算盈亏、评测类型建议保持默认设置</w:t>
      </w:r>
    </w:p>
    <w:p>
      <w:pPr>
        <w:pStyle w:val="34"/>
        <w:rPr>
          <w:kern w:val="0"/>
        </w:rPr>
      </w:pPr>
    </w:p>
    <w:p>
      <w:pPr>
        <w:pStyle w:val="34"/>
        <w:rPr>
          <w:kern w:val="0"/>
        </w:rPr>
      </w:pPr>
      <w:r>
        <w:rPr>
          <w:rFonts w:hint="eastAsia"/>
          <w:kern w:val="0"/>
        </w:rPr>
        <w:t>■介入时机说明（选择的指标公式介入满足时）</w:t>
      </w:r>
    </w:p>
    <w:tbl>
      <w:tblPr>
        <w:tblStyle w:val="25"/>
        <w:tblW w:w="10363" w:type="dxa"/>
        <w:tblCellSpacing w:w="0" w:type="dxa"/>
        <w:tblInd w:w="0" w:type="dxa"/>
        <w:tblBorders>
          <w:top w:val="outset" w:color="auto" w:sz="6" w:space="0"/>
          <w:left w:val="outset" w:color="auto" w:sz="6" w:space="0"/>
          <w:bottom w:val="outset" w:color="auto" w:sz="6" w:space="0"/>
          <w:right w:val="outset" w:color="auto" w:sz="6" w:space="0"/>
          <w:insideH w:val="none" w:color="auto" w:sz="0" w:space="0"/>
          <w:insideV w:val="none" w:color="auto" w:sz="0" w:space="0"/>
        </w:tblBorders>
        <w:tblLayout w:type="autofit"/>
        <w:tblCellMar>
          <w:top w:w="0" w:type="dxa"/>
          <w:left w:w="0" w:type="dxa"/>
          <w:bottom w:w="0" w:type="dxa"/>
          <w:right w:w="0" w:type="dxa"/>
        </w:tblCellMar>
      </w:tblPr>
      <w:tblGrid>
        <w:gridCol w:w="3843"/>
        <w:gridCol w:w="6520"/>
      </w:tblGrid>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3843" w:type="dxa"/>
            <w:tcBorders>
              <w:top w:val="outset" w:color="auto" w:sz="6" w:space="0"/>
              <w:left w:val="outset" w:color="auto" w:sz="6" w:space="0"/>
              <w:bottom w:val="outset" w:color="auto" w:sz="6" w:space="0"/>
              <w:right w:val="outset" w:color="auto" w:sz="6" w:space="0"/>
            </w:tcBorders>
            <w:vAlign w:val="center"/>
          </w:tcPr>
          <w:p>
            <w:pPr>
              <w:pStyle w:val="34"/>
              <w:rPr>
                <w:kern w:val="0"/>
              </w:rPr>
            </w:pPr>
          </w:p>
          <w:p>
            <w:pPr>
              <w:pStyle w:val="34"/>
              <w:rPr>
                <w:kern w:val="0"/>
              </w:rPr>
            </w:pPr>
            <w:r>
              <w:rPr>
                <w:rFonts w:hint="eastAsia"/>
                <w:kern w:val="0"/>
              </w:rPr>
              <w:t>介入价格类型</w:t>
            </w:r>
          </w:p>
        </w:tc>
        <w:tc>
          <w:tcPr>
            <w:tcW w:w="6520"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说明</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3843"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本周期中价</w:t>
            </w:r>
          </w:p>
        </w:tc>
        <w:tc>
          <w:tcPr>
            <w:tcW w:w="6520"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以收盘价计算的满足条件的这个周期高开低收四个价位的平均价位</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3843"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本周期开盘价</w:t>
            </w:r>
          </w:p>
        </w:tc>
        <w:tc>
          <w:tcPr>
            <w:tcW w:w="6520"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以收盘价计算的满足条件的这个周期的开盘价格</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3843"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本周期最高价</w:t>
            </w:r>
          </w:p>
        </w:tc>
        <w:tc>
          <w:tcPr>
            <w:tcW w:w="6520"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以收盘价计算的满足条件的这个周期的最高价格</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3843"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本周期最低价</w:t>
            </w:r>
          </w:p>
        </w:tc>
        <w:tc>
          <w:tcPr>
            <w:tcW w:w="6520"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以收盘价计算的满足条件的这个周期的最低价格</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3843"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本周期收盘价</w:t>
            </w:r>
          </w:p>
        </w:tc>
        <w:tc>
          <w:tcPr>
            <w:tcW w:w="6520"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以收盘价计算的满足条件的这个周期的收盘价格</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3843"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次周期中价</w:t>
            </w:r>
          </w:p>
        </w:tc>
        <w:tc>
          <w:tcPr>
            <w:tcW w:w="6520"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以收盘价计算的满足条件的当前周期的下一个周期的高开低收四个价位的平均价格</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3843"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次周期开盘价</w:t>
            </w:r>
          </w:p>
        </w:tc>
        <w:tc>
          <w:tcPr>
            <w:tcW w:w="6520"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以收盘价计算的满足条件的当前周期的下一个周期的开盘价格</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3843"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次周期最高价</w:t>
            </w:r>
          </w:p>
        </w:tc>
        <w:tc>
          <w:tcPr>
            <w:tcW w:w="6520"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以收盘价计算的满足条件的当前周期的下一个周期的最高价格</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3843"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次周期最低价</w:t>
            </w:r>
          </w:p>
        </w:tc>
        <w:tc>
          <w:tcPr>
            <w:tcW w:w="6520"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以收盘价计算的满足条件的当前周期的下一个周期的最低价格</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3843"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次周期收盘价</w:t>
            </w:r>
          </w:p>
        </w:tc>
        <w:tc>
          <w:tcPr>
            <w:tcW w:w="6520"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以收盘价计算的满足条件的当前周期的下一个周期的收盘价格</w:t>
            </w:r>
          </w:p>
        </w:tc>
      </w:tr>
    </w:tbl>
    <w:p>
      <w:pPr>
        <w:pStyle w:val="34"/>
        <w:ind w:firstLine="540"/>
        <w:rPr>
          <w:kern w:val="0"/>
          <w:sz w:val="27"/>
          <w:szCs w:val="27"/>
        </w:rPr>
      </w:pPr>
      <w:r>
        <w:rPr>
          <w:rFonts w:hint="eastAsia"/>
          <w:kern w:val="0"/>
          <w:sz w:val="27"/>
          <w:szCs w:val="27"/>
        </w:rPr>
        <w:t> </w:t>
      </w:r>
    </w:p>
    <w:p>
      <w:pPr>
        <w:pStyle w:val="34"/>
        <w:rPr>
          <w:kern w:val="0"/>
        </w:rPr>
      </w:pPr>
      <w:r>
        <w:rPr>
          <w:rFonts w:hint="eastAsia"/>
          <w:kern w:val="0"/>
        </w:rPr>
        <w:t>平仓规则设置</w:t>
      </w:r>
    </w:p>
    <w:p>
      <w:pPr>
        <w:pStyle w:val="34"/>
        <w:rPr>
          <w:kern w:val="0"/>
        </w:rPr>
      </w:pPr>
      <w:r>
        <w:rPr>
          <w:kern w:val="0"/>
        </w:rPr>
        <w:fldChar w:fldCharType="begin"/>
      </w:r>
      <w:r>
        <w:rPr>
          <w:kern w:val="0"/>
        </w:rPr>
        <w:instrText xml:space="preserve"> INCLUDEPICTURE  "https://www.tdx.com.cn/products/helpfile/tdxw/chm/%E7%AC%AC%E4%B8%89%E7%AB%A0  %E7%89%88%E9%9D%A2%E5%92%8C%E5%85%AC%E5%BC%8F/3-2/3-2-4/4.png" \* MERGEFORMATINET </w:instrText>
      </w:r>
      <w:r>
        <w:rPr>
          <w:kern w:val="0"/>
        </w:rPr>
        <w:fldChar w:fldCharType="separate"/>
      </w:r>
      <w:r>
        <w:rPr>
          <w:kern w:val="0"/>
        </w:rPr>
        <w:fldChar w:fldCharType="begin"/>
      </w:r>
      <w:r>
        <w:rPr>
          <w:kern w:val="0"/>
        </w:rPr>
        <w:instrText xml:space="preserve"> INCLUDEPICTURE  "https://www.tdx.com.cn/products/helpfile/tdxw/chm/%E7%AC%AC%E4%B8%89%E7%AB%A0  %E7%89%88%E9%9D%A2%E5%92%8C%E5%85%AC%E5%BC%8F/3-2/3-2-4/4.png" \* MERGEFORMATINET </w:instrText>
      </w:r>
      <w:r>
        <w:rPr>
          <w:kern w:val="0"/>
        </w:rPr>
        <w:fldChar w:fldCharType="separate"/>
      </w:r>
      <w:r>
        <w:rPr>
          <w:kern w:val="0"/>
        </w:rPr>
        <w:fldChar w:fldCharType="begin"/>
      </w:r>
      <w:r>
        <w:rPr>
          <w:kern w:val="0"/>
        </w:rPr>
        <w:instrText xml:space="preserve"> INCLUDEPICTURE  "https://www.tdx.com.cn/products/helpfile/tdxw/chm/%E7%AC%AC%E4%B8%89%E7%AB%A0  %E7%89%88%E9%9D%A2%E5%92%8C%E5%85%AC%E5%BC%8F/3-2/3-2-4/4.png" \* MERGEFORMATINET </w:instrText>
      </w:r>
      <w:r>
        <w:rPr>
          <w:kern w:val="0"/>
        </w:rPr>
        <w:fldChar w:fldCharType="separate"/>
      </w:r>
      <w:r>
        <w:rPr>
          <w:kern w:val="0"/>
        </w:rPr>
        <w:fldChar w:fldCharType="begin"/>
      </w:r>
      <w:r>
        <w:rPr>
          <w:kern w:val="0"/>
        </w:rPr>
        <w:instrText xml:space="preserve"> INCLUDEPICTURE  "https://www.tdx.com.cn/products/helpfile/tdxw/chm/%E7%AC%AC%E4%B8%89%E7%AB%A0  %E7%89%88%E9%9D%A2%E5%92%8C%E5%85%AC%E5%BC%8F/3-2/3-2-4/4.png" \* MERGEFORMATINET </w:instrText>
      </w:r>
      <w:r>
        <w:rPr>
          <w:kern w:val="0"/>
        </w:rPr>
        <w:fldChar w:fldCharType="separate"/>
      </w:r>
      <w:r>
        <w:rPr>
          <w:kern w:val="0"/>
        </w:rPr>
        <w:drawing>
          <wp:inline distT="0" distB="0" distL="114300" distR="114300">
            <wp:extent cx="6943725" cy="4086225"/>
            <wp:effectExtent l="0" t="0" r="9525" b="9525"/>
            <wp:docPr id="264"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264"/>
                    <pic:cNvPicPr>
                      <a:picLocks noChangeAspect="1"/>
                    </pic:cNvPicPr>
                  </pic:nvPicPr>
                  <pic:blipFill>
                    <a:blip r:embed="rId495" r:link="rId496"/>
                    <a:stretch>
                      <a:fillRect/>
                    </a:stretch>
                  </pic:blipFill>
                  <pic:spPr>
                    <a:xfrm>
                      <a:off x="0" y="0"/>
                      <a:ext cx="6943725" cy="4086225"/>
                    </a:xfrm>
                    <a:prstGeom prst="rect">
                      <a:avLst/>
                    </a:prstGeom>
                    <a:noFill/>
                    <a:ln>
                      <a:noFill/>
                    </a:ln>
                  </pic:spPr>
                </pic:pic>
              </a:graphicData>
            </a:graphic>
          </wp:inline>
        </w:drawing>
      </w:r>
      <w:r>
        <w:rPr>
          <w:kern w:val="0"/>
        </w:rPr>
        <w:fldChar w:fldCharType="end"/>
      </w:r>
      <w:r>
        <w:rPr>
          <w:kern w:val="0"/>
        </w:rPr>
        <w:fldChar w:fldCharType="end"/>
      </w:r>
      <w:r>
        <w:rPr>
          <w:kern w:val="0"/>
        </w:rPr>
        <w:fldChar w:fldCharType="end"/>
      </w:r>
      <w:r>
        <w:rPr>
          <w:kern w:val="0"/>
        </w:rPr>
        <w:fldChar w:fldCharType="end"/>
      </w:r>
    </w:p>
    <w:p>
      <w:pPr>
        <w:pStyle w:val="34"/>
        <w:rPr>
          <w:kern w:val="0"/>
        </w:rPr>
      </w:pPr>
      <w:r>
        <w:rPr>
          <w:rFonts w:hint="eastAsia"/>
          <w:kern w:val="0"/>
        </w:rPr>
        <w:t>止损设置：选择与开仓价比较降低X点的时候平仓；选择设置在开仓周期后的N个周期平仓；选择在获利X点的时候就平仓。三个平仓哪个条件先达到就执行哪个平仓类型。（专家系统的开仓平仓交易点分别对应信号类型买入、卖出（期货对应多头建仓、多头平仓、空头建仓、空头平仓）；设置的三种平仓信号类型分别对应止损、止赢、目标周期） </w:t>
      </w:r>
    </w:p>
    <w:p>
      <w:pPr>
        <w:pStyle w:val="34"/>
        <w:rPr>
          <w:kern w:val="0"/>
        </w:rPr>
      </w:pPr>
      <w:r>
        <w:rPr>
          <w:rFonts w:hint="eastAsia"/>
          <w:kern w:val="0"/>
        </w:rPr>
        <w:t>平仓的时机与价位设置：当按照当前周期收盘价计算满足已设置的某个平仓条件时，选择是“本周期收盘价”，“本周期开盘价”，“本周期最高价”，“本周期中价” 或者“次周期开盘价”计算平仓。</w:t>
      </w:r>
    </w:p>
    <w:p>
      <w:pPr>
        <w:pStyle w:val="34"/>
        <w:ind w:firstLine="540"/>
        <w:rPr>
          <w:kern w:val="0"/>
          <w:sz w:val="27"/>
          <w:szCs w:val="27"/>
        </w:rPr>
      </w:pPr>
      <w:r>
        <w:rPr>
          <w:rFonts w:hint="eastAsia"/>
          <w:kern w:val="0"/>
          <w:sz w:val="27"/>
          <w:szCs w:val="27"/>
        </w:rPr>
        <w:t> </w:t>
      </w:r>
    </w:p>
    <w:p>
      <w:pPr>
        <w:pStyle w:val="34"/>
        <w:rPr>
          <w:kern w:val="0"/>
        </w:rPr>
      </w:pPr>
      <w:r>
        <w:rPr>
          <w:rFonts w:hint="eastAsia"/>
          <w:kern w:val="0"/>
        </w:rPr>
        <w:t>评测品种设置</w:t>
      </w:r>
    </w:p>
    <w:p>
      <w:pPr>
        <w:pStyle w:val="34"/>
        <w:rPr>
          <w:kern w:val="0"/>
        </w:rPr>
      </w:pPr>
      <w:r>
        <w:rPr>
          <w:rFonts w:hint="eastAsia"/>
          <w:kern w:val="0"/>
        </w:rPr>
        <w:t>“添加”需要评测的股票</w:t>
      </w:r>
    </w:p>
    <w:p>
      <w:pPr>
        <w:pStyle w:val="34"/>
        <w:rPr>
          <w:kern w:val="0"/>
        </w:rPr>
      </w:pPr>
      <w:r>
        <w:rPr>
          <w:kern w:val="0"/>
        </w:rPr>
        <w:fldChar w:fldCharType="begin"/>
      </w:r>
      <w:r>
        <w:rPr>
          <w:kern w:val="0"/>
        </w:rPr>
        <w:instrText xml:space="preserve"> INCLUDEPICTURE  "https://www.tdx.com.cn/products/helpfile/tdxw/chm/%E7%AC%AC%E4%B8%89%E7%AB%A0  %E7%89%88%E9%9D%A2%E5%92%8C%E5%85%AC%E5%BC%8F/3-2/3-2-4/5.png" \* MERGEFORMATINET </w:instrText>
      </w:r>
      <w:r>
        <w:rPr>
          <w:kern w:val="0"/>
        </w:rPr>
        <w:fldChar w:fldCharType="separate"/>
      </w:r>
      <w:r>
        <w:rPr>
          <w:kern w:val="0"/>
        </w:rPr>
        <w:fldChar w:fldCharType="begin"/>
      </w:r>
      <w:r>
        <w:rPr>
          <w:kern w:val="0"/>
        </w:rPr>
        <w:instrText xml:space="preserve"> INCLUDEPICTURE  "https://www.tdx.com.cn/products/helpfile/tdxw/chm/%E7%AC%AC%E4%B8%89%E7%AB%A0  %E7%89%88%E9%9D%A2%E5%92%8C%E5%85%AC%E5%BC%8F/3-2/3-2-4/5.png" \* MERGEFORMATINET </w:instrText>
      </w:r>
      <w:r>
        <w:rPr>
          <w:kern w:val="0"/>
        </w:rPr>
        <w:fldChar w:fldCharType="separate"/>
      </w:r>
      <w:r>
        <w:rPr>
          <w:kern w:val="0"/>
        </w:rPr>
        <w:fldChar w:fldCharType="begin"/>
      </w:r>
      <w:r>
        <w:rPr>
          <w:kern w:val="0"/>
        </w:rPr>
        <w:instrText xml:space="preserve"> INCLUDEPICTURE  "https://www.tdx.com.cn/products/helpfile/tdxw/chm/%E7%AC%AC%E4%B8%89%E7%AB%A0  %E7%89%88%E9%9D%A2%E5%92%8C%E5%85%AC%E5%BC%8F/3-2/3-2-4/5.png" \* MERGEFORMATINET </w:instrText>
      </w:r>
      <w:r>
        <w:rPr>
          <w:kern w:val="0"/>
        </w:rPr>
        <w:fldChar w:fldCharType="separate"/>
      </w:r>
      <w:r>
        <w:rPr>
          <w:kern w:val="0"/>
        </w:rPr>
        <w:fldChar w:fldCharType="begin"/>
      </w:r>
      <w:r>
        <w:rPr>
          <w:kern w:val="0"/>
        </w:rPr>
        <w:instrText xml:space="preserve"> INCLUDEPICTURE  "https://www.tdx.com.cn/products/helpfile/tdxw/chm/%E7%AC%AC%E4%B8%89%E7%AB%A0  %E7%89%88%E9%9D%A2%E5%92%8C%E5%85%AC%E5%BC%8F/3-2/3-2-4/5.png" \* MERGEFORMATINET </w:instrText>
      </w:r>
      <w:r>
        <w:rPr>
          <w:kern w:val="0"/>
        </w:rPr>
        <w:fldChar w:fldCharType="separate"/>
      </w:r>
      <w:r>
        <w:rPr>
          <w:kern w:val="0"/>
        </w:rPr>
        <w:drawing>
          <wp:inline distT="0" distB="0" distL="114300" distR="114300">
            <wp:extent cx="6943725" cy="4086225"/>
            <wp:effectExtent l="0" t="0" r="9525" b="9525"/>
            <wp:docPr id="265"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265"/>
                    <pic:cNvPicPr>
                      <a:picLocks noChangeAspect="1"/>
                    </pic:cNvPicPr>
                  </pic:nvPicPr>
                  <pic:blipFill>
                    <a:blip r:embed="rId497" r:link="rId498"/>
                    <a:stretch>
                      <a:fillRect/>
                    </a:stretch>
                  </pic:blipFill>
                  <pic:spPr>
                    <a:xfrm>
                      <a:off x="0" y="0"/>
                      <a:ext cx="6943725" cy="4086225"/>
                    </a:xfrm>
                    <a:prstGeom prst="rect">
                      <a:avLst/>
                    </a:prstGeom>
                    <a:noFill/>
                    <a:ln>
                      <a:noFill/>
                    </a:ln>
                  </pic:spPr>
                </pic:pic>
              </a:graphicData>
            </a:graphic>
          </wp:inline>
        </w:drawing>
      </w:r>
      <w:r>
        <w:rPr>
          <w:kern w:val="0"/>
        </w:rPr>
        <w:fldChar w:fldCharType="end"/>
      </w:r>
      <w:r>
        <w:rPr>
          <w:kern w:val="0"/>
        </w:rPr>
        <w:fldChar w:fldCharType="end"/>
      </w:r>
      <w:r>
        <w:rPr>
          <w:kern w:val="0"/>
        </w:rPr>
        <w:fldChar w:fldCharType="end"/>
      </w:r>
      <w:r>
        <w:rPr>
          <w:kern w:val="0"/>
        </w:rPr>
        <w:fldChar w:fldCharType="end"/>
      </w:r>
    </w:p>
    <w:p>
      <w:pPr>
        <w:pStyle w:val="34"/>
        <w:ind w:firstLine="540"/>
        <w:rPr>
          <w:kern w:val="0"/>
          <w:sz w:val="27"/>
          <w:szCs w:val="27"/>
        </w:rPr>
      </w:pPr>
      <w:r>
        <w:rPr>
          <w:rFonts w:hint="eastAsia"/>
          <w:kern w:val="0"/>
          <w:sz w:val="27"/>
          <w:szCs w:val="27"/>
        </w:rPr>
        <w:t> </w:t>
      </w:r>
    </w:p>
    <w:p>
      <w:pPr>
        <w:pStyle w:val="34"/>
        <w:rPr>
          <w:kern w:val="0"/>
        </w:rPr>
      </w:pPr>
      <w:r>
        <w:rPr>
          <w:rFonts w:hint="eastAsia"/>
          <w:kern w:val="0"/>
        </w:rPr>
        <w:t>设置报告</w:t>
      </w:r>
    </w:p>
    <w:p>
      <w:pPr>
        <w:pStyle w:val="34"/>
        <w:rPr>
          <w:kern w:val="0"/>
        </w:rPr>
      </w:pPr>
      <w:r>
        <w:rPr>
          <w:rFonts w:hint="eastAsia"/>
          <w:kern w:val="0"/>
        </w:rPr>
        <w:t>查看前面设置的总体设置信息。 </w:t>
      </w:r>
    </w:p>
    <w:p>
      <w:pPr>
        <w:pStyle w:val="34"/>
        <w:rPr>
          <w:kern w:val="0"/>
        </w:rPr>
      </w:pPr>
      <w:r>
        <w:rPr>
          <w:kern w:val="0"/>
        </w:rPr>
        <w:fldChar w:fldCharType="begin"/>
      </w:r>
      <w:r>
        <w:rPr>
          <w:kern w:val="0"/>
        </w:rPr>
        <w:instrText xml:space="preserve"> INCLUDEPICTURE  "https://www.tdx.com.cn/products/helpfile/tdxw/chm/%E7%AC%AC%E4%B8%89%E7%AB%A0  %E7%89%88%E9%9D%A2%E5%92%8C%E5%85%AC%E5%BC%8F/3-2/3-2-4/6.png" \* MERGEFORMATINET </w:instrText>
      </w:r>
      <w:r>
        <w:rPr>
          <w:kern w:val="0"/>
        </w:rPr>
        <w:fldChar w:fldCharType="separate"/>
      </w:r>
      <w:r>
        <w:rPr>
          <w:kern w:val="0"/>
        </w:rPr>
        <w:fldChar w:fldCharType="begin"/>
      </w:r>
      <w:r>
        <w:rPr>
          <w:kern w:val="0"/>
        </w:rPr>
        <w:instrText xml:space="preserve"> INCLUDEPICTURE  "https://www.tdx.com.cn/products/helpfile/tdxw/chm/%E7%AC%AC%E4%B8%89%E7%AB%A0  %E7%89%88%E9%9D%A2%E5%92%8C%E5%85%AC%E5%BC%8F/3-2/3-2-4/6.png" \* MERGEFORMATINET </w:instrText>
      </w:r>
      <w:r>
        <w:rPr>
          <w:kern w:val="0"/>
        </w:rPr>
        <w:fldChar w:fldCharType="separate"/>
      </w:r>
      <w:r>
        <w:rPr>
          <w:kern w:val="0"/>
        </w:rPr>
        <w:fldChar w:fldCharType="begin"/>
      </w:r>
      <w:r>
        <w:rPr>
          <w:kern w:val="0"/>
        </w:rPr>
        <w:instrText xml:space="preserve"> INCLUDEPICTURE  "https://www.tdx.com.cn/products/helpfile/tdxw/chm/%E7%AC%AC%E4%B8%89%E7%AB%A0  %E7%89%88%E9%9D%A2%E5%92%8C%E5%85%AC%E5%BC%8F/3-2/3-2-4/6.png" \* MERGEFORMATINET </w:instrText>
      </w:r>
      <w:r>
        <w:rPr>
          <w:kern w:val="0"/>
        </w:rPr>
        <w:fldChar w:fldCharType="separate"/>
      </w:r>
      <w:r>
        <w:rPr>
          <w:kern w:val="0"/>
        </w:rPr>
        <w:fldChar w:fldCharType="begin"/>
      </w:r>
      <w:r>
        <w:rPr>
          <w:kern w:val="0"/>
        </w:rPr>
        <w:instrText xml:space="preserve"> INCLUDEPICTURE  "https://www.tdx.com.cn/products/helpfile/tdxw/chm/%E7%AC%AC%E4%B8%89%E7%AB%A0  %E7%89%88%E9%9D%A2%E5%92%8C%E5%85%AC%E5%BC%8F/3-2/3-2-4/6.png" \* MERGEFORMATINET </w:instrText>
      </w:r>
      <w:r>
        <w:rPr>
          <w:kern w:val="0"/>
        </w:rPr>
        <w:fldChar w:fldCharType="separate"/>
      </w:r>
      <w:r>
        <w:rPr>
          <w:kern w:val="0"/>
        </w:rPr>
        <w:drawing>
          <wp:inline distT="0" distB="0" distL="114300" distR="114300">
            <wp:extent cx="6943725" cy="4086225"/>
            <wp:effectExtent l="0" t="0" r="9525" b="9525"/>
            <wp:docPr id="266"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66"/>
                    <pic:cNvPicPr>
                      <a:picLocks noChangeAspect="1"/>
                    </pic:cNvPicPr>
                  </pic:nvPicPr>
                  <pic:blipFill>
                    <a:blip r:embed="rId499" r:link="rId500"/>
                    <a:stretch>
                      <a:fillRect/>
                    </a:stretch>
                  </pic:blipFill>
                  <pic:spPr>
                    <a:xfrm>
                      <a:off x="0" y="0"/>
                      <a:ext cx="6943725" cy="4086225"/>
                    </a:xfrm>
                    <a:prstGeom prst="rect">
                      <a:avLst/>
                    </a:prstGeom>
                    <a:noFill/>
                    <a:ln>
                      <a:noFill/>
                    </a:ln>
                  </pic:spPr>
                </pic:pic>
              </a:graphicData>
            </a:graphic>
          </wp:inline>
        </w:drawing>
      </w:r>
      <w:r>
        <w:rPr>
          <w:kern w:val="0"/>
        </w:rPr>
        <w:fldChar w:fldCharType="end"/>
      </w:r>
      <w:r>
        <w:rPr>
          <w:kern w:val="0"/>
        </w:rPr>
        <w:fldChar w:fldCharType="end"/>
      </w:r>
      <w:r>
        <w:rPr>
          <w:kern w:val="0"/>
        </w:rPr>
        <w:fldChar w:fldCharType="end"/>
      </w:r>
      <w:r>
        <w:rPr>
          <w:kern w:val="0"/>
        </w:rPr>
        <w:fldChar w:fldCharType="end"/>
      </w:r>
    </w:p>
    <w:p>
      <w:pPr>
        <w:pStyle w:val="34"/>
        <w:ind w:firstLine="540"/>
        <w:rPr>
          <w:kern w:val="0"/>
          <w:sz w:val="27"/>
          <w:szCs w:val="27"/>
        </w:rPr>
      </w:pPr>
      <w:r>
        <w:rPr>
          <w:rFonts w:hint="eastAsia"/>
          <w:kern w:val="0"/>
          <w:sz w:val="27"/>
          <w:szCs w:val="27"/>
        </w:rPr>
        <w:t> </w:t>
      </w:r>
    </w:p>
    <w:p>
      <w:pPr>
        <w:pStyle w:val="34"/>
        <w:rPr>
          <w:kern w:val="0"/>
        </w:rPr>
      </w:pPr>
      <w:r>
        <w:rPr>
          <w:rFonts w:hint="eastAsia"/>
          <w:kern w:val="0"/>
        </w:rPr>
        <w:t>优化参数</w:t>
      </w:r>
    </w:p>
    <w:p>
      <w:pPr>
        <w:pStyle w:val="34"/>
        <w:rPr>
          <w:kern w:val="0"/>
        </w:rPr>
      </w:pPr>
      <w:r>
        <w:rPr>
          <w:rFonts w:hint="eastAsia"/>
          <w:kern w:val="0"/>
        </w:rPr>
        <w:t>点击“优化参数”，历史测评时候也会对选择的评测公式参数根据初始值和步长进行罗列计算。</w:t>
      </w:r>
    </w:p>
    <w:p>
      <w:pPr>
        <w:pStyle w:val="34"/>
        <w:rPr>
          <w:kern w:val="0"/>
        </w:rPr>
      </w:pPr>
      <w:r>
        <w:rPr>
          <w:kern w:val="0"/>
        </w:rPr>
        <w:fldChar w:fldCharType="begin"/>
      </w:r>
      <w:r>
        <w:rPr>
          <w:kern w:val="0"/>
        </w:rPr>
        <w:instrText xml:space="preserve"> INCLUDEPICTURE  "https://www.tdx.com.cn/products/helpfile/tdxw/chm/%E7%AC%AC%E4%B8%89%E7%AB%A0  %E7%89%88%E9%9D%A2%E5%92%8C%E5%85%AC%E5%BC%8F/3-2/3-2-4/7.png" \* MERGEFORMATINET </w:instrText>
      </w:r>
      <w:r>
        <w:rPr>
          <w:kern w:val="0"/>
        </w:rPr>
        <w:fldChar w:fldCharType="separate"/>
      </w:r>
      <w:r>
        <w:rPr>
          <w:kern w:val="0"/>
        </w:rPr>
        <w:fldChar w:fldCharType="begin"/>
      </w:r>
      <w:r>
        <w:rPr>
          <w:kern w:val="0"/>
        </w:rPr>
        <w:instrText xml:space="preserve"> INCLUDEPICTURE  "https://www.tdx.com.cn/products/helpfile/tdxw/chm/%E7%AC%AC%E4%B8%89%E7%AB%A0  %E7%89%88%E9%9D%A2%E5%92%8C%E5%85%AC%E5%BC%8F/3-2/3-2-4/7.png" \* MERGEFORMATINET </w:instrText>
      </w:r>
      <w:r>
        <w:rPr>
          <w:kern w:val="0"/>
        </w:rPr>
        <w:fldChar w:fldCharType="separate"/>
      </w:r>
      <w:r>
        <w:rPr>
          <w:kern w:val="0"/>
        </w:rPr>
        <w:fldChar w:fldCharType="begin"/>
      </w:r>
      <w:r>
        <w:rPr>
          <w:kern w:val="0"/>
        </w:rPr>
        <w:instrText xml:space="preserve"> INCLUDEPICTURE  "https://www.tdx.com.cn/products/helpfile/tdxw/chm/%E7%AC%AC%E4%B8%89%E7%AB%A0  %E7%89%88%E9%9D%A2%E5%92%8C%E5%85%AC%E5%BC%8F/3-2/3-2-4/7.png" \* MERGEFORMATINET </w:instrText>
      </w:r>
      <w:r>
        <w:rPr>
          <w:kern w:val="0"/>
        </w:rPr>
        <w:fldChar w:fldCharType="separate"/>
      </w:r>
      <w:r>
        <w:rPr>
          <w:kern w:val="0"/>
        </w:rPr>
        <w:fldChar w:fldCharType="begin"/>
      </w:r>
      <w:r>
        <w:rPr>
          <w:kern w:val="0"/>
        </w:rPr>
        <w:instrText xml:space="preserve"> INCLUDEPICTURE  "https://www.tdx.com.cn/products/helpfile/tdxw/chm/%E7%AC%AC%E4%B8%89%E7%AB%A0  %E7%89%88%E9%9D%A2%E5%92%8C%E5%85%AC%E5%BC%8F/3-2/3-2-4/7.png" \* MERGEFORMATINET </w:instrText>
      </w:r>
      <w:r>
        <w:rPr>
          <w:kern w:val="0"/>
        </w:rPr>
        <w:fldChar w:fldCharType="separate"/>
      </w:r>
      <w:r>
        <w:rPr>
          <w:kern w:val="0"/>
        </w:rPr>
        <w:drawing>
          <wp:inline distT="0" distB="0" distL="114300" distR="114300">
            <wp:extent cx="6943725" cy="4086225"/>
            <wp:effectExtent l="0" t="0" r="9525" b="9525"/>
            <wp:docPr id="267"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267"/>
                    <pic:cNvPicPr>
                      <a:picLocks noChangeAspect="1"/>
                    </pic:cNvPicPr>
                  </pic:nvPicPr>
                  <pic:blipFill>
                    <a:blip r:embed="rId501" r:link="rId502"/>
                    <a:stretch>
                      <a:fillRect/>
                    </a:stretch>
                  </pic:blipFill>
                  <pic:spPr>
                    <a:xfrm>
                      <a:off x="0" y="0"/>
                      <a:ext cx="6943725" cy="4086225"/>
                    </a:xfrm>
                    <a:prstGeom prst="rect">
                      <a:avLst/>
                    </a:prstGeom>
                    <a:noFill/>
                    <a:ln>
                      <a:noFill/>
                    </a:ln>
                  </pic:spPr>
                </pic:pic>
              </a:graphicData>
            </a:graphic>
          </wp:inline>
        </w:drawing>
      </w:r>
      <w:r>
        <w:rPr>
          <w:kern w:val="0"/>
        </w:rPr>
        <w:fldChar w:fldCharType="end"/>
      </w:r>
      <w:r>
        <w:rPr>
          <w:kern w:val="0"/>
        </w:rPr>
        <w:fldChar w:fldCharType="end"/>
      </w:r>
      <w:r>
        <w:rPr>
          <w:kern w:val="0"/>
        </w:rPr>
        <w:fldChar w:fldCharType="end"/>
      </w:r>
      <w:r>
        <w:rPr>
          <w:kern w:val="0"/>
        </w:rPr>
        <w:fldChar w:fldCharType="end"/>
      </w:r>
    </w:p>
    <w:p>
      <w:pPr>
        <w:pStyle w:val="34"/>
        <w:ind w:firstLine="540"/>
        <w:rPr>
          <w:kern w:val="0"/>
          <w:sz w:val="27"/>
          <w:szCs w:val="27"/>
        </w:rPr>
      </w:pPr>
      <w:r>
        <w:rPr>
          <w:rFonts w:hint="eastAsia"/>
          <w:kern w:val="0"/>
          <w:sz w:val="27"/>
          <w:szCs w:val="27"/>
        </w:rPr>
        <w:t> </w:t>
      </w:r>
    </w:p>
    <w:p>
      <w:pPr>
        <w:pStyle w:val="34"/>
        <w:rPr>
          <w:kern w:val="0"/>
        </w:rPr>
      </w:pPr>
      <w:r>
        <w:rPr>
          <w:rFonts w:hint="eastAsia"/>
          <w:kern w:val="0"/>
        </w:rPr>
        <w:t>评测计算以及结果展示</w:t>
      </w:r>
    </w:p>
    <w:p>
      <w:pPr>
        <w:pStyle w:val="34"/>
        <w:rPr>
          <w:kern w:val="0"/>
        </w:rPr>
      </w:pPr>
      <w:r>
        <w:rPr>
          <w:rFonts w:hint="eastAsia"/>
          <w:kern w:val="0"/>
        </w:rPr>
        <w:t>■优化参数的评测结果 </w:t>
      </w:r>
    </w:p>
    <w:p>
      <w:pPr>
        <w:pStyle w:val="34"/>
        <w:rPr>
          <w:kern w:val="0"/>
        </w:rPr>
      </w:pPr>
      <w:r>
        <w:rPr>
          <w:kern w:val="0"/>
        </w:rPr>
        <w:fldChar w:fldCharType="begin"/>
      </w:r>
      <w:r>
        <w:rPr>
          <w:kern w:val="0"/>
        </w:rPr>
        <w:instrText xml:space="preserve"> INCLUDEPICTURE  "https://www.tdx.com.cn/products/helpfile/tdxw/chm/%E7%AC%AC%E4%B8%89%E7%AB%A0  %E7%89%88%E9%9D%A2%E5%92%8C%E5%85%AC%E5%BC%8F/3-2/3-2-4/8.png" \* MERGEFORMATINET </w:instrText>
      </w:r>
      <w:r>
        <w:rPr>
          <w:kern w:val="0"/>
        </w:rPr>
        <w:fldChar w:fldCharType="separate"/>
      </w:r>
      <w:r>
        <w:rPr>
          <w:kern w:val="0"/>
        </w:rPr>
        <w:fldChar w:fldCharType="begin"/>
      </w:r>
      <w:r>
        <w:rPr>
          <w:kern w:val="0"/>
        </w:rPr>
        <w:instrText xml:space="preserve"> INCLUDEPICTURE  "https://www.tdx.com.cn/products/helpfile/tdxw/chm/%E7%AC%AC%E4%B8%89%E7%AB%A0  %E7%89%88%E9%9D%A2%E5%92%8C%E5%85%AC%E5%BC%8F/3-2/3-2-4/8.png" \* MERGEFORMATINET </w:instrText>
      </w:r>
      <w:r>
        <w:rPr>
          <w:kern w:val="0"/>
        </w:rPr>
        <w:fldChar w:fldCharType="separate"/>
      </w:r>
      <w:r>
        <w:rPr>
          <w:kern w:val="0"/>
        </w:rPr>
        <w:fldChar w:fldCharType="begin"/>
      </w:r>
      <w:r>
        <w:rPr>
          <w:kern w:val="0"/>
        </w:rPr>
        <w:instrText xml:space="preserve"> INCLUDEPICTURE  "https://www.tdx.com.cn/products/helpfile/tdxw/chm/%E7%AC%AC%E4%B8%89%E7%AB%A0  %E7%89%88%E9%9D%A2%E5%92%8C%E5%85%AC%E5%BC%8F/3-2/3-2-4/8.png" \* MERGEFORMATINET </w:instrText>
      </w:r>
      <w:r>
        <w:rPr>
          <w:kern w:val="0"/>
        </w:rPr>
        <w:fldChar w:fldCharType="separate"/>
      </w:r>
      <w:r>
        <w:rPr>
          <w:kern w:val="0"/>
        </w:rPr>
        <w:fldChar w:fldCharType="begin"/>
      </w:r>
      <w:r>
        <w:rPr>
          <w:kern w:val="0"/>
        </w:rPr>
        <w:instrText xml:space="preserve"> INCLUDEPICTURE  "https://www.tdx.com.cn/products/helpfile/tdxw/chm/%E7%AC%AC%E4%B8%89%E7%AB%A0  %E7%89%88%E9%9D%A2%E5%92%8C%E5%85%AC%E5%BC%8F/3-2/3-2-4/8.png" \* MERGEFORMATINET </w:instrText>
      </w:r>
      <w:r>
        <w:rPr>
          <w:kern w:val="0"/>
        </w:rPr>
        <w:fldChar w:fldCharType="separate"/>
      </w:r>
      <w:r>
        <w:rPr>
          <w:kern w:val="0"/>
        </w:rPr>
        <w:drawing>
          <wp:inline distT="0" distB="0" distL="114300" distR="114300">
            <wp:extent cx="7200900" cy="2095500"/>
            <wp:effectExtent l="0" t="0" r="0" b="0"/>
            <wp:docPr id="268" name="图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268"/>
                    <pic:cNvPicPr>
                      <a:picLocks noChangeAspect="1"/>
                    </pic:cNvPicPr>
                  </pic:nvPicPr>
                  <pic:blipFill>
                    <a:blip r:embed="rId503" r:link="rId504"/>
                    <a:stretch>
                      <a:fillRect/>
                    </a:stretch>
                  </pic:blipFill>
                  <pic:spPr>
                    <a:xfrm>
                      <a:off x="0" y="0"/>
                      <a:ext cx="7200900" cy="2095500"/>
                    </a:xfrm>
                    <a:prstGeom prst="rect">
                      <a:avLst/>
                    </a:prstGeom>
                    <a:noFill/>
                    <a:ln>
                      <a:noFill/>
                    </a:ln>
                  </pic:spPr>
                </pic:pic>
              </a:graphicData>
            </a:graphic>
          </wp:inline>
        </w:drawing>
      </w:r>
      <w:r>
        <w:rPr>
          <w:kern w:val="0"/>
        </w:rPr>
        <w:fldChar w:fldCharType="end"/>
      </w:r>
      <w:r>
        <w:rPr>
          <w:kern w:val="0"/>
        </w:rPr>
        <w:fldChar w:fldCharType="end"/>
      </w:r>
      <w:r>
        <w:rPr>
          <w:kern w:val="0"/>
        </w:rPr>
        <w:fldChar w:fldCharType="end"/>
      </w:r>
      <w:r>
        <w:rPr>
          <w:kern w:val="0"/>
        </w:rPr>
        <w:fldChar w:fldCharType="end"/>
      </w:r>
    </w:p>
    <w:p>
      <w:pPr>
        <w:pStyle w:val="34"/>
        <w:rPr>
          <w:kern w:val="0"/>
        </w:rPr>
      </w:pPr>
      <w:r>
        <w:rPr>
          <w:rFonts w:hint="eastAsia"/>
          <w:kern w:val="0"/>
        </w:rPr>
        <w:t>想查看哪个参数的评测结果可以双击进入 </w:t>
      </w:r>
    </w:p>
    <w:p>
      <w:pPr>
        <w:pStyle w:val="34"/>
        <w:rPr>
          <w:kern w:val="0"/>
        </w:rPr>
      </w:pPr>
      <w:r>
        <w:rPr>
          <w:kern w:val="0"/>
        </w:rPr>
        <w:fldChar w:fldCharType="begin"/>
      </w:r>
      <w:r>
        <w:rPr>
          <w:kern w:val="0"/>
        </w:rPr>
        <w:instrText xml:space="preserve"> INCLUDEPICTURE  "https://www.tdx.com.cn/products/helpfile/tdxw/chm/%E7%AC%AC%E4%B8%89%E7%AB%A0  %E7%89%88%E9%9D%A2%E5%92%8C%E5%85%AC%E5%BC%8F/3-2/3-2-4/9.png" \* MERGEFORMATINET </w:instrText>
      </w:r>
      <w:r>
        <w:rPr>
          <w:kern w:val="0"/>
        </w:rPr>
        <w:fldChar w:fldCharType="separate"/>
      </w:r>
      <w:r>
        <w:rPr>
          <w:kern w:val="0"/>
        </w:rPr>
        <w:fldChar w:fldCharType="begin"/>
      </w:r>
      <w:r>
        <w:rPr>
          <w:kern w:val="0"/>
        </w:rPr>
        <w:instrText xml:space="preserve"> INCLUDEPICTURE  "https://www.tdx.com.cn/products/helpfile/tdxw/chm/%E7%AC%AC%E4%B8%89%E7%AB%A0  %E7%89%88%E9%9D%A2%E5%92%8C%E5%85%AC%E5%BC%8F/3-2/3-2-4/9.png" \* MERGEFORMATINET </w:instrText>
      </w:r>
      <w:r>
        <w:rPr>
          <w:kern w:val="0"/>
        </w:rPr>
        <w:fldChar w:fldCharType="separate"/>
      </w:r>
      <w:r>
        <w:rPr>
          <w:kern w:val="0"/>
        </w:rPr>
        <w:fldChar w:fldCharType="begin"/>
      </w:r>
      <w:r>
        <w:rPr>
          <w:kern w:val="0"/>
        </w:rPr>
        <w:instrText xml:space="preserve"> INCLUDEPICTURE  "https://www.tdx.com.cn/products/helpfile/tdxw/chm/%E7%AC%AC%E4%B8%89%E7%AB%A0  %E7%89%88%E9%9D%A2%E5%92%8C%E5%85%AC%E5%BC%8F/3-2/3-2-4/9.png" \* MERGEFORMATINET </w:instrText>
      </w:r>
      <w:r>
        <w:rPr>
          <w:kern w:val="0"/>
        </w:rPr>
        <w:fldChar w:fldCharType="separate"/>
      </w:r>
      <w:r>
        <w:rPr>
          <w:kern w:val="0"/>
        </w:rPr>
        <w:fldChar w:fldCharType="begin"/>
      </w:r>
      <w:r>
        <w:rPr>
          <w:kern w:val="0"/>
        </w:rPr>
        <w:instrText xml:space="preserve"> INCLUDEPICTURE  "https://www.tdx.com.cn/products/helpfile/tdxw/chm/%E7%AC%AC%E4%B8%89%E7%AB%A0  %E7%89%88%E9%9D%A2%E5%92%8C%E5%85%AC%E5%BC%8F/3-2/3-2-4/9.png" \* MERGEFORMATINET </w:instrText>
      </w:r>
      <w:r>
        <w:rPr>
          <w:kern w:val="0"/>
        </w:rPr>
        <w:fldChar w:fldCharType="separate"/>
      </w:r>
      <w:r>
        <w:rPr>
          <w:kern w:val="0"/>
        </w:rPr>
        <w:drawing>
          <wp:inline distT="0" distB="0" distL="114300" distR="114300">
            <wp:extent cx="7496175" cy="5448300"/>
            <wp:effectExtent l="0" t="0" r="9525" b="0"/>
            <wp:docPr id="269" name="图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269"/>
                    <pic:cNvPicPr>
                      <a:picLocks noChangeAspect="1"/>
                    </pic:cNvPicPr>
                  </pic:nvPicPr>
                  <pic:blipFill>
                    <a:blip r:embed="rId505" r:link="rId506"/>
                    <a:stretch>
                      <a:fillRect/>
                    </a:stretch>
                  </pic:blipFill>
                  <pic:spPr>
                    <a:xfrm>
                      <a:off x="0" y="0"/>
                      <a:ext cx="7496175" cy="5448300"/>
                    </a:xfrm>
                    <a:prstGeom prst="rect">
                      <a:avLst/>
                    </a:prstGeom>
                    <a:noFill/>
                    <a:ln>
                      <a:noFill/>
                    </a:ln>
                  </pic:spPr>
                </pic:pic>
              </a:graphicData>
            </a:graphic>
          </wp:inline>
        </w:drawing>
      </w:r>
      <w:r>
        <w:rPr>
          <w:kern w:val="0"/>
        </w:rPr>
        <w:fldChar w:fldCharType="end"/>
      </w:r>
      <w:r>
        <w:rPr>
          <w:kern w:val="0"/>
        </w:rPr>
        <w:fldChar w:fldCharType="end"/>
      </w:r>
      <w:r>
        <w:rPr>
          <w:kern w:val="0"/>
        </w:rPr>
        <w:fldChar w:fldCharType="end"/>
      </w:r>
      <w:r>
        <w:rPr>
          <w:kern w:val="0"/>
        </w:rPr>
        <w:fldChar w:fldCharType="end"/>
      </w:r>
    </w:p>
    <w:p>
      <w:pPr>
        <w:pStyle w:val="34"/>
        <w:rPr>
          <w:kern w:val="0"/>
        </w:rPr>
      </w:pPr>
      <w:r>
        <w:rPr>
          <w:rFonts w:hint="eastAsia"/>
          <w:kern w:val="0"/>
        </w:rPr>
        <w:t>再查看个股的此参数组合下的评测明细再双击查看 </w:t>
      </w:r>
    </w:p>
    <w:p>
      <w:pPr>
        <w:pStyle w:val="34"/>
        <w:rPr>
          <w:kern w:val="0"/>
        </w:rPr>
      </w:pPr>
      <w:r>
        <w:rPr>
          <w:kern w:val="0"/>
        </w:rPr>
        <w:fldChar w:fldCharType="begin"/>
      </w:r>
      <w:r>
        <w:rPr>
          <w:kern w:val="0"/>
        </w:rPr>
        <w:instrText xml:space="preserve"> INCLUDEPICTURE  "https://www.tdx.com.cn/products/helpfile/tdxw/chm/%E7%AC%AC%E4%B8%89%E7%AB%A0  %E7%89%88%E9%9D%A2%E5%92%8C%E5%85%AC%E5%BC%8F/3-2/3-2-4/10.png" \* MERGEFORMATINET </w:instrText>
      </w:r>
      <w:r>
        <w:rPr>
          <w:kern w:val="0"/>
        </w:rPr>
        <w:fldChar w:fldCharType="separate"/>
      </w:r>
      <w:r>
        <w:rPr>
          <w:kern w:val="0"/>
        </w:rPr>
        <w:fldChar w:fldCharType="begin"/>
      </w:r>
      <w:r>
        <w:rPr>
          <w:kern w:val="0"/>
        </w:rPr>
        <w:instrText xml:space="preserve"> INCLUDEPICTURE  "https://www.tdx.com.cn/products/helpfile/tdxw/chm/%E7%AC%AC%E4%B8%89%E7%AB%A0  %E7%89%88%E9%9D%A2%E5%92%8C%E5%85%AC%E5%BC%8F/3-2/3-2-4/10.png" \* MERGEFORMATINET </w:instrText>
      </w:r>
      <w:r>
        <w:rPr>
          <w:kern w:val="0"/>
        </w:rPr>
        <w:fldChar w:fldCharType="separate"/>
      </w:r>
      <w:r>
        <w:rPr>
          <w:kern w:val="0"/>
        </w:rPr>
        <w:fldChar w:fldCharType="begin"/>
      </w:r>
      <w:r>
        <w:rPr>
          <w:kern w:val="0"/>
        </w:rPr>
        <w:instrText xml:space="preserve"> INCLUDEPICTURE  "https://www.tdx.com.cn/products/helpfile/tdxw/chm/%E7%AC%AC%E4%B8%89%E7%AB%A0  %E7%89%88%E9%9D%A2%E5%92%8C%E5%85%AC%E5%BC%8F/3-2/3-2-4/10.png" \* MERGEFORMATINET </w:instrText>
      </w:r>
      <w:r>
        <w:rPr>
          <w:kern w:val="0"/>
        </w:rPr>
        <w:fldChar w:fldCharType="separate"/>
      </w:r>
      <w:r>
        <w:rPr>
          <w:kern w:val="0"/>
        </w:rPr>
        <w:fldChar w:fldCharType="begin"/>
      </w:r>
      <w:r>
        <w:rPr>
          <w:kern w:val="0"/>
        </w:rPr>
        <w:instrText xml:space="preserve"> INCLUDEPICTURE  "https://www.tdx.com.cn/products/helpfile/tdxw/chm/%E7%AC%AC%E4%B8%89%E7%AB%A0  %E7%89%88%E9%9D%A2%E5%92%8C%E5%85%AC%E5%BC%8F/3-2/3-2-4/10.png" \* MERGEFORMATINET </w:instrText>
      </w:r>
      <w:r>
        <w:rPr>
          <w:kern w:val="0"/>
        </w:rPr>
        <w:fldChar w:fldCharType="separate"/>
      </w:r>
      <w:r>
        <w:rPr>
          <w:kern w:val="0"/>
        </w:rPr>
        <w:drawing>
          <wp:inline distT="0" distB="0" distL="114300" distR="114300">
            <wp:extent cx="7658100" cy="5248275"/>
            <wp:effectExtent l="0" t="0" r="0" b="9525"/>
            <wp:docPr id="270" name="图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270"/>
                    <pic:cNvPicPr>
                      <a:picLocks noChangeAspect="1"/>
                    </pic:cNvPicPr>
                  </pic:nvPicPr>
                  <pic:blipFill>
                    <a:blip r:embed="rId507" r:link="rId508"/>
                    <a:stretch>
                      <a:fillRect/>
                    </a:stretch>
                  </pic:blipFill>
                  <pic:spPr>
                    <a:xfrm>
                      <a:off x="0" y="0"/>
                      <a:ext cx="7658100" cy="5248275"/>
                    </a:xfrm>
                    <a:prstGeom prst="rect">
                      <a:avLst/>
                    </a:prstGeom>
                    <a:noFill/>
                    <a:ln>
                      <a:noFill/>
                    </a:ln>
                  </pic:spPr>
                </pic:pic>
              </a:graphicData>
            </a:graphic>
          </wp:inline>
        </w:drawing>
      </w:r>
      <w:r>
        <w:rPr>
          <w:kern w:val="0"/>
        </w:rPr>
        <w:fldChar w:fldCharType="end"/>
      </w:r>
      <w:r>
        <w:rPr>
          <w:kern w:val="0"/>
        </w:rPr>
        <w:fldChar w:fldCharType="end"/>
      </w:r>
      <w:r>
        <w:rPr>
          <w:kern w:val="0"/>
        </w:rPr>
        <w:fldChar w:fldCharType="end"/>
      </w:r>
      <w:r>
        <w:rPr>
          <w:kern w:val="0"/>
        </w:rPr>
        <w:fldChar w:fldCharType="end"/>
      </w:r>
    </w:p>
    <w:p>
      <w:pPr>
        <w:pStyle w:val="34"/>
        <w:rPr>
          <w:kern w:val="0"/>
        </w:rPr>
      </w:pPr>
    </w:p>
    <w:p>
      <w:pPr>
        <w:pStyle w:val="34"/>
        <w:rPr>
          <w:kern w:val="0"/>
        </w:rPr>
      </w:pPr>
      <w:r>
        <w:rPr>
          <w:rFonts w:hint="eastAsia"/>
          <w:kern w:val="0"/>
        </w:rPr>
        <w:t>■非优化参数评测结果</w:t>
      </w:r>
    </w:p>
    <w:p>
      <w:pPr>
        <w:pStyle w:val="34"/>
        <w:rPr>
          <w:kern w:val="0"/>
        </w:rPr>
      </w:pPr>
      <w:r>
        <w:rPr>
          <w:rFonts w:hint="eastAsia"/>
          <w:kern w:val="0"/>
        </w:rPr>
        <w:t>默认参数的评测结果</w:t>
      </w:r>
    </w:p>
    <w:p>
      <w:pPr>
        <w:pStyle w:val="34"/>
        <w:rPr>
          <w:kern w:val="0"/>
        </w:rPr>
      </w:pPr>
      <w:r>
        <w:rPr>
          <w:kern w:val="0"/>
        </w:rPr>
        <w:fldChar w:fldCharType="begin"/>
      </w:r>
      <w:r>
        <w:rPr>
          <w:kern w:val="0"/>
        </w:rPr>
        <w:instrText xml:space="preserve"> INCLUDEPICTURE  "https://www.tdx.com.cn/products/helpfile/tdxw/chm/%E7%AC%AC%E4%B8%89%E7%AB%A0  %E7%89%88%E9%9D%A2%E5%92%8C%E5%85%AC%E5%BC%8F/3-2/3-2-4/11.png" \* MERGEFORMATINET </w:instrText>
      </w:r>
      <w:r>
        <w:rPr>
          <w:kern w:val="0"/>
        </w:rPr>
        <w:fldChar w:fldCharType="separate"/>
      </w:r>
      <w:r>
        <w:rPr>
          <w:kern w:val="0"/>
        </w:rPr>
        <w:fldChar w:fldCharType="begin"/>
      </w:r>
      <w:r>
        <w:rPr>
          <w:kern w:val="0"/>
        </w:rPr>
        <w:instrText xml:space="preserve"> INCLUDEPICTURE  "https://www.tdx.com.cn/products/helpfile/tdxw/chm/%E7%AC%AC%E4%B8%89%E7%AB%A0  %E7%89%88%E9%9D%A2%E5%92%8C%E5%85%AC%E5%BC%8F/3-2/3-2-4/11.png" \* MERGEFORMATINET </w:instrText>
      </w:r>
      <w:r>
        <w:rPr>
          <w:kern w:val="0"/>
        </w:rPr>
        <w:fldChar w:fldCharType="separate"/>
      </w:r>
      <w:r>
        <w:rPr>
          <w:kern w:val="0"/>
        </w:rPr>
        <w:fldChar w:fldCharType="begin"/>
      </w:r>
      <w:r>
        <w:rPr>
          <w:kern w:val="0"/>
        </w:rPr>
        <w:instrText xml:space="preserve"> INCLUDEPICTURE  "https://www.tdx.com.cn/products/helpfile/tdxw/chm/%E7%AC%AC%E4%B8%89%E7%AB%A0  %E7%89%88%E9%9D%A2%E5%92%8C%E5%85%AC%E5%BC%8F/3-2/3-2-4/11.png" \* MERGEFORMATINET </w:instrText>
      </w:r>
      <w:r>
        <w:rPr>
          <w:kern w:val="0"/>
        </w:rPr>
        <w:fldChar w:fldCharType="separate"/>
      </w:r>
      <w:r>
        <w:rPr>
          <w:kern w:val="0"/>
        </w:rPr>
        <w:fldChar w:fldCharType="begin"/>
      </w:r>
      <w:r>
        <w:rPr>
          <w:kern w:val="0"/>
        </w:rPr>
        <w:instrText xml:space="preserve"> INCLUDEPICTURE  "https://www.tdx.com.cn/products/helpfile/tdxw/chm/%E7%AC%AC%E4%B8%89%E7%AB%A0  %E7%89%88%E9%9D%A2%E5%92%8C%E5%85%AC%E5%BC%8F/3-2/3-2-4/11.png" \* MERGEFORMATINET </w:instrText>
      </w:r>
      <w:r>
        <w:rPr>
          <w:kern w:val="0"/>
        </w:rPr>
        <w:fldChar w:fldCharType="separate"/>
      </w:r>
      <w:r>
        <w:rPr>
          <w:kern w:val="0"/>
        </w:rPr>
        <w:drawing>
          <wp:inline distT="0" distB="0" distL="114300" distR="114300">
            <wp:extent cx="7524750" cy="5505450"/>
            <wp:effectExtent l="0" t="0" r="0" b="0"/>
            <wp:docPr id="271" name="图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271"/>
                    <pic:cNvPicPr>
                      <a:picLocks noChangeAspect="1"/>
                    </pic:cNvPicPr>
                  </pic:nvPicPr>
                  <pic:blipFill>
                    <a:blip r:embed="rId509" r:link="rId510"/>
                    <a:stretch>
                      <a:fillRect/>
                    </a:stretch>
                  </pic:blipFill>
                  <pic:spPr>
                    <a:xfrm>
                      <a:off x="0" y="0"/>
                      <a:ext cx="7524750" cy="5505450"/>
                    </a:xfrm>
                    <a:prstGeom prst="rect">
                      <a:avLst/>
                    </a:prstGeom>
                    <a:noFill/>
                    <a:ln>
                      <a:noFill/>
                    </a:ln>
                  </pic:spPr>
                </pic:pic>
              </a:graphicData>
            </a:graphic>
          </wp:inline>
        </w:drawing>
      </w:r>
      <w:r>
        <w:rPr>
          <w:kern w:val="0"/>
        </w:rPr>
        <w:fldChar w:fldCharType="end"/>
      </w:r>
      <w:r>
        <w:rPr>
          <w:kern w:val="0"/>
        </w:rPr>
        <w:fldChar w:fldCharType="end"/>
      </w:r>
      <w:r>
        <w:rPr>
          <w:kern w:val="0"/>
        </w:rPr>
        <w:fldChar w:fldCharType="end"/>
      </w:r>
      <w:r>
        <w:rPr>
          <w:kern w:val="0"/>
        </w:rPr>
        <w:fldChar w:fldCharType="end"/>
      </w:r>
    </w:p>
    <w:p>
      <w:pPr>
        <w:pStyle w:val="34"/>
        <w:rPr>
          <w:kern w:val="0"/>
        </w:rPr>
      </w:pPr>
      <w:r>
        <w:rPr>
          <w:rFonts w:hint="eastAsia"/>
          <w:kern w:val="0"/>
        </w:rPr>
        <w:t>双击“综合统计”可以查看所有测试品种的历史评测明细数据</w:t>
      </w:r>
    </w:p>
    <w:p>
      <w:pPr>
        <w:pStyle w:val="34"/>
        <w:rPr>
          <w:kern w:val="0"/>
        </w:rPr>
      </w:pPr>
      <w:r>
        <w:rPr>
          <w:rFonts w:hint="eastAsia"/>
          <w:kern w:val="0"/>
        </w:rPr>
        <w:t>双击各股票行查看对应股票品种的历史评测明细数据</w:t>
      </w:r>
    </w:p>
    <w:p>
      <w:pPr>
        <w:pStyle w:val="34"/>
        <w:rPr>
          <w:kern w:val="0"/>
        </w:rPr>
      </w:pPr>
      <w:r>
        <w:rPr>
          <w:kern w:val="0"/>
        </w:rPr>
        <w:fldChar w:fldCharType="begin"/>
      </w:r>
      <w:r>
        <w:rPr>
          <w:kern w:val="0"/>
        </w:rPr>
        <w:instrText xml:space="preserve"> INCLUDEPICTURE  "https://www.tdx.com.cn/products/helpfile/tdxw/chm/%E7%AC%AC%E4%B8%89%E7%AB%A0  %E7%89%88%E9%9D%A2%E5%92%8C%E5%85%AC%E5%BC%8F/3-2/3-2-4/12.png" \* MERGEFORMATINET </w:instrText>
      </w:r>
      <w:r>
        <w:rPr>
          <w:kern w:val="0"/>
        </w:rPr>
        <w:fldChar w:fldCharType="separate"/>
      </w:r>
      <w:r>
        <w:rPr>
          <w:kern w:val="0"/>
        </w:rPr>
        <w:fldChar w:fldCharType="begin"/>
      </w:r>
      <w:r>
        <w:rPr>
          <w:kern w:val="0"/>
        </w:rPr>
        <w:instrText xml:space="preserve"> INCLUDEPICTURE  "https://www.tdx.com.cn/products/helpfile/tdxw/chm/%E7%AC%AC%E4%B8%89%E7%AB%A0  %E7%89%88%E9%9D%A2%E5%92%8C%E5%85%AC%E5%BC%8F/3-2/3-2-4/12.png" \* MERGEFORMATINET </w:instrText>
      </w:r>
      <w:r>
        <w:rPr>
          <w:kern w:val="0"/>
        </w:rPr>
        <w:fldChar w:fldCharType="separate"/>
      </w:r>
      <w:r>
        <w:rPr>
          <w:kern w:val="0"/>
        </w:rPr>
        <w:fldChar w:fldCharType="begin"/>
      </w:r>
      <w:r>
        <w:rPr>
          <w:kern w:val="0"/>
        </w:rPr>
        <w:instrText xml:space="preserve"> INCLUDEPICTURE  "https://www.tdx.com.cn/products/helpfile/tdxw/chm/%E7%AC%AC%E4%B8%89%E7%AB%A0  %E7%89%88%E9%9D%A2%E5%92%8C%E5%85%AC%E5%BC%8F/3-2/3-2-4/12.png" \* MERGEFORMATINET </w:instrText>
      </w:r>
      <w:r>
        <w:rPr>
          <w:kern w:val="0"/>
        </w:rPr>
        <w:fldChar w:fldCharType="separate"/>
      </w:r>
      <w:r>
        <w:rPr>
          <w:kern w:val="0"/>
        </w:rPr>
        <w:fldChar w:fldCharType="begin"/>
      </w:r>
      <w:r>
        <w:rPr>
          <w:kern w:val="0"/>
        </w:rPr>
        <w:instrText xml:space="preserve"> INCLUDEPICTURE  "https://www.tdx.com.cn/products/helpfile/tdxw/chm/%E7%AC%AC%E4%B8%89%E7%AB%A0  %E7%89%88%E9%9D%A2%E5%92%8C%E5%85%AC%E5%BC%8F/3-2/3-2-4/12.png" \* MERGEFORMATINET </w:instrText>
      </w:r>
      <w:r>
        <w:rPr>
          <w:kern w:val="0"/>
        </w:rPr>
        <w:fldChar w:fldCharType="separate"/>
      </w:r>
      <w:r>
        <w:rPr>
          <w:kern w:val="0"/>
        </w:rPr>
        <w:drawing>
          <wp:inline distT="0" distB="0" distL="114300" distR="114300">
            <wp:extent cx="7848600" cy="5381625"/>
            <wp:effectExtent l="0" t="0" r="0" b="9525"/>
            <wp:docPr id="272" name="图片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272"/>
                    <pic:cNvPicPr>
                      <a:picLocks noChangeAspect="1"/>
                    </pic:cNvPicPr>
                  </pic:nvPicPr>
                  <pic:blipFill>
                    <a:blip r:embed="rId511" r:link="rId512"/>
                    <a:stretch>
                      <a:fillRect/>
                    </a:stretch>
                  </pic:blipFill>
                  <pic:spPr>
                    <a:xfrm>
                      <a:off x="0" y="0"/>
                      <a:ext cx="7848600" cy="5381625"/>
                    </a:xfrm>
                    <a:prstGeom prst="rect">
                      <a:avLst/>
                    </a:prstGeom>
                    <a:noFill/>
                    <a:ln>
                      <a:noFill/>
                    </a:ln>
                  </pic:spPr>
                </pic:pic>
              </a:graphicData>
            </a:graphic>
          </wp:inline>
        </w:drawing>
      </w:r>
      <w:r>
        <w:rPr>
          <w:kern w:val="0"/>
        </w:rPr>
        <w:fldChar w:fldCharType="end"/>
      </w:r>
      <w:r>
        <w:rPr>
          <w:kern w:val="0"/>
        </w:rPr>
        <w:fldChar w:fldCharType="end"/>
      </w:r>
      <w:r>
        <w:rPr>
          <w:kern w:val="0"/>
        </w:rPr>
        <w:fldChar w:fldCharType="end"/>
      </w:r>
      <w:r>
        <w:rPr>
          <w:kern w:val="0"/>
        </w:rPr>
        <w:fldChar w:fldCharType="end"/>
      </w:r>
    </w:p>
    <w:p>
      <w:pPr>
        <w:pStyle w:val="34"/>
        <w:ind w:firstLine="540"/>
        <w:rPr>
          <w:kern w:val="0"/>
          <w:sz w:val="27"/>
          <w:szCs w:val="27"/>
        </w:rPr>
      </w:pPr>
      <w:r>
        <w:rPr>
          <w:rFonts w:hint="eastAsia"/>
          <w:kern w:val="0"/>
          <w:sz w:val="27"/>
          <w:szCs w:val="27"/>
        </w:rPr>
        <w:t> </w:t>
      </w:r>
    </w:p>
    <w:p>
      <w:pPr>
        <w:pStyle w:val="34"/>
        <w:rPr>
          <w:kern w:val="0"/>
        </w:rPr>
      </w:pPr>
      <w:r>
        <w:rPr>
          <w:rFonts w:hint="eastAsia"/>
          <w:kern w:val="0"/>
        </w:rPr>
        <w:t>其他方便操作</w:t>
      </w:r>
    </w:p>
    <w:p>
      <w:pPr>
        <w:pStyle w:val="34"/>
        <w:rPr>
          <w:kern w:val="0"/>
        </w:rPr>
      </w:pPr>
      <w:r>
        <w:rPr>
          <w:rFonts w:hint="eastAsia"/>
          <w:kern w:val="0"/>
        </w:rPr>
        <w:t>保存方案：将以上步骤设定保存为一个特定的方案，下次就不用一步步设置了 </w:t>
      </w:r>
    </w:p>
    <w:p>
      <w:pPr>
        <w:pStyle w:val="34"/>
        <w:rPr>
          <w:kern w:val="0"/>
        </w:rPr>
      </w:pPr>
      <w:r>
        <w:rPr>
          <w:rFonts w:hint="eastAsia"/>
          <w:kern w:val="0"/>
        </w:rPr>
        <w:t>引入方案：引入保存好的方案直接执行评测，以免用同样的设置每次都要重新设置。 </w:t>
      </w:r>
    </w:p>
    <w:p>
      <w:pPr>
        <w:pStyle w:val="34"/>
        <w:rPr>
          <w:kern w:val="0"/>
        </w:rPr>
      </w:pPr>
      <w:r>
        <w:rPr>
          <w:rFonts w:hint="eastAsia"/>
          <w:kern w:val="0"/>
        </w:rPr>
        <w:t>下载数据：因为程序交易评测准确就要保证完整的日线数据，点击可以快速下载本地数据。 </w:t>
      </w:r>
    </w:p>
    <w:p>
      <w:pPr>
        <w:pStyle w:val="34"/>
        <w:rPr>
          <w:kern w:val="0"/>
        </w:rPr>
      </w:pPr>
      <w:r>
        <w:rPr>
          <w:rFonts w:hint="eastAsia"/>
          <w:kern w:val="0"/>
        </w:rPr>
        <w:t>保存为默认方案：可以保证每次进入这个功能的时候都加载这个默认的方案。 </w:t>
      </w:r>
    </w:p>
    <w:p>
      <w:pPr>
        <w:pStyle w:val="34"/>
        <w:rPr>
          <w:kern w:val="0"/>
        </w:rPr>
      </w:pPr>
      <w:r>
        <w:rPr>
          <w:rFonts w:hint="eastAsia"/>
          <w:kern w:val="0"/>
        </w:rPr>
        <w:t>导出结果：每个界面的“导出结果”按钮都可以导出</w:t>
      </w:r>
      <w:r>
        <w:rPr>
          <w:rFonts w:hint="eastAsia"/>
          <w:b/>
          <w:bCs/>
          <w:kern w:val="0"/>
        </w:rPr>
        <w:t>当前界面</w:t>
      </w:r>
      <w:r>
        <w:rPr>
          <w:rFonts w:hint="eastAsia"/>
          <w:kern w:val="0"/>
        </w:rPr>
        <w:t>的明细数据。</w:t>
      </w:r>
    </w:p>
    <w:p>
      <w:pPr>
        <w:pStyle w:val="34"/>
        <w:rPr>
          <w:kern w:val="0"/>
        </w:rPr>
      </w:pPr>
    </w:p>
    <w:p>
      <w:pPr>
        <w:pStyle w:val="34"/>
        <w:rPr>
          <w:kern w:val="0"/>
        </w:rPr>
      </w:pPr>
      <w:r>
        <w:rPr>
          <w:rFonts w:hint="eastAsia"/>
          <w:kern w:val="0"/>
        </w:rPr>
        <w:t>特色介绍</w:t>
      </w:r>
    </w:p>
    <w:p>
      <w:pPr>
        <w:pStyle w:val="34"/>
        <w:rPr>
          <w:kern w:val="0"/>
        </w:rPr>
      </w:pPr>
      <w:r>
        <w:rPr>
          <w:rFonts w:hint="eastAsia"/>
          <w:kern w:val="0"/>
        </w:rPr>
        <w:t>■详细测试报告</w:t>
      </w:r>
    </w:p>
    <w:p>
      <w:pPr>
        <w:pStyle w:val="34"/>
        <w:rPr>
          <w:kern w:val="0"/>
        </w:rPr>
      </w:pPr>
      <w:r>
        <w:rPr>
          <w:kern w:val="0"/>
        </w:rPr>
        <w:fldChar w:fldCharType="begin"/>
      </w:r>
      <w:r>
        <w:rPr>
          <w:kern w:val="0"/>
        </w:rPr>
        <w:instrText xml:space="preserve"> INCLUDEPICTURE  "https://www.tdx.com.cn/products/helpfile/tdxw/chm/%E7%AC%AC%E4%B8%89%E7%AB%A0  %E7%89%88%E9%9D%A2%E5%92%8C%E5%85%AC%E5%BC%8F/3-2/3-2-4/13.png" \* MERGEFORMATINET </w:instrText>
      </w:r>
      <w:r>
        <w:rPr>
          <w:kern w:val="0"/>
        </w:rPr>
        <w:fldChar w:fldCharType="separate"/>
      </w:r>
      <w:r>
        <w:rPr>
          <w:kern w:val="0"/>
        </w:rPr>
        <w:fldChar w:fldCharType="begin"/>
      </w:r>
      <w:r>
        <w:rPr>
          <w:kern w:val="0"/>
        </w:rPr>
        <w:instrText xml:space="preserve"> INCLUDEPICTURE  "https://www.tdx.com.cn/products/helpfile/tdxw/chm/%E7%AC%AC%E4%B8%89%E7%AB%A0  %E7%89%88%E9%9D%A2%E5%92%8C%E5%85%AC%E5%BC%8F/3-2/3-2-4/13.png" \* MERGEFORMATINET </w:instrText>
      </w:r>
      <w:r>
        <w:rPr>
          <w:kern w:val="0"/>
        </w:rPr>
        <w:fldChar w:fldCharType="separate"/>
      </w:r>
      <w:r>
        <w:rPr>
          <w:kern w:val="0"/>
        </w:rPr>
        <w:fldChar w:fldCharType="begin"/>
      </w:r>
      <w:r>
        <w:rPr>
          <w:kern w:val="0"/>
        </w:rPr>
        <w:instrText xml:space="preserve"> INCLUDEPICTURE  "https://www.tdx.com.cn/products/helpfile/tdxw/chm/%E7%AC%AC%E4%B8%89%E7%AB%A0  %E7%89%88%E9%9D%A2%E5%92%8C%E5%85%AC%E5%BC%8F/3-2/3-2-4/13.png" \* MERGEFORMATINET </w:instrText>
      </w:r>
      <w:r>
        <w:rPr>
          <w:kern w:val="0"/>
        </w:rPr>
        <w:fldChar w:fldCharType="separate"/>
      </w:r>
      <w:r>
        <w:rPr>
          <w:kern w:val="0"/>
        </w:rPr>
        <w:fldChar w:fldCharType="begin"/>
      </w:r>
      <w:r>
        <w:rPr>
          <w:kern w:val="0"/>
        </w:rPr>
        <w:instrText xml:space="preserve"> INCLUDEPICTURE  "https://www.tdx.com.cn/products/helpfile/tdxw/chm/%E7%AC%AC%E4%B8%89%E7%AB%A0  %E7%89%88%E9%9D%A2%E5%92%8C%E5%85%AC%E5%BC%8F/3-2/3-2-4/13.png" \* MERGEFORMATINET </w:instrText>
      </w:r>
      <w:r>
        <w:rPr>
          <w:kern w:val="0"/>
        </w:rPr>
        <w:fldChar w:fldCharType="separate"/>
      </w:r>
      <w:r>
        <w:rPr>
          <w:kern w:val="0"/>
        </w:rPr>
        <w:drawing>
          <wp:inline distT="0" distB="0" distL="114300" distR="114300">
            <wp:extent cx="7162800" cy="5210175"/>
            <wp:effectExtent l="0" t="0" r="0" b="9525"/>
            <wp:docPr id="273" name="图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273"/>
                    <pic:cNvPicPr>
                      <a:picLocks noChangeAspect="1"/>
                    </pic:cNvPicPr>
                  </pic:nvPicPr>
                  <pic:blipFill>
                    <a:blip r:embed="rId513" r:link="rId514"/>
                    <a:stretch>
                      <a:fillRect/>
                    </a:stretch>
                  </pic:blipFill>
                  <pic:spPr>
                    <a:xfrm>
                      <a:off x="0" y="0"/>
                      <a:ext cx="7162800" cy="5210175"/>
                    </a:xfrm>
                    <a:prstGeom prst="rect">
                      <a:avLst/>
                    </a:prstGeom>
                    <a:noFill/>
                    <a:ln>
                      <a:noFill/>
                    </a:ln>
                  </pic:spPr>
                </pic:pic>
              </a:graphicData>
            </a:graphic>
          </wp:inline>
        </w:drawing>
      </w:r>
      <w:r>
        <w:rPr>
          <w:kern w:val="0"/>
        </w:rPr>
        <w:fldChar w:fldCharType="end"/>
      </w:r>
      <w:r>
        <w:rPr>
          <w:kern w:val="0"/>
        </w:rPr>
        <w:fldChar w:fldCharType="end"/>
      </w:r>
      <w:r>
        <w:rPr>
          <w:kern w:val="0"/>
        </w:rPr>
        <w:fldChar w:fldCharType="end"/>
      </w:r>
      <w:r>
        <w:rPr>
          <w:kern w:val="0"/>
        </w:rPr>
        <w:fldChar w:fldCharType="end"/>
      </w:r>
    </w:p>
    <w:p>
      <w:pPr>
        <w:pStyle w:val="34"/>
        <w:rPr>
          <w:kern w:val="0"/>
        </w:rPr>
      </w:pPr>
      <w:r>
        <w:rPr>
          <w:rFonts w:hint="eastAsia"/>
          <w:kern w:val="0"/>
        </w:rPr>
        <w:t>详细测试报告揭示的详细数据信息（是否为盈利交易以收益列是否为正为标准）</w:t>
      </w:r>
    </w:p>
    <w:tbl>
      <w:tblPr>
        <w:tblStyle w:val="25"/>
        <w:tblW w:w="12631" w:type="dxa"/>
        <w:tblCellSpacing w:w="0" w:type="dxa"/>
        <w:tblInd w:w="0" w:type="dxa"/>
        <w:tblBorders>
          <w:top w:val="outset" w:color="auto" w:sz="6" w:space="0"/>
          <w:left w:val="outset" w:color="auto" w:sz="6" w:space="0"/>
          <w:bottom w:val="outset" w:color="auto" w:sz="6" w:space="0"/>
          <w:right w:val="outset" w:color="auto" w:sz="6" w:space="0"/>
          <w:insideH w:val="none" w:color="auto" w:sz="0" w:space="0"/>
          <w:insideV w:val="none" w:color="auto" w:sz="0" w:space="0"/>
        </w:tblBorders>
        <w:tblLayout w:type="autofit"/>
        <w:tblCellMar>
          <w:top w:w="0" w:type="dxa"/>
          <w:left w:w="0" w:type="dxa"/>
          <w:bottom w:w="0" w:type="dxa"/>
          <w:right w:w="0" w:type="dxa"/>
        </w:tblCellMar>
      </w:tblPr>
      <w:tblGrid>
        <w:gridCol w:w="2550"/>
        <w:gridCol w:w="10081"/>
      </w:tblGrid>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550" w:type="dxa"/>
            <w:tcBorders>
              <w:top w:val="outset" w:color="auto" w:sz="6" w:space="0"/>
              <w:left w:val="outset" w:color="auto" w:sz="6" w:space="0"/>
              <w:bottom w:val="outset" w:color="auto" w:sz="6" w:space="0"/>
              <w:right w:val="outset" w:color="auto" w:sz="6" w:space="0"/>
            </w:tcBorders>
            <w:vAlign w:val="center"/>
          </w:tcPr>
          <w:p>
            <w:pPr>
              <w:pStyle w:val="34"/>
              <w:rPr>
                <w:kern w:val="0"/>
              </w:rPr>
            </w:pPr>
          </w:p>
          <w:p>
            <w:pPr>
              <w:pStyle w:val="34"/>
              <w:rPr>
                <w:kern w:val="0"/>
              </w:rPr>
            </w:pPr>
            <w:r>
              <w:rPr>
                <w:rFonts w:hint="eastAsia"/>
                <w:kern w:val="0"/>
              </w:rPr>
              <w:t>数据项</w:t>
            </w:r>
          </w:p>
        </w:tc>
        <w:tc>
          <w:tcPr>
            <w:tcW w:w="10081"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数据说明</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550"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有效天数</w:t>
            </w:r>
          </w:p>
        </w:tc>
        <w:tc>
          <w:tcPr>
            <w:tcW w:w="10081"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测试期间的自然日天数（</w:t>
            </w:r>
            <w:r>
              <w:rPr>
                <w:rFonts w:hint="eastAsia"/>
                <w:b/>
                <w:bCs/>
                <w:kern w:val="0"/>
              </w:rPr>
              <w:t>算头不算尾</w:t>
            </w:r>
            <w:r>
              <w:rPr>
                <w:rFonts w:hint="eastAsia"/>
                <w:kern w:val="0"/>
              </w:rPr>
              <w:t>）</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550"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评测周期数</w:t>
            </w:r>
          </w:p>
        </w:tc>
        <w:tc>
          <w:tcPr>
            <w:tcW w:w="10081"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测试期间的有效交易日数（</w:t>
            </w:r>
            <w:r>
              <w:rPr>
                <w:rFonts w:hint="eastAsia"/>
                <w:b/>
                <w:bCs/>
                <w:kern w:val="0"/>
              </w:rPr>
              <w:t>算头也算尾</w:t>
            </w:r>
            <w:r>
              <w:rPr>
                <w:rFonts w:hint="eastAsia"/>
                <w:kern w:val="0"/>
              </w:rPr>
              <w:t>）</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550"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期末权益</w:t>
            </w:r>
          </w:p>
        </w:tc>
        <w:tc>
          <w:tcPr>
            <w:tcW w:w="10081"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评测结束时的可用资金</w:t>
            </w:r>
          </w:p>
          <w:p>
            <w:pPr>
              <w:pStyle w:val="34"/>
              <w:rPr>
                <w:kern w:val="0"/>
              </w:rPr>
            </w:pPr>
            <w:r>
              <w:rPr>
                <w:rFonts w:hint="eastAsia"/>
                <w:kern w:val="0"/>
              </w:rPr>
              <w:t>（评测结束后的明细表格最后一次平仓后的可用资金）</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550"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盈亏时间比</w:t>
            </w:r>
          </w:p>
        </w:tc>
        <w:tc>
          <w:tcPr>
            <w:tcW w:w="10081"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盈利周期数</w:t>
            </w:r>
            <w:r>
              <w:rPr>
                <w:rFonts w:hint="eastAsia"/>
                <w:b/>
                <w:bCs/>
                <w:kern w:val="0"/>
              </w:rPr>
              <w:t>/</w:t>
            </w:r>
            <w:r>
              <w:rPr>
                <w:rFonts w:hint="eastAsia"/>
                <w:kern w:val="0"/>
              </w:rPr>
              <w:t>亏损周期数</w:t>
            </w:r>
          </w:p>
          <w:p>
            <w:pPr>
              <w:pStyle w:val="34"/>
              <w:rPr>
                <w:kern w:val="0"/>
              </w:rPr>
            </w:pPr>
            <w:r>
              <w:rPr>
                <w:rFonts w:hint="eastAsia"/>
                <w:kern w:val="0"/>
              </w:rPr>
              <w:t>（盈利交易跨度所有周期</w:t>
            </w:r>
            <w:r>
              <w:rPr>
                <w:rFonts w:hint="eastAsia"/>
                <w:b/>
                <w:bCs/>
                <w:kern w:val="0"/>
              </w:rPr>
              <w:t>/</w:t>
            </w:r>
            <w:r>
              <w:rPr>
                <w:rFonts w:hint="eastAsia"/>
                <w:kern w:val="0"/>
              </w:rPr>
              <w:t>亏损交易跨度所有周期）每次交易的跨度周期，记开仓k线 不计平仓k线</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550"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总盈利</w:t>
            </w:r>
          </w:p>
        </w:tc>
        <w:tc>
          <w:tcPr>
            <w:tcW w:w="10081"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绝对值，所有盈利交易盈利金额之和</w:t>
            </w:r>
          </w:p>
          <w:p>
            <w:pPr>
              <w:pStyle w:val="34"/>
              <w:rPr>
                <w:kern w:val="0"/>
              </w:rPr>
            </w:pPr>
            <w:r>
              <w:rPr>
                <w:rFonts w:hint="eastAsia"/>
                <w:kern w:val="0"/>
              </w:rPr>
              <w:t>（扣除手续费之前的，单指股票价值的收益）</w:t>
            </w:r>
          </w:p>
          <w:p>
            <w:pPr>
              <w:pStyle w:val="34"/>
              <w:ind w:firstLine="482"/>
              <w:rPr>
                <w:kern w:val="0"/>
              </w:rPr>
            </w:pPr>
            <w:r>
              <w:rPr>
                <w:rFonts w:hint="eastAsia"/>
                <w:b/>
                <w:bCs/>
                <w:kern w:val="0"/>
              </w:rPr>
              <w:t>收益列正数的和</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550"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总亏损</w:t>
            </w:r>
          </w:p>
        </w:tc>
        <w:tc>
          <w:tcPr>
            <w:tcW w:w="10081"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绝对值，所有亏损交易亏损金额之和</w:t>
            </w:r>
          </w:p>
          <w:p>
            <w:pPr>
              <w:pStyle w:val="34"/>
              <w:rPr>
                <w:kern w:val="0"/>
              </w:rPr>
            </w:pPr>
            <w:r>
              <w:rPr>
                <w:rFonts w:hint="eastAsia"/>
                <w:kern w:val="0"/>
              </w:rPr>
              <w:t>（同总盈利）</w:t>
            </w:r>
          </w:p>
          <w:p>
            <w:pPr>
              <w:pStyle w:val="34"/>
              <w:rPr>
                <w:kern w:val="0"/>
              </w:rPr>
            </w:pPr>
            <w:r>
              <w:rPr>
                <w:rFonts w:hint="eastAsia"/>
                <w:kern w:val="0"/>
              </w:rPr>
              <w:t>收益列为负的和，结果取绝对值</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550"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手续费</w:t>
            </w:r>
          </w:p>
        </w:tc>
        <w:tc>
          <w:tcPr>
            <w:tcW w:w="10081"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手续费列所有的数值之和</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550"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净利润</w:t>
            </w:r>
          </w:p>
        </w:tc>
        <w:tc>
          <w:tcPr>
            <w:tcW w:w="10081"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总盈利-总亏损-手续费</w:t>
            </w:r>
          </w:p>
          <w:p>
            <w:pPr>
              <w:pStyle w:val="34"/>
              <w:rPr>
                <w:kern w:val="0"/>
              </w:rPr>
            </w:pPr>
            <w:r>
              <w:rPr>
                <w:rFonts w:hint="eastAsia"/>
                <w:kern w:val="0"/>
              </w:rPr>
              <w:t>或（期末权益-初始资金）</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550"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年化收益</w:t>
            </w:r>
          </w:p>
        </w:tc>
        <w:tc>
          <w:tcPr>
            <w:tcW w:w="10081"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净利润</w:t>
            </w:r>
            <w:r>
              <w:rPr>
                <w:rFonts w:hint="eastAsia"/>
                <w:b/>
                <w:bCs/>
                <w:kern w:val="0"/>
              </w:rPr>
              <w:t>/</w:t>
            </w:r>
            <w:r>
              <w:rPr>
                <w:rFonts w:hint="eastAsia"/>
                <w:kern w:val="0"/>
              </w:rPr>
              <w:t>有效天数* 365</w:t>
            </w:r>
          </w:p>
          <w:p>
            <w:pPr>
              <w:pStyle w:val="34"/>
              <w:rPr>
                <w:kern w:val="0"/>
              </w:rPr>
            </w:pPr>
            <w:r>
              <w:rPr>
                <w:rFonts w:hint="eastAsia"/>
                <w:kern w:val="0"/>
              </w:rPr>
              <w:t>（如果是分钟周期的 这个那么只要取到那天的分钟k线了 那天就算在内）</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550"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收益率</w:t>
            </w:r>
          </w:p>
        </w:tc>
        <w:tc>
          <w:tcPr>
            <w:tcW w:w="10081"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净利润</w:t>
            </w:r>
            <w:r>
              <w:rPr>
                <w:rFonts w:hint="eastAsia"/>
                <w:b/>
                <w:bCs/>
                <w:kern w:val="0"/>
              </w:rPr>
              <w:t>/</w:t>
            </w:r>
            <w:r>
              <w:rPr>
                <w:rFonts w:hint="eastAsia"/>
                <w:kern w:val="0"/>
              </w:rPr>
              <w:t>初始资金*100</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550"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年化收益率</w:t>
            </w:r>
          </w:p>
        </w:tc>
        <w:tc>
          <w:tcPr>
            <w:tcW w:w="10081"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年化收益</w:t>
            </w:r>
            <w:r>
              <w:rPr>
                <w:rFonts w:hint="eastAsia"/>
                <w:b/>
                <w:bCs/>
                <w:kern w:val="0"/>
              </w:rPr>
              <w:t>/</w:t>
            </w:r>
            <w:r>
              <w:rPr>
                <w:rFonts w:hint="eastAsia"/>
                <w:kern w:val="0"/>
              </w:rPr>
              <w:t>初始资金*100</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550"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收益率</w:t>
            </w:r>
          </w:p>
        </w:tc>
        <w:tc>
          <w:tcPr>
            <w:tcW w:w="10081"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净利润</w:t>
            </w:r>
            <w:r>
              <w:rPr>
                <w:rFonts w:hint="eastAsia"/>
                <w:b/>
                <w:bCs/>
                <w:kern w:val="0"/>
              </w:rPr>
              <w:t>/</w:t>
            </w:r>
            <w:r>
              <w:rPr>
                <w:rFonts w:hint="eastAsia"/>
                <w:kern w:val="0"/>
              </w:rPr>
              <w:t>初始资金*100</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550"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相对收益率</w:t>
            </w:r>
          </w:p>
        </w:tc>
        <w:tc>
          <w:tcPr>
            <w:tcW w:w="10081"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收益率-同期沪深300指涨跌幅 </w:t>
            </w:r>
          </w:p>
          <w:p>
            <w:pPr>
              <w:pStyle w:val="34"/>
              <w:rPr>
                <w:kern w:val="0"/>
              </w:rPr>
            </w:pPr>
            <w:r>
              <w:rPr>
                <w:rFonts w:hint="eastAsia"/>
                <w:kern w:val="0"/>
              </w:rPr>
              <w:t>同期沪深300指涨跌幅=（沪深300测试期期末收盘—沪深300测试期期初收盘）</w:t>
            </w:r>
            <w:r>
              <w:rPr>
                <w:rFonts w:hint="eastAsia"/>
                <w:b/>
                <w:bCs/>
                <w:kern w:val="0"/>
              </w:rPr>
              <w:t>/</w:t>
            </w:r>
            <w:r>
              <w:rPr>
                <w:rFonts w:hint="eastAsia"/>
                <w:kern w:val="0"/>
              </w:rPr>
              <w:t>沪深300测试期期初收盘*100</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550"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相对收益率α</w:t>
            </w:r>
          </w:p>
        </w:tc>
        <w:tc>
          <w:tcPr>
            <w:tcW w:w="10081"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分别计算单次交易：收益率—同期所选参照品种涨跌幅</w:t>
            </w:r>
          </w:p>
          <w:p>
            <w:pPr>
              <w:pStyle w:val="34"/>
              <w:rPr>
                <w:kern w:val="0"/>
              </w:rPr>
            </w:pPr>
            <w:r>
              <w:rPr>
                <w:rFonts w:hint="eastAsia"/>
                <w:kern w:val="0"/>
              </w:rPr>
              <w:t>然后累加</w:t>
            </w:r>
          </w:p>
          <w:p>
            <w:pPr>
              <w:pStyle w:val="34"/>
              <w:ind w:firstLine="482"/>
              <w:rPr>
                <w:kern w:val="0"/>
              </w:rPr>
            </w:pPr>
            <w:r>
              <w:rPr>
                <w:rFonts w:hint="eastAsia"/>
                <w:b/>
                <w:bCs/>
                <w:kern w:val="0"/>
              </w:rPr>
              <w:t>比如第一次交易8.2号开仓平仓是8.26号如果8.2相对于8.26号是ref(c,16) 那么同期所选参照品种涨跌幅就是这个品种8.26收盘相对于8.2号的收盘的涨跌幅 </w:t>
            </w:r>
          </w:p>
          <w:p>
            <w:pPr>
              <w:pStyle w:val="34"/>
              <w:rPr>
                <w:kern w:val="0"/>
              </w:rPr>
            </w:pPr>
            <w:r>
              <w:rPr>
                <w:rFonts w:hint="eastAsia"/>
                <w:kern w:val="0"/>
              </w:rPr>
              <w:t>收益率是</w:t>
            </w:r>
            <w:r>
              <w:rPr>
                <w:rFonts w:hint="eastAsia"/>
                <w:b/>
                <w:bCs/>
                <w:kern w:val="0"/>
              </w:rPr>
              <w:t>当次交易的收益率</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550"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相对收益率β</w:t>
            </w:r>
          </w:p>
        </w:tc>
        <w:tc>
          <w:tcPr>
            <w:tcW w:w="10081"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评测完成后计算整体评测时间段：</w:t>
            </w:r>
          </w:p>
          <w:p>
            <w:pPr>
              <w:pStyle w:val="34"/>
              <w:rPr>
                <w:kern w:val="0"/>
              </w:rPr>
            </w:pPr>
            <w:r>
              <w:rPr>
                <w:rFonts w:hint="eastAsia"/>
                <w:kern w:val="0"/>
              </w:rPr>
              <w:t>收益率—同期所选参照品种涨跌幅</w:t>
            </w:r>
          </w:p>
          <w:p>
            <w:pPr>
              <w:pStyle w:val="34"/>
              <w:ind w:firstLine="482"/>
              <w:rPr>
                <w:kern w:val="0"/>
              </w:rPr>
            </w:pPr>
            <w:r>
              <w:rPr>
                <w:rFonts w:hint="eastAsia"/>
                <w:b/>
                <w:bCs/>
                <w:kern w:val="0"/>
              </w:rPr>
              <w:t>同期所选参照品种涨跌幅比如评测时间是0730-1018 那么计算的是这两日的相对涨幅 </w:t>
            </w:r>
          </w:p>
          <w:p>
            <w:pPr>
              <w:pStyle w:val="34"/>
              <w:ind w:firstLine="482"/>
              <w:rPr>
                <w:kern w:val="0"/>
              </w:rPr>
            </w:pPr>
            <w:r>
              <w:rPr>
                <w:rFonts w:hint="eastAsia"/>
                <w:b/>
                <w:bCs/>
                <w:kern w:val="0"/>
              </w:rPr>
              <w:t>收益率是收益率（相对于初始资金的不是交易收益率 ）</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550"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交易量</w:t>
            </w:r>
          </w:p>
        </w:tc>
        <w:tc>
          <w:tcPr>
            <w:tcW w:w="10081"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股票来说交易量单位为股：交易量=交易量列的和/2 （有买有卖）</w:t>
            </w:r>
          </w:p>
          <w:p>
            <w:pPr>
              <w:pStyle w:val="34"/>
              <w:rPr>
                <w:kern w:val="0"/>
              </w:rPr>
            </w:pPr>
            <w:r>
              <w:rPr>
                <w:rFonts w:hint="eastAsia"/>
                <w:kern w:val="0"/>
              </w:rPr>
              <w:t>对于期货来说分多空方向 多方向交易量就是多开仓多平仓的列的量的和</w:t>
            </w:r>
            <w:r>
              <w:rPr>
                <w:rFonts w:hint="eastAsia"/>
                <w:b/>
                <w:bCs/>
                <w:kern w:val="0"/>
              </w:rPr>
              <w:t>/</w:t>
            </w:r>
            <w:r>
              <w:rPr>
                <w:rFonts w:hint="eastAsia"/>
                <w:kern w:val="0"/>
              </w:rPr>
              <w:t>2</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550"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盈利量(股or手)</w:t>
            </w:r>
          </w:p>
        </w:tc>
        <w:tc>
          <w:tcPr>
            <w:tcW w:w="10081"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盈利的每次交易过程中涉及的成交量累加（买卖 开平仓记单边）</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550"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亏损量(股or手)</w:t>
            </w:r>
          </w:p>
        </w:tc>
        <w:tc>
          <w:tcPr>
            <w:tcW w:w="10081"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亏损的每次交易过程中涉及的成交量累加（买卖 开平仓记单边）</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550"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交易次数</w:t>
            </w:r>
          </w:p>
        </w:tc>
        <w:tc>
          <w:tcPr>
            <w:tcW w:w="10081"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整个策略过程中进行交易的次数（多空头分别统计交易次数）</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550"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胜率</w:t>
            </w:r>
          </w:p>
        </w:tc>
        <w:tc>
          <w:tcPr>
            <w:tcW w:w="10081"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盈利交易次数/总交易次数</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550"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最大回撤比</w:t>
            </w:r>
          </w:p>
        </w:tc>
        <w:tc>
          <w:tcPr>
            <w:tcW w:w="10081"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最大回撤</w:t>
            </w:r>
            <w:r>
              <w:rPr>
                <w:rFonts w:hint="eastAsia"/>
                <w:b/>
                <w:bCs/>
                <w:kern w:val="0"/>
              </w:rPr>
              <w:t>/</w:t>
            </w:r>
            <w:r>
              <w:rPr>
                <w:rFonts w:hint="eastAsia"/>
                <w:kern w:val="0"/>
              </w:rPr>
              <w:t>最大回撤期间期初高点可用资金*100</w:t>
            </w:r>
          </w:p>
          <w:p>
            <w:pPr>
              <w:pStyle w:val="34"/>
              <w:rPr>
                <w:kern w:val="0"/>
              </w:rPr>
            </w:pPr>
            <w:r>
              <w:rPr>
                <w:rFonts w:hint="eastAsia"/>
                <w:kern w:val="0"/>
              </w:rPr>
              <w:t>从测试开始到结束，资金曲线从高点到低点回撤比的最大值； </w:t>
            </w:r>
          </w:p>
          <w:p>
            <w:pPr>
              <w:pStyle w:val="34"/>
              <w:rPr>
                <w:kern w:val="0"/>
              </w:rPr>
            </w:pPr>
            <w:r>
              <w:rPr>
                <w:rFonts w:hint="eastAsia"/>
                <w:kern w:val="0"/>
              </w:rPr>
              <w:t>回撤比=（前期高点-低点）/前期高点</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550"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最大回撤</w:t>
            </w:r>
          </w:p>
        </w:tc>
        <w:tc>
          <w:tcPr>
            <w:tcW w:w="10081"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测试期间交易中可用资金下降过程的最大的降幅（前期高点 - 低点）（连续下降统计在一个下降阶段）资金曲线图中最大回测就是</w:t>
            </w:r>
            <w:r>
              <w:rPr>
                <w:rFonts w:hint="eastAsia"/>
                <w:b/>
                <w:bCs/>
                <w:kern w:val="0"/>
              </w:rPr>
              <w:t>AB段</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550"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最大回撤开始时间</w:t>
            </w:r>
          </w:p>
        </w:tc>
        <w:tc>
          <w:tcPr>
            <w:tcW w:w="10081"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可用资金下降最多的阶段的起始日期（是否仍在下降回撤看每次平仓后的可用资金）</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550"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最大回撤结束时间</w:t>
            </w:r>
          </w:p>
        </w:tc>
        <w:tc>
          <w:tcPr>
            <w:tcW w:w="10081"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可用资金下降最多的阶段的结束日期（判断回撤还是上升对比的是可用资金）</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550"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 </w:t>
            </w:r>
          </w:p>
        </w:tc>
        <w:tc>
          <w:tcPr>
            <w:tcW w:w="10081"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 </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550"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平均利润</w:t>
            </w:r>
          </w:p>
        </w:tc>
        <w:tc>
          <w:tcPr>
            <w:tcW w:w="10081"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净利润</w:t>
            </w:r>
            <w:r>
              <w:rPr>
                <w:rFonts w:hint="eastAsia"/>
                <w:b/>
                <w:bCs/>
                <w:kern w:val="0"/>
              </w:rPr>
              <w:t>/</w:t>
            </w:r>
            <w:r>
              <w:rPr>
                <w:rFonts w:hint="eastAsia"/>
                <w:kern w:val="0"/>
              </w:rPr>
              <w:t>交易量（期货的话多头空头分开统计计算）</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550"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平均盈利</w:t>
            </w:r>
          </w:p>
        </w:tc>
        <w:tc>
          <w:tcPr>
            <w:tcW w:w="10081"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总盈利</w:t>
            </w:r>
            <w:r>
              <w:rPr>
                <w:rFonts w:hint="eastAsia"/>
                <w:b/>
                <w:bCs/>
                <w:kern w:val="0"/>
              </w:rPr>
              <w:t>/</w:t>
            </w:r>
            <w:r>
              <w:rPr>
                <w:rFonts w:hint="eastAsia"/>
                <w:kern w:val="0"/>
              </w:rPr>
              <w:t>盈利量（盈利交易涉及的交易量 买卖统计单边，总盈利是指所有盈利交易的收益的和）</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550"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平均亏损</w:t>
            </w:r>
          </w:p>
        </w:tc>
        <w:tc>
          <w:tcPr>
            <w:tcW w:w="10081"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总亏损</w:t>
            </w:r>
            <w:r>
              <w:rPr>
                <w:rFonts w:hint="eastAsia"/>
                <w:b/>
                <w:bCs/>
                <w:kern w:val="0"/>
              </w:rPr>
              <w:t>/</w:t>
            </w:r>
            <w:r>
              <w:rPr>
                <w:rFonts w:hint="eastAsia"/>
                <w:kern w:val="0"/>
              </w:rPr>
              <w:t>亏损量（亏损交易涉及的交易量 买卖统计单边，总亏损是指所有亏损交易的亏损的和）</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550"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平均盈利与平均亏损比例</w:t>
            </w:r>
          </w:p>
        </w:tc>
        <w:tc>
          <w:tcPr>
            <w:tcW w:w="10081"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平均盈利</w:t>
            </w:r>
            <w:r>
              <w:rPr>
                <w:rFonts w:hint="eastAsia"/>
                <w:b/>
                <w:bCs/>
                <w:kern w:val="0"/>
              </w:rPr>
              <w:t>/</w:t>
            </w:r>
            <w:r>
              <w:rPr>
                <w:rFonts w:hint="eastAsia"/>
                <w:kern w:val="0"/>
              </w:rPr>
              <w:t>平均亏损</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550"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盈利系数</w:t>
            </w:r>
          </w:p>
        </w:tc>
        <w:tc>
          <w:tcPr>
            <w:tcW w:w="10081"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（盈利次数-亏损次数）/交易次数</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550"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亏损比率</w:t>
            </w:r>
          </w:p>
        </w:tc>
        <w:tc>
          <w:tcPr>
            <w:tcW w:w="10081"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亏损次数</w:t>
            </w:r>
            <w:r>
              <w:rPr>
                <w:rFonts w:hint="eastAsia"/>
                <w:b/>
                <w:bCs/>
                <w:kern w:val="0"/>
              </w:rPr>
              <w:t>/</w:t>
            </w:r>
            <w:r>
              <w:rPr>
                <w:rFonts w:hint="eastAsia"/>
                <w:kern w:val="0"/>
              </w:rPr>
              <w:t>交易次数</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550"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盈利次数</w:t>
            </w:r>
          </w:p>
        </w:tc>
        <w:tc>
          <w:tcPr>
            <w:tcW w:w="10081"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收益为正的交易的次数</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550"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亏损次数</w:t>
            </w:r>
          </w:p>
        </w:tc>
        <w:tc>
          <w:tcPr>
            <w:tcW w:w="10081"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收益为负的交易的次数</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550"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盈亏次数比</w:t>
            </w:r>
          </w:p>
        </w:tc>
        <w:tc>
          <w:tcPr>
            <w:tcW w:w="10081"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盈利次数</w:t>
            </w:r>
            <w:r>
              <w:rPr>
                <w:rFonts w:hint="eastAsia"/>
                <w:b/>
                <w:bCs/>
                <w:kern w:val="0"/>
              </w:rPr>
              <w:t>/</w:t>
            </w:r>
            <w:r>
              <w:rPr>
                <w:rFonts w:hint="eastAsia"/>
                <w:kern w:val="0"/>
              </w:rPr>
              <w:t>亏损次数</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550"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总盈利/总亏损</w:t>
            </w:r>
          </w:p>
        </w:tc>
        <w:tc>
          <w:tcPr>
            <w:tcW w:w="10081"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（收益列数据处理）盈利交易的收益和</w:t>
            </w:r>
            <w:r>
              <w:rPr>
                <w:rFonts w:hint="eastAsia"/>
                <w:b/>
                <w:bCs/>
                <w:kern w:val="0"/>
              </w:rPr>
              <w:t>/</w:t>
            </w:r>
            <w:r>
              <w:rPr>
                <w:rFonts w:hint="eastAsia"/>
                <w:kern w:val="0"/>
              </w:rPr>
              <w:t>亏损交易的收益和</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550"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最大持续盈利次数</w:t>
            </w:r>
          </w:p>
        </w:tc>
        <w:tc>
          <w:tcPr>
            <w:tcW w:w="10081"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所有交易过程中连续盈利交易次数（以收益为正为负判断是盈利交易还是亏损交易）</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550"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最大持续亏损次数</w:t>
            </w:r>
          </w:p>
        </w:tc>
        <w:tc>
          <w:tcPr>
            <w:tcW w:w="10081"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所有交易过程中连续盈利交易次数（以收益为正为负判断是盈利交易还是亏损交易）</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550"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最大盈利</w:t>
            </w:r>
          </w:p>
        </w:tc>
        <w:tc>
          <w:tcPr>
            <w:tcW w:w="10081"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总交易次数中，单次交易收益为正且数值最大的那次交易的收益</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550"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最大亏损</w:t>
            </w:r>
          </w:p>
        </w:tc>
        <w:tc>
          <w:tcPr>
            <w:tcW w:w="10081"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总交易次数中，单次交易收益为负且数值最大的那笔交易的收益绝对值</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550"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最大盈利</w:t>
            </w:r>
            <w:r>
              <w:rPr>
                <w:rFonts w:hint="eastAsia"/>
                <w:b/>
                <w:bCs/>
                <w:kern w:val="0"/>
              </w:rPr>
              <w:t>/</w:t>
            </w:r>
            <w:r>
              <w:rPr>
                <w:rFonts w:hint="eastAsia"/>
                <w:kern w:val="0"/>
              </w:rPr>
              <w:t>总盈利</w:t>
            </w:r>
          </w:p>
        </w:tc>
        <w:tc>
          <w:tcPr>
            <w:tcW w:w="10081"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最大盈利和总盈利的比值（总盈利所有盈利交易的收益和）</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550"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最大亏损</w:t>
            </w:r>
            <w:r>
              <w:rPr>
                <w:rFonts w:hint="eastAsia"/>
                <w:b/>
                <w:bCs/>
                <w:kern w:val="0"/>
              </w:rPr>
              <w:t>/</w:t>
            </w:r>
            <w:r>
              <w:rPr>
                <w:rFonts w:hint="eastAsia"/>
                <w:kern w:val="0"/>
              </w:rPr>
              <w:t>总亏损</w:t>
            </w:r>
          </w:p>
        </w:tc>
        <w:tc>
          <w:tcPr>
            <w:tcW w:w="10081"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最大亏损和总亏损的比值（总盈利所有盈利交易的收益和）</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550"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净利润</w:t>
            </w:r>
            <w:r>
              <w:rPr>
                <w:rFonts w:hint="eastAsia"/>
                <w:b/>
                <w:bCs/>
                <w:kern w:val="0"/>
              </w:rPr>
              <w:t>/</w:t>
            </w:r>
            <w:r>
              <w:rPr>
                <w:rFonts w:hint="eastAsia"/>
                <w:kern w:val="0"/>
              </w:rPr>
              <w:t>最大亏损</w:t>
            </w:r>
          </w:p>
        </w:tc>
        <w:tc>
          <w:tcPr>
            <w:tcW w:w="10081"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净利润值</w:t>
            </w:r>
            <w:r>
              <w:rPr>
                <w:rFonts w:hint="eastAsia"/>
                <w:b/>
                <w:bCs/>
                <w:kern w:val="0"/>
              </w:rPr>
              <w:t>/</w:t>
            </w:r>
            <w:r>
              <w:rPr>
                <w:rFonts w:hint="eastAsia"/>
                <w:kern w:val="0"/>
              </w:rPr>
              <w:t>最大亏损的值（净利润为收益扣除手续费）</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550"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 </w:t>
            </w:r>
          </w:p>
        </w:tc>
        <w:tc>
          <w:tcPr>
            <w:tcW w:w="10081"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 </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550"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区间涨幅</w:t>
            </w:r>
          </w:p>
        </w:tc>
        <w:tc>
          <w:tcPr>
            <w:tcW w:w="10081"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评测时间段内该品种的涨跌幅和涨跌比率 </w:t>
            </w:r>
          </w:p>
          <w:p>
            <w:pPr>
              <w:pStyle w:val="34"/>
              <w:rPr>
                <w:kern w:val="0"/>
              </w:rPr>
            </w:pPr>
            <w:r>
              <w:rPr>
                <w:rFonts w:hint="eastAsia"/>
                <w:kern w:val="0"/>
              </w:rPr>
              <w:t>（当前品种测试期期末收盘—当前品种测试期期初收盘）</w:t>
            </w:r>
            <w:r>
              <w:rPr>
                <w:rFonts w:hint="eastAsia"/>
                <w:b/>
                <w:bCs/>
                <w:kern w:val="0"/>
              </w:rPr>
              <w:t>/</w:t>
            </w:r>
            <w:r>
              <w:rPr>
                <w:rFonts w:hint="eastAsia"/>
                <w:kern w:val="0"/>
              </w:rPr>
              <w:t>当前品种测试期期初收盘*100</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550"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成交额</w:t>
            </w:r>
          </w:p>
        </w:tc>
        <w:tc>
          <w:tcPr>
            <w:tcW w:w="10081"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当前品种交易明细中的所有成交金额列的和</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550"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手续费</w:t>
            </w:r>
          </w:p>
        </w:tc>
        <w:tc>
          <w:tcPr>
            <w:tcW w:w="10081"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当前品种交易明细中所有手续费列的和</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550"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手续费率</w:t>
            </w:r>
          </w:p>
        </w:tc>
        <w:tc>
          <w:tcPr>
            <w:tcW w:w="10081"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手续费</w:t>
            </w:r>
            <w:r>
              <w:rPr>
                <w:rFonts w:hint="eastAsia"/>
                <w:b/>
                <w:bCs/>
                <w:kern w:val="0"/>
              </w:rPr>
              <w:t>/</w:t>
            </w:r>
            <w:r>
              <w:rPr>
                <w:rFonts w:hint="eastAsia"/>
                <w:kern w:val="0"/>
              </w:rPr>
              <w:t>成交额*100</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550"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最大持仓量</w:t>
            </w:r>
          </w:p>
        </w:tc>
        <w:tc>
          <w:tcPr>
            <w:tcW w:w="10081"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每次交易过程中持仓量最大的那次交易的交易量</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550"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持仓周期数</w:t>
            </w:r>
          </w:p>
        </w:tc>
        <w:tc>
          <w:tcPr>
            <w:tcW w:w="10081"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持仓量不为空的周期数之和，一次交易中当天买的那个周期算，当天卖出的那个k线不算（每次交易周期数=每次交易过程买卖整个区间跨度的k线-1  算头不算尾）</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550"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持仓周期比率</w:t>
            </w:r>
          </w:p>
        </w:tc>
        <w:tc>
          <w:tcPr>
            <w:tcW w:w="10081"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持仓周期数</w:t>
            </w:r>
            <w:r>
              <w:rPr>
                <w:rFonts w:hint="eastAsia"/>
                <w:b/>
                <w:bCs/>
                <w:kern w:val="0"/>
              </w:rPr>
              <w:t>/</w:t>
            </w:r>
            <w:r>
              <w:rPr>
                <w:rFonts w:hint="eastAsia"/>
                <w:kern w:val="0"/>
              </w:rPr>
              <w:t>评测周期数*100%</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550"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最大连续持仓周期数</w:t>
            </w:r>
          </w:p>
        </w:tc>
        <w:tc>
          <w:tcPr>
            <w:tcW w:w="10081"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持仓量不为空的连续周期的个数最大的那次交易经历的k线数</w:t>
            </w:r>
          </w:p>
          <w:p>
            <w:pPr>
              <w:pStyle w:val="34"/>
              <w:rPr>
                <w:kern w:val="0"/>
              </w:rPr>
            </w:pPr>
            <w:r>
              <w:rPr>
                <w:rFonts w:hint="eastAsia"/>
                <w:kern w:val="0"/>
              </w:rPr>
              <w:t>（如果设置了平仓规则是N个周期后平仓的，这个地方的值不会大于N）</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550"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MAR比率</w:t>
            </w:r>
          </w:p>
        </w:tc>
        <w:tc>
          <w:tcPr>
            <w:tcW w:w="10081"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年化收益率</w:t>
            </w:r>
            <w:r>
              <w:rPr>
                <w:rFonts w:hint="eastAsia"/>
                <w:b/>
                <w:bCs/>
                <w:kern w:val="0"/>
              </w:rPr>
              <w:t>/</w:t>
            </w:r>
            <w:r>
              <w:rPr>
                <w:rFonts w:hint="eastAsia"/>
                <w:kern w:val="0"/>
              </w:rPr>
              <w:t>最大回撤比</w:t>
            </w:r>
          </w:p>
          <w:p>
            <w:pPr>
              <w:pStyle w:val="34"/>
              <w:rPr>
                <w:kern w:val="0"/>
              </w:rPr>
            </w:pPr>
            <w:r>
              <w:rPr>
                <w:rFonts w:hint="eastAsia"/>
                <w:kern w:val="0"/>
              </w:rPr>
              <w:t>（   因为最大回撤比是做了四色五入处理 所以最好是</w:t>
            </w:r>
          </w:p>
          <w:p>
            <w:pPr>
              <w:pStyle w:val="34"/>
              <w:rPr>
                <w:kern w:val="0"/>
              </w:rPr>
            </w:pPr>
            <w:r>
              <w:rPr>
                <w:rFonts w:hint="eastAsia"/>
                <w:kern w:val="0"/>
              </w:rPr>
              <w:t>MAR=年化收益率</w:t>
            </w:r>
            <w:r>
              <w:rPr>
                <w:rFonts w:hint="eastAsia"/>
                <w:b/>
                <w:bCs/>
                <w:kern w:val="0"/>
              </w:rPr>
              <w:t>/</w:t>
            </w:r>
            <w:r>
              <w:rPr>
                <w:rFonts w:hint="eastAsia"/>
                <w:kern w:val="0"/>
              </w:rPr>
              <w:t>（最大回撤</w:t>
            </w:r>
            <w:r>
              <w:rPr>
                <w:rFonts w:hint="eastAsia"/>
                <w:b/>
                <w:bCs/>
                <w:kern w:val="0"/>
              </w:rPr>
              <w:t>/</w:t>
            </w:r>
            <w:r>
              <w:rPr>
                <w:rFonts w:hint="eastAsia"/>
                <w:kern w:val="0"/>
              </w:rPr>
              <w:t>回撤前期高点）  ）</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550"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年化波动率</w:t>
            </w:r>
          </w:p>
        </w:tc>
        <w:tc>
          <w:tcPr>
            <w:tcW w:w="10081"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kern w:val="0"/>
              </w:rPr>
              <w:fldChar w:fldCharType="begin"/>
            </w:r>
            <w:r>
              <w:rPr>
                <w:kern w:val="0"/>
              </w:rPr>
              <w:instrText xml:space="preserve"> INCLUDEPICTURE  "https://www.tdx.com.cn/products/helpfile/tdxw/chm/%E7%AC%AC%E4%B8%89%E7%AB%A0  %E7%89%88%E9%9D%A2%E5%92%8C%E5%85%AC%E5%BC%8F/3-2/3-2-4/%E6%A8%A1%E7%89%88_clip_image028.gif" \* MERGEFORMATINET </w:instrText>
            </w:r>
            <w:r>
              <w:rPr>
                <w:kern w:val="0"/>
              </w:rPr>
              <w:fldChar w:fldCharType="separate"/>
            </w:r>
            <w:r>
              <w:rPr>
                <w:kern w:val="0"/>
              </w:rPr>
              <w:fldChar w:fldCharType="begin"/>
            </w:r>
            <w:r>
              <w:rPr>
                <w:kern w:val="0"/>
              </w:rPr>
              <w:instrText xml:space="preserve"> INCLUDEPICTURE  "https://www.tdx.com.cn/products/helpfile/tdxw/chm/%E7%AC%AC%E4%B8%89%E7%AB%A0  %E7%89%88%E9%9D%A2%E5%92%8C%E5%85%AC%E5%BC%8F/3-2/3-2-4/%E6%A8%A1%E7%89%88_clip_image028.gif" \* MERGEFORMATINET </w:instrText>
            </w:r>
            <w:r>
              <w:rPr>
                <w:kern w:val="0"/>
              </w:rPr>
              <w:fldChar w:fldCharType="separate"/>
            </w:r>
            <w:r>
              <w:rPr>
                <w:kern w:val="0"/>
              </w:rPr>
              <w:fldChar w:fldCharType="begin"/>
            </w:r>
            <w:r>
              <w:rPr>
                <w:kern w:val="0"/>
              </w:rPr>
              <w:instrText xml:space="preserve"> INCLUDEPICTURE  "https://www.tdx.com.cn/products/helpfile/tdxw/chm/%E7%AC%AC%E4%B8%89%E7%AB%A0  %E7%89%88%E9%9D%A2%E5%92%8C%E5%85%AC%E5%BC%8F/3-2/3-2-4/%E6%A8%A1%E7%89%88_clip_image028.gif" \* MERGEFORMATINET </w:instrText>
            </w:r>
            <w:r>
              <w:rPr>
                <w:kern w:val="0"/>
              </w:rPr>
              <w:fldChar w:fldCharType="separate"/>
            </w:r>
            <w:r>
              <w:rPr>
                <w:kern w:val="0"/>
              </w:rPr>
              <w:fldChar w:fldCharType="begin"/>
            </w:r>
            <w:r>
              <w:rPr>
                <w:kern w:val="0"/>
              </w:rPr>
              <w:instrText xml:space="preserve"> INCLUDEPICTURE  "https://www.tdx.com.cn/products/helpfile/tdxw/chm/%E7%AC%AC%E4%B8%89%E7%AB%A0  %E7%89%88%E9%9D%A2%E5%92%8C%E5%85%AC%E5%BC%8F/3-2/3-2-4/%E6%A8%A1%E7%89%88_clip_image028.gif" \* MERGEFORMATINET </w:instrText>
            </w:r>
            <w:r>
              <w:rPr>
                <w:kern w:val="0"/>
              </w:rPr>
              <w:fldChar w:fldCharType="separate"/>
            </w:r>
            <w:r>
              <w:rPr>
                <w:kern w:val="0"/>
              </w:rPr>
              <w:drawing>
                <wp:inline distT="0" distB="0" distL="114300" distR="114300">
                  <wp:extent cx="981075" cy="657225"/>
                  <wp:effectExtent l="0" t="0" r="9525" b="8890"/>
                  <wp:docPr id="274" name="图片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274"/>
                          <pic:cNvPicPr>
                            <a:picLocks noChangeAspect="1"/>
                          </pic:cNvPicPr>
                        </pic:nvPicPr>
                        <pic:blipFill>
                          <a:blip r:embed="rId515" r:link="rId516"/>
                          <a:stretch>
                            <a:fillRect/>
                          </a:stretch>
                        </pic:blipFill>
                        <pic:spPr>
                          <a:xfrm>
                            <a:off x="0" y="0"/>
                            <a:ext cx="981075" cy="657225"/>
                          </a:xfrm>
                          <a:prstGeom prst="rect">
                            <a:avLst/>
                          </a:prstGeom>
                          <a:noFill/>
                          <a:ln>
                            <a:noFill/>
                          </a:ln>
                        </pic:spPr>
                      </pic:pic>
                    </a:graphicData>
                  </a:graphic>
                </wp:inline>
              </w:drawing>
            </w:r>
            <w:r>
              <w:rPr>
                <w:kern w:val="0"/>
              </w:rPr>
              <w:fldChar w:fldCharType="end"/>
            </w:r>
            <w:r>
              <w:rPr>
                <w:kern w:val="0"/>
              </w:rPr>
              <w:fldChar w:fldCharType="end"/>
            </w:r>
            <w:r>
              <w:rPr>
                <w:kern w:val="0"/>
              </w:rPr>
              <w:fldChar w:fldCharType="end"/>
            </w:r>
            <w:r>
              <w:rPr>
                <w:kern w:val="0"/>
              </w:rPr>
              <w:fldChar w:fldCharType="end"/>
            </w:r>
            <w:r>
              <w:rPr>
                <w:rFonts w:hint="eastAsia"/>
                <w:kern w:val="0"/>
              </w:rPr>
              <w:t>  ，</w:t>
            </w:r>
            <w:r>
              <w:rPr>
                <w:kern w:val="0"/>
              </w:rPr>
              <w:fldChar w:fldCharType="begin"/>
            </w:r>
            <w:r>
              <w:rPr>
                <w:kern w:val="0"/>
              </w:rPr>
              <w:instrText xml:space="preserve"> INCLUDEPICTURE  "https://www.tdx.com.cn/products/helpfile/tdxw/chm/%E7%AC%AC%E4%B8%89%E7%AB%A0  %E7%89%88%E9%9D%A2%E5%92%8C%E5%85%AC%E5%BC%8F/3-2/3-2-4/%E6%A8%A1%E7%89%88_clip_image030.gif" \* MERGEFORMATINET </w:instrText>
            </w:r>
            <w:r>
              <w:rPr>
                <w:kern w:val="0"/>
              </w:rPr>
              <w:fldChar w:fldCharType="separate"/>
            </w:r>
            <w:r>
              <w:rPr>
                <w:kern w:val="0"/>
              </w:rPr>
              <w:fldChar w:fldCharType="begin"/>
            </w:r>
            <w:r>
              <w:rPr>
                <w:kern w:val="0"/>
              </w:rPr>
              <w:instrText xml:space="preserve"> INCLUDEPICTURE  "https://www.tdx.com.cn/products/helpfile/tdxw/chm/%E7%AC%AC%E4%B8%89%E7%AB%A0  %E7%89%88%E9%9D%A2%E5%92%8C%E5%85%AC%E5%BC%8F/3-2/3-2-4/%E6%A8%A1%E7%89%88_clip_image030.gif" \* MERGEFORMATINET </w:instrText>
            </w:r>
            <w:r>
              <w:rPr>
                <w:kern w:val="0"/>
              </w:rPr>
              <w:fldChar w:fldCharType="separate"/>
            </w:r>
            <w:r>
              <w:rPr>
                <w:kern w:val="0"/>
              </w:rPr>
              <w:fldChar w:fldCharType="begin"/>
            </w:r>
            <w:r>
              <w:rPr>
                <w:kern w:val="0"/>
              </w:rPr>
              <w:instrText xml:space="preserve"> INCLUDEPICTURE  "https://www.tdx.com.cn/products/helpfile/tdxw/chm/%E7%AC%AC%E4%B8%89%E7%AB%A0  %E7%89%88%E9%9D%A2%E5%92%8C%E5%85%AC%E5%BC%8F/3-2/3-2-4/%E6%A8%A1%E7%89%88_clip_image030.gif" \* MERGEFORMATINET </w:instrText>
            </w:r>
            <w:r>
              <w:rPr>
                <w:kern w:val="0"/>
              </w:rPr>
              <w:fldChar w:fldCharType="separate"/>
            </w:r>
            <w:r>
              <w:rPr>
                <w:kern w:val="0"/>
              </w:rPr>
              <w:fldChar w:fldCharType="begin"/>
            </w:r>
            <w:r>
              <w:rPr>
                <w:kern w:val="0"/>
              </w:rPr>
              <w:instrText xml:space="preserve"> INCLUDEPICTURE  "https://www.tdx.com.cn/products/helpfile/tdxw/chm/%E7%AC%AC%E4%B8%89%E7%AB%A0  %E7%89%88%E9%9D%A2%E5%92%8C%E5%85%AC%E5%BC%8F/3-2/3-2-4/%E6%A8%A1%E7%89%88_clip_image030.gif" \* MERGEFORMATINET </w:instrText>
            </w:r>
            <w:r>
              <w:rPr>
                <w:kern w:val="0"/>
              </w:rPr>
              <w:fldChar w:fldCharType="separate"/>
            </w:r>
            <w:r>
              <w:rPr>
                <w:kern w:val="0"/>
              </w:rPr>
              <w:drawing>
                <wp:inline distT="0" distB="0" distL="114300" distR="114300">
                  <wp:extent cx="800100" cy="428625"/>
                  <wp:effectExtent l="0" t="0" r="0" b="8890"/>
                  <wp:docPr id="275" name="图片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275"/>
                          <pic:cNvPicPr>
                            <a:picLocks noChangeAspect="1"/>
                          </pic:cNvPicPr>
                        </pic:nvPicPr>
                        <pic:blipFill>
                          <a:blip r:embed="rId517" r:link="rId518"/>
                          <a:stretch>
                            <a:fillRect/>
                          </a:stretch>
                        </pic:blipFill>
                        <pic:spPr>
                          <a:xfrm>
                            <a:off x="0" y="0"/>
                            <a:ext cx="800100" cy="428625"/>
                          </a:xfrm>
                          <a:prstGeom prst="rect">
                            <a:avLst/>
                          </a:prstGeom>
                          <a:noFill/>
                          <a:ln>
                            <a:noFill/>
                          </a:ln>
                        </pic:spPr>
                      </pic:pic>
                    </a:graphicData>
                  </a:graphic>
                </wp:inline>
              </w:drawing>
            </w:r>
            <w:r>
              <w:rPr>
                <w:kern w:val="0"/>
              </w:rPr>
              <w:fldChar w:fldCharType="end"/>
            </w:r>
            <w:r>
              <w:rPr>
                <w:kern w:val="0"/>
              </w:rPr>
              <w:fldChar w:fldCharType="end"/>
            </w:r>
            <w:r>
              <w:rPr>
                <w:kern w:val="0"/>
              </w:rPr>
              <w:fldChar w:fldCharType="end"/>
            </w:r>
            <w:r>
              <w:rPr>
                <w:kern w:val="0"/>
              </w:rPr>
              <w:fldChar w:fldCharType="end"/>
            </w:r>
          </w:p>
          <w:p>
            <w:pPr>
              <w:pStyle w:val="34"/>
              <w:rPr>
                <w:kern w:val="0"/>
              </w:rPr>
            </w:pPr>
            <w:r>
              <w:rPr>
                <w:rFonts w:hint="eastAsia"/>
                <w:kern w:val="0"/>
              </w:rPr>
              <w:t>其中</w:t>
            </w:r>
            <w:r>
              <w:rPr>
                <w:kern w:val="0"/>
              </w:rPr>
              <w:fldChar w:fldCharType="begin"/>
            </w:r>
            <w:r>
              <w:rPr>
                <w:kern w:val="0"/>
              </w:rPr>
              <w:instrText xml:space="preserve"> INCLUDEPICTURE  "https://www.tdx.com.cn/products/helpfile/tdxw/chm/%E7%AC%AC%E4%B8%89%E7%AB%A0  %E7%89%88%E9%9D%A2%E5%92%8C%E5%85%AC%E5%BC%8F/3-2/3-2-4/%E6%A8%A1%E7%89%88_clip_image032.gif" \* MERGEFORMATINET </w:instrText>
            </w:r>
            <w:r>
              <w:rPr>
                <w:kern w:val="0"/>
              </w:rPr>
              <w:fldChar w:fldCharType="separate"/>
            </w:r>
            <w:r>
              <w:rPr>
                <w:kern w:val="0"/>
              </w:rPr>
              <w:fldChar w:fldCharType="begin"/>
            </w:r>
            <w:r>
              <w:rPr>
                <w:kern w:val="0"/>
              </w:rPr>
              <w:instrText xml:space="preserve"> INCLUDEPICTURE  "https://www.tdx.com.cn/products/helpfile/tdxw/chm/%E7%AC%AC%E4%B8%89%E7%AB%A0  %E7%89%88%E9%9D%A2%E5%92%8C%E5%85%AC%E5%BC%8F/3-2/3-2-4/%E6%A8%A1%E7%89%88_clip_image032.gif" \* MERGEFORMATINET </w:instrText>
            </w:r>
            <w:r>
              <w:rPr>
                <w:kern w:val="0"/>
              </w:rPr>
              <w:fldChar w:fldCharType="separate"/>
            </w:r>
            <w:r>
              <w:rPr>
                <w:kern w:val="0"/>
              </w:rPr>
              <w:fldChar w:fldCharType="begin"/>
            </w:r>
            <w:r>
              <w:rPr>
                <w:kern w:val="0"/>
              </w:rPr>
              <w:instrText xml:space="preserve"> INCLUDEPICTURE  "https://www.tdx.com.cn/products/helpfile/tdxw/chm/%E7%AC%AC%E4%B8%89%E7%AB%A0  %E7%89%88%E9%9D%A2%E5%92%8C%E5%85%AC%E5%BC%8F/3-2/3-2-4/%E6%A8%A1%E7%89%88_clip_image032.gif" \* MERGEFORMATINET </w:instrText>
            </w:r>
            <w:r>
              <w:rPr>
                <w:kern w:val="0"/>
              </w:rPr>
              <w:fldChar w:fldCharType="separate"/>
            </w:r>
            <w:r>
              <w:rPr>
                <w:kern w:val="0"/>
              </w:rPr>
              <w:fldChar w:fldCharType="begin"/>
            </w:r>
            <w:r>
              <w:rPr>
                <w:kern w:val="0"/>
              </w:rPr>
              <w:instrText xml:space="preserve"> INCLUDEPICTURE  "https://www.tdx.com.cn/products/helpfile/tdxw/chm/%E7%AC%AC%E4%B8%89%E7%AB%A0  %E7%89%88%E9%9D%A2%E5%92%8C%E5%85%AC%E5%BC%8F/3-2/3-2-4/%E6%A8%A1%E7%89%88_clip_image032.gif" \* MERGEFORMATINET </w:instrText>
            </w:r>
            <w:r>
              <w:rPr>
                <w:kern w:val="0"/>
              </w:rPr>
              <w:fldChar w:fldCharType="separate"/>
            </w:r>
            <w:r>
              <w:rPr>
                <w:kern w:val="0"/>
              </w:rPr>
              <w:drawing>
                <wp:inline distT="0" distB="0" distL="114300" distR="114300">
                  <wp:extent cx="228600" cy="238125"/>
                  <wp:effectExtent l="0" t="0" r="0" b="8255"/>
                  <wp:docPr id="276" name="图片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276"/>
                          <pic:cNvPicPr>
                            <a:picLocks noChangeAspect="1"/>
                          </pic:cNvPicPr>
                        </pic:nvPicPr>
                        <pic:blipFill>
                          <a:blip r:embed="rId519" r:link="rId520"/>
                          <a:stretch>
                            <a:fillRect/>
                          </a:stretch>
                        </pic:blipFill>
                        <pic:spPr>
                          <a:xfrm>
                            <a:off x="0" y="0"/>
                            <a:ext cx="228600" cy="238125"/>
                          </a:xfrm>
                          <a:prstGeom prst="rect">
                            <a:avLst/>
                          </a:prstGeom>
                          <a:noFill/>
                          <a:ln>
                            <a:noFill/>
                          </a:ln>
                        </pic:spPr>
                      </pic:pic>
                    </a:graphicData>
                  </a:graphic>
                </wp:inline>
              </w:drawing>
            </w:r>
            <w:r>
              <w:rPr>
                <w:kern w:val="0"/>
              </w:rPr>
              <w:fldChar w:fldCharType="end"/>
            </w:r>
            <w:r>
              <w:rPr>
                <w:kern w:val="0"/>
              </w:rPr>
              <w:fldChar w:fldCharType="end"/>
            </w:r>
            <w:r>
              <w:rPr>
                <w:kern w:val="0"/>
              </w:rPr>
              <w:fldChar w:fldCharType="end"/>
            </w:r>
            <w:r>
              <w:rPr>
                <w:kern w:val="0"/>
              </w:rPr>
              <w:fldChar w:fldCharType="end"/>
            </w:r>
            <w:r>
              <w:rPr>
                <w:rFonts w:hint="eastAsia"/>
                <w:kern w:val="0"/>
              </w:rPr>
              <w:t>为单次交易的收益率，</w:t>
            </w:r>
            <w:r>
              <w:rPr>
                <w:kern w:val="0"/>
              </w:rPr>
              <w:fldChar w:fldCharType="begin"/>
            </w:r>
            <w:r>
              <w:rPr>
                <w:kern w:val="0"/>
              </w:rPr>
              <w:instrText xml:space="preserve"> INCLUDEPICTURE  "https://www.tdx.com.cn/products/helpfile/tdxw/chm/%E7%AC%AC%E4%B8%89%E7%AB%A0  %E7%89%88%E9%9D%A2%E5%92%8C%E5%85%AC%E5%BC%8F/3-2/3-2-4/%E6%A8%A1%E7%89%88_clip_image034.gif" \* MERGEFORMATINET </w:instrText>
            </w:r>
            <w:r>
              <w:rPr>
                <w:kern w:val="0"/>
              </w:rPr>
              <w:fldChar w:fldCharType="separate"/>
            </w:r>
            <w:r>
              <w:rPr>
                <w:kern w:val="0"/>
              </w:rPr>
              <w:fldChar w:fldCharType="begin"/>
            </w:r>
            <w:r>
              <w:rPr>
                <w:kern w:val="0"/>
              </w:rPr>
              <w:instrText xml:space="preserve"> INCLUDEPICTURE  "https://www.tdx.com.cn/products/helpfile/tdxw/chm/%E7%AC%AC%E4%B8%89%E7%AB%A0  %E7%89%88%E9%9D%A2%E5%92%8C%E5%85%AC%E5%BC%8F/3-2/3-2-4/%E6%A8%A1%E7%89%88_clip_image034.gif" \* MERGEFORMATINET </w:instrText>
            </w:r>
            <w:r>
              <w:rPr>
                <w:kern w:val="0"/>
              </w:rPr>
              <w:fldChar w:fldCharType="separate"/>
            </w:r>
            <w:r>
              <w:rPr>
                <w:kern w:val="0"/>
              </w:rPr>
              <w:fldChar w:fldCharType="begin"/>
            </w:r>
            <w:r>
              <w:rPr>
                <w:kern w:val="0"/>
              </w:rPr>
              <w:instrText xml:space="preserve"> INCLUDEPICTURE  "https://www.tdx.com.cn/products/helpfile/tdxw/chm/%E7%AC%AC%E4%B8%89%E7%AB%A0  %E7%89%88%E9%9D%A2%E5%92%8C%E5%85%AC%E5%BC%8F/3-2/3-2-4/%E6%A8%A1%E7%89%88_clip_image034.gif" \* MERGEFORMATINET </w:instrText>
            </w:r>
            <w:r>
              <w:rPr>
                <w:kern w:val="0"/>
              </w:rPr>
              <w:fldChar w:fldCharType="separate"/>
            </w:r>
            <w:r>
              <w:rPr>
                <w:kern w:val="0"/>
              </w:rPr>
              <w:fldChar w:fldCharType="begin"/>
            </w:r>
            <w:r>
              <w:rPr>
                <w:kern w:val="0"/>
              </w:rPr>
              <w:instrText xml:space="preserve"> INCLUDEPICTURE  "https://www.tdx.com.cn/products/helpfile/tdxw/chm/%E7%AC%AC%E4%B8%89%E7%AB%A0  %E7%89%88%E9%9D%A2%E5%92%8C%E5%85%AC%E5%BC%8F/3-2/3-2-4/%E6%A8%A1%E7%89%88_clip_image034.gif" \* MERGEFORMATINET </w:instrText>
            </w:r>
            <w:r>
              <w:rPr>
                <w:kern w:val="0"/>
              </w:rPr>
              <w:fldChar w:fldCharType="separate"/>
            </w:r>
            <w:r>
              <w:rPr>
                <w:kern w:val="0"/>
              </w:rPr>
              <w:drawing>
                <wp:inline distT="0" distB="0" distL="114300" distR="114300">
                  <wp:extent cx="123825" cy="123825"/>
                  <wp:effectExtent l="0" t="0" r="9525" b="8255"/>
                  <wp:docPr id="277" name="图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277"/>
                          <pic:cNvPicPr>
                            <a:picLocks noChangeAspect="1"/>
                          </pic:cNvPicPr>
                        </pic:nvPicPr>
                        <pic:blipFill>
                          <a:blip r:embed="rId521" r:link="rId522"/>
                          <a:stretch>
                            <a:fillRect/>
                          </a:stretch>
                        </pic:blipFill>
                        <pic:spPr>
                          <a:xfrm>
                            <a:off x="0" y="0"/>
                            <a:ext cx="123825" cy="123825"/>
                          </a:xfrm>
                          <a:prstGeom prst="rect">
                            <a:avLst/>
                          </a:prstGeom>
                          <a:noFill/>
                          <a:ln>
                            <a:noFill/>
                          </a:ln>
                        </pic:spPr>
                      </pic:pic>
                    </a:graphicData>
                  </a:graphic>
                </wp:inline>
              </w:drawing>
            </w:r>
            <w:r>
              <w:rPr>
                <w:kern w:val="0"/>
              </w:rPr>
              <w:fldChar w:fldCharType="end"/>
            </w:r>
            <w:r>
              <w:rPr>
                <w:kern w:val="0"/>
              </w:rPr>
              <w:fldChar w:fldCharType="end"/>
            </w:r>
            <w:r>
              <w:rPr>
                <w:kern w:val="0"/>
              </w:rPr>
              <w:fldChar w:fldCharType="end"/>
            </w:r>
            <w:r>
              <w:rPr>
                <w:kern w:val="0"/>
              </w:rPr>
              <w:fldChar w:fldCharType="end"/>
            </w:r>
            <w:r>
              <w:rPr>
                <w:rFonts w:hint="eastAsia"/>
                <w:kern w:val="0"/>
              </w:rPr>
              <w:t>为期间交易次数</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550"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标准离差</w:t>
            </w:r>
          </w:p>
        </w:tc>
        <w:tc>
          <w:tcPr>
            <w:tcW w:w="10081"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 </w:t>
            </w:r>
            <w:r>
              <w:rPr>
                <w:kern w:val="0"/>
              </w:rPr>
              <w:fldChar w:fldCharType="begin"/>
            </w:r>
            <w:r>
              <w:rPr>
                <w:kern w:val="0"/>
              </w:rPr>
              <w:instrText xml:space="preserve"> INCLUDEPICTURE  "https://www.tdx.com.cn/products/helpfile/tdxw/chm/%E7%AC%AC%E4%B8%89%E7%AB%A0  %E7%89%88%E9%9D%A2%E5%92%8C%E5%85%AC%E5%BC%8F/3-2/3-2-4/%E6%A8%A1%E7%89%88_clip_image036.gif" \* MERGEFORMATINET </w:instrText>
            </w:r>
            <w:r>
              <w:rPr>
                <w:kern w:val="0"/>
              </w:rPr>
              <w:fldChar w:fldCharType="separate"/>
            </w:r>
            <w:r>
              <w:rPr>
                <w:kern w:val="0"/>
              </w:rPr>
              <w:fldChar w:fldCharType="begin"/>
            </w:r>
            <w:r>
              <w:rPr>
                <w:kern w:val="0"/>
              </w:rPr>
              <w:instrText xml:space="preserve"> INCLUDEPICTURE  "https://www.tdx.com.cn/products/helpfile/tdxw/chm/%E7%AC%AC%E4%B8%89%E7%AB%A0  %E7%89%88%E9%9D%A2%E5%92%8C%E5%85%AC%E5%BC%8F/3-2/3-2-4/%E6%A8%A1%E7%89%88_clip_image036.gif" \* MERGEFORMATINET </w:instrText>
            </w:r>
            <w:r>
              <w:rPr>
                <w:kern w:val="0"/>
              </w:rPr>
              <w:fldChar w:fldCharType="separate"/>
            </w:r>
            <w:r>
              <w:rPr>
                <w:kern w:val="0"/>
              </w:rPr>
              <w:fldChar w:fldCharType="begin"/>
            </w:r>
            <w:r>
              <w:rPr>
                <w:kern w:val="0"/>
              </w:rPr>
              <w:instrText xml:space="preserve"> INCLUDEPICTURE  "https://www.tdx.com.cn/products/helpfile/tdxw/chm/%E7%AC%AC%E4%B8%89%E7%AB%A0  %E7%89%88%E9%9D%A2%E5%92%8C%E5%85%AC%E5%BC%8F/3-2/3-2-4/%E6%A8%A1%E7%89%88_clip_image036.gif" \* MERGEFORMATINET </w:instrText>
            </w:r>
            <w:r>
              <w:rPr>
                <w:kern w:val="0"/>
              </w:rPr>
              <w:fldChar w:fldCharType="separate"/>
            </w:r>
            <w:r>
              <w:rPr>
                <w:kern w:val="0"/>
              </w:rPr>
              <w:fldChar w:fldCharType="begin"/>
            </w:r>
            <w:r>
              <w:rPr>
                <w:kern w:val="0"/>
              </w:rPr>
              <w:instrText xml:space="preserve"> INCLUDEPICTURE  "https://www.tdx.com.cn/products/helpfile/tdxw/chm/%E7%AC%AC%E4%B8%89%E7%AB%A0  %E7%89%88%E9%9D%A2%E5%92%8C%E5%85%AC%E5%BC%8F/3-2/3-2-4/%E6%A8%A1%E7%89%88_clip_image036.gif" \* MERGEFORMATINET </w:instrText>
            </w:r>
            <w:r>
              <w:rPr>
                <w:kern w:val="0"/>
              </w:rPr>
              <w:fldChar w:fldCharType="separate"/>
            </w:r>
            <w:r>
              <w:rPr>
                <w:kern w:val="0"/>
              </w:rPr>
              <w:drawing>
                <wp:inline distT="0" distB="0" distL="114300" distR="114300">
                  <wp:extent cx="1181100" cy="485775"/>
                  <wp:effectExtent l="0" t="0" r="0" b="8890"/>
                  <wp:docPr id="278" name="图片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278"/>
                          <pic:cNvPicPr>
                            <a:picLocks noChangeAspect="1"/>
                          </pic:cNvPicPr>
                        </pic:nvPicPr>
                        <pic:blipFill>
                          <a:blip r:embed="rId523" r:link="rId524"/>
                          <a:stretch>
                            <a:fillRect/>
                          </a:stretch>
                        </pic:blipFill>
                        <pic:spPr>
                          <a:xfrm>
                            <a:off x="0" y="0"/>
                            <a:ext cx="1181100" cy="485775"/>
                          </a:xfrm>
                          <a:prstGeom prst="rect">
                            <a:avLst/>
                          </a:prstGeom>
                          <a:noFill/>
                          <a:ln>
                            <a:noFill/>
                          </a:ln>
                        </pic:spPr>
                      </pic:pic>
                    </a:graphicData>
                  </a:graphic>
                </wp:inline>
              </w:drawing>
            </w:r>
            <w:r>
              <w:rPr>
                <w:kern w:val="0"/>
              </w:rPr>
              <w:fldChar w:fldCharType="end"/>
            </w:r>
            <w:r>
              <w:rPr>
                <w:kern w:val="0"/>
              </w:rPr>
              <w:fldChar w:fldCharType="end"/>
            </w:r>
            <w:r>
              <w:rPr>
                <w:kern w:val="0"/>
              </w:rPr>
              <w:fldChar w:fldCharType="end"/>
            </w:r>
            <w:r>
              <w:rPr>
                <w:kern w:val="0"/>
              </w:rPr>
              <w:fldChar w:fldCharType="end"/>
            </w:r>
            <w:r>
              <w:rPr>
                <w:rFonts w:hint="eastAsia"/>
                <w:kern w:val="0"/>
              </w:rPr>
              <w:t>  ，</w:t>
            </w:r>
            <w:r>
              <w:rPr>
                <w:kern w:val="0"/>
              </w:rPr>
              <w:fldChar w:fldCharType="begin"/>
            </w:r>
            <w:r>
              <w:rPr>
                <w:kern w:val="0"/>
              </w:rPr>
              <w:instrText xml:space="preserve"> INCLUDEPICTURE  "https://www.tdx.com.cn/products/helpfile/tdxw/chm/%E7%AC%AC%E4%B8%89%E7%AB%A0  %E7%89%88%E9%9D%A2%E5%92%8C%E5%85%AC%E5%BC%8F/3-2/3-2-4/%E6%A8%A1%E7%89%88_clip_image030_0000.gif" \* MERGEFORMATINET </w:instrText>
            </w:r>
            <w:r>
              <w:rPr>
                <w:kern w:val="0"/>
              </w:rPr>
              <w:fldChar w:fldCharType="separate"/>
            </w:r>
            <w:r>
              <w:rPr>
                <w:kern w:val="0"/>
              </w:rPr>
              <w:fldChar w:fldCharType="begin"/>
            </w:r>
            <w:r>
              <w:rPr>
                <w:kern w:val="0"/>
              </w:rPr>
              <w:instrText xml:space="preserve"> INCLUDEPICTURE  "https://www.tdx.com.cn/products/helpfile/tdxw/chm/%E7%AC%AC%E4%B8%89%E7%AB%A0  %E7%89%88%E9%9D%A2%E5%92%8C%E5%85%AC%E5%BC%8F/3-2/3-2-4/%E6%A8%A1%E7%89%88_clip_image030_0000.gif" \* MERGEFORMATINET </w:instrText>
            </w:r>
            <w:r>
              <w:rPr>
                <w:kern w:val="0"/>
              </w:rPr>
              <w:fldChar w:fldCharType="separate"/>
            </w:r>
            <w:r>
              <w:rPr>
                <w:kern w:val="0"/>
              </w:rPr>
              <w:fldChar w:fldCharType="begin"/>
            </w:r>
            <w:r>
              <w:rPr>
                <w:kern w:val="0"/>
              </w:rPr>
              <w:instrText xml:space="preserve"> INCLUDEPICTURE  "https://www.tdx.com.cn/products/helpfile/tdxw/chm/%E7%AC%AC%E4%B8%89%E7%AB%A0  %E7%89%88%E9%9D%A2%E5%92%8C%E5%85%AC%E5%BC%8F/3-2/3-2-4/%E6%A8%A1%E7%89%88_clip_image030_0000.gif" \* MERGEFORMATINET </w:instrText>
            </w:r>
            <w:r>
              <w:rPr>
                <w:kern w:val="0"/>
              </w:rPr>
              <w:fldChar w:fldCharType="separate"/>
            </w:r>
            <w:r>
              <w:rPr>
                <w:kern w:val="0"/>
              </w:rPr>
              <w:fldChar w:fldCharType="begin"/>
            </w:r>
            <w:r>
              <w:rPr>
                <w:kern w:val="0"/>
              </w:rPr>
              <w:instrText xml:space="preserve"> INCLUDEPICTURE  "https://www.tdx.com.cn/products/helpfile/tdxw/chm/%E7%AC%AC%E4%B8%89%E7%AB%A0  %E7%89%88%E9%9D%A2%E5%92%8C%E5%85%AC%E5%BC%8F/3-2/3-2-4/%E6%A8%A1%E7%89%88_clip_image030_0000.gif" \* MERGEFORMATINET </w:instrText>
            </w:r>
            <w:r>
              <w:rPr>
                <w:kern w:val="0"/>
              </w:rPr>
              <w:fldChar w:fldCharType="separate"/>
            </w:r>
            <w:r>
              <w:rPr>
                <w:kern w:val="0"/>
              </w:rPr>
              <w:drawing>
                <wp:inline distT="0" distB="0" distL="114300" distR="114300">
                  <wp:extent cx="800100" cy="428625"/>
                  <wp:effectExtent l="0" t="0" r="0" b="8890"/>
                  <wp:docPr id="279" name="图片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279"/>
                          <pic:cNvPicPr>
                            <a:picLocks noChangeAspect="1"/>
                          </pic:cNvPicPr>
                        </pic:nvPicPr>
                        <pic:blipFill>
                          <a:blip r:embed="rId517" r:link="rId518"/>
                          <a:stretch>
                            <a:fillRect/>
                          </a:stretch>
                        </pic:blipFill>
                        <pic:spPr>
                          <a:xfrm>
                            <a:off x="0" y="0"/>
                            <a:ext cx="800100" cy="428625"/>
                          </a:xfrm>
                          <a:prstGeom prst="rect">
                            <a:avLst/>
                          </a:prstGeom>
                          <a:noFill/>
                          <a:ln>
                            <a:noFill/>
                          </a:ln>
                        </pic:spPr>
                      </pic:pic>
                    </a:graphicData>
                  </a:graphic>
                </wp:inline>
              </w:drawing>
            </w:r>
            <w:r>
              <w:rPr>
                <w:kern w:val="0"/>
              </w:rPr>
              <w:fldChar w:fldCharType="end"/>
            </w:r>
            <w:r>
              <w:rPr>
                <w:kern w:val="0"/>
              </w:rPr>
              <w:fldChar w:fldCharType="end"/>
            </w:r>
            <w:r>
              <w:rPr>
                <w:kern w:val="0"/>
              </w:rPr>
              <w:fldChar w:fldCharType="end"/>
            </w:r>
            <w:r>
              <w:rPr>
                <w:kern w:val="0"/>
              </w:rPr>
              <w:fldChar w:fldCharType="end"/>
            </w:r>
          </w:p>
          <w:p>
            <w:pPr>
              <w:pStyle w:val="34"/>
              <w:rPr>
                <w:kern w:val="0"/>
              </w:rPr>
            </w:pPr>
            <w:r>
              <w:rPr>
                <w:rFonts w:hint="eastAsia"/>
                <w:kern w:val="0"/>
              </w:rPr>
              <w:t>其中</w:t>
            </w:r>
            <w:r>
              <w:rPr>
                <w:kern w:val="0"/>
              </w:rPr>
              <w:fldChar w:fldCharType="begin"/>
            </w:r>
            <w:r>
              <w:rPr>
                <w:kern w:val="0"/>
              </w:rPr>
              <w:instrText xml:space="preserve"> INCLUDEPICTURE  "https://www.tdx.com.cn/products/helpfile/tdxw/chm/%E7%AC%AC%E4%B8%89%E7%AB%A0  %E7%89%88%E9%9D%A2%E5%92%8C%E5%85%AC%E5%BC%8F/3-2/3-2-4/%E6%A8%A1%E7%89%88_clip_image032_0000.gif" \* MERGEFORMATINET </w:instrText>
            </w:r>
            <w:r>
              <w:rPr>
                <w:kern w:val="0"/>
              </w:rPr>
              <w:fldChar w:fldCharType="separate"/>
            </w:r>
            <w:r>
              <w:rPr>
                <w:kern w:val="0"/>
              </w:rPr>
              <w:fldChar w:fldCharType="begin"/>
            </w:r>
            <w:r>
              <w:rPr>
                <w:kern w:val="0"/>
              </w:rPr>
              <w:instrText xml:space="preserve"> INCLUDEPICTURE  "https://www.tdx.com.cn/products/helpfile/tdxw/chm/%E7%AC%AC%E4%B8%89%E7%AB%A0  %E7%89%88%E9%9D%A2%E5%92%8C%E5%85%AC%E5%BC%8F/3-2/3-2-4/%E6%A8%A1%E7%89%88_clip_image032_0000.gif" \* MERGEFORMATINET </w:instrText>
            </w:r>
            <w:r>
              <w:rPr>
                <w:kern w:val="0"/>
              </w:rPr>
              <w:fldChar w:fldCharType="separate"/>
            </w:r>
            <w:r>
              <w:rPr>
                <w:kern w:val="0"/>
              </w:rPr>
              <w:fldChar w:fldCharType="begin"/>
            </w:r>
            <w:r>
              <w:rPr>
                <w:kern w:val="0"/>
              </w:rPr>
              <w:instrText xml:space="preserve"> INCLUDEPICTURE  "https://www.tdx.com.cn/products/helpfile/tdxw/chm/%E7%AC%AC%E4%B8%89%E7%AB%A0  %E7%89%88%E9%9D%A2%E5%92%8C%E5%85%AC%E5%BC%8F/3-2/3-2-4/%E6%A8%A1%E7%89%88_clip_image032_0000.gif" \* MERGEFORMATINET </w:instrText>
            </w:r>
            <w:r>
              <w:rPr>
                <w:kern w:val="0"/>
              </w:rPr>
              <w:fldChar w:fldCharType="separate"/>
            </w:r>
            <w:r>
              <w:rPr>
                <w:kern w:val="0"/>
              </w:rPr>
              <w:fldChar w:fldCharType="begin"/>
            </w:r>
            <w:r>
              <w:rPr>
                <w:kern w:val="0"/>
              </w:rPr>
              <w:instrText xml:space="preserve"> INCLUDEPICTURE  "https://www.tdx.com.cn/products/helpfile/tdxw/chm/%E7%AC%AC%E4%B8%89%E7%AB%A0  %E7%89%88%E9%9D%A2%E5%92%8C%E5%85%AC%E5%BC%8F/3-2/3-2-4/%E6%A8%A1%E7%89%88_clip_image032_0000.gif" \* MERGEFORMATINET </w:instrText>
            </w:r>
            <w:r>
              <w:rPr>
                <w:kern w:val="0"/>
              </w:rPr>
              <w:fldChar w:fldCharType="separate"/>
            </w:r>
            <w:r>
              <w:rPr>
                <w:kern w:val="0"/>
              </w:rPr>
              <w:drawing>
                <wp:inline distT="0" distB="0" distL="114300" distR="114300">
                  <wp:extent cx="228600" cy="238125"/>
                  <wp:effectExtent l="0" t="0" r="0" b="8255"/>
                  <wp:docPr id="280" name="图片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280"/>
                          <pic:cNvPicPr>
                            <a:picLocks noChangeAspect="1"/>
                          </pic:cNvPicPr>
                        </pic:nvPicPr>
                        <pic:blipFill>
                          <a:blip r:embed="rId519" r:link="rId520"/>
                          <a:stretch>
                            <a:fillRect/>
                          </a:stretch>
                        </pic:blipFill>
                        <pic:spPr>
                          <a:xfrm>
                            <a:off x="0" y="0"/>
                            <a:ext cx="228600" cy="238125"/>
                          </a:xfrm>
                          <a:prstGeom prst="rect">
                            <a:avLst/>
                          </a:prstGeom>
                          <a:noFill/>
                          <a:ln>
                            <a:noFill/>
                          </a:ln>
                        </pic:spPr>
                      </pic:pic>
                    </a:graphicData>
                  </a:graphic>
                </wp:inline>
              </w:drawing>
            </w:r>
            <w:r>
              <w:rPr>
                <w:kern w:val="0"/>
              </w:rPr>
              <w:fldChar w:fldCharType="end"/>
            </w:r>
            <w:r>
              <w:rPr>
                <w:kern w:val="0"/>
              </w:rPr>
              <w:fldChar w:fldCharType="end"/>
            </w:r>
            <w:r>
              <w:rPr>
                <w:kern w:val="0"/>
              </w:rPr>
              <w:fldChar w:fldCharType="end"/>
            </w:r>
            <w:r>
              <w:rPr>
                <w:kern w:val="0"/>
              </w:rPr>
              <w:fldChar w:fldCharType="end"/>
            </w:r>
            <w:r>
              <w:rPr>
                <w:rFonts w:hint="eastAsia"/>
                <w:kern w:val="0"/>
              </w:rPr>
              <w:t>为单次交易的收益率，</w:t>
            </w:r>
            <w:r>
              <w:rPr>
                <w:kern w:val="0"/>
              </w:rPr>
              <w:fldChar w:fldCharType="begin"/>
            </w:r>
            <w:r>
              <w:rPr>
                <w:kern w:val="0"/>
              </w:rPr>
              <w:instrText xml:space="preserve"> INCLUDEPICTURE  "https://www.tdx.com.cn/products/helpfile/tdxw/chm/%E7%AC%AC%E4%B8%89%E7%AB%A0  %E7%89%88%E9%9D%A2%E5%92%8C%E5%85%AC%E5%BC%8F/3-2/3-2-4/%E6%A8%A1%E7%89%88_clip_image034_0000.gif" \* MERGEFORMATINET </w:instrText>
            </w:r>
            <w:r>
              <w:rPr>
                <w:kern w:val="0"/>
              </w:rPr>
              <w:fldChar w:fldCharType="separate"/>
            </w:r>
            <w:r>
              <w:rPr>
                <w:kern w:val="0"/>
              </w:rPr>
              <w:fldChar w:fldCharType="begin"/>
            </w:r>
            <w:r>
              <w:rPr>
                <w:kern w:val="0"/>
              </w:rPr>
              <w:instrText xml:space="preserve"> INCLUDEPICTURE  "https://www.tdx.com.cn/products/helpfile/tdxw/chm/%E7%AC%AC%E4%B8%89%E7%AB%A0  %E7%89%88%E9%9D%A2%E5%92%8C%E5%85%AC%E5%BC%8F/3-2/3-2-4/%E6%A8%A1%E7%89%88_clip_image034_0000.gif" \* MERGEFORMATINET </w:instrText>
            </w:r>
            <w:r>
              <w:rPr>
                <w:kern w:val="0"/>
              </w:rPr>
              <w:fldChar w:fldCharType="separate"/>
            </w:r>
            <w:r>
              <w:rPr>
                <w:kern w:val="0"/>
              </w:rPr>
              <w:fldChar w:fldCharType="begin"/>
            </w:r>
            <w:r>
              <w:rPr>
                <w:kern w:val="0"/>
              </w:rPr>
              <w:instrText xml:space="preserve"> INCLUDEPICTURE  "https://www.tdx.com.cn/products/helpfile/tdxw/chm/%E7%AC%AC%E4%B8%89%E7%AB%A0  %E7%89%88%E9%9D%A2%E5%92%8C%E5%85%AC%E5%BC%8F/3-2/3-2-4/%E6%A8%A1%E7%89%88_clip_image034_0000.gif" \* MERGEFORMATINET </w:instrText>
            </w:r>
            <w:r>
              <w:rPr>
                <w:kern w:val="0"/>
              </w:rPr>
              <w:fldChar w:fldCharType="separate"/>
            </w:r>
            <w:r>
              <w:rPr>
                <w:kern w:val="0"/>
              </w:rPr>
              <w:fldChar w:fldCharType="begin"/>
            </w:r>
            <w:r>
              <w:rPr>
                <w:kern w:val="0"/>
              </w:rPr>
              <w:instrText xml:space="preserve"> INCLUDEPICTURE  "https://www.tdx.com.cn/products/helpfile/tdxw/chm/%E7%AC%AC%E4%B8%89%E7%AB%A0  %E7%89%88%E9%9D%A2%E5%92%8C%E5%85%AC%E5%BC%8F/3-2/3-2-4/%E6%A8%A1%E7%89%88_clip_image034_0000.gif" \* MERGEFORMATINET </w:instrText>
            </w:r>
            <w:r>
              <w:rPr>
                <w:kern w:val="0"/>
              </w:rPr>
              <w:fldChar w:fldCharType="separate"/>
            </w:r>
            <w:r>
              <w:rPr>
                <w:kern w:val="0"/>
              </w:rPr>
              <w:drawing>
                <wp:inline distT="0" distB="0" distL="114300" distR="114300">
                  <wp:extent cx="123825" cy="123825"/>
                  <wp:effectExtent l="0" t="0" r="9525" b="8255"/>
                  <wp:docPr id="281" name="图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281"/>
                          <pic:cNvPicPr>
                            <a:picLocks noChangeAspect="1"/>
                          </pic:cNvPicPr>
                        </pic:nvPicPr>
                        <pic:blipFill>
                          <a:blip r:embed="rId521" r:link="rId522"/>
                          <a:stretch>
                            <a:fillRect/>
                          </a:stretch>
                        </pic:blipFill>
                        <pic:spPr>
                          <a:xfrm>
                            <a:off x="0" y="0"/>
                            <a:ext cx="123825" cy="123825"/>
                          </a:xfrm>
                          <a:prstGeom prst="rect">
                            <a:avLst/>
                          </a:prstGeom>
                          <a:noFill/>
                          <a:ln>
                            <a:noFill/>
                          </a:ln>
                        </pic:spPr>
                      </pic:pic>
                    </a:graphicData>
                  </a:graphic>
                </wp:inline>
              </w:drawing>
            </w:r>
            <w:r>
              <w:rPr>
                <w:kern w:val="0"/>
              </w:rPr>
              <w:fldChar w:fldCharType="end"/>
            </w:r>
            <w:r>
              <w:rPr>
                <w:kern w:val="0"/>
              </w:rPr>
              <w:fldChar w:fldCharType="end"/>
            </w:r>
            <w:r>
              <w:rPr>
                <w:kern w:val="0"/>
              </w:rPr>
              <w:fldChar w:fldCharType="end"/>
            </w:r>
            <w:r>
              <w:rPr>
                <w:kern w:val="0"/>
              </w:rPr>
              <w:fldChar w:fldCharType="end"/>
            </w:r>
            <w:r>
              <w:rPr>
                <w:rFonts w:hint="eastAsia"/>
                <w:kern w:val="0"/>
              </w:rPr>
              <w:t>为期间交易次数，也就是说将所有交易看做是一个样本，求样本的标准离差</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550"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 </w:t>
            </w:r>
          </w:p>
        </w:tc>
        <w:tc>
          <w:tcPr>
            <w:tcW w:w="10081"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 </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550"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盈亏时间比</w:t>
            </w:r>
          </w:p>
        </w:tc>
        <w:tc>
          <w:tcPr>
            <w:tcW w:w="10081"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盈利有效周期数</w:t>
            </w:r>
            <w:r>
              <w:rPr>
                <w:rFonts w:hint="eastAsia"/>
                <w:b/>
                <w:bCs/>
                <w:kern w:val="0"/>
              </w:rPr>
              <w:t>/</w:t>
            </w:r>
            <w:r>
              <w:rPr>
                <w:rFonts w:hint="eastAsia"/>
                <w:kern w:val="0"/>
              </w:rPr>
              <w:t>亏损有效周期数（无交易交易日不在计算范围内）</w:t>
            </w:r>
          </w:p>
          <w:p>
            <w:pPr>
              <w:pStyle w:val="34"/>
              <w:rPr>
                <w:kern w:val="0"/>
              </w:rPr>
            </w:pPr>
            <w:r>
              <w:rPr>
                <w:rFonts w:hint="eastAsia"/>
                <w:kern w:val="0"/>
              </w:rPr>
              <w:t>分别统计所有盈利</w:t>
            </w:r>
            <w:r>
              <w:rPr>
                <w:rFonts w:hint="eastAsia"/>
                <w:b/>
                <w:bCs/>
                <w:kern w:val="0"/>
              </w:rPr>
              <w:t>/</w:t>
            </w:r>
            <w:r>
              <w:rPr>
                <w:rFonts w:hint="eastAsia"/>
                <w:kern w:val="0"/>
              </w:rPr>
              <w:t>亏损交易跨的交易日</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550"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测试期间的净利润</w:t>
            </w:r>
          </w:p>
        </w:tc>
        <w:tc>
          <w:tcPr>
            <w:tcW w:w="10081"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交易的收益和-手续费的和</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550"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年华收益</w:t>
            </w:r>
          </w:p>
        </w:tc>
        <w:tc>
          <w:tcPr>
            <w:tcW w:w="10081"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测试时期的净利润/测试时期的有效天数*365</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550"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年化收益率</w:t>
            </w:r>
          </w:p>
        </w:tc>
        <w:tc>
          <w:tcPr>
            <w:tcW w:w="10081"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年化收益/初始资金*100</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550"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 </w:t>
            </w:r>
          </w:p>
        </w:tc>
        <w:tc>
          <w:tcPr>
            <w:tcW w:w="10081"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 </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550" w:type="dxa"/>
            <w:tcBorders>
              <w:top w:val="outset" w:color="auto" w:sz="6" w:space="0"/>
              <w:left w:val="outset" w:color="auto" w:sz="6" w:space="0"/>
              <w:bottom w:val="outset" w:color="auto" w:sz="6" w:space="0"/>
              <w:right w:val="outset" w:color="auto" w:sz="6" w:space="0"/>
            </w:tcBorders>
            <w:vAlign w:val="center"/>
          </w:tcPr>
          <w:p>
            <w:pPr>
              <w:pStyle w:val="34"/>
              <w:ind w:firstLine="482"/>
              <w:rPr>
                <w:kern w:val="0"/>
              </w:rPr>
            </w:pPr>
            <w:r>
              <w:rPr>
                <w:rFonts w:hint="eastAsia"/>
                <w:b/>
                <w:bCs/>
                <w:kern w:val="0"/>
              </w:rPr>
              <w:t>盈利交易判断是收益列为正的</w:t>
            </w:r>
            <w:r>
              <w:rPr>
                <w:rFonts w:hint="eastAsia"/>
                <w:kern w:val="0"/>
              </w:rPr>
              <w:t> </w:t>
            </w:r>
            <w:r>
              <w:rPr>
                <w:rFonts w:hint="eastAsia"/>
                <w:b/>
                <w:bCs/>
                <w:kern w:val="0"/>
              </w:rPr>
              <w:t>不是净利润</w:t>
            </w:r>
          </w:p>
        </w:tc>
        <w:tc>
          <w:tcPr>
            <w:tcW w:w="10081"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 </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550"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扣除最大盈利后收益率</w:t>
            </w:r>
          </w:p>
        </w:tc>
        <w:tc>
          <w:tcPr>
            <w:tcW w:w="10081"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（净利润-最大盈利）/初始资金</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550"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扣除最大亏损收益率</w:t>
            </w:r>
          </w:p>
        </w:tc>
        <w:tc>
          <w:tcPr>
            <w:tcW w:w="10081"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（净利润+最大亏损）/初始资金</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550"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扣除最大盈利后收益率</w:t>
            </w:r>
          </w:p>
        </w:tc>
        <w:tc>
          <w:tcPr>
            <w:tcW w:w="10081"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扣除最大盈利那次交易的其他所有盈利/初始资金*100</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550"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扣除最大亏损后收益率</w:t>
            </w:r>
          </w:p>
        </w:tc>
        <w:tc>
          <w:tcPr>
            <w:tcW w:w="10081"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扣除最大亏损那次交易的其他所有盈利/初始资金*100</w:t>
            </w:r>
          </w:p>
        </w:tc>
      </w:tr>
    </w:tbl>
    <w:p>
      <w:pPr>
        <w:pStyle w:val="34"/>
        <w:ind w:firstLine="540"/>
        <w:rPr>
          <w:kern w:val="0"/>
          <w:sz w:val="27"/>
          <w:szCs w:val="27"/>
        </w:rPr>
      </w:pPr>
      <w:r>
        <w:rPr>
          <w:rFonts w:hint="eastAsia"/>
          <w:kern w:val="0"/>
          <w:sz w:val="27"/>
          <w:szCs w:val="27"/>
        </w:rPr>
        <w:t> </w:t>
      </w:r>
    </w:p>
    <w:p>
      <w:pPr>
        <w:pStyle w:val="34"/>
        <w:rPr>
          <w:kern w:val="0"/>
        </w:rPr>
      </w:pPr>
      <w:r>
        <w:rPr>
          <w:rFonts w:hint="eastAsia"/>
          <w:kern w:val="0"/>
        </w:rPr>
        <w:t>■资金曲线</w:t>
      </w:r>
    </w:p>
    <w:p>
      <w:pPr>
        <w:pStyle w:val="34"/>
        <w:rPr>
          <w:kern w:val="0"/>
        </w:rPr>
      </w:pPr>
      <w:r>
        <w:rPr>
          <w:rFonts w:hint="eastAsia"/>
          <w:kern w:val="0"/>
        </w:rPr>
        <w:t>点击卖交易展示平仓后的资金可用余额。</w:t>
      </w:r>
    </w:p>
    <w:p>
      <w:pPr>
        <w:pStyle w:val="34"/>
        <w:rPr>
          <w:kern w:val="0"/>
        </w:rPr>
      </w:pPr>
      <w:r>
        <w:rPr>
          <w:kern w:val="0"/>
        </w:rPr>
        <w:fldChar w:fldCharType="begin"/>
      </w:r>
      <w:r>
        <w:rPr>
          <w:kern w:val="0"/>
        </w:rPr>
        <w:instrText xml:space="preserve"> INCLUDEPICTURE  "https://www.tdx.com.cn/products/helpfile/tdxw/chm/%E7%AC%AC%E4%B8%89%E7%AB%A0  %E7%89%88%E9%9D%A2%E5%92%8C%E5%85%AC%E5%BC%8F/3-2/3-2-4/14.png" \* MERGEFORMATINET </w:instrText>
      </w:r>
      <w:r>
        <w:rPr>
          <w:kern w:val="0"/>
        </w:rPr>
        <w:fldChar w:fldCharType="separate"/>
      </w:r>
      <w:r>
        <w:rPr>
          <w:kern w:val="0"/>
        </w:rPr>
        <w:fldChar w:fldCharType="begin"/>
      </w:r>
      <w:r>
        <w:rPr>
          <w:kern w:val="0"/>
        </w:rPr>
        <w:instrText xml:space="preserve"> INCLUDEPICTURE  "https://www.tdx.com.cn/products/helpfile/tdxw/chm/%E7%AC%AC%E4%B8%89%E7%AB%A0  %E7%89%88%E9%9D%A2%E5%92%8C%E5%85%AC%E5%BC%8F/3-2/3-2-4/14.png" \* MERGEFORMATINET </w:instrText>
      </w:r>
      <w:r>
        <w:rPr>
          <w:kern w:val="0"/>
        </w:rPr>
        <w:fldChar w:fldCharType="separate"/>
      </w:r>
      <w:r>
        <w:rPr>
          <w:kern w:val="0"/>
        </w:rPr>
        <w:fldChar w:fldCharType="begin"/>
      </w:r>
      <w:r>
        <w:rPr>
          <w:kern w:val="0"/>
        </w:rPr>
        <w:instrText xml:space="preserve"> INCLUDEPICTURE  "https://www.tdx.com.cn/products/helpfile/tdxw/chm/%E7%AC%AC%E4%B8%89%E7%AB%A0  %E7%89%88%E9%9D%A2%E5%92%8C%E5%85%AC%E5%BC%8F/3-2/3-2-4/14.png" \* MERGEFORMATINET </w:instrText>
      </w:r>
      <w:r>
        <w:rPr>
          <w:kern w:val="0"/>
        </w:rPr>
        <w:fldChar w:fldCharType="separate"/>
      </w:r>
      <w:r>
        <w:rPr>
          <w:kern w:val="0"/>
        </w:rPr>
        <w:fldChar w:fldCharType="begin"/>
      </w:r>
      <w:r>
        <w:rPr>
          <w:kern w:val="0"/>
        </w:rPr>
        <w:instrText xml:space="preserve"> INCLUDEPICTURE  "https://www.tdx.com.cn/products/helpfile/tdxw/chm/%E7%AC%AC%E4%B8%89%E7%AB%A0  %E7%89%88%E9%9D%A2%E5%92%8C%E5%85%AC%E5%BC%8F/3-2/3-2-4/14.png" \* MERGEFORMATINET </w:instrText>
      </w:r>
      <w:r>
        <w:rPr>
          <w:kern w:val="0"/>
        </w:rPr>
        <w:fldChar w:fldCharType="separate"/>
      </w:r>
      <w:r>
        <w:rPr>
          <w:kern w:val="0"/>
        </w:rPr>
        <w:drawing>
          <wp:inline distT="0" distB="0" distL="114300" distR="114300">
            <wp:extent cx="7191375" cy="5495925"/>
            <wp:effectExtent l="0" t="0" r="9525" b="9525"/>
            <wp:docPr id="282" name="图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282"/>
                    <pic:cNvPicPr>
                      <a:picLocks noChangeAspect="1"/>
                    </pic:cNvPicPr>
                  </pic:nvPicPr>
                  <pic:blipFill>
                    <a:blip r:embed="rId525" r:link="rId526"/>
                    <a:stretch>
                      <a:fillRect/>
                    </a:stretch>
                  </pic:blipFill>
                  <pic:spPr>
                    <a:xfrm>
                      <a:off x="0" y="0"/>
                      <a:ext cx="7191375" cy="5495925"/>
                    </a:xfrm>
                    <a:prstGeom prst="rect">
                      <a:avLst/>
                    </a:prstGeom>
                    <a:noFill/>
                    <a:ln>
                      <a:noFill/>
                    </a:ln>
                  </pic:spPr>
                </pic:pic>
              </a:graphicData>
            </a:graphic>
          </wp:inline>
        </w:drawing>
      </w:r>
      <w:r>
        <w:rPr>
          <w:kern w:val="0"/>
        </w:rPr>
        <w:fldChar w:fldCharType="end"/>
      </w:r>
      <w:r>
        <w:rPr>
          <w:kern w:val="0"/>
        </w:rPr>
        <w:fldChar w:fldCharType="end"/>
      </w:r>
      <w:r>
        <w:rPr>
          <w:kern w:val="0"/>
        </w:rPr>
        <w:fldChar w:fldCharType="end"/>
      </w:r>
      <w:r>
        <w:rPr>
          <w:kern w:val="0"/>
        </w:rPr>
        <w:fldChar w:fldCharType="end"/>
      </w:r>
    </w:p>
    <w:p>
      <w:pPr>
        <w:pStyle w:val="34"/>
        <w:rPr>
          <w:kern w:val="0"/>
        </w:rPr>
      </w:pPr>
    </w:p>
    <w:p>
      <w:pPr>
        <w:pStyle w:val="34"/>
        <w:rPr>
          <w:kern w:val="0"/>
        </w:rPr>
      </w:pPr>
      <w:r>
        <w:rPr>
          <w:rFonts w:hint="eastAsia"/>
          <w:kern w:val="0"/>
        </w:rPr>
        <w:t>■浮动盈亏图</w:t>
      </w:r>
    </w:p>
    <w:p>
      <w:pPr>
        <w:pStyle w:val="34"/>
        <w:rPr>
          <w:kern w:val="0"/>
        </w:rPr>
      </w:pPr>
      <w:r>
        <w:rPr>
          <w:rFonts w:hint="eastAsia"/>
          <w:kern w:val="0"/>
        </w:rPr>
        <w:t>计算的此时持仓的浮动盈亏变化曲线</w:t>
      </w:r>
    </w:p>
    <w:p>
      <w:pPr>
        <w:pStyle w:val="34"/>
        <w:rPr>
          <w:kern w:val="0"/>
        </w:rPr>
      </w:pPr>
      <w:r>
        <w:rPr>
          <w:rFonts w:hint="eastAsia"/>
          <w:kern w:val="0"/>
        </w:rPr>
        <w:t>浮动盈亏数值=（现价-成本价）*持仓量</w:t>
      </w:r>
    </w:p>
    <w:p>
      <w:pPr>
        <w:pStyle w:val="34"/>
        <w:rPr>
          <w:kern w:val="0"/>
        </w:rPr>
      </w:pPr>
      <w:r>
        <w:rPr>
          <w:kern w:val="0"/>
        </w:rPr>
        <w:fldChar w:fldCharType="begin"/>
      </w:r>
      <w:r>
        <w:rPr>
          <w:kern w:val="0"/>
        </w:rPr>
        <w:instrText xml:space="preserve"> INCLUDEPICTURE  "https://www.tdx.com.cn/products/helpfile/tdxw/chm/%E7%AC%AC%E4%B8%89%E7%AB%A0  %E7%89%88%E9%9D%A2%E5%92%8C%E5%85%AC%E5%BC%8F/3-2/3-2-4/15.png" \* MERGEFORMATINET </w:instrText>
      </w:r>
      <w:r>
        <w:rPr>
          <w:kern w:val="0"/>
        </w:rPr>
        <w:fldChar w:fldCharType="separate"/>
      </w:r>
      <w:r>
        <w:rPr>
          <w:kern w:val="0"/>
        </w:rPr>
        <w:fldChar w:fldCharType="begin"/>
      </w:r>
      <w:r>
        <w:rPr>
          <w:kern w:val="0"/>
        </w:rPr>
        <w:instrText xml:space="preserve"> INCLUDEPICTURE  "https://www.tdx.com.cn/products/helpfile/tdxw/chm/%E7%AC%AC%E4%B8%89%E7%AB%A0  %E7%89%88%E9%9D%A2%E5%92%8C%E5%85%AC%E5%BC%8F/3-2/3-2-4/15.png" \* MERGEFORMATINET </w:instrText>
      </w:r>
      <w:r>
        <w:rPr>
          <w:kern w:val="0"/>
        </w:rPr>
        <w:fldChar w:fldCharType="separate"/>
      </w:r>
      <w:r>
        <w:rPr>
          <w:kern w:val="0"/>
        </w:rPr>
        <w:fldChar w:fldCharType="begin"/>
      </w:r>
      <w:r>
        <w:rPr>
          <w:kern w:val="0"/>
        </w:rPr>
        <w:instrText xml:space="preserve"> INCLUDEPICTURE  "https://www.tdx.com.cn/products/helpfile/tdxw/chm/%E7%AC%AC%E4%B8%89%E7%AB%A0  %E7%89%88%E9%9D%A2%E5%92%8C%E5%85%AC%E5%BC%8F/3-2/3-2-4/15.png" \* MERGEFORMATINET </w:instrText>
      </w:r>
      <w:r>
        <w:rPr>
          <w:kern w:val="0"/>
        </w:rPr>
        <w:fldChar w:fldCharType="separate"/>
      </w:r>
      <w:r>
        <w:rPr>
          <w:kern w:val="0"/>
        </w:rPr>
        <w:fldChar w:fldCharType="begin"/>
      </w:r>
      <w:r>
        <w:rPr>
          <w:kern w:val="0"/>
        </w:rPr>
        <w:instrText xml:space="preserve"> INCLUDEPICTURE  "https://www.tdx.com.cn/products/helpfile/tdxw/chm/%E7%AC%AC%E4%B8%89%E7%AB%A0  %E7%89%88%E9%9D%A2%E5%92%8C%E5%85%AC%E5%BC%8F/3-2/3-2-4/15.png" \* MERGEFORMATINET </w:instrText>
      </w:r>
      <w:r>
        <w:rPr>
          <w:kern w:val="0"/>
        </w:rPr>
        <w:fldChar w:fldCharType="separate"/>
      </w:r>
      <w:r>
        <w:rPr>
          <w:kern w:val="0"/>
        </w:rPr>
        <w:drawing>
          <wp:inline distT="0" distB="0" distL="114300" distR="114300">
            <wp:extent cx="7239000" cy="3305175"/>
            <wp:effectExtent l="0" t="0" r="0" b="9525"/>
            <wp:docPr id="283" name="图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283"/>
                    <pic:cNvPicPr>
                      <a:picLocks noChangeAspect="1"/>
                    </pic:cNvPicPr>
                  </pic:nvPicPr>
                  <pic:blipFill>
                    <a:blip r:embed="rId527" r:link="rId528"/>
                    <a:stretch>
                      <a:fillRect/>
                    </a:stretch>
                  </pic:blipFill>
                  <pic:spPr>
                    <a:xfrm>
                      <a:off x="0" y="0"/>
                      <a:ext cx="7239000" cy="3305175"/>
                    </a:xfrm>
                    <a:prstGeom prst="rect">
                      <a:avLst/>
                    </a:prstGeom>
                    <a:noFill/>
                    <a:ln>
                      <a:noFill/>
                    </a:ln>
                  </pic:spPr>
                </pic:pic>
              </a:graphicData>
            </a:graphic>
          </wp:inline>
        </w:drawing>
      </w:r>
      <w:r>
        <w:rPr>
          <w:kern w:val="0"/>
        </w:rPr>
        <w:fldChar w:fldCharType="end"/>
      </w:r>
      <w:r>
        <w:rPr>
          <w:kern w:val="0"/>
        </w:rPr>
        <w:fldChar w:fldCharType="end"/>
      </w:r>
      <w:r>
        <w:rPr>
          <w:kern w:val="0"/>
        </w:rPr>
        <w:fldChar w:fldCharType="end"/>
      </w:r>
      <w:r>
        <w:rPr>
          <w:kern w:val="0"/>
        </w:rPr>
        <w:fldChar w:fldCharType="end"/>
      </w:r>
    </w:p>
    <w:p>
      <w:pPr>
        <w:pStyle w:val="34"/>
        <w:rPr>
          <w:kern w:val="0"/>
        </w:rPr>
      </w:pPr>
    </w:p>
    <w:p>
      <w:pPr>
        <w:pStyle w:val="34"/>
        <w:rPr>
          <w:kern w:val="0"/>
        </w:rPr>
      </w:pPr>
      <w:r>
        <w:rPr>
          <w:rFonts w:hint="eastAsia"/>
          <w:kern w:val="0"/>
        </w:rPr>
        <w:t>■月度盈亏图</w:t>
      </w:r>
    </w:p>
    <w:p>
      <w:pPr>
        <w:pStyle w:val="34"/>
        <w:rPr>
          <w:kern w:val="0"/>
        </w:rPr>
      </w:pPr>
      <w:r>
        <w:rPr>
          <w:rFonts w:hint="eastAsia"/>
          <w:kern w:val="0"/>
        </w:rPr>
        <w:t>点击月度盈亏柱可以查看柱子高度数值（即净利润）</w:t>
      </w:r>
    </w:p>
    <w:p>
      <w:pPr>
        <w:pStyle w:val="34"/>
        <w:rPr>
          <w:kern w:val="0"/>
        </w:rPr>
      </w:pPr>
      <w:r>
        <w:rPr>
          <w:kern w:val="0"/>
        </w:rPr>
        <w:fldChar w:fldCharType="begin"/>
      </w:r>
      <w:r>
        <w:rPr>
          <w:kern w:val="0"/>
        </w:rPr>
        <w:instrText xml:space="preserve"> INCLUDEPICTURE  "https://www.tdx.com.cn/products/helpfile/tdxw/chm/%E7%AC%AC%E4%B8%89%E7%AB%A0  %E7%89%88%E9%9D%A2%E5%92%8C%E5%85%AC%E5%BC%8F/3-2/3-2-4/16.png" \* MERGEFORMATINET </w:instrText>
      </w:r>
      <w:r>
        <w:rPr>
          <w:kern w:val="0"/>
        </w:rPr>
        <w:fldChar w:fldCharType="separate"/>
      </w:r>
      <w:r>
        <w:rPr>
          <w:kern w:val="0"/>
        </w:rPr>
        <w:fldChar w:fldCharType="begin"/>
      </w:r>
      <w:r>
        <w:rPr>
          <w:kern w:val="0"/>
        </w:rPr>
        <w:instrText xml:space="preserve"> INCLUDEPICTURE  "https://www.tdx.com.cn/products/helpfile/tdxw/chm/%E7%AC%AC%E4%B8%89%E7%AB%A0  %E7%89%88%E9%9D%A2%E5%92%8C%E5%85%AC%E5%BC%8F/3-2/3-2-4/16.png" \* MERGEFORMATINET </w:instrText>
      </w:r>
      <w:r>
        <w:rPr>
          <w:kern w:val="0"/>
        </w:rPr>
        <w:fldChar w:fldCharType="separate"/>
      </w:r>
      <w:r>
        <w:rPr>
          <w:kern w:val="0"/>
        </w:rPr>
        <w:fldChar w:fldCharType="begin"/>
      </w:r>
      <w:r>
        <w:rPr>
          <w:kern w:val="0"/>
        </w:rPr>
        <w:instrText xml:space="preserve"> INCLUDEPICTURE  "https://www.tdx.com.cn/products/helpfile/tdxw/chm/%E7%AC%AC%E4%B8%89%E7%AB%A0  %E7%89%88%E9%9D%A2%E5%92%8C%E5%85%AC%E5%BC%8F/3-2/3-2-4/16.png" \* MERGEFORMATINET </w:instrText>
      </w:r>
      <w:r>
        <w:rPr>
          <w:kern w:val="0"/>
        </w:rPr>
        <w:fldChar w:fldCharType="separate"/>
      </w:r>
      <w:r>
        <w:rPr>
          <w:kern w:val="0"/>
        </w:rPr>
        <w:fldChar w:fldCharType="begin"/>
      </w:r>
      <w:r>
        <w:rPr>
          <w:kern w:val="0"/>
        </w:rPr>
        <w:instrText xml:space="preserve"> INCLUDEPICTURE  "https://www.tdx.com.cn/products/helpfile/tdxw/chm/%E7%AC%AC%E4%B8%89%E7%AB%A0  %E7%89%88%E9%9D%A2%E5%92%8C%E5%85%AC%E5%BC%8F/3-2/3-2-4/16.png" \* MERGEFORMATINET </w:instrText>
      </w:r>
      <w:r>
        <w:rPr>
          <w:kern w:val="0"/>
        </w:rPr>
        <w:fldChar w:fldCharType="separate"/>
      </w:r>
      <w:r>
        <w:rPr>
          <w:kern w:val="0"/>
        </w:rPr>
        <w:drawing>
          <wp:inline distT="0" distB="0" distL="114300" distR="114300">
            <wp:extent cx="7162800" cy="3124200"/>
            <wp:effectExtent l="0" t="0" r="0" b="0"/>
            <wp:docPr id="284" name="图片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284"/>
                    <pic:cNvPicPr>
                      <a:picLocks noChangeAspect="1"/>
                    </pic:cNvPicPr>
                  </pic:nvPicPr>
                  <pic:blipFill>
                    <a:blip r:embed="rId529" r:link="rId530"/>
                    <a:stretch>
                      <a:fillRect/>
                    </a:stretch>
                  </pic:blipFill>
                  <pic:spPr>
                    <a:xfrm>
                      <a:off x="0" y="0"/>
                      <a:ext cx="7162800" cy="3124200"/>
                    </a:xfrm>
                    <a:prstGeom prst="rect">
                      <a:avLst/>
                    </a:prstGeom>
                    <a:noFill/>
                    <a:ln>
                      <a:noFill/>
                    </a:ln>
                  </pic:spPr>
                </pic:pic>
              </a:graphicData>
            </a:graphic>
          </wp:inline>
        </w:drawing>
      </w:r>
      <w:r>
        <w:rPr>
          <w:kern w:val="0"/>
        </w:rPr>
        <w:fldChar w:fldCharType="end"/>
      </w:r>
      <w:r>
        <w:rPr>
          <w:kern w:val="0"/>
        </w:rPr>
        <w:fldChar w:fldCharType="end"/>
      </w:r>
      <w:r>
        <w:rPr>
          <w:kern w:val="0"/>
        </w:rPr>
        <w:fldChar w:fldCharType="end"/>
      </w:r>
      <w:r>
        <w:rPr>
          <w:kern w:val="0"/>
        </w:rPr>
        <w:fldChar w:fldCharType="end"/>
      </w:r>
    </w:p>
    <w:p>
      <w:pPr>
        <w:pStyle w:val="34"/>
        <w:rPr>
          <w:kern w:val="0"/>
        </w:rPr>
      </w:pPr>
      <w:r>
        <w:rPr>
          <w:rFonts w:hint="eastAsia"/>
          <w:kern w:val="0"/>
        </w:rPr>
        <w:t>支持新数据指标</w:t>
      </w:r>
    </w:p>
    <w:p>
      <w:pPr>
        <w:pStyle w:val="34"/>
        <w:rPr>
          <w:kern w:val="0"/>
        </w:rPr>
      </w:pPr>
      <w:r>
        <w:rPr>
          <w:rFonts w:hint="eastAsia"/>
          <w:kern w:val="0"/>
        </w:rPr>
        <w:t>相对收益率α、相对收益率β</w:t>
      </w:r>
    </w:p>
    <w:p>
      <w:pPr>
        <w:pStyle w:val="34"/>
        <w:rPr>
          <w:kern w:val="0"/>
        </w:rPr>
      </w:pPr>
      <w:r>
        <w:rPr>
          <w:rFonts w:hint="eastAsia"/>
          <w:kern w:val="0"/>
        </w:rPr>
        <w:t>程序交易评测系统支持选择对比品种,支持相对收益率的阿尔法和贝塔等算法</w:t>
      </w:r>
    </w:p>
    <w:p>
      <w:pPr>
        <w:pStyle w:val="34"/>
        <w:rPr>
          <w:kern w:val="0"/>
        </w:rPr>
      </w:pPr>
      <w:r>
        <w:rPr>
          <w:kern w:val="0"/>
        </w:rPr>
        <w:fldChar w:fldCharType="begin"/>
      </w:r>
      <w:r>
        <w:rPr>
          <w:kern w:val="0"/>
        </w:rPr>
        <w:instrText xml:space="preserve"> INCLUDEPICTURE  "https://www.tdx.com.cn/products/helpfile/tdxw/chm/%E7%AC%AC%E4%B8%89%E7%AB%A0  %E7%89%88%E9%9D%A2%E5%92%8C%E5%85%AC%E5%BC%8F/3-2/3-2-4/17.png" \* MERGEFORMATINET </w:instrText>
      </w:r>
      <w:r>
        <w:rPr>
          <w:kern w:val="0"/>
        </w:rPr>
        <w:fldChar w:fldCharType="separate"/>
      </w:r>
      <w:r>
        <w:rPr>
          <w:kern w:val="0"/>
        </w:rPr>
        <w:fldChar w:fldCharType="begin"/>
      </w:r>
      <w:r>
        <w:rPr>
          <w:kern w:val="0"/>
        </w:rPr>
        <w:instrText xml:space="preserve"> INCLUDEPICTURE  "https://www.tdx.com.cn/products/helpfile/tdxw/chm/%E7%AC%AC%E4%B8%89%E7%AB%A0  %E7%89%88%E9%9D%A2%E5%92%8C%E5%85%AC%E5%BC%8F/3-2/3-2-4/17.png" \* MERGEFORMATINET </w:instrText>
      </w:r>
      <w:r>
        <w:rPr>
          <w:kern w:val="0"/>
        </w:rPr>
        <w:fldChar w:fldCharType="separate"/>
      </w:r>
      <w:r>
        <w:rPr>
          <w:kern w:val="0"/>
        </w:rPr>
        <w:fldChar w:fldCharType="begin"/>
      </w:r>
      <w:r>
        <w:rPr>
          <w:kern w:val="0"/>
        </w:rPr>
        <w:instrText xml:space="preserve"> INCLUDEPICTURE  "https://www.tdx.com.cn/products/helpfile/tdxw/chm/%E7%AC%AC%E4%B8%89%E7%AB%A0  %E7%89%88%E9%9D%A2%E5%92%8C%E5%85%AC%E5%BC%8F/3-2/3-2-4/17.png" \* MERGEFORMATINET </w:instrText>
      </w:r>
      <w:r>
        <w:rPr>
          <w:kern w:val="0"/>
        </w:rPr>
        <w:fldChar w:fldCharType="separate"/>
      </w:r>
      <w:r>
        <w:rPr>
          <w:kern w:val="0"/>
        </w:rPr>
        <w:fldChar w:fldCharType="begin"/>
      </w:r>
      <w:r>
        <w:rPr>
          <w:kern w:val="0"/>
        </w:rPr>
        <w:instrText xml:space="preserve"> INCLUDEPICTURE  "https://www.tdx.com.cn/products/helpfile/tdxw/chm/%E7%AC%AC%E4%B8%89%E7%AB%A0  %E7%89%88%E9%9D%A2%E5%92%8C%E5%85%AC%E5%BC%8F/3-2/3-2-4/17.png" \* MERGEFORMATINET </w:instrText>
      </w:r>
      <w:r>
        <w:rPr>
          <w:kern w:val="0"/>
        </w:rPr>
        <w:fldChar w:fldCharType="separate"/>
      </w:r>
      <w:r>
        <w:rPr>
          <w:kern w:val="0"/>
        </w:rPr>
        <w:drawing>
          <wp:inline distT="0" distB="0" distL="114300" distR="114300">
            <wp:extent cx="6943725" cy="4086225"/>
            <wp:effectExtent l="0" t="0" r="9525" b="9525"/>
            <wp:docPr id="285" name="图片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285"/>
                    <pic:cNvPicPr>
                      <a:picLocks noChangeAspect="1"/>
                    </pic:cNvPicPr>
                  </pic:nvPicPr>
                  <pic:blipFill>
                    <a:blip r:embed="rId531" r:link="rId532"/>
                    <a:stretch>
                      <a:fillRect/>
                    </a:stretch>
                  </pic:blipFill>
                  <pic:spPr>
                    <a:xfrm>
                      <a:off x="0" y="0"/>
                      <a:ext cx="6943725" cy="4086225"/>
                    </a:xfrm>
                    <a:prstGeom prst="rect">
                      <a:avLst/>
                    </a:prstGeom>
                    <a:noFill/>
                    <a:ln>
                      <a:noFill/>
                    </a:ln>
                  </pic:spPr>
                </pic:pic>
              </a:graphicData>
            </a:graphic>
          </wp:inline>
        </w:drawing>
      </w:r>
      <w:r>
        <w:rPr>
          <w:kern w:val="0"/>
        </w:rPr>
        <w:fldChar w:fldCharType="end"/>
      </w:r>
      <w:r>
        <w:rPr>
          <w:kern w:val="0"/>
        </w:rPr>
        <w:fldChar w:fldCharType="end"/>
      </w:r>
      <w:r>
        <w:rPr>
          <w:kern w:val="0"/>
        </w:rPr>
        <w:fldChar w:fldCharType="end"/>
      </w:r>
      <w:r>
        <w:rPr>
          <w:kern w:val="0"/>
        </w:rPr>
        <w:fldChar w:fldCharType="end"/>
      </w:r>
    </w:p>
    <w:p>
      <w:pPr>
        <w:pStyle w:val="34"/>
        <w:rPr>
          <w:kern w:val="0"/>
        </w:rPr>
      </w:pPr>
      <w:r>
        <w:rPr>
          <w:rFonts w:hint="eastAsia"/>
          <w:kern w:val="0"/>
        </w:rPr>
        <w:t>相对收益率α计算： </w:t>
      </w:r>
    </w:p>
    <w:p>
      <w:pPr>
        <w:pStyle w:val="34"/>
        <w:rPr>
          <w:kern w:val="0"/>
        </w:rPr>
      </w:pPr>
      <w:r>
        <w:rPr>
          <w:kern w:val="0"/>
        </w:rPr>
        <w:fldChar w:fldCharType="begin"/>
      </w:r>
      <w:r>
        <w:rPr>
          <w:kern w:val="0"/>
        </w:rPr>
        <w:instrText xml:space="preserve"> INCLUDEPICTURE  "https://www.tdx.com.cn/products/helpfile/tdxw/chm/%E7%AC%AC%E4%B8%89%E7%AB%A0  %E7%89%88%E9%9D%A2%E5%92%8C%E5%85%AC%E5%BC%8F/3-2/3-2-4/18.png" \* MERGEFORMATINET </w:instrText>
      </w:r>
      <w:r>
        <w:rPr>
          <w:kern w:val="0"/>
        </w:rPr>
        <w:fldChar w:fldCharType="separate"/>
      </w:r>
      <w:r>
        <w:rPr>
          <w:kern w:val="0"/>
        </w:rPr>
        <w:fldChar w:fldCharType="begin"/>
      </w:r>
      <w:r>
        <w:rPr>
          <w:kern w:val="0"/>
        </w:rPr>
        <w:instrText xml:space="preserve"> INCLUDEPICTURE  "https://www.tdx.com.cn/products/helpfile/tdxw/chm/%E7%AC%AC%E4%B8%89%E7%AB%A0  %E7%89%88%E9%9D%A2%E5%92%8C%E5%85%AC%E5%BC%8F/3-2/3-2-4/18.png" \* MERGEFORMATINET </w:instrText>
      </w:r>
      <w:r>
        <w:rPr>
          <w:kern w:val="0"/>
        </w:rPr>
        <w:fldChar w:fldCharType="separate"/>
      </w:r>
      <w:r>
        <w:rPr>
          <w:kern w:val="0"/>
        </w:rPr>
        <w:fldChar w:fldCharType="begin"/>
      </w:r>
      <w:r>
        <w:rPr>
          <w:kern w:val="0"/>
        </w:rPr>
        <w:instrText xml:space="preserve"> INCLUDEPICTURE  "https://www.tdx.com.cn/products/helpfile/tdxw/chm/%E7%AC%AC%E4%B8%89%E7%AB%A0  %E7%89%88%E9%9D%A2%E5%92%8C%E5%85%AC%E5%BC%8F/3-2/3-2-4/18.png" \* MERGEFORMATINET </w:instrText>
      </w:r>
      <w:r>
        <w:rPr>
          <w:kern w:val="0"/>
        </w:rPr>
        <w:fldChar w:fldCharType="separate"/>
      </w:r>
      <w:r>
        <w:rPr>
          <w:kern w:val="0"/>
        </w:rPr>
        <w:fldChar w:fldCharType="begin"/>
      </w:r>
      <w:r>
        <w:rPr>
          <w:kern w:val="0"/>
        </w:rPr>
        <w:instrText xml:space="preserve"> INCLUDEPICTURE  "https://www.tdx.com.cn/products/helpfile/tdxw/chm/%E7%AC%AC%E4%B8%89%E7%AB%A0  %E7%89%88%E9%9D%A2%E5%92%8C%E5%85%AC%E5%BC%8F/3-2/3-2-4/18.png" \* MERGEFORMATINET </w:instrText>
      </w:r>
      <w:r>
        <w:rPr>
          <w:kern w:val="0"/>
        </w:rPr>
        <w:fldChar w:fldCharType="separate"/>
      </w:r>
      <w:r>
        <w:rPr>
          <w:kern w:val="0"/>
        </w:rPr>
        <w:drawing>
          <wp:inline distT="0" distB="0" distL="114300" distR="114300">
            <wp:extent cx="7524750" cy="2000250"/>
            <wp:effectExtent l="0" t="0" r="0" b="0"/>
            <wp:docPr id="286" name="图片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286"/>
                    <pic:cNvPicPr>
                      <a:picLocks noChangeAspect="1"/>
                    </pic:cNvPicPr>
                  </pic:nvPicPr>
                  <pic:blipFill>
                    <a:blip r:embed="rId533" r:link="rId534"/>
                    <a:stretch>
                      <a:fillRect/>
                    </a:stretch>
                  </pic:blipFill>
                  <pic:spPr>
                    <a:xfrm>
                      <a:off x="0" y="0"/>
                      <a:ext cx="7524750" cy="2000250"/>
                    </a:xfrm>
                    <a:prstGeom prst="rect">
                      <a:avLst/>
                    </a:prstGeom>
                    <a:noFill/>
                    <a:ln>
                      <a:noFill/>
                    </a:ln>
                  </pic:spPr>
                </pic:pic>
              </a:graphicData>
            </a:graphic>
          </wp:inline>
        </w:drawing>
      </w:r>
      <w:r>
        <w:rPr>
          <w:kern w:val="0"/>
        </w:rPr>
        <w:fldChar w:fldCharType="end"/>
      </w:r>
      <w:r>
        <w:rPr>
          <w:kern w:val="0"/>
        </w:rPr>
        <w:fldChar w:fldCharType="end"/>
      </w:r>
      <w:r>
        <w:rPr>
          <w:kern w:val="0"/>
        </w:rPr>
        <w:fldChar w:fldCharType="end"/>
      </w:r>
      <w:r>
        <w:rPr>
          <w:kern w:val="0"/>
        </w:rPr>
        <w:fldChar w:fldCharType="end"/>
      </w:r>
    </w:p>
    <w:p>
      <w:pPr>
        <w:pStyle w:val="34"/>
        <w:rPr>
          <w:kern w:val="0"/>
        </w:rPr>
      </w:pPr>
      <w:r>
        <w:rPr>
          <w:rFonts w:hint="eastAsia"/>
          <w:kern w:val="0"/>
        </w:rPr>
        <w:t>相对收益率β的计算 </w:t>
      </w:r>
    </w:p>
    <w:p>
      <w:pPr>
        <w:pStyle w:val="34"/>
        <w:rPr>
          <w:kern w:val="0"/>
        </w:rPr>
      </w:pPr>
      <w:r>
        <w:rPr>
          <w:kern w:val="0"/>
        </w:rPr>
        <w:fldChar w:fldCharType="begin"/>
      </w:r>
      <w:r>
        <w:rPr>
          <w:kern w:val="0"/>
        </w:rPr>
        <w:instrText xml:space="preserve"> INCLUDEPICTURE  "https://www.tdx.com.cn/products/helpfile/tdxw/chm/%E7%AC%AC%E4%B8%89%E7%AB%A0  %E7%89%88%E9%9D%A2%E5%92%8C%E5%85%AC%E5%BC%8F/3-2/3-2-4/19.png" \* MERGEFORMATINET </w:instrText>
      </w:r>
      <w:r>
        <w:rPr>
          <w:kern w:val="0"/>
        </w:rPr>
        <w:fldChar w:fldCharType="separate"/>
      </w:r>
      <w:r>
        <w:rPr>
          <w:kern w:val="0"/>
        </w:rPr>
        <w:fldChar w:fldCharType="begin"/>
      </w:r>
      <w:r>
        <w:rPr>
          <w:kern w:val="0"/>
        </w:rPr>
        <w:instrText xml:space="preserve"> INCLUDEPICTURE  "https://www.tdx.com.cn/products/helpfile/tdxw/chm/%E7%AC%AC%E4%B8%89%E7%AB%A0  %E7%89%88%E9%9D%A2%E5%92%8C%E5%85%AC%E5%BC%8F/3-2/3-2-4/19.png" \* MERGEFORMATINET </w:instrText>
      </w:r>
      <w:r>
        <w:rPr>
          <w:kern w:val="0"/>
        </w:rPr>
        <w:fldChar w:fldCharType="separate"/>
      </w:r>
      <w:r>
        <w:rPr>
          <w:kern w:val="0"/>
        </w:rPr>
        <w:fldChar w:fldCharType="begin"/>
      </w:r>
      <w:r>
        <w:rPr>
          <w:kern w:val="0"/>
        </w:rPr>
        <w:instrText xml:space="preserve"> INCLUDEPICTURE  "https://www.tdx.com.cn/products/helpfile/tdxw/chm/%E7%AC%AC%E4%B8%89%E7%AB%A0  %E7%89%88%E9%9D%A2%E5%92%8C%E5%85%AC%E5%BC%8F/3-2/3-2-4/19.png" \* MERGEFORMATINET </w:instrText>
      </w:r>
      <w:r>
        <w:rPr>
          <w:kern w:val="0"/>
        </w:rPr>
        <w:fldChar w:fldCharType="separate"/>
      </w:r>
      <w:r>
        <w:rPr>
          <w:kern w:val="0"/>
        </w:rPr>
        <w:fldChar w:fldCharType="begin"/>
      </w:r>
      <w:r>
        <w:rPr>
          <w:kern w:val="0"/>
        </w:rPr>
        <w:instrText xml:space="preserve"> INCLUDEPICTURE  "https://www.tdx.com.cn/products/helpfile/tdxw/chm/%E7%AC%AC%E4%B8%89%E7%AB%A0  %E7%89%88%E9%9D%A2%E5%92%8C%E5%85%AC%E5%BC%8F/3-2/3-2-4/19.png" \* MERGEFORMATINET </w:instrText>
      </w:r>
      <w:r>
        <w:rPr>
          <w:kern w:val="0"/>
        </w:rPr>
        <w:fldChar w:fldCharType="separate"/>
      </w:r>
      <w:r>
        <w:rPr>
          <w:kern w:val="0"/>
        </w:rPr>
        <w:drawing>
          <wp:inline distT="0" distB="0" distL="114300" distR="114300">
            <wp:extent cx="7505700" cy="4495800"/>
            <wp:effectExtent l="0" t="0" r="0" b="0"/>
            <wp:docPr id="287" name="图片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287"/>
                    <pic:cNvPicPr>
                      <a:picLocks noChangeAspect="1"/>
                    </pic:cNvPicPr>
                  </pic:nvPicPr>
                  <pic:blipFill>
                    <a:blip r:embed="rId535" r:link="rId536"/>
                    <a:stretch>
                      <a:fillRect/>
                    </a:stretch>
                  </pic:blipFill>
                  <pic:spPr>
                    <a:xfrm>
                      <a:off x="0" y="0"/>
                      <a:ext cx="7505700" cy="4495800"/>
                    </a:xfrm>
                    <a:prstGeom prst="rect">
                      <a:avLst/>
                    </a:prstGeom>
                    <a:noFill/>
                    <a:ln>
                      <a:noFill/>
                    </a:ln>
                  </pic:spPr>
                </pic:pic>
              </a:graphicData>
            </a:graphic>
          </wp:inline>
        </w:drawing>
      </w:r>
      <w:r>
        <w:rPr>
          <w:kern w:val="0"/>
        </w:rPr>
        <w:fldChar w:fldCharType="end"/>
      </w:r>
      <w:r>
        <w:rPr>
          <w:kern w:val="0"/>
        </w:rPr>
        <w:fldChar w:fldCharType="end"/>
      </w:r>
      <w:r>
        <w:rPr>
          <w:kern w:val="0"/>
        </w:rPr>
        <w:fldChar w:fldCharType="end"/>
      </w:r>
      <w:r>
        <w:rPr>
          <w:kern w:val="0"/>
        </w:rPr>
        <w:fldChar w:fldCharType="end"/>
      </w:r>
    </w:p>
    <w:p>
      <w:pPr>
        <w:pStyle w:val="34"/>
        <w:rPr>
          <w:kern w:val="0"/>
        </w:rPr>
      </w:pPr>
      <w:r>
        <w:rPr>
          <w:kern w:val="0"/>
        </w:rPr>
        <w:fldChar w:fldCharType="begin"/>
      </w:r>
      <w:r>
        <w:rPr>
          <w:kern w:val="0"/>
        </w:rPr>
        <w:instrText xml:space="preserve"> INCLUDEPICTURE  "https://www.tdx.com.cn/products/helpfile/tdxw/chm/%E7%AC%AC%E4%B8%89%E7%AB%A0  %E7%89%88%E9%9D%A2%E5%92%8C%E5%85%AC%E5%BC%8F/3-2/3-2-4/20.png" \* MERGEFORMATINET </w:instrText>
      </w:r>
      <w:r>
        <w:rPr>
          <w:kern w:val="0"/>
        </w:rPr>
        <w:fldChar w:fldCharType="separate"/>
      </w:r>
      <w:r>
        <w:rPr>
          <w:kern w:val="0"/>
        </w:rPr>
        <w:fldChar w:fldCharType="begin"/>
      </w:r>
      <w:r>
        <w:rPr>
          <w:kern w:val="0"/>
        </w:rPr>
        <w:instrText xml:space="preserve"> INCLUDEPICTURE  "https://www.tdx.com.cn/products/helpfile/tdxw/chm/%E7%AC%AC%E4%B8%89%E7%AB%A0  %E7%89%88%E9%9D%A2%E5%92%8C%E5%85%AC%E5%BC%8F/3-2/3-2-4/20.png" \* MERGEFORMATINET </w:instrText>
      </w:r>
      <w:r>
        <w:rPr>
          <w:kern w:val="0"/>
        </w:rPr>
        <w:fldChar w:fldCharType="separate"/>
      </w:r>
      <w:r>
        <w:rPr>
          <w:kern w:val="0"/>
        </w:rPr>
        <w:fldChar w:fldCharType="begin"/>
      </w:r>
      <w:r>
        <w:rPr>
          <w:kern w:val="0"/>
        </w:rPr>
        <w:instrText xml:space="preserve"> INCLUDEPICTURE  "https://www.tdx.com.cn/products/helpfile/tdxw/chm/%E7%AC%AC%E4%B8%89%E7%AB%A0  %E7%89%88%E9%9D%A2%E5%92%8C%E5%85%AC%E5%BC%8F/3-2/3-2-4/20.png" \* MERGEFORMATINET </w:instrText>
      </w:r>
      <w:r>
        <w:rPr>
          <w:kern w:val="0"/>
        </w:rPr>
        <w:fldChar w:fldCharType="separate"/>
      </w:r>
      <w:r>
        <w:rPr>
          <w:kern w:val="0"/>
        </w:rPr>
        <w:fldChar w:fldCharType="begin"/>
      </w:r>
      <w:r>
        <w:rPr>
          <w:kern w:val="0"/>
        </w:rPr>
        <w:instrText xml:space="preserve"> INCLUDEPICTURE  "https://www.tdx.com.cn/products/helpfile/tdxw/chm/%E7%AC%AC%E4%B8%89%E7%AB%A0  %E7%89%88%E9%9D%A2%E5%92%8C%E5%85%AC%E5%BC%8F/3-2/3-2-4/20.png" \* MERGEFORMATINET </w:instrText>
      </w:r>
      <w:r>
        <w:rPr>
          <w:kern w:val="0"/>
        </w:rPr>
        <w:fldChar w:fldCharType="separate"/>
      </w:r>
      <w:r>
        <w:rPr>
          <w:kern w:val="0"/>
        </w:rPr>
        <w:drawing>
          <wp:inline distT="0" distB="0" distL="114300" distR="114300">
            <wp:extent cx="8077200" cy="5753100"/>
            <wp:effectExtent l="0" t="0" r="0" b="0"/>
            <wp:docPr id="288" name="图片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288"/>
                    <pic:cNvPicPr>
                      <a:picLocks noChangeAspect="1"/>
                    </pic:cNvPicPr>
                  </pic:nvPicPr>
                  <pic:blipFill>
                    <a:blip r:embed="rId537" r:link="rId538"/>
                    <a:stretch>
                      <a:fillRect/>
                    </a:stretch>
                  </pic:blipFill>
                  <pic:spPr>
                    <a:xfrm>
                      <a:off x="0" y="0"/>
                      <a:ext cx="8077200" cy="5753100"/>
                    </a:xfrm>
                    <a:prstGeom prst="rect">
                      <a:avLst/>
                    </a:prstGeom>
                    <a:noFill/>
                    <a:ln>
                      <a:noFill/>
                    </a:ln>
                  </pic:spPr>
                </pic:pic>
              </a:graphicData>
            </a:graphic>
          </wp:inline>
        </w:drawing>
      </w:r>
      <w:r>
        <w:rPr>
          <w:kern w:val="0"/>
        </w:rPr>
        <w:fldChar w:fldCharType="end"/>
      </w:r>
      <w:r>
        <w:rPr>
          <w:kern w:val="0"/>
        </w:rPr>
        <w:fldChar w:fldCharType="end"/>
      </w:r>
      <w:r>
        <w:rPr>
          <w:kern w:val="0"/>
        </w:rPr>
        <w:fldChar w:fldCharType="end"/>
      </w:r>
      <w:r>
        <w:rPr>
          <w:kern w:val="0"/>
        </w:rPr>
        <w:fldChar w:fldCharType="end"/>
      </w:r>
    </w:p>
    <w:p>
      <w:pPr>
        <w:pStyle w:val="34"/>
        <w:rPr>
          <w:kern w:val="0"/>
        </w:rPr>
      </w:pPr>
    </w:p>
    <w:p>
      <w:pPr>
        <w:pStyle w:val="34"/>
        <w:rPr>
          <w:kern w:val="0"/>
        </w:rPr>
      </w:pPr>
      <w:r>
        <w:rPr>
          <w:rFonts w:hint="eastAsia"/>
          <w:kern w:val="0"/>
        </w:rPr>
        <w:t>支持时间维度显示</w:t>
      </w:r>
    </w:p>
    <w:p>
      <w:pPr>
        <w:pStyle w:val="34"/>
        <w:rPr>
          <w:kern w:val="0"/>
        </w:rPr>
      </w:pPr>
      <w:r>
        <w:rPr>
          <w:rFonts w:hint="eastAsia"/>
          <w:kern w:val="0"/>
        </w:rPr>
        <w:t>时间维度从时间区间的角度统计交易的明细情况。</w:t>
      </w:r>
    </w:p>
    <w:p>
      <w:pPr>
        <w:pStyle w:val="34"/>
        <w:rPr>
          <w:kern w:val="0"/>
        </w:rPr>
      </w:pPr>
      <w:r>
        <w:rPr>
          <w:rFonts w:hint="eastAsia"/>
          <w:kern w:val="0"/>
        </w:rPr>
        <w:t>收益率：净利润</w:t>
      </w:r>
      <w:r>
        <w:rPr>
          <w:rFonts w:hint="eastAsia"/>
          <w:b/>
          <w:bCs/>
          <w:kern w:val="0"/>
        </w:rPr>
        <w:t>/</w:t>
      </w:r>
      <w:r>
        <w:rPr>
          <w:rFonts w:hint="eastAsia"/>
          <w:kern w:val="0"/>
        </w:rPr>
        <w:t>买入成家额*100{收益率和 相对收益率来自成交明细，计算见上}</w:t>
      </w:r>
    </w:p>
    <w:p>
      <w:pPr>
        <w:pStyle w:val="34"/>
        <w:rPr>
          <w:kern w:val="0"/>
        </w:rPr>
      </w:pPr>
      <w:r>
        <w:rPr>
          <w:kern w:val="0"/>
        </w:rPr>
        <w:fldChar w:fldCharType="begin"/>
      </w:r>
      <w:r>
        <w:rPr>
          <w:kern w:val="0"/>
        </w:rPr>
        <w:instrText xml:space="preserve"> INCLUDEPICTURE  "https://www.tdx.com.cn/products/helpfile/tdxw/chm/%E7%AC%AC%E4%B8%89%E7%AB%A0  %E7%89%88%E9%9D%A2%E5%92%8C%E5%85%AC%E5%BC%8F/3-2/3-2-4/21.png" \* MERGEFORMATINET </w:instrText>
      </w:r>
      <w:r>
        <w:rPr>
          <w:kern w:val="0"/>
        </w:rPr>
        <w:fldChar w:fldCharType="separate"/>
      </w:r>
      <w:r>
        <w:rPr>
          <w:kern w:val="0"/>
        </w:rPr>
        <w:fldChar w:fldCharType="begin"/>
      </w:r>
      <w:r>
        <w:rPr>
          <w:kern w:val="0"/>
        </w:rPr>
        <w:instrText xml:space="preserve"> INCLUDEPICTURE  "https://www.tdx.com.cn/products/helpfile/tdxw/chm/%E7%AC%AC%E4%B8%89%E7%AB%A0  %E7%89%88%E9%9D%A2%E5%92%8C%E5%85%AC%E5%BC%8F/3-2/3-2-4/21.png" \* MERGEFORMATINET </w:instrText>
      </w:r>
      <w:r>
        <w:rPr>
          <w:kern w:val="0"/>
        </w:rPr>
        <w:fldChar w:fldCharType="separate"/>
      </w:r>
      <w:r>
        <w:rPr>
          <w:kern w:val="0"/>
        </w:rPr>
        <w:fldChar w:fldCharType="begin"/>
      </w:r>
      <w:r>
        <w:rPr>
          <w:kern w:val="0"/>
        </w:rPr>
        <w:instrText xml:space="preserve"> INCLUDEPICTURE  "https://www.tdx.com.cn/products/helpfile/tdxw/chm/%E7%AC%AC%E4%B8%89%E7%AB%A0  %E7%89%88%E9%9D%A2%E5%92%8C%E5%85%AC%E5%BC%8F/3-2/3-2-4/21.png" \* MERGEFORMATINET </w:instrText>
      </w:r>
      <w:r>
        <w:rPr>
          <w:kern w:val="0"/>
        </w:rPr>
        <w:fldChar w:fldCharType="separate"/>
      </w:r>
      <w:r>
        <w:rPr>
          <w:kern w:val="0"/>
        </w:rPr>
        <w:fldChar w:fldCharType="begin"/>
      </w:r>
      <w:r>
        <w:rPr>
          <w:kern w:val="0"/>
        </w:rPr>
        <w:instrText xml:space="preserve"> INCLUDEPICTURE  "https://www.tdx.com.cn/products/helpfile/tdxw/chm/%E7%AC%AC%E4%B8%89%E7%AB%A0  %E7%89%88%E9%9D%A2%E5%92%8C%E5%85%AC%E5%BC%8F/3-2/3-2-4/21.png" \* MERGEFORMATINET </w:instrText>
      </w:r>
      <w:r>
        <w:rPr>
          <w:kern w:val="0"/>
        </w:rPr>
        <w:fldChar w:fldCharType="separate"/>
      </w:r>
      <w:r>
        <w:rPr>
          <w:kern w:val="0"/>
        </w:rPr>
        <w:drawing>
          <wp:inline distT="0" distB="0" distL="114300" distR="114300">
            <wp:extent cx="6896100" cy="2771775"/>
            <wp:effectExtent l="0" t="0" r="0" b="9525"/>
            <wp:docPr id="289" name="图片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289"/>
                    <pic:cNvPicPr>
                      <a:picLocks noChangeAspect="1"/>
                    </pic:cNvPicPr>
                  </pic:nvPicPr>
                  <pic:blipFill>
                    <a:blip r:embed="rId539" r:link="rId540"/>
                    <a:stretch>
                      <a:fillRect/>
                    </a:stretch>
                  </pic:blipFill>
                  <pic:spPr>
                    <a:xfrm>
                      <a:off x="0" y="0"/>
                      <a:ext cx="6896100" cy="2771775"/>
                    </a:xfrm>
                    <a:prstGeom prst="rect">
                      <a:avLst/>
                    </a:prstGeom>
                    <a:noFill/>
                    <a:ln>
                      <a:noFill/>
                    </a:ln>
                  </pic:spPr>
                </pic:pic>
              </a:graphicData>
            </a:graphic>
          </wp:inline>
        </w:drawing>
      </w:r>
      <w:r>
        <w:rPr>
          <w:kern w:val="0"/>
        </w:rPr>
        <w:fldChar w:fldCharType="end"/>
      </w:r>
      <w:r>
        <w:rPr>
          <w:kern w:val="0"/>
        </w:rPr>
        <w:fldChar w:fldCharType="end"/>
      </w:r>
      <w:r>
        <w:rPr>
          <w:kern w:val="0"/>
        </w:rPr>
        <w:fldChar w:fldCharType="end"/>
      </w:r>
      <w:r>
        <w:rPr>
          <w:kern w:val="0"/>
        </w:rPr>
        <w:fldChar w:fldCharType="end"/>
      </w:r>
    </w:p>
    <w:p>
      <w:pPr>
        <w:pStyle w:val="34"/>
        <w:rPr>
          <w:kern w:val="0"/>
        </w:rPr>
      </w:pPr>
    </w:p>
    <w:p>
      <w:pPr>
        <w:pStyle w:val="34"/>
        <w:rPr>
          <w:kern w:val="0"/>
        </w:rPr>
      </w:pPr>
      <w:r>
        <w:rPr>
          <w:rFonts w:hint="eastAsia"/>
          <w:kern w:val="0"/>
        </w:rPr>
        <w:t>月度盈亏图</w:t>
      </w:r>
    </w:p>
    <w:p>
      <w:pPr>
        <w:pStyle w:val="34"/>
        <w:rPr>
          <w:kern w:val="0"/>
        </w:rPr>
      </w:pPr>
      <w:r>
        <w:rPr>
          <w:rFonts w:hint="eastAsia"/>
          <w:kern w:val="0"/>
        </w:rPr>
        <w:t>右侧：盈亏 金额数值</w:t>
      </w:r>
    </w:p>
    <w:p>
      <w:pPr>
        <w:pStyle w:val="34"/>
        <w:rPr>
          <w:kern w:val="0"/>
        </w:rPr>
      </w:pPr>
      <w:r>
        <w:rPr>
          <w:kern w:val="0"/>
        </w:rPr>
        <w:fldChar w:fldCharType="begin"/>
      </w:r>
      <w:r>
        <w:rPr>
          <w:kern w:val="0"/>
        </w:rPr>
        <w:instrText xml:space="preserve"> INCLUDEPICTURE  "https://www.tdx.com.cn/products/helpfile/tdxw/chm/%E7%AC%AC%E4%B8%89%E7%AB%A0  %E7%89%88%E9%9D%A2%E5%92%8C%E5%85%AC%E5%BC%8F/3-2/3-2-4/22.png" \* MERGEFORMATINET </w:instrText>
      </w:r>
      <w:r>
        <w:rPr>
          <w:kern w:val="0"/>
        </w:rPr>
        <w:fldChar w:fldCharType="separate"/>
      </w:r>
      <w:r>
        <w:rPr>
          <w:kern w:val="0"/>
        </w:rPr>
        <w:fldChar w:fldCharType="begin"/>
      </w:r>
      <w:r>
        <w:rPr>
          <w:kern w:val="0"/>
        </w:rPr>
        <w:instrText xml:space="preserve"> INCLUDEPICTURE  "https://www.tdx.com.cn/products/helpfile/tdxw/chm/%E7%AC%AC%E4%B8%89%E7%AB%A0  %E7%89%88%E9%9D%A2%E5%92%8C%E5%85%AC%E5%BC%8F/3-2/3-2-4/22.png" \* MERGEFORMATINET </w:instrText>
      </w:r>
      <w:r>
        <w:rPr>
          <w:kern w:val="0"/>
        </w:rPr>
        <w:fldChar w:fldCharType="separate"/>
      </w:r>
      <w:r>
        <w:rPr>
          <w:kern w:val="0"/>
        </w:rPr>
        <w:fldChar w:fldCharType="begin"/>
      </w:r>
      <w:r>
        <w:rPr>
          <w:kern w:val="0"/>
        </w:rPr>
        <w:instrText xml:space="preserve"> INCLUDEPICTURE  "https://www.tdx.com.cn/products/helpfile/tdxw/chm/%E7%AC%AC%E4%B8%89%E7%AB%A0  %E7%89%88%E9%9D%A2%E5%92%8C%E5%85%AC%E5%BC%8F/3-2/3-2-4/22.png" \* MERGEFORMATINET </w:instrText>
      </w:r>
      <w:r>
        <w:rPr>
          <w:kern w:val="0"/>
        </w:rPr>
        <w:fldChar w:fldCharType="separate"/>
      </w:r>
      <w:r>
        <w:rPr>
          <w:kern w:val="0"/>
        </w:rPr>
        <w:fldChar w:fldCharType="begin"/>
      </w:r>
      <w:r>
        <w:rPr>
          <w:kern w:val="0"/>
        </w:rPr>
        <w:instrText xml:space="preserve"> INCLUDEPICTURE  "https://www.tdx.com.cn/products/helpfile/tdxw/chm/%E7%AC%AC%E4%B8%89%E7%AB%A0  %E7%89%88%E9%9D%A2%E5%92%8C%E5%85%AC%E5%BC%8F/3-2/3-2-4/22.png" \* MERGEFORMATINET </w:instrText>
      </w:r>
      <w:r>
        <w:rPr>
          <w:kern w:val="0"/>
        </w:rPr>
        <w:fldChar w:fldCharType="separate"/>
      </w:r>
      <w:r>
        <w:rPr>
          <w:kern w:val="0"/>
        </w:rPr>
        <w:drawing>
          <wp:inline distT="0" distB="0" distL="114300" distR="114300">
            <wp:extent cx="8572500" cy="4514850"/>
            <wp:effectExtent l="0" t="0" r="0" b="0"/>
            <wp:docPr id="290" name="图片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290"/>
                    <pic:cNvPicPr>
                      <a:picLocks noChangeAspect="1"/>
                    </pic:cNvPicPr>
                  </pic:nvPicPr>
                  <pic:blipFill>
                    <a:blip r:embed="rId541" r:link="rId542"/>
                    <a:stretch>
                      <a:fillRect/>
                    </a:stretch>
                  </pic:blipFill>
                  <pic:spPr>
                    <a:xfrm>
                      <a:off x="0" y="0"/>
                      <a:ext cx="8572500" cy="4514850"/>
                    </a:xfrm>
                    <a:prstGeom prst="rect">
                      <a:avLst/>
                    </a:prstGeom>
                    <a:noFill/>
                    <a:ln>
                      <a:noFill/>
                    </a:ln>
                  </pic:spPr>
                </pic:pic>
              </a:graphicData>
            </a:graphic>
          </wp:inline>
        </w:drawing>
      </w:r>
      <w:r>
        <w:rPr>
          <w:kern w:val="0"/>
        </w:rPr>
        <w:fldChar w:fldCharType="end"/>
      </w:r>
      <w:r>
        <w:rPr>
          <w:kern w:val="0"/>
        </w:rPr>
        <w:fldChar w:fldCharType="end"/>
      </w:r>
      <w:r>
        <w:rPr>
          <w:kern w:val="0"/>
        </w:rPr>
        <w:fldChar w:fldCharType="end"/>
      </w:r>
      <w:r>
        <w:rPr>
          <w:kern w:val="0"/>
        </w:rPr>
        <w:fldChar w:fldCharType="end"/>
      </w:r>
    </w:p>
    <w:p>
      <w:pPr>
        <w:pStyle w:val="34"/>
        <w:rPr>
          <w:kern w:val="0"/>
        </w:rPr>
      </w:pPr>
    </w:p>
    <w:p>
      <w:pPr>
        <w:pStyle w:val="34"/>
        <w:rPr>
          <w:kern w:val="0"/>
        </w:rPr>
      </w:pPr>
      <w:r>
        <w:rPr>
          <w:rFonts w:hint="eastAsia"/>
          <w:kern w:val="0"/>
        </w:rPr>
        <w:t>浮动盈亏图</w:t>
      </w:r>
    </w:p>
    <w:p>
      <w:pPr>
        <w:pStyle w:val="34"/>
        <w:rPr>
          <w:kern w:val="0"/>
        </w:rPr>
      </w:pPr>
      <w:r>
        <w:rPr>
          <w:rFonts w:hint="eastAsia"/>
          <w:kern w:val="0"/>
        </w:rPr>
        <w:t>盈亏比例计算是盈亏金额与初始资金的对比</w:t>
      </w:r>
    </w:p>
    <w:p>
      <w:pPr>
        <w:pStyle w:val="34"/>
        <w:rPr>
          <w:kern w:val="0"/>
        </w:rPr>
      </w:pPr>
      <w:r>
        <w:rPr>
          <w:kern w:val="0"/>
        </w:rPr>
        <w:fldChar w:fldCharType="begin"/>
      </w:r>
      <w:r>
        <w:rPr>
          <w:kern w:val="0"/>
        </w:rPr>
        <w:instrText xml:space="preserve"> INCLUDEPICTURE  "https://www.tdx.com.cn/products/helpfile/tdxw/chm/%E7%AC%AC%E4%B8%89%E7%AB%A0  %E7%89%88%E9%9D%A2%E5%92%8C%E5%85%AC%E5%BC%8F/3-2/3-2-4/23.png" \* MERGEFORMATINET </w:instrText>
      </w:r>
      <w:r>
        <w:rPr>
          <w:kern w:val="0"/>
        </w:rPr>
        <w:fldChar w:fldCharType="separate"/>
      </w:r>
      <w:r>
        <w:rPr>
          <w:kern w:val="0"/>
        </w:rPr>
        <w:fldChar w:fldCharType="begin"/>
      </w:r>
      <w:r>
        <w:rPr>
          <w:kern w:val="0"/>
        </w:rPr>
        <w:instrText xml:space="preserve"> INCLUDEPICTURE  "https://www.tdx.com.cn/products/helpfile/tdxw/chm/%E7%AC%AC%E4%B8%89%E7%AB%A0  %E7%89%88%E9%9D%A2%E5%92%8C%E5%85%AC%E5%BC%8F/3-2/3-2-4/23.png" \* MERGEFORMATINET </w:instrText>
      </w:r>
      <w:r>
        <w:rPr>
          <w:kern w:val="0"/>
        </w:rPr>
        <w:fldChar w:fldCharType="separate"/>
      </w:r>
      <w:r>
        <w:rPr>
          <w:kern w:val="0"/>
        </w:rPr>
        <w:fldChar w:fldCharType="begin"/>
      </w:r>
      <w:r>
        <w:rPr>
          <w:kern w:val="0"/>
        </w:rPr>
        <w:instrText xml:space="preserve"> INCLUDEPICTURE  "https://www.tdx.com.cn/products/helpfile/tdxw/chm/%E7%AC%AC%E4%B8%89%E7%AB%A0  %E7%89%88%E9%9D%A2%E5%92%8C%E5%85%AC%E5%BC%8F/3-2/3-2-4/23.png" \* MERGEFORMATINET </w:instrText>
      </w:r>
      <w:r>
        <w:rPr>
          <w:kern w:val="0"/>
        </w:rPr>
        <w:fldChar w:fldCharType="separate"/>
      </w:r>
      <w:r>
        <w:rPr>
          <w:kern w:val="0"/>
        </w:rPr>
        <w:fldChar w:fldCharType="begin"/>
      </w:r>
      <w:r>
        <w:rPr>
          <w:kern w:val="0"/>
        </w:rPr>
        <w:instrText xml:space="preserve"> INCLUDEPICTURE  "https://www.tdx.com.cn/products/helpfile/tdxw/chm/%E7%AC%AC%E4%B8%89%E7%AB%A0  %E7%89%88%E9%9D%A2%E5%92%8C%E5%85%AC%E5%BC%8F/3-2/3-2-4/23.png" \* MERGEFORMATINET </w:instrText>
      </w:r>
      <w:r>
        <w:rPr>
          <w:kern w:val="0"/>
        </w:rPr>
        <w:fldChar w:fldCharType="separate"/>
      </w:r>
      <w:r>
        <w:rPr>
          <w:kern w:val="0"/>
        </w:rPr>
        <w:drawing>
          <wp:inline distT="0" distB="0" distL="114300" distR="114300">
            <wp:extent cx="7639050" cy="4400550"/>
            <wp:effectExtent l="0" t="0" r="0" b="0"/>
            <wp:docPr id="291" name="图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291"/>
                    <pic:cNvPicPr>
                      <a:picLocks noChangeAspect="1"/>
                    </pic:cNvPicPr>
                  </pic:nvPicPr>
                  <pic:blipFill>
                    <a:blip r:embed="rId543" r:link="rId544"/>
                    <a:stretch>
                      <a:fillRect/>
                    </a:stretch>
                  </pic:blipFill>
                  <pic:spPr>
                    <a:xfrm>
                      <a:off x="0" y="0"/>
                      <a:ext cx="7639050" cy="4400550"/>
                    </a:xfrm>
                    <a:prstGeom prst="rect">
                      <a:avLst/>
                    </a:prstGeom>
                    <a:noFill/>
                    <a:ln>
                      <a:noFill/>
                    </a:ln>
                  </pic:spPr>
                </pic:pic>
              </a:graphicData>
            </a:graphic>
          </wp:inline>
        </w:drawing>
      </w:r>
      <w:r>
        <w:rPr>
          <w:kern w:val="0"/>
        </w:rPr>
        <w:fldChar w:fldCharType="end"/>
      </w:r>
      <w:r>
        <w:rPr>
          <w:kern w:val="0"/>
        </w:rPr>
        <w:fldChar w:fldCharType="end"/>
      </w:r>
      <w:r>
        <w:rPr>
          <w:kern w:val="0"/>
        </w:rPr>
        <w:fldChar w:fldCharType="end"/>
      </w:r>
      <w:r>
        <w:rPr>
          <w:kern w:val="0"/>
        </w:rPr>
        <w:fldChar w:fldCharType="end"/>
      </w:r>
    </w:p>
    <w:p>
      <w:pPr>
        <w:pStyle w:val="34"/>
        <w:rPr>
          <w:kern w:val="0"/>
        </w:rPr>
      </w:pPr>
    </w:p>
    <w:p>
      <w:pPr>
        <w:pStyle w:val="34"/>
        <w:rPr>
          <w:kern w:val="0"/>
        </w:rPr>
      </w:pPr>
      <w:r>
        <w:rPr>
          <w:rFonts w:hint="eastAsia"/>
          <w:kern w:val="0"/>
        </w:rPr>
        <w:t>资金曲线图</w:t>
      </w:r>
    </w:p>
    <w:p>
      <w:pPr>
        <w:pStyle w:val="34"/>
        <w:rPr>
          <w:kern w:val="0"/>
          <w:sz w:val="27"/>
          <w:szCs w:val="27"/>
        </w:rPr>
      </w:pPr>
      <w:r>
        <w:rPr>
          <w:rFonts w:hint="eastAsia"/>
          <w:kern w:val="0"/>
        </w:rPr>
        <w:t>右侧：k线价格和可用资金。左侧：资金变化比例。资金上浮比例为正，资金下浮比例为负。</w:t>
      </w:r>
    </w:p>
    <w:p>
      <w:pPr>
        <w:pStyle w:val="34"/>
        <w:ind w:firstLine="540"/>
        <w:rPr>
          <w:kern w:val="0"/>
          <w:sz w:val="27"/>
          <w:szCs w:val="27"/>
        </w:rPr>
      </w:pPr>
      <w:r>
        <w:rPr>
          <w:kern w:val="0"/>
          <w:sz w:val="27"/>
          <w:szCs w:val="27"/>
        </w:rPr>
        <w:fldChar w:fldCharType="begin"/>
      </w:r>
      <w:r>
        <w:rPr>
          <w:kern w:val="0"/>
          <w:sz w:val="27"/>
          <w:szCs w:val="27"/>
        </w:rPr>
        <w:instrText xml:space="preserve"> INCLUDEPICTURE  "https://www.tdx.com.cn/products/helpfile/tdxw/chm/%E7%AC%AC%E4%B8%89%E7%AB%A0  %E7%89%88%E9%9D%A2%E5%92%8C%E5%85%AC%E5%BC%8F/3-2/3-2-4/24.png" \* MERGEFORMATINET </w:instrText>
      </w:r>
      <w:r>
        <w:rPr>
          <w:kern w:val="0"/>
          <w:sz w:val="27"/>
          <w:szCs w:val="27"/>
        </w:rPr>
        <w:fldChar w:fldCharType="separate"/>
      </w:r>
      <w:r>
        <w:rPr>
          <w:kern w:val="0"/>
          <w:sz w:val="27"/>
          <w:szCs w:val="27"/>
        </w:rPr>
        <w:fldChar w:fldCharType="begin"/>
      </w:r>
      <w:r>
        <w:rPr>
          <w:kern w:val="0"/>
          <w:sz w:val="27"/>
          <w:szCs w:val="27"/>
        </w:rPr>
        <w:instrText xml:space="preserve"> INCLUDEPICTURE  "https://www.tdx.com.cn/products/helpfile/tdxw/chm/%E7%AC%AC%E4%B8%89%E7%AB%A0  %E7%89%88%E9%9D%A2%E5%92%8C%E5%85%AC%E5%BC%8F/3-2/3-2-4/24.png" \* MERGEFORMATINET </w:instrText>
      </w:r>
      <w:r>
        <w:rPr>
          <w:kern w:val="0"/>
          <w:sz w:val="27"/>
          <w:szCs w:val="27"/>
        </w:rPr>
        <w:fldChar w:fldCharType="separate"/>
      </w:r>
      <w:r>
        <w:rPr>
          <w:kern w:val="0"/>
          <w:sz w:val="27"/>
          <w:szCs w:val="27"/>
        </w:rPr>
        <w:fldChar w:fldCharType="begin"/>
      </w:r>
      <w:r>
        <w:rPr>
          <w:kern w:val="0"/>
          <w:sz w:val="27"/>
          <w:szCs w:val="27"/>
        </w:rPr>
        <w:instrText xml:space="preserve"> INCLUDEPICTURE  "https://www.tdx.com.cn/products/helpfile/tdxw/chm/%E7%AC%AC%E4%B8%89%E7%AB%A0  %E7%89%88%E9%9D%A2%E5%92%8C%E5%85%AC%E5%BC%8F/3-2/3-2-4/24.png" \* MERGEFORMATINET </w:instrText>
      </w:r>
      <w:r>
        <w:rPr>
          <w:kern w:val="0"/>
          <w:sz w:val="27"/>
          <w:szCs w:val="27"/>
        </w:rPr>
        <w:fldChar w:fldCharType="separate"/>
      </w:r>
      <w:r>
        <w:rPr>
          <w:kern w:val="0"/>
          <w:sz w:val="27"/>
          <w:szCs w:val="27"/>
        </w:rPr>
        <w:fldChar w:fldCharType="begin"/>
      </w:r>
      <w:r>
        <w:rPr>
          <w:kern w:val="0"/>
          <w:sz w:val="27"/>
          <w:szCs w:val="27"/>
        </w:rPr>
        <w:instrText xml:space="preserve"> INCLUDEPICTURE  "https://www.tdx.com.cn/products/helpfile/tdxw/chm/%E7%AC%AC%E4%B8%89%E7%AB%A0  %E7%89%88%E9%9D%A2%E5%92%8C%E5%85%AC%E5%BC%8F/3-2/3-2-4/24.png" \* MERGEFORMATINET </w:instrText>
      </w:r>
      <w:r>
        <w:rPr>
          <w:kern w:val="0"/>
          <w:sz w:val="27"/>
          <w:szCs w:val="27"/>
        </w:rPr>
        <w:fldChar w:fldCharType="separate"/>
      </w:r>
      <w:r>
        <w:rPr>
          <w:kern w:val="0"/>
          <w:sz w:val="27"/>
          <w:szCs w:val="27"/>
        </w:rPr>
        <w:drawing>
          <wp:inline distT="0" distB="0" distL="114300" distR="114300">
            <wp:extent cx="7381875" cy="3619500"/>
            <wp:effectExtent l="0" t="0" r="9525" b="0"/>
            <wp:docPr id="292" name="图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292"/>
                    <pic:cNvPicPr>
                      <a:picLocks noChangeAspect="1"/>
                    </pic:cNvPicPr>
                  </pic:nvPicPr>
                  <pic:blipFill>
                    <a:blip r:embed="rId545" r:link="rId546"/>
                    <a:stretch>
                      <a:fillRect/>
                    </a:stretch>
                  </pic:blipFill>
                  <pic:spPr>
                    <a:xfrm>
                      <a:off x="0" y="0"/>
                      <a:ext cx="7381875" cy="3619500"/>
                    </a:xfrm>
                    <a:prstGeom prst="rect">
                      <a:avLst/>
                    </a:prstGeom>
                    <a:noFill/>
                    <a:ln>
                      <a:noFill/>
                    </a:ln>
                  </pic:spPr>
                </pic:pic>
              </a:graphicData>
            </a:graphic>
          </wp:inline>
        </w:drawing>
      </w:r>
      <w:r>
        <w:rPr>
          <w:kern w:val="0"/>
          <w:sz w:val="27"/>
          <w:szCs w:val="27"/>
        </w:rPr>
        <w:fldChar w:fldCharType="end"/>
      </w:r>
      <w:r>
        <w:rPr>
          <w:kern w:val="0"/>
          <w:sz w:val="27"/>
          <w:szCs w:val="27"/>
        </w:rPr>
        <w:fldChar w:fldCharType="end"/>
      </w:r>
      <w:r>
        <w:rPr>
          <w:kern w:val="0"/>
          <w:sz w:val="27"/>
          <w:szCs w:val="27"/>
        </w:rPr>
        <w:fldChar w:fldCharType="end"/>
      </w:r>
      <w:r>
        <w:rPr>
          <w:kern w:val="0"/>
          <w:sz w:val="27"/>
          <w:szCs w:val="27"/>
        </w:rPr>
        <w:fldChar w:fldCharType="end"/>
      </w:r>
    </w:p>
    <w:p>
      <w:pPr>
        <w:pStyle w:val="4"/>
      </w:pPr>
      <w:r>
        <w:rPr>
          <w:rFonts w:hint="eastAsia"/>
        </w:rPr>
        <w:t>探索最佳专家系统</w:t>
      </w:r>
    </w:p>
    <w:p>
      <w:pPr>
        <w:pStyle w:val="34"/>
      </w:pPr>
      <w:r>
        <w:rPr>
          <w:rFonts w:hint="eastAsia"/>
        </w:rPr>
        <w:t>评测出适合评测股票的专家系统指标公式。</w:t>
      </w:r>
    </w:p>
    <w:p>
      <w:pPr>
        <w:pStyle w:val="34"/>
      </w:pPr>
    </w:p>
    <w:p>
      <w:pPr>
        <w:pStyle w:val="34"/>
      </w:pPr>
      <w:r>
        <w:rPr>
          <w:rFonts w:hint="eastAsia"/>
        </w:rPr>
        <w:t>进入方式</w:t>
      </w:r>
    </w:p>
    <w:p>
      <w:pPr>
        <w:pStyle w:val="34"/>
      </w:pPr>
      <w:r>
        <w:rPr>
          <w:rFonts w:hint="eastAsia"/>
        </w:rPr>
        <w:t>1、公式——探索最佳专家系统</w:t>
      </w:r>
    </w:p>
    <w:p>
      <w:pPr>
        <w:pStyle w:val="34"/>
      </w:pPr>
      <w:r>
        <w:rPr>
          <w:rFonts w:hint="eastAsia"/>
        </w:rPr>
        <w:t>2、键盘精灵输入.904</w:t>
      </w:r>
    </w:p>
    <w:p>
      <w:pPr>
        <w:pStyle w:val="34"/>
      </w:pPr>
      <w:r>
        <w:rPr>
          <w:rFonts w:hint="eastAsia"/>
        </w:rPr>
        <w:t>操作步骤</w:t>
      </w:r>
    </w:p>
    <w:p>
      <w:pPr>
        <w:pStyle w:val="34"/>
      </w:pPr>
      <w:r>
        <w:rPr>
          <w:rFonts w:hint="eastAsia"/>
        </w:rPr>
        <w:t>选择要评测的个股（在k线界面.904 评测品种就是当前股票；在行情报价界面敲.904时光标停留品种即为评测品种）</w:t>
      </w:r>
    </w:p>
    <w:p>
      <w:pPr>
        <w:pStyle w:val="34"/>
      </w:pPr>
      <w:r>
        <w:rPr>
          <w:rFonts w:hint="eastAsia"/>
        </w:rPr>
        <w:t>选择评测指标公式，可以点击“全部选中”评测被选品种所有专家系统公式计算结果。</w:t>
      </w:r>
    </w:p>
    <w:p>
      <w:pPr>
        <w:pStyle w:val="34"/>
      </w:pPr>
      <w:r>
        <w:rPr>
          <w:rFonts w:hint="eastAsia"/>
        </w:rPr>
        <w:t>这里选择MA专家系统公式。</w:t>
      </w:r>
    </w:p>
    <w:p>
      <w:pPr>
        <w:pStyle w:val="34"/>
      </w:pPr>
      <w:r>
        <w:fldChar w:fldCharType="begin"/>
      </w:r>
      <w:r>
        <w:instrText xml:space="preserve"> INCLUDEPICTURE  "https://www.tdx.com.cn/products/helpfile/tdxw/chm/%E7%AC%AC%E4%B8%89%E7%AB%A0  %E7%89%88%E9%9D%A2%E5%92%8C%E5%85%AC%E5%BC%8F/3-2/3-2-5/1.png" \* MERGEFORMATINET </w:instrText>
      </w:r>
      <w:r>
        <w:fldChar w:fldCharType="separate"/>
      </w:r>
      <w:r>
        <w:fldChar w:fldCharType="begin"/>
      </w:r>
      <w:r>
        <w:instrText xml:space="preserve"> INCLUDEPICTURE  "https://www.tdx.com.cn/products/helpfile/tdxw/chm/%E7%AC%AC%E4%B8%89%E7%AB%A0  %E7%89%88%E9%9D%A2%E5%92%8C%E5%85%AC%E5%BC%8F/3-2/3-2-5/1.png" \* MERGEFORMATINET </w:instrText>
      </w:r>
      <w:r>
        <w:fldChar w:fldCharType="separate"/>
      </w:r>
      <w:r>
        <w:fldChar w:fldCharType="begin"/>
      </w:r>
      <w:r>
        <w:instrText xml:space="preserve"> INCLUDEPICTURE  "https://www.tdx.com.cn/products/helpfile/tdxw/chm/%E7%AC%AC%E4%B8%89%E7%AB%A0  %E7%89%88%E9%9D%A2%E5%92%8C%E5%85%AC%E5%BC%8F/3-2/3-2-5/1.png" \* MERGEFORMATINET </w:instrText>
      </w:r>
      <w:r>
        <w:fldChar w:fldCharType="separate"/>
      </w:r>
      <w:r>
        <w:fldChar w:fldCharType="begin"/>
      </w:r>
      <w:r>
        <w:instrText xml:space="preserve"> INCLUDEPICTURE  "https://www.tdx.com.cn/products/helpfile/tdxw/chm/%E7%AC%AC%E4%B8%89%E7%AB%A0  %E7%89%88%E9%9D%A2%E5%92%8C%E5%85%AC%E5%BC%8F/3-2/3-2-5/1.png" \* MERGEFORMATINET </w:instrText>
      </w:r>
      <w:r>
        <w:fldChar w:fldCharType="separate"/>
      </w:r>
      <w:r>
        <w:drawing>
          <wp:inline distT="0" distB="0" distL="114300" distR="114300">
            <wp:extent cx="7534275" cy="4714875"/>
            <wp:effectExtent l="0" t="0" r="9525" b="9525"/>
            <wp:docPr id="293" name="图片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293"/>
                    <pic:cNvPicPr>
                      <a:picLocks noChangeAspect="1"/>
                    </pic:cNvPicPr>
                  </pic:nvPicPr>
                  <pic:blipFill>
                    <a:blip r:embed="rId547" r:link="rId548"/>
                    <a:stretch>
                      <a:fillRect/>
                    </a:stretch>
                  </pic:blipFill>
                  <pic:spPr>
                    <a:xfrm>
                      <a:off x="0" y="0"/>
                      <a:ext cx="7534275" cy="4714875"/>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 </w:t>
      </w:r>
    </w:p>
    <w:p>
      <w:pPr>
        <w:pStyle w:val="34"/>
      </w:pPr>
      <w:r>
        <w:rPr>
          <w:rFonts w:hint="eastAsia"/>
        </w:rPr>
        <w:t>其他设置</w:t>
      </w:r>
    </w:p>
    <w:p>
      <w:pPr>
        <w:pStyle w:val="34"/>
      </w:pPr>
      <w:r>
        <w:rPr>
          <w:rFonts w:hint="eastAsia"/>
        </w:rPr>
        <w:t>这里设置评测时段为最近一年。</w:t>
      </w:r>
    </w:p>
    <w:p>
      <w:pPr>
        <w:pStyle w:val="34"/>
      </w:pPr>
      <w:r>
        <w:rPr>
          <w:rFonts w:hint="eastAsia"/>
        </w:rPr>
        <w:t>默认设置评测周期“日线”；默认设置探索策略“盈利次数最大化”；评测时段默认为“全部本地数据”；点击“评测系统”进入“程序交易评测系统”。</w:t>
      </w:r>
    </w:p>
    <w:p>
      <w:pPr>
        <w:pStyle w:val="34"/>
      </w:pPr>
      <w:r>
        <w:rPr>
          <w:rFonts w:hint="eastAsia"/>
        </w:rPr>
        <w:t> </w:t>
      </w:r>
    </w:p>
    <w:p>
      <w:pPr>
        <w:pStyle w:val="34"/>
      </w:pPr>
      <w:r>
        <w:rPr>
          <w:rFonts w:hint="eastAsia"/>
        </w:rPr>
        <w:t>评测结果</w:t>
      </w:r>
    </w:p>
    <w:p>
      <w:pPr>
        <w:pStyle w:val="34"/>
      </w:pPr>
      <w:r>
        <w:rPr>
          <w:rFonts w:hint="eastAsia"/>
        </w:rPr>
        <w:t>评测成功自动弹出每组参数组合的交易盈利情况</w:t>
      </w:r>
    </w:p>
    <w:p>
      <w:pPr>
        <w:pStyle w:val="34"/>
      </w:pPr>
      <w:r>
        <w:rPr>
          <w:rFonts w:hint="eastAsia"/>
        </w:rPr>
        <w:t>同程序交易评测系统，双击组合可以进入对应组合的被测评股票品种的历史交易明细</w:t>
      </w:r>
    </w:p>
    <w:p>
      <w:pPr>
        <w:pStyle w:val="34"/>
      </w:pPr>
      <w:r>
        <w:fldChar w:fldCharType="begin"/>
      </w:r>
      <w:r>
        <w:instrText xml:space="preserve"> INCLUDEPICTURE  "https://www.tdx.com.cn/products/helpfile/tdxw/chm/%E7%AC%AC%E4%B8%89%E7%AB%A0  %E7%89%88%E9%9D%A2%E5%92%8C%E5%85%AC%E5%BC%8F/3-2/3-2-5/2.png" \* MERGEFORMATINET </w:instrText>
      </w:r>
      <w:r>
        <w:fldChar w:fldCharType="separate"/>
      </w:r>
      <w:r>
        <w:fldChar w:fldCharType="begin"/>
      </w:r>
      <w:r>
        <w:instrText xml:space="preserve"> INCLUDEPICTURE  "https://www.tdx.com.cn/products/helpfile/tdxw/chm/%E7%AC%AC%E4%B8%89%E7%AB%A0  %E7%89%88%E9%9D%A2%E5%92%8C%E5%85%AC%E5%BC%8F/3-2/3-2-5/2.png" \* MERGEFORMATINET </w:instrText>
      </w:r>
      <w:r>
        <w:fldChar w:fldCharType="separate"/>
      </w:r>
      <w:r>
        <w:fldChar w:fldCharType="begin"/>
      </w:r>
      <w:r>
        <w:instrText xml:space="preserve"> INCLUDEPICTURE  "https://www.tdx.com.cn/products/helpfile/tdxw/chm/%E7%AC%AC%E4%B8%89%E7%AB%A0  %E7%89%88%E9%9D%A2%E5%92%8C%E5%85%AC%E5%BC%8F/3-2/3-2-5/2.png" \* MERGEFORMATINET </w:instrText>
      </w:r>
      <w:r>
        <w:fldChar w:fldCharType="separate"/>
      </w:r>
      <w:r>
        <w:fldChar w:fldCharType="begin"/>
      </w:r>
      <w:r>
        <w:instrText xml:space="preserve"> INCLUDEPICTURE  "https://www.tdx.com.cn/products/helpfile/tdxw/chm/%E7%AC%AC%E4%B8%89%E7%AB%A0  %E7%89%88%E9%9D%A2%E5%92%8C%E5%85%AC%E5%BC%8F/3-2/3-2-5/2.png" \* MERGEFORMATINET </w:instrText>
      </w:r>
      <w:r>
        <w:fldChar w:fldCharType="separate"/>
      </w:r>
      <w:r>
        <w:drawing>
          <wp:inline distT="0" distB="0" distL="114300" distR="114300">
            <wp:extent cx="9048750" cy="2095500"/>
            <wp:effectExtent l="0" t="0" r="0" b="0"/>
            <wp:docPr id="294" name="图片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294"/>
                    <pic:cNvPicPr>
                      <a:picLocks noChangeAspect="1"/>
                    </pic:cNvPicPr>
                  </pic:nvPicPr>
                  <pic:blipFill>
                    <a:blip r:embed="rId549" r:link="rId550"/>
                    <a:stretch>
                      <a:fillRect/>
                    </a:stretch>
                  </pic:blipFill>
                  <pic:spPr>
                    <a:xfrm>
                      <a:off x="0" y="0"/>
                      <a:ext cx="9048750" cy="2095500"/>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查看上面的按照盈利次数降序排序，盈利次数最大化是参数(6,5)组合（点击交易汇总可以进入交易明细 同上程序交易评测系统）</w:t>
      </w:r>
    </w:p>
    <w:p>
      <w:pPr>
        <w:pStyle w:val="34"/>
      </w:pPr>
      <w:r>
        <w:fldChar w:fldCharType="begin"/>
      </w:r>
      <w:r>
        <w:instrText xml:space="preserve"> INCLUDEPICTURE  "https://www.tdx.com.cn/products/helpfile/tdxw/chm/%E7%AC%AC%E4%B8%89%E7%AB%A0  %E7%89%88%E9%9D%A2%E5%92%8C%E5%85%AC%E5%BC%8F/3-2/3-2-5/3.png" \* MERGEFORMATINET </w:instrText>
      </w:r>
      <w:r>
        <w:fldChar w:fldCharType="separate"/>
      </w:r>
      <w:r>
        <w:fldChar w:fldCharType="begin"/>
      </w:r>
      <w:r>
        <w:instrText xml:space="preserve"> INCLUDEPICTURE  "https://www.tdx.com.cn/products/helpfile/tdxw/chm/%E7%AC%AC%E4%B8%89%E7%AB%A0  %E7%89%88%E9%9D%A2%E5%92%8C%E5%85%AC%E5%BC%8F/3-2/3-2-5/3.png" \* MERGEFORMATINET </w:instrText>
      </w:r>
      <w:r>
        <w:fldChar w:fldCharType="separate"/>
      </w:r>
      <w:r>
        <w:fldChar w:fldCharType="begin"/>
      </w:r>
      <w:r>
        <w:instrText xml:space="preserve"> INCLUDEPICTURE  "https://www.tdx.com.cn/products/helpfile/tdxw/chm/%E7%AC%AC%E4%B8%89%E7%AB%A0  %E7%89%88%E9%9D%A2%E5%92%8C%E5%85%AC%E5%BC%8F/3-2/3-2-5/3.png" \* MERGEFORMATINET </w:instrText>
      </w:r>
      <w:r>
        <w:fldChar w:fldCharType="separate"/>
      </w:r>
      <w:r>
        <w:fldChar w:fldCharType="begin"/>
      </w:r>
      <w:r>
        <w:instrText xml:space="preserve"> INCLUDEPICTURE  "https://www.tdx.com.cn/products/helpfile/tdxw/chm/%E7%AC%AC%E4%B8%89%E7%AB%A0  %E7%89%88%E9%9D%A2%E5%92%8C%E5%85%AC%E5%BC%8F/3-2/3-2-5/3.png" \* MERGEFORMATINET </w:instrText>
      </w:r>
      <w:r>
        <w:fldChar w:fldCharType="separate"/>
      </w:r>
      <w:r>
        <w:drawing>
          <wp:inline distT="0" distB="0" distL="114300" distR="114300">
            <wp:extent cx="7286625" cy="5305425"/>
            <wp:effectExtent l="0" t="0" r="9525" b="9525"/>
            <wp:docPr id="295" name="图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295"/>
                    <pic:cNvPicPr>
                      <a:picLocks noChangeAspect="1"/>
                    </pic:cNvPicPr>
                  </pic:nvPicPr>
                  <pic:blipFill>
                    <a:blip r:embed="rId551" r:link="rId552"/>
                    <a:stretch>
                      <a:fillRect/>
                    </a:stretch>
                  </pic:blipFill>
                  <pic:spPr>
                    <a:xfrm>
                      <a:off x="0" y="0"/>
                      <a:ext cx="7286625" cy="5305425"/>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p>
    <w:p>
      <w:pPr>
        <w:pStyle w:val="34"/>
      </w:pPr>
      <w:r>
        <w:rPr>
          <w:rFonts w:hint="eastAsia"/>
        </w:rPr>
        <w:t>附注信息 </w:t>
      </w:r>
    </w:p>
    <w:p>
      <w:pPr>
        <w:pStyle w:val="34"/>
      </w:pPr>
      <w:r>
        <w:rPr>
          <w:rFonts w:hint="eastAsia"/>
        </w:rPr>
        <w:t>探索策略保证测试出符合策略的唯一参数组合</w:t>
      </w:r>
    </w:p>
    <w:tbl>
      <w:tblPr>
        <w:tblStyle w:val="25"/>
        <w:tblW w:w="0" w:type="auto"/>
        <w:tblCellSpacing w:w="0" w:type="dxa"/>
        <w:tblInd w:w="0" w:type="dxa"/>
        <w:tblBorders>
          <w:top w:val="outset" w:color="auto" w:sz="6" w:space="0"/>
          <w:left w:val="outset" w:color="auto" w:sz="6" w:space="0"/>
          <w:bottom w:val="outset" w:color="auto" w:sz="6" w:space="0"/>
          <w:right w:val="outset" w:color="auto" w:sz="6" w:space="0"/>
          <w:insideH w:val="none" w:color="auto" w:sz="0" w:space="0"/>
          <w:insideV w:val="none" w:color="auto" w:sz="0" w:space="0"/>
        </w:tblBorders>
        <w:tblLayout w:type="autofit"/>
        <w:tblCellMar>
          <w:top w:w="0" w:type="dxa"/>
          <w:left w:w="0" w:type="dxa"/>
          <w:bottom w:w="0" w:type="dxa"/>
          <w:right w:w="0" w:type="dxa"/>
        </w:tblCellMar>
      </w:tblPr>
      <w:tblGrid>
        <w:gridCol w:w="2850"/>
        <w:gridCol w:w="7655"/>
      </w:tblGrid>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850" w:type="dxa"/>
            <w:tcBorders>
              <w:top w:val="outset" w:color="auto" w:sz="6" w:space="0"/>
              <w:left w:val="outset" w:color="auto" w:sz="6" w:space="0"/>
              <w:bottom w:val="outset" w:color="auto" w:sz="6" w:space="0"/>
              <w:right w:val="outset" w:color="auto" w:sz="6" w:space="0"/>
            </w:tcBorders>
          </w:tcPr>
          <w:p>
            <w:pPr>
              <w:pStyle w:val="34"/>
            </w:pPr>
          </w:p>
          <w:p>
            <w:pPr>
              <w:pStyle w:val="34"/>
            </w:pPr>
            <w:r>
              <w:rPr>
                <w:rFonts w:hint="eastAsia"/>
              </w:rPr>
              <w:t>探索策略选项</w:t>
            </w:r>
          </w:p>
        </w:tc>
        <w:tc>
          <w:tcPr>
            <w:tcW w:w="7655" w:type="dxa"/>
            <w:tcBorders>
              <w:top w:val="outset" w:color="auto" w:sz="6" w:space="0"/>
              <w:left w:val="outset" w:color="auto" w:sz="6" w:space="0"/>
              <w:bottom w:val="outset" w:color="auto" w:sz="6" w:space="0"/>
              <w:right w:val="outset" w:color="auto" w:sz="6" w:space="0"/>
            </w:tcBorders>
          </w:tcPr>
          <w:p>
            <w:pPr>
              <w:pStyle w:val="34"/>
            </w:pPr>
            <w:r>
              <w:rPr>
                <w:rFonts w:hint="eastAsia"/>
              </w:rPr>
              <w:t>含义</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850" w:type="dxa"/>
            <w:tcBorders>
              <w:top w:val="outset" w:color="auto" w:sz="6" w:space="0"/>
              <w:left w:val="outset" w:color="auto" w:sz="6" w:space="0"/>
              <w:bottom w:val="outset" w:color="auto" w:sz="6" w:space="0"/>
              <w:right w:val="outset" w:color="auto" w:sz="6" w:space="0"/>
            </w:tcBorders>
          </w:tcPr>
          <w:p>
            <w:pPr>
              <w:pStyle w:val="34"/>
            </w:pPr>
            <w:r>
              <w:rPr>
                <w:rFonts w:hint="eastAsia"/>
              </w:rPr>
              <w:t>盈利次数最大化</w:t>
            </w:r>
          </w:p>
        </w:tc>
        <w:tc>
          <w:tcPr>
            <w:tcW w:w="7655" w:type="dxa"/>
            <w:tcBorders>
              <w:top w:val="outset" w:color="auto" w:sz="6" w:space="0"/>
              <w:left w:val="outset" w:color="auto" w:sz="6" w:space="0"/>
              <w:bottom w:val="outset" w:color="auto" w:sz="6" w:space="0"/>
              <w:right w:val="outset" w:color="auto" w:sz="6" w:space="0"/>
            </w:tcBorders>
          </w:tcPr>
          <w:p>
            <w:pPr>
              <w:pStyle w:val="34"/>
            </w:pPr>
            <w:r>
              <w:rPr>
                <w:rFonts w:hint="eastAsia"/>
              </w:rPr>
              <w:t>所有评测明细中盈利次数最多的参数组合（盈利次列降序排列第一个参数组合）</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850" w:type="dxa"/>
            <w:tcBorders>
              <w:top w:val="outset" w:color="auto" w:sz="6" w:space="0"/>
              <w:left w:val="outset" w:color="auto" w:sz="6" w:space="0"/>
              <w:bottom w:val="outset" w:color="auto" w:sz="6" w:space="0"/>
              <w:right w:val="outset" w:color="auto" w:sz="6" w:space="0"/>
            </w:tcBorders>
          </w:tcPr>
          <w:p>
            <w:pPr>
              <w:pStyle w:val="34"/>
            </w:pPr>
            <w:r>
              <w:rPr>
                <w:rFonts w:hint="eastAsia"/>
              </w:rPr>
              <w:t>总交易次数最大化</w:t>
            </w:r>
          </w:p>
        </w:tc>
        <w:tc>
          <w:tcPr>
            <w:tcW w:w="7655" w:type="dxa"/>
            <w:tcBorders>
              <w:top w:val="outset" w:color="auto" w:sz="6" w:space="0"/>
              <w:left w:val="outset" w:color="auto" w:sz="6" w:space="0"/>
              <w:bottom w:val="outset" w:color="auto" w:sz="6" w:space="0"/>
              <w:right w:val="outset" w:color="auto" w:sz="6" w:space="0"/>
            </w:tcBorders>
          </w:tcPr>
          <w:p>
            <w:pPr>
              <w:pStyle w:val="34"/>
            </w:pPr>
            <w:r>
              <w:rPr>
                <w:rFonts w:hint="eastAsia"/>
              </w:rPr>
              <w:t>所有评测明细中总交易次数最大的参数组合（交易次列降序排列第一个参数组合）</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850" w:type="dxa"/>
            <w:tcBorders>
              <w:top w:val="outset" w:color="auto" w:sz="6" w:space="0"/>
              <w:left w:val="outset" w:color="auto" w:sz="6" w:space="0"/>
              <w:bottom w:val="outset" w:color="auto" w:sz="6" w:space="0"/>
              <w:right w:val="outset" w:color="auto" w:sz="6" w:space="0"/>
            </w:tcBorders>
          </w:tcPr>
          <w:p>
            <w:pPr>
              <w:pStyle w:val="34"/>
            </w:pPr>
            <w:r>
              <w:rPr>
                <w:rFonts w:hint="eastAsia"/>
              </w:rPr>
              <w:t>胜率最大化</w:t>
            </w:r>
          </w:p>
        </w:tc>
        <w:tc>
          <w:tcPr>
            <w:tcW w:w="7655" w:type="dxa"/>
            <w:tcBorders>
              <w:top w:val="outset" w:color="auto" w:sz="6" w:space="0"/>
              <w:left w:val="outset" w:color="auto" w:sz="6" w:space="0"/>
              <w:bottom w:val="outset" w:color="auto" w:sz="6" w:space="0"/>
              <w:right w:val="outset" w:color="auto" w:sz="6" w:space="0"/>
            </w:tcBorders>
          </w:tcPr>
          <w:p>
            <w:pPr>
              <w:pStyle w:val="34"/>
            </w:pPr>
            <w:r>
              <w:rPr>
                <w:rFonts w:hint="eastAsia"/>
              </w:rPr>
              <w:t>所有评测明细中胜率(%)最大的参数组合（胜率(%)列降序排列第一个参数组合）</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850" w:type="dxa"/>
            <w:tcBorders>
              <w:top w:val="outset" w:color="auto" w:sz="6" w:space="0"/>
              <w:left w:val="outset" w:color="auto" w:sz="6" w:space="0"/>
              <w:bottom w:val="outset" w:color="auto" w:sz="6" w:space="0"/>
              <w:right w:val="outset" w:color="auto" w:sz="6" w:space="0"/>
            </w:tcBorders>
          </w:tcPr>
          <w:p>
            <w:pPr>
              <w:pStyle w:val="34"/>
            </w:pPr>
            <w:r>
              <w:rPr>
                <w:rFonts w:hint="eastAsia"/>
              </w:rPr>
              <w:t>净利润最大化</w:t>
            </w:r>
          </w:p>
        </w:tc>
        <w:tc>
          <w:tcPr>
            <w:tcW w:w="7655" w:type="dxa"/>
            <w:tcBorders>
              <w:top w:val="outset" w:color="auto" w:sz="6" w:space="0"/>
              <w:left w:val="outset" w:color="auto" w:sz="6" w:space="0"/>
              <w:bottom w:val="outset" w:color="auto" w:sz="6" w:space="0"/>
              <w:right w:val="outset" w:color="auto" w:sz="6" w:space="0"/>
            </w:tcBorders>
          </w:tcPr>
          <w:p>
            <w:pPr>
              <w:pStyle w:val="34"/>
            </w:pPr>
            <w:r>
              <w:rPr>
                <w:rFonts w:hint="eastAsia"/>
              </w:rPr>
              <w:t>所有评测明细中净利润(元)最大的参数组合（净利润列降序排列第一个参数组合）</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850" w:type="dxa"/>
            <w:tcBorders>
              <w:top w:val="outset" w:color="auto" w:sz="6" w:space="0"/>
              <w:left w:val="outset" w:color="auto" w:sz="6" w:space="0"/>
              <w:bottom w:val="outset" w:color="auto" w:sz="6" w:space="0"/>
              <w:right w:val="outset" w:color="auto" w:sz="6" w:space="0"/>
            </w:tcBorders>
          </w:tcPr>
          <w:p>
            <w:pPr>
              <w:pStyle w:val="34"/>
            </w:pPr>
            <w:r>
              <w:rPr>
                <w:rFonts w:hint="eastAsia"/>
              </w:rPr>
              <w:t>年化收益率最大化</w:t>
            </w:r>
          </w:p>
        </w:tc>
        <w:tc>
          <w:tcPr>
            <w:tcW w:w="7655" w:type="dxa"/>
            <w:tcBorders>
              <w:top w:val="outset" w:color="auto" w:sz="6" w:space="0"/>
              <w:left w:val="outset" w:color="auto" w:sz="6" w:space="0"/>
              <w:bottom w:val="outset" w:color="auto" w:sz="6" w:space="0"/>
              <w:right w:val="outset" w:color="auto" w:sz="6" w:space="0"/>
            </w:tcBorders>
          </w:tcPr>
          <w:p>
            <w:pPr>
              <w:pStyle w:val="34"/>
            </w:pPr>
            <w:r>
              <w:rPr>
                <w:rFonts w:hint="eastAsia"/>
              </w:rPr>
              <w:t>所有评测明细中年化收益率(%)最大的参数组合（年化收益率(%)列降序排列第一个参数组合）</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850" w:type="dxa"/>
            <w:tcBorders>
              <w:top w:val="outset" w:color="auto" w:sz="6" w:space="0"/>
              <w:left w:val="outset" w:color="auto" w:sz="6" w:space="0"/>
              <w:bottom w:val="outset" w:color="auto" w:sz="6" w:space="0"/>
              <w:right w:val="outset" w:color="auto" w:sz="6" w:space="0"/>
            </w:tcBorders>
          </w:tcPr>
          <w:p>
            <w:pPr>
              <w:pStyle w:val="34"/>
            </w:pPr>
            <w:r>
              <w:rPr>
                <w:rFonts w:hint="eastAsia"/>
              </w:rPr>
              <w:t>平均净利润最大化</w:t>
            </w:r>
          </w:p>
        </w:tc>
        <w:tc>
          <w:tcPr>
            <w:tcW w:w="7655" w:type="dxa"/>
            <w:tcBorders>
              <w:top w:val="outset" w:color="auto" w:sz="6" w:space="0"/>
              <w:left w:val="outset" w:color="auto" w:sz="6" w:space="0"/>
              <w:bottom w:val="outset" w:color="auto" w:sz="6" w:space="0"/>
              <w:right w:val="outset" w:color="auto" w:sz="6" w:space="0"/>
            </w:tcBorders>
          </w:tcPr>
          <w:p>
            <w:pPr>
              <w:pStyle w:val="34"/>
            </w:pPr>
            <w:r>
              <w:rPr>
                <w:rFonts w:hint="eastAsia"/>
              </w:rPr>
              <w:t>所有评测明细中 净利润/总交易次数 最大的那组结果</w:t>
            </w:r>
          </w:p>
        </w:tc>
      </w:tr>
    </w:tbl>
    <w:p>
      <w:pPr>
        <w:pStyle w:val="4"/>
      </w:pPr>
      <w:r>
        <w:rPr>
          <w:rFonts w:hint="eastAsia"/>
        </w:rPr>
        <w:t>选股器</w:t>
      </w:r>
    </w:p>
    <w:p>
      <w:pPr>
        <w:pStyle w:val="34"/>
      </w:pPr>
      <w:r>
        <w:rPr>
          <w:rStyle w:val="51"/>
          <w:rFonts w:hint="eastAsia"/>
          <w:szCs w:val="18"/>
        </w:rPr>
        <w:t>目前选股时的界面都支持公式的查看和修改直接跳转，不一定到公式管理器后才可以进行这些操作。</w:t>
      </w:r>
    </w:p>
    <w:p>
      <w:pPr>
        <w:pStyle w:val="34"/>
      </w:pPr>
      <w:r>
        <w:rPr>
          <w:rStyle w:val="51"/>
          <w:rFonts w:hint="eastAsia"/>
          <w:szCs w:val="18"/>
        </w:rPr>
        <w:t>快捷方式： </w:t>
      </w:r>
    </w:p>
    <w:p>
      <w:pPr>
        <w:pStyle w:val="34"/>
      </w:pPr>
      <w:r>
        <w:rPr>
          <w:rFonts w:hint="eastAsia"/>
        </w:rPr>
        <w:t>▲ 点击工具栏主功能图标按钮 </w:t>
      </w:r>
      <w:r>
        <w:fldChar w:fldCharType="begin"/>
      </w:r>
      <w:r>
        <w:instrText xml:space="preserve"> INCLUDEPICTURE  "https://www.tdx.com.cn/products/helpfile/tdxw/chm/%E7%AC%AC%E4%B8%89%E7%AB%A0  %E7%89%88%E9%9D%A2%E5%92%8C%E5%85%AC%E5%BC%8F/3-2/3-2-6/1.png" \* MERGEFORMATINET </w:instrText>
      </w:r>
      <w:r>
        <w:fldChar w:fldCharType="separate"/>
      </w:r>
      <w:r>
        <w:fldChar w:fldCharType="begin"/>
      </w:r>
      <w:r>
        <w:instrText xml:space="preserve"> INCLUDEPICTURE  "https://www.tdx.com.cn/products/helpfile/tdxw/chm/%E7%AC%AC%E4%B8%89%E7%AB%A0  %E7%89%88%E9%9D%A2%E5%92%8C%E5%85%AC%E5%BC%8F/3-2/3-2-6/1.png" \* MERGEFORMATINET </w:instrText>
      </w:r>
      <w:r>
        <w:fldChar w:fldCharType="separate"/>
      </w:r>
      <w:r>
        <w:fldChar w:fldCharType="begin"/>
      </w:r>
      <w:r>
        <w:instrText xml:space="preserve"> INCLUDEPICTURE  "https://www.tdx.com.cn/products/helpfile/tdxw/chm/%E7%AC%AC%E4%B8%89%E7%AB%A0  %E7%89%88%E9%9D%A2%E5%92%8C%E5%85%AC%E5%BC%8F/3-2/3-2-6/1.png" \* MERGEFORMATINET </w:instrText>
      </w:r>
      <w:r>
        <w:fldChar w:fldCharType="separate"/>
      </w:r>
      <w:r>
        <w:fldChar w:fldCharType="begin"/>
      </w:r>
      <w:r>
        <w:instrText xml:space="preserve"> INCLUDEPICTURE  "https://www.tdx.com.cn/products/helpfile/tdxw/chm/%E7%AC%AC%E4%B8%89%E7%AB%A0  %E7%89%88%E9%9D%A2%E5%92%8C%E5%85%AC%E5%BC%8F/3-2/3-2-6/1.png" \* MERGEFORMATINET </w:instrText>
      </w:r>
      <w:r>
        <w:fldChar w:fldCharType="separate"/>
      </w:r>
      <w:r>
        <w:drawing>
          <wp:inline distT="0" distB="0" distL="114300" distR="114300">
            <wp:extent cx="390525" cy="333375"/>
            <wp:effectExtent l="0" t="0" r="9525" b="9525"/>
            <wp:docPr id="296" name="图片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296"/>
                    <pic:cNvPicPr>
                      <a:picLocks noChangeAspect="1"/>
                    </pic:cNvPicPr>
                  </pic:nvPicPr>
                  <pic:blipFill>
                    <a:blip r:embed="rId553" r:link="rId554"/>
                    <a:stretch>
                      <a:fillRect/>
                    </a:stretch>
                  </pic:blipFill>
                  <pic:spPr>
                    <a:xfrm>
                      <a:off x="0" y="0"/>
                      <a:ext cx="390525" cy="333375"/>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p>
    <w:p>
      <w:pPr>
        <w:pStyle w:val="34"/>
        <w:ind w:firstLine="482"/>
      </w:pPr>
      <w:r>
        <w:rPr>
          <w:rFonts w:hint="eastAsia"/>
          <w:b/>
          <w:bCs/>
          <w:color w:val="FF0000"/>
        </w:rPr>
        <w:t>【条件选股】 </w:t>
      </w:r>
    </w:p>
    <w:p>
      <w:pPr>
        <w:pStyle w:val="34"/>
      </w:pPr>
      <w:r>
        <w:rPr>
          <w:rFonts w:hint="eastAsia"/>
        </w:rPr>
        <w:t>条件选股根据提供系统或用户编制的条件选股公式进行选股选定一个条件选股公式或多个组合条件后，计算机自动帮您选出当时或历史上某一段时间内满足条件的所有股票，列在行情显示窗口，同时可保留成板块。</w:t>
      </w:r>
    </w:p>
    <w:p>
      <w:pPr>
        <w:pStyle w:val="34"/>
      </w:pPr>
      <w:r>
        <w:rPr>
          <w:rFonts w:hint="eastAsia"/>
        </w:rPr>
        <w:t>快捷方式： </w:t>
      </w:r>
    </w:p>
    <w:p>
      <w:pPr>
        <w:pStyle w:val="34"/>
      </w:pPr>
      <w:r>
        <w:rPr>
          <w:rFonts w:hint="eastAsia"/>
        </w:rPr>
        <w:t>▲ 热键 Ctrl+T </w:t>
      </w:r>
    </w:p>
    <w:p>
      <w:pPr>
        <w:pStyle w:val="34"/>
      </w:pPr>
      <w:r>
        <w:rPr>
          <w:rFonts w:hint="eastAsia"/>
        </w:rPr>
        <w:t>▲ 键盘精灵 .905</w:t>
      </w:r>
    </w:p>
    <w:p>
      <w:pPr>
        <w:pStyle w:val="34"/>
      </w:pPr>
      <w:r>
        <w:fldChar w:fldCharType="begin"/>
      </w:r>
      <w:r>
        <w:instrText xml:space="preserve"> INCLUDEPICTURE  "https://www.tdx.com.cn/products/helpfile/tdxw/chm/%E7%AC%AC%E4%B8%89%E7%AB%A0  %E7%89%88%E9%9D%A2%E5%92%8C%E5%85%AC%E5%BC%8F/3-2/3-2-6/2.png" \* MERGEFORMATINET </w:instrText>
      </w:r>
      <w:r>
        <w:fldChar w:fldCharType="separate"/>
      </w:r>
      <w:r>
        <w:fldChar w:fldCharType="begin"/>
      </w:r>
      <w:r>
        <w:instrText xml:space="preserve"> INCLUDEPICTURE  "https://www.tdx.com.cn/products/helpfile/tdxw/chm/%E7%AC%AC%E4%B8%89%E7%AB%A0  %E7%89%88%E9%9D%A2%E5%92%8C%E5%85%AC%E5%BC%8F/3-2/3-2-6/2.png" \* MERGEFORMATINET </w:instrText>
      </w:r>
      <w:r>
        <w:fldChar w:fldCharType="separate"/>
      </w:r>
      <w:r>
        <w:fldChar w:fldCharType="begin"/>
      </w:r>
      <w:r>
        <w:instrText xml:space="preserve"> INCLUDEPICTURE  "https://www.tdx.com.cn/products/helpfile/tdxw/chm/%E7%AC%AC%E4%B8%89%E7%AB%A0  %E7%89%88%E9%9D%A2%E5%92%8C%E5%85%AC%E5%BC%8F/3-2/3-2-6/2.png" \* MERGEFORMATINET </w:instrText>
      </w:r>
      <w:r>
        <w:fldChar w:fldCharType="separate"/>
      </w:r>
      <w:r>
        <w:fldChar w:fldCharType="begin"/>
      </w:r>
      <w:r>
        <w:instrText xml:space="preserve"> INCLUDEPICTURE  "https://www.tdx.com.cn/products/helpfile/tdxw/chm/%E7%AC%AC%E4%B8%89%E7%AB%A0  %E7%89%88%E9%9D%A2%E5%92%8C%E5%85%AC%E5%BC%8F/3-2/3-2-6/2.png" \* MERGEFORMATINET </w:instrText>
      </w:r>
      <w:r>
        <w:fldChar w:fldCharType="separate"/>
      </w:r>
      <w:r>
        <w:drawing>
          <wp:inline distT="0" distB="0" distL="114300" distR="114300">
            <wp:extent cx="5200650" cy="4133850"/>
            <wp:effectExtent l="0" t="0" r="0" b="0"/>
            <wp:docPr id="297" name="图片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297"/>
                    <pic:cNvPicPr>
                      <a:picLocks noChangeAspect="1"/>
                    </pic:cNvPicPr>
                  </pic:nvPicPr>
                  <pic:blipFill>
                    <a:blip r:embed="rId555" r:link="rId556"/>
                    <a:stretch>
                      <a:fillRect/>
                    </a:stretch>
                  </pic:blipFill>
                  <pic:spPr>
                    <a:xfrm>
                      <a:off x="0" y="0"/>
                      <a:ext cx="5200650" cy="4133850"/>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操作步骤 ：</w:t>
      </w:r>
    </w:p>
    <w:p>
      <w:pPr>
        <w:pStyle w:val="34"/>
      </w:pPr>
      <w:r>
        <w:rPr>
          <w:rFonts w:hint="eastAsia"/>
        </w:rPr>
        <w:t>⑴通过公式管理器编写条件选股公式 </w:t>
      </w:r>
    </w:p>
    <w:p>
      <w:pPr>
        <w:pStyle w:val="34"/>
      </w:pPr>
      <w:r>
        <w:rPr>
          <w:rFonts w:hint="eastAsia"/>
        </w:rPr>
        <w:t>⑵编写完后会在条件列表的下拉框中找到编写的条件选项股公式 </w:t>
      </w:r>
    </w:p>
    <w:p>
      <w:pPr>
        <w:pStyle w:val="34"/>
      </w:pPr>
      <w:r>
        <w:rPr>
          <w:rFonts w:hint="eastAsia"/>
        </w:rPr>
        <w:t>⑶更改自定义选股公式的“计算参数”，如果不需要更改参数则使用默认参数，选择选股k线周期 </w:t>
      </w:r>
    </w:p>
    <w:p>
      <w:pPr>
        <w:pStyle w:val="34"/>
      </w:pPr>
      <w:r>
        <w:rPr>
          <w:rFonts w:hint="eastAsia"/>
        </w:rPr>
        <w:t>⑷设置选股范围（改变股票范围可以对各板块股票分别进行不同条件的股票筛选） </w:t>
      </w:r>
    </w:p>
    <w:p>
      <w:pPr>
        <w:pStyle w:val="34"/>
      </w:pPr>
      <w:r>
        <w:rPr>
          <w:rFonts w:hint="eastAsia"/>
        </w:rPr>
        <w:t>⑸设定选股时间段（在设定的时间段内有满足条件的股票都将被选出来），然后点击“执行选股” </w:t>
      </w:r>
    </w:p>
    <w:p>
      <w:pPr>
        <w:pStyle w:val="34"/>
      </w:pPr>
      <w:r>
        <w:rPr>
          <w:rFonts w:hint="eastAsia"/>
        </w:rPr>
        <w:t>⑹处理选股结果（可以将选出来的股票存到自定义板块中），当然不保存，选出来的股票默认都是在系统版面“条件股”中。只要有新的选股结果，这个板块都会跟随变动</w:t>
      </w:r>
    </w:p>
    <w:p>
      <w:pPr>
        <w:pStyle w:val="34"/>
      </w:pPr>
    </w:p>
    <w:p>
      <w:pPr>
        <w:pStyle w:val="34"/>
      </w:pPr>
      <w:r>
        <w:rPr>
          <w:rFonts w:hint="eastAsia"/>
        </w:rPr>
        <w:t>附注信息 ：</w:t>
      </w:r>
    </w:p>
    <w:p>
      <w:pPr>
        <w:pStyle w:val="34"/>
      </w:pPr>
      <w:r>
        <w:rPr>
          <w:rFonts w:hint="eastAsia"/>
        </w:rPr>
        <w:t>⑴勾选“使用涨跌不定周期”时，按照主图周期中的涨跌不定周期k线选股。（就是把几根连续上涨或下跌的K线当作一根K线，这根K线的上涨或下跌幅度为连续上涨或下跌K线之和） </w:t>
      </w:r>
    </w:p>
    <w:p>
      <w:pPr>
        <w:pStyle w:val="34"/>
      </w:pPr>
      <w:r>
        <w:rPr>
          <w:rFonts w:hint="eastAsia"/>
        </w:rPr>
        <w:t>⑵点击“保存方案”可将要选股的条件保存为方案，下次使用时，点击“引入方案”导入进来。 </w:t>
      </w:r>
    </w:p>
    <w:p>
      <w:pPr>
        <w:pStyle w:val="34"/>
      </w:pPr>
      <w:r>
        <w:rPr>
          <w:rFonts w:hint="eastAsia"/>
        </w:rPr>
        <w:t>⑶这个保存方案只保存了“条件选股公式、公式参数、选股周期”如果是多个选股公式还包括其他公式的以上条件以及几者公式之间的“与或”关系。 </w:t>
      </w:r>
    </w:p>
    <w:p>
      <w:pPr>
        <w:pStyle w:val="34"/>
      </w:pPr>
      <w:r>
        <w:rPr>
          <w:rFonts w:hint="eastAsia"/>
        </w:rPr>
        <w:t>⑷勾选前复权默认的选股就是在前复权k线下的选股。 </w:t>
      </w:r>
    </w:p>
    <w:p>
      <w:pPr>
        <w:pStyle w:val="34"/>
      </w:pPr>
      <w:r>
        <w:rPr>
          <w:rFonts w:hint="eastAsia"/>
        </w:rPr>
        <w:t>⑸要实现条件选股保证本地数据完整性，应用到分钟周期选股要保证5分钟数据的完整性。</w:t>
      </w:r>
    </w:p>
    <w:p>
      <w:pPr>
        <w:pStyle w:val="34"/>
      </w:pPr>
      <w:r>
        <w:rPr>
          <w:rFonts w:hint="eastAsia"/>
        </w:rPr>
        <w:t> </w:t>
      </w:r>
    </w:p>
    <w:p>
      <w:pPr>
        <w:pStyle w:val="34"/>
        <w:ind w:firstLine="542"/>
        <w:rPr>
          <w:b/>
          <w:bCs/>
          <w:color w:val="FF0000"/>
          <w:sz w:val="27"/>
          <w:szCs w:val="27"/>
        </w:rPr>
      </w:pPr>
      <w:r>
        <w:rPr>
          <w:rFonts w:hint="eastAsia"/>
          <w:b/>
          <w:bCs/>
          <w:color w:val="FF0000"/>
          <w:sz w:val="27"/>
          <w:szCs w:val="27"/>
        </w:rPr>
        <w:t>【定制选股】</w:t>
      </w:r>
    </w:p>
    <w:p>
      <w:pPr>
        <w:pStyle w:val="34"/>
      </w:pPr>
      <w:r>
        <w:rPr>
          <w:rFonts w:hint="eastAsia"/>
        </w:rPr>
        <w:t>定制选股是为不会使用公式编辑器而编制的一套易用的选股工具。用户可定制三类条件：股票基本资料，实时行情，其它条件。</w:t>
      </w:r>
    </w:p>
    <w:p>
      <w:pPr>
        <w:pStyle w:val="34"/>
      </w:pPr>
      <w:r>
        <w:fldChar w:fldCharType="begin"/>
      </w:r>
      <w:r>
        <w:instrText xml:space="preserve"> INCLUDEPICTURE  "https://www.tdx.com.cn/products/helpfile/tdxw/chm/%E7%AC%AC%E4%B8%89%E7%AB%A0  %E7%89%88%E9%9D%A2%E5%92%8C%E5%85%AC%E5%BC%8F/3-2/3-2-6/3.png" \* MERGEFORMATINET </w:instrText>
      </w:r>
      <w:r>
        <w:fldChar w:fldCharType="separate"/>
      </w:r>
      <w:r>
        <w:fldChar w:fldCharType="begin"/>
      </w:r>
      <w:r>
        <w:instrText xml:space="preserve"> INCLUDEPICTURE  "https://www.tdx.com.cn/products/helpfile/tdxw/chm/%E7%AC%AC%E4%B8%89%E7%AB%A0  %E7%89%88%E9%9D%A2%E5%92%8C%E5%85%AC%E5%BC%8F/3-2/3-2-6/3.png" \* MERGEFORMATINET </w:instrText>
      </w:r>
      <w:r>
        <w:fldChar w:fldCharType="separate"/>
      </w:r>
      <w:r>
        <w:fldChar w:fldCharType="begin"/>
      </w:r>
      <w:r>
        <w:instrText xml:space="preserve"> INCLUDEPICTURE  "https://www.tdx.com.cn/products/helpfile/tdxw/chm/%E7%AC%AC%E4%B8%89%E7%AB%A0  %E7%89%88%E9%9D%A2%E5%92%8C%E5%85%AC%E5%BC%8F/3-2/3-2-6/3.png" \* MERGEFORMATINET </w:instrText>
      </w:r>
      <w:r>
        <w:fldChar w:fldCharType="separate"/>
      </w:r>
      <w:r>
        <w:fldChar w:fldCharType="begin"/>
      </w:r>
      <w:r>
        <w:instrText xml:space="preserve"> INCLUDEPICTURE  "https://www.tdx.com.cn/products/helpfile/tdxw/chm/%E7%AC%AC%E4%B8%89%E7%AB%A0  %E7%89%88%E9%9D%A2%E5%92%8C%E5%85%AC%E5%BC%8F/3-2/3-2-6/3.png" \* MERGEFORMATINET </w:instrText>
      </w:r>
      <w:r>
        <w:fldChar w:fldCharType="separate"/>
      </w:r>
      <w:r>
        <w:drawing>
          <wp:inline distT="0" distB="0" distL="114300" distR="114300">
            <wp:extent cx="4886325" cy="4991100"/>
            <wp:effectExtent l="0" t="0" r="9525" b="0"/>
            <wp:docPr id="298" name="图片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298"/>
                    <pic:cNvPicPr>
                      <a:picLocks noChangeAspect="1"/>
                    </pic:cNvPicPr>
                  </pic:nvPicPr>
                  <pic:blipFill>
                    <a:blip r:embed="rId557" r:link="rId558"/>
                    <a:stretch>
                      <a:fillRect/>
                    </a:stretch>
                  </pic:blipFill>
                  <pic:spPr>
                    <a:xfrm>
                      <a:off x="0" y="0"/>
                      <a:ext cx="4886325" cy="4991100"/>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快捷方式： </w:t>
      </w:r>
    </w:p>
    <w:p>
      <w:pPr>
        <w:pStyle w:val="34"/>
      </w:pPr>
      <w:r>
        <w:rPr>
          <w:rFonts w:hint="eastAsia"/>
        </w:rPr>
        <w:t>▲ 公式---定制选股 </w:t>
      </w:r>
    </w:p>
    <w:p>
      <w:pPr>
        <w:pStyle w:val="34"/>
      </w:pPr>
      <w:r>
        <w:rPr>
          <w:rFonts w:hint="eastAsia"/>
        </w:rPr>
        <w:t>▲ 键盘精灵 .906</w:t>
      </w:r>
    </w:p>
    <w:p>
      <w:pPr>
        <w:pStyle w:val="34"/>
      </w:pPr>
      <w:r>
        <w:rPr>
          <w:rFonts w:hint="eastAsia"/>
        </w:rPr>
        <w:t>操作说明： </w:t>
      </w:r>
    </w:p>
    <w:p>
      <w:pPr>
        <w:pStyle w:val="34"/>
      </w:pPr>
      <w:r>
        <w:rPr>
          <w:rFonts w:hint="eastAsia"/>
        </w:rPr>
        <w:t>当从左边的列表中选中一个项目后，双击或点"加入条件"按钮，将会弹出一个对话框，用户可以输入您想要满足的条件，确定后即可加入一个条件，也可以加入多个组合条件，可将条件存盘，或从盘上将存盘条件装进来。其它操作与条件选股类似。</w:t>
      </w:r>
    </w:p>
    <w:p>
      <w:pPr>
        <w:pStyle w:val="34"/>
      </w:pPr>
      <w:r>
        <w:rPr>
          <w:rFonts w:hint="eastAsia"/>
        </w:rPr>
        <w:t>定制一个条件选股：</w:t>
      </w:r>
    </w:p>
    <w:p>
      <w:pPr>
        <w:pStyle w:val="34"/>
      </w:pPr>
      <w:r>
        <w:rPr>
          <w:rFonts w:hint="eastAsia"/>
        </w:rPr>
        <w:t>设定一个选出流通股本小于8000万股，价格低于10的股票</w:t>
      </w:r>
    </w:p>
    <w:p>
      <w:pPr>
        <w:pStyle w:val="34"/>
      </w:pPr>
      <w:r>
        <w:rPr>
          <w:rFonts w:hint="eastAsia"/>
        </w:rPr>
        <w:t>⑴“基本资料”标签下双击“流通股本”如下图：</w:t>
      </w:r>
    </w:p>
    <w:p>
      <w:pPr>
        <w:pStyle w:val="34"/>
      </w:pPr>
      <w:r>
        <w:fldChar w:fldCharType="begin"/>
      </w:r>
      <w:r>
        <w:instrText xml:space="preserve"> INCLUDEPICTURE  "https://www.tdx.com.cn/products/helpfile/tdxw/chm/%E7%AC%AC%E4%B8%89%E7%AB%A0  %E7%89%88%E9%9D%A2%E5%92%8C%E5%85%AC%E5%BC%8F/3-2/3-2-6/4.png" \* MERGEFORMATINET </w:instrText>
      </w:r>
      <w:r>
        <w:fldChar w:fldCharType="separate"/>
      </w:r>
      <w:r>
        <w:fldChar w:fldCharType="begin"/>
      </w:r>
      <w:r>
        <w:instrText xml:space="preserve"> INCLUDEPICTURE  "https://www.tdx.com.cn/products/helpfile/tdxw/chm/%E7%AC%AC%E4%B8%89%E7%AB%A0  %E7%89%88%E9%9D%A2%E5%92%8C%E5%85%AC%E5%BC%8F/3-2/3-2-6/4.png" \* MERGEFORMATINET </w:instrText>
      </w:r>
      <w:r>
        <w:fldChar w:fldCharType="separate"/>
      </w:r>
      <w:r>
        <w:fldChar w:fldCharType="begin"/>
      </w:r>
      <w:r>
        <w:instrText xml:space="preserve"> INCLUDEPICTURE  "https://www.tdx.com.cn/products/helpfile/tdxw/chm/%E7%AC%AC%E4%B8%89%E7%AB%A0  %E7%89%88%E9%9D%A2%E5%92%8C%E5%85%AC%E5%BC%8F/3-2/3-2-6/4.png" \* MERGEFORMATINET </w:instrText>
      </w:r>
      <w:r>
        <w:fldChar w:fldCharType="separate"/>
      </w:r>
      <w:r>
        <w:fldChar w:fldCharType="begin"/>
      </w:r>
      <w:r>
        <w:instrText xml:space="preserve"> INCLUDEPICTURE  "https://www.tdx.com.cn/products/helpfile/tdxw/chm/%E7%AC%AC%E4%B8%89%E7%AB%A0  %E7%89%88%E9%9D%A2%E5%92%8C%E5%85%AC%E5%BC%8F/3-2/3-2-6/4.png" \* MERGEFORMATINET </w:instrText>
      </w:r>
      <w:r>
        <w:fldChar w:fldCharType="separate"/>
      </w:r>
      <w:r>
        <w:drawing>
          <wp:inline distT="0" distB="0" distL="114300" distR="114300">
            <wp:extent cx="4886325" cy="4991100"/>
            <wp:effectExtent l="0" t="0" r="9525" b="0"/>
            <wp:docPr id="299" name="图片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299"/>
                    <pic:cNvPicPr>
                      <a:picLocks noChangeAspect="1"/>
                    </pic:cNvPicPr>
                  </pic:nvPicPr>
                  <pic:blipFill>
                    <a:blip r:embed="rId559" r:link="rId560"/>
                    <a:stretch>
                      <a:fillRect/>
                    </a:stretch>
                  </pic:blipFill>
                  <pic:spPr>
                    <a:xfrm>
                      <a:off x="0" y="0"/>
                      <a:ext cx="4886325" cy="4991100"/>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⑵ “行情”标签下点击“现价”，在弹出的对话框中填写条件。如下图：</w:t>
      </w:r>
    </w:p>
    <w:p>
      <w:pPr>
        <w:pStyle w:val="34"/>
      </w:pPr>
      <w:r>
        <w:fldChar w:fldCharType="begin"/>
      </w:r>
      <w:r>
        <w:instrText xml:space="preserve"> INCLUDEPICTURE  "https://www.tdx.com.cn/products/helpfile/tdxw/chm/%E7%AC%AC%E4%B8%89%E7%AB%A0  %E7%89%88%E9%9D%A2%E5%92%8C%E5%85%AC%E5%BC%8F/3-2/3-2-6/5.png" \* MERGEFORMATINET </w:instrText>
      </w:r>
      <w:r>
        <w:fldChar w:fldCharType="separate"/>
      </w:r>
      <w:r>
        <w:fldChar w:fldCharType="begin"/>
      </w:r>
      <w:r>
        <w:instrText xml:space="preserve"> INCLUDEPICTURE  "https://www.tdx.com.cn/products/helpfile/tdxw/chm/%E7%AC%AC%E4%B8%89%E7%AB%A0  %E7%89%88%E9%9D%A2%E5%92%8C%E5%85%AC%E5%BC%8F/3-2/3-2-6/5.png" \* MERGEFORMATINET </w:instrText>
      </w:r>
      <w:r>
        <w:fldChar w:fldCharType="separate"/>
      </w:r>
      <w:r>
        <w:fldChar w:fldCharType="begin"/>
      </w:r>
      <w:r>
        <w:instrText xml:space="preserve"> INCLUDEPICTURE  "https://www.tdx.com.cn/products/helpfile/tdxw/chm/%E7%AC%AC%E4%B8%89%E7%AB%A0  %E7%89%88%E9%9D%A2%E5%92%8C%E5%85%AC%E5%BC%8F/3-2/3-2-6/5.png" \* MERGEFORMATINET </w:instrText>
      </w:r>
      <w:r>
        <w:fldChar w:fldCharType="separate"/>
      </w:r>
      <w:r>
        <w:fldChar w:fldCharType="begin"/>
      </w:r>
      <w:r>
        <w:instrText xml:space="preserve"> INCLUDEPICTURE  "https://www.tdx.com.cn/products/helpfile/tdxw/chm/%E7%AC%AC%E4%B8%89%E7%AB%A0  %E7%89%88%E9%9D%A2%E5%92%8C%E5%85%AC%E5%BC%8F/3-2/3-2-6/5.png" \* MERGEFORMATINET </w:instrText>
      </w:r>
      <w:r>
        <w:fldChar w:fldCharType="separate"/>
      </w:r>
      <w:r>
        <w:drawing>
          <wp:inline distT="0" distB="0" distL="114300" distR="114300">
            <wp:extent cx="4886325" cy="4991100"/>
            <wp:effectExtent l="0" t="0" r="9525" b="0"/>
            <wp:docPr id="300" name="图片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300"/>
                    <pic:cNvPicPr>
                      <a:picLocks noChangeAspect="1"/>
                    </pic:cNvPicPr>
                  </pic:nvPicPr>
                  <pic:blipFill>
                    <a:blip r:embed="rId561" r:link="rId562"/>
                    <a:stretch>
                      <a:fillRect/>
                    </a:stretch>
                  </pic:blipFill>
                  <pic:spPr>
                    <a:xfrm>
                      <a:off x="0" y="0"/>
                      <a:ext cx="4886325" cy="4991100"/>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⑶选择全部条件相与，点击“执行选股。(注：全部条件相与表示所选的条件全部同时满足才会选出来，全部条件相或表示所选的条件其中有一项满足就会选出来)</w:t>
      </w:r>
    </w:p>
    <w:p>
      <w:pPr>
        <w:pStyle w:val="34"/>
      </w:pPr>
      <w:r>
        <w:rPr>
          <w:rFonts w:hint="eastAsia"/>
        </w:rPr>
        <w:t> </w:t>
      </w:r>
    </w:p>
    <w:p>
      <w:pPr>
        <w:pStyle w:val="34"/>
        <w:ind w:firstLine="482"/>
      </w:pPr>
      <w:r>
        <w:rPr>
          <w:rFonts w:hint="eastAsia"/>
          <w:b/>
          <w:bCs/>
          <w:color w:val="FF0000"/>
        </w:rPr>
        <w:t>【模式选股】 </w:t>
      </w:r>
    </w:p>
    <w:p>
      <w:pPr>
        <w:pStyle w:val="34"/>
      </w:pPr>
      <w:r>
        <w:rPr>
          <w:rFonts w:hint="eastAsia"/>
        </w:rPr>
        <w:t>快捷方式： </w:t>
      </w:r>
    </w:p>
    <w:p>
      <w:pPr>
        <w:pStyle w:val="34"/>
      </w:pPr>
      <w:r>
        <w:rPr>
          <w:rFonts w:hint="eastAsia"/>
        </w:rPr>
        <w:t>▲ 公式---模式选股 </w:t>
      </w:r>
    </w:p>
    <w:p>
      <w:pPr>
        <w:pStyle w:val="34"/>
      </w:pPr>
      <w:r>
        <w:rPr>
          <w:rFonts w:hint="eastAsia"/>
        </w:rPr>
        <w:t>▲ 键盘精灵 .907</w:t>
      </w:r>
    </w:p>
    <w:p>
      <w:pPr>
        <w:pStyle w:val="34"/>
      </w:pPr>
      <w:r>
        <w:rPr>
          <w:rFonts w:hint="eastAsia"/>
        </w:rPr>
        <w:t>现在的模式选股支持选择截止日期。界面如下：</w:t>
      </w:r>
    </w:p>
    <w:p>
      <w:pPr>
        <w:pStyle w:val="34"/>
      </w:pPr>
      <w:r>
        <w:fldChar w:fldCharType="begin"/>
      </w:r>
      <w:r>
        <w:instrText xml:space="preserve"> INCLUDEPICTURE  "https://www.tdx.com.cn/products/helpfile/tdxw/chm/%E7%AC%AC%E4%B8%89%E7%AB%A0  %E7%89%88%E9%9D%A2%E5%92%8C%E5%85%AC%E5%BC%8F/3-2/3-2-6/6.png" \* MERGEFORMATINET </w:instrText>
      </w:r>
      <w:r>
        <w:fldChar w:fldCharType="separate"/>
      </w:r>
      <w:r>
        <w:fldChar w:fldCharType="begin"/>
      </w:r>
      <w:r>
        <w:instrText xml:space="preserve"> INCLUDEPICTURE  "https://www.tdx.com.cn/products/helpfile/tdxw/chm/%E7%AC%AC%E4%B8%89%E7%AB%A0  %E7%89%88%E9%9D%A2%E5%92%8C%E5%85%AC%E5%BC%8F/3-2/3-2-6/6.png" \* MERGEFORMATINET </w:instrText>
      </w:r>
      <w:r>
        <w:fldChar w:fldCharType="separate"/>
      </w:r>
      <w:r>
        <w:fldChar w:fldCharType="begin"/>
      </w:r>
      <w:r>
        <w:instrText xml:space="preserve"> INCLUDEPICTURE  "https://www.tdx.com.cn/products/helpfile/tdxw/chm/%E7%AC%AC%E4%B8%89%E7%AB%A0  %E7%89%88%E9%9D%A2%E5%92%8C%E5%85%AC%E5%BC%8F/3-2/3-2-6/6.png" \* MERGEFORMATINET </w:instrText>
      </w:r>
      <w:r>
        <w:fldChar w:fldCharType="separate"/>
      </w:r>
      <w:r>
        <w:fldChar w:fldCharType="begin"/>
      </w:r>
      <w:r>
        <w:instrText xml:space="preserve"> INCLUDEPICTURE  "https://www.tdx.com.cn/products/helpfile/tdxw/chm/%E7%AC%AC%E4%B8%89%E7%AB%A0  %E7%89%88%E9%9D%A2%E5%92%8C%E5%85%AC%E5%BC%8F/3-2/3-2-6/6.png" \* MERGEFORMATINET </w:instrText>
      </w:r>
      <w:r>
        <w:fldChar w:fldCharType="separate"/>
      </w:r>
      <w:r>
        <w:drawing>
          <wp:inline distT="0" distB="0" distL="114300" distR="114300">
            <wp:extent cx="2638425" cy="1438275"/>
            <wp:effectExtent l="0" t="0" r="9525" b="9525"/>
            <wp:docPr id="301" name="图片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301"/>
                    <pic:cNvPicPr>
                      <a:picLocks noChangeAspect="1"/>
                    </pic:cNvPicPr>
                  </pic:nvPicPr>
                  <pic:blipFill>
                    <a:blip r:embed="rId563" r:link="rId564"/>
                    <a:stretch>
                      <a:fillRect/>
                    </a:stretch>
                  </pic:blipFill>
                  <pic:spPr>
                    <a:xfrm>
                      <a:off x="0" y="0"/>
                      <a:ext cx="2638425" cy="1438275"/>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fldChar w:fldCharType="begin"/>
      </w:r>
      <w:r>
        <w:instrText xml:space="preserve"> INCLUDEPICTURE  "https://www.tdx.com.cn/products/helpfile/tdxw/chm/%E7%AC%AC%E4%B8%89%E7%AB%A0  %E7%89%88%E9%9D%A2%E5%92%8C%E5%85%AC%E5%BC%8F/3-2/3-2-6/7.png" \* MERGEFORMATINET </w:instrText>
      </w:r>
      <w:r>
        <w:fldChar w:fldCharType="separate"/>
      </w:r>
      <w:r>
        <w:fldChar w:fldCharType="begin"/>
      </w:r>
      <w:r>
        <w:instrText xml:space="preserve"> INCLUDEPICTURE  "https://www.tdx.com.cn/products/helpfile/tdxw/chm/%E7%AC%AC%E4%B8%89%E7%AB%A0  %E7%89%88%E9%9D%A2%E5%92%8C%E5%85%AC%E5%BC%8F/3-2/3-2-6/7.png" \* MERGEFORMATINET </w:instrText>
      </w:r>
      <w:r>
        <w:fldChar w:fldCharType="separate"/>
      </w:r>
      <w:r>
        <w:fldChar w:fldCharType="begin"/>
      </w:r>
      <w:r>
        <w:instrText xml:space="preserve"> INCLUDEPICTURE  "https://www.tdx.com.cn/products/helpfile/tdxw/chm/%E7%AC%AC%E4%B8%89%E7%AB%A0  %E7%89%88%E9%9D%A2%E5%92%8C%E5%85%AC%E5%BC%8F/3-2/3-2-6/7.png" \* MERGEFORMATINET </w:instrText>
      </w:r>
      <w:r>
        <w:fldChar w:fldCharType="separate"/>
      </w:r>
      <w:r>
        <w:fldChar w:fldCharType="begin"/>
      </w:r>
      <w:r>
        <w:instrText xml:space="preserve"> INCLUDEPICTURE  "https://www.tdx.com.cn/products/helpfile/tdxw/chm/%E7%AC%AC%E4%B8%89%E7%AB%A0  %E7%89%88%E9%9D%A2%E5%92%8C%E5%85%AC%E5%BC%8F/3-2/3-2-6/7.png" \* MERGEFORMATINET </w:instrText>
      </w:r>
      <w:r>
        <w:fldChar w:fldCharType="separate"/>
      </w:r>
      <w:r>
        <w:drawing>
          <wp:inline distT="0" distB="0" distL="114300" distR="114300">
            <wp:extent cx="5591175" cy="3819525"/>
            <wp:effectExtent l="0" t="0" r="9525" b="9525"/>
            <wp:docPr id="302" name="图片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302"/>
                    <pic:cNvPicPr>
                      <a:picLocks noChangeAspect="1"/>
                    </pic:cNvPicPr>
                  </pic:nvPicPr>
                  <pic:blipFill>
                    <a:blip r:embed="rId565" r:link="rId566"/>
                    <a:stretch>
                      <a:fillRect/>
                    </a:stretch>
                  </pic:blipFill>
                  <pic:spPr>
                    <a:xfrm>
                      <a:off x="0" y="0"/>
                      <a:ext cx="5591175" cy="3819525"/>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操作说明： </w:t>
      </w:r>
    </w:p>
    <w:p>
      <w:pPr>
        <w:pStyle w:val="34"/>
      </w:pPr>
      <w:r>
        <w:rPr>
          <w:rFonts w:hint="eastAsia"/>
        </w:rPr>
        <w:t>模式选股是根据形态学的专家知识以及基本指标、技术指标面而完成的一套选股工具。 </w:t>
      </w:r>
    </w:p>
    <w:p>
      <w:pPr>
        <w:pStyle w:val="34"/>
      </w:pPr>
      <w:r>
        <w:rPr>
          <w:rFonts w:hint="eastAsia"/>
        </w:rPr>
        <w:t>其功能建立在基本分析、形态分析和指标分析的基础上，利用最新计算方法实现专家思想模型化。它具有强大的自适应性，能一眼识破庄家的常规坐庄手法，根据出现的K线形态提出合理的买入、卖出建议。 </w:t>
      </w:r>
    </w:p>
    <w:p>
      <w:pPr>
        <w:pStyle w:val="34"/>
      </w:pPr>
      <w:r>
        <w:rPr>
          <w:rFonts w:hint="eastAsia"/>
        </w:rPr>
        <w:t>进入模式选股后，需要计算一段时间（如果已经计算，则进入时从断点继续计算或直接进入），计算后将列出满足特定条件的股票，用户可以对选出的股票进行分析或存为板块。点"条件注释"按钮可观看此特色条件的注释。对于网络版和图文版，模式选股的数据每隔一小时重新计算一次，保证其实时性，而对于盘后版，则一天只计算一次。</w:t>
      </w:r>
    </w:p>
    <w:p>
      <w:pPr>
        <w:pStyle w:val="34"/>
      </w:pPr>
      <w:r>
        <w:rPr>
          <w:rFonts w:hint="eastAsia"/>
        </w:rPr>
        <w:t>模式选股系统自动搜索到四类共计121种K线形态的股票： </w:t>
      </w:r>
    </w:p>
    <w:p>
      <w:pPr>
        <w:pStyle w:val="34"/>
      </w:pPr>
      <w:r>
        <w:rPr>
          <w:rFonts w:hint="eastAsia"/>
        </w:rPr>
        <w:t>1.低进定式：符合该组形态的股票一般是庄家处于吸筹阶段，股票一般都是中小盘次新股，股价较低。由于股本不大，庄家很容易吸入足够的筹码以至控盘，由于股价比较低，又有很大的拉高空间，再加上比较好的题材，是易于炒做的股票。处于该阶段，庄家还刚刚开始建仓或建仓刚刚完成，所以庄家不能暴露自己的意图，只能暗中打压股价、吸纳筹码，有货的投资者一定要捂紧自己的筹码，千万不要被轻易震仓出局。忍得一时寂寞，成就日后辉煌。无货的投资者则不必急于入货，可等入庄主力正式发动行情（放大量、拉大阳）时及时介入。做中长线的投资者适合选择这种股票，做短线投资者也需留意有这么一些潜在黑马！ </w:t>
      </w:r>
    </w:p>
    <w:p>
      <w:pPr>
        <w:pStyle w:val="34"/>
      </w:pPr>
      <w:r>
        <w:rPr>
          <w:rFonts w:hint="eastAsia"/>
        </w:rPr>
        <w:t>2. 高进定式：符合该组形态的股票一般为庄家已基本控盘的股票，包含两种情况： </w:t>
      </w:r>
    </w:p>
    <w:p>
      <w:pPr>
        <w:pStyle w:val="34"/>
      </w:pPr>
      <w:r>
        <w:rPr>
          <w:rFonts w:hint="eastAsia"/>
        </w:rPr>
        <w:t>①经历了建仓和一段时间的整理，庄家的手中已持有大量的筹码，庄家操作意图开始表现得比较明显，为了避免投资者追入，庄家或进一步洗盘整理以造成假象或迅速拉高，在K线形态上一般走出上升通道横盘向上的形态或者是开始 迅速拉高的形态，虽然尽力地掩饰自己的意图和目的，却是欲盖弥彰，庄家的意图和目的在模式选股下暴露无疑。 </w:t>
      </w:r>
    </w:p>
    <w:p>
      <w:pPr>
        <w:pStyle w:val="34"/>
      </w:pPr>
      <w:r>
        <w:rPr>
          <w:rFonts w:hint="eastAsia"/>
        </w:rPr>
        <w:t>②庄家手中持有绝大部分的筹码，控盘很稳，虽然经历了一次以上的拉高，但手中依然握有重兵，可能在短期内再次发动行情。 </w:t>
      </w:r>
    </w:p>
    <w:p>
      <w:pPr>
        <w:pStyle w:val="34"/>
      </w:pPr>
      <w:r>
        <w:rPr>
          <w:rFonts w:hint="eastAsia"/>
        </w:rPr>
        <w:t>3.高出定式：符合该组形态的股票一般已经历了一次以上的拉升阶段，股价已达高位，该价位上方再度拉升空间不大，这时庄家极有可能开始出货，此时，庄家一边吸引投资者介入、一边迅速地抛出手中的筹码，同时故意掩饰自己的意图，从K线图上可以看出故意做出的横盘整理、洗盘、拉升等一系列的假象，在庄家抛出手中的绝大部分筹码后，股价就会开始一落千丈，所以投资者应该对此特别的留意。持有该股票的投资者应该及时抛出手中的筹码，未持有该股票的投资者也不要受K线形态的欺骗而介入。 </w:t>
      </w:r>
    </w:p>
    <w:p>
      <w:pPr>
        <w:pStyle w:val="34"/>
      </w:pPr>
      <w:r>
        <w:rPr>
          <w:rFonts w:hint="eastAsia"/>
        </w:rPr>
        <w:t>4.低出定式：符合该组形态的股票一般是庄家已在最短时间内出完货的股票，由于主力机构出货手法非常巧妙，所以绝大部分的投资者都不能全身而退。主力机构的退出，可能导致市场缺乏信心，从而使该股票崩盘；也可能使股价在市场散户行为下缓慢下滑。无论是上述情况中的哪一种，投资者都不应继续抱有任何的希望，应该及时的抽身退出 </w:t>
      </w:r>
    </w:p>
    <w:p>
      <w:pPr>
        <w:pStyle w:val="34"/>
      </w:pPr>
      <w:r>
        <w:rPr>
          <w:rFonts w:hint="eastAsia"/>
        </w:rPr>
        <w:t>5 基本指标：通过分类小、中、大盘次新股和小、中、大盘绩优、绩平、绩差股给投资者一目了然的总体上的把握。 </w:t>
      </w:r>
    </w:p>
    <w:p>
      <w:pPr>
        <w:pStyle w:val="34"/>
      </w:pPr>
      <w:r>
        <w:rPr>
          <w:rFonts w:hint="eastAsia"/>
        </w:rPr>
        <w:t>6 技术指标：通过 BIAS 、 SAR 、 KDJ 、 RSI 、 MACD 、 MTM 等技术指标显示出可能在短期内发动行情的股票，给出信号。 </w:t>
      </w:r>
    </w:p>
    <w:tbl>
      <w:tblPr>
        <w:tblStyle w:val="25"/>
        <w:tblW w:w="12064" w:type="dxa"/>
        <w:tblCellSpacing w:w="0" w:type="dxa"/>
        <w:tblInd w:w="0" w:type="dxa"/>
        <w:tblBorders>
          <w:top w:val="outset" w:color="auto" w:sz="6" w:space="0"/>
          <w:left w:val="outset" w:color="auto" w:sz="6" w:space="0"/>
          <w:bottom w:val="outset" w:color="auto" w:sz="6" w:space="0"/>
          <w:right w:val="outset" w:color="auto" w:sz="6" w:space="0"/>
          <w:insideH w:val="none" w:color="auto" w:sz="0" w:space="0"/>
          <w:insideV w:val="none" w:color="auto" w:sz="0" w:space="0"/>
        </w:tblBorders>
        <w:tblLayout w:type="autofit"/>
        <w:tblCellMar>
          <w:top w:w="0" w:type="dxa"/>
          <w:left w:w="0" w:type="dxa"/>
          <w:bottom w:w="0" w:type="dxa"/>
          <w:right w:w="0" w:type="dxa"/>
        </w:tblCellMar>
      </w:tblPr>
      <w:tblGrid>
        <w:gridCol w:w="2425"/>
        <w:gridCol w:w="9639"/>
      </w:tblGrid>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425" w:type="dxa"/>
            <w:tcBorders>
              <w:top w:val="outset" w:color="auto" w:sz="6" w:space="0"/>
              <w:left w:val="outset" w:color="auto" w:sz="6" w:space="0"/>
              <w:bottom w:val="outset" w:color="auto" w:sz="6" w:space="0"/>
              <w:right w:val="outset" w:color="auto" w:sz="6" w:space="0"/>
            </w:tcBorders>
          </w:tcPr>
          <w:p>
            <w:pPr>
              <w:pStyle w:val="34"/>
            </w:pPr>
            <w:r>
              <w:rPr>
                <w:rFonts w:hint="eastAsia"/>
              </w:rPr>
              <w:t>模式选股结果模式</w:t>
            </w:r>
          </w:p>
        </w:tc>
        <w:tc>
          <w:tcPr>
            <w:tcW w:w="9639" w:type="dxa"/>
            <w:tcBorders>
              <w:top w:val="outset" w:color="auto" w:sz="6" w:space="0"/>
              <w:left w:val="outset" w:color="auto" w:sz="6" w:space="0"/>
              <w:bottom w:val="outset" w:color="auto" w:sz="6" w:space="0"/>
              <w:right w:val="outset" w:color="auto" w:sz="6" w:space="0"/>
            </w:tcBorders>
          </w:tcPr>
          <w:p>
            <w:pPr>
              <w:pStyle w:val="34"/>
            </w:pPr>
            <w:r>
              <w:rPr>
                <w:rFonts w:hint="eastAsia"/>
              </w:rPr>
              <w:t>模式一句话解释</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425" w:type="dxa"/>
            <w:tcBorders>
              <w:top w:val="outset" w:color="auto" w:sz="6" w:space="0"/>
              <w:left w:val="outset" w:color="auto" w:sz="6" w:space="0"/>
              <w:bottom w:val="outset" w:color="auto" w:sz="6" w:space="0"/>
              <w:right w:val="outset" w:color="auto" w:sz="6" w:space="0"/>
            </w:tcBorders>
          </w:tcPr>
          <w:p>
            <w:pPr>
              <w:pStyle w:val="34"/>
            </w:pPr>
            <w:r>
              <w:rPr>
                <w:rFonts w:hint="eastAsia"/>
              </w:rPr>
              <w:t>低进模式</w:t>
            </w:r>
          </w:p>
        </w:tc>
        <w:tc>
          <w:tcPr>
            <w:tcW w:w="9639" w:type="dxa"/>
            <w:tcBorders>
              <w:top w:val="outset" w:color="auto" w:sz="6" w:space="0"/>
              <w:left w:val="outset" w:color="auto" w:sz="6" w:space="0"/>
              <w:bottom w:val="outset" w:color="auto" w:sz="6" w:space="0"/>
              <w:right w:val="outset" w:color="auto" w:sz="6" w:space="0"/>
            </w:tcBorders>
          </w:tcPr>
          <w:p>
            <w:pPr>
              <w:pStyle w:val="34"/>
            </w:pPr>
            <w:r>
              <w:rPr>
                <w:rFonts w:hint="eastAsia"/>
              </w:rPr>
              <w:t>庄家处于吸筹阶段，此股票处于股价相对较低的位置可以在放大量收阳时候机会进入</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425" w:type="dxa"/>
            <w:tcBorders>
              <w:top w:val="outset" w:color="auto" w:sz="6" w:space="0"/>
              <w:left w:val="outset" w:color="auto" w:sz="6" w:space="0"/>
              <w:bottom w:val="outset" w:color="auto" w:sz="6" w:space="0"/>
              <w:right w:val="outset" w:color="auto" w:sz="6" w:space="0"/>
            </w:tcBorders>
          </w:tcPr>
          <w:p>
            <w:pPr>
              <w:pStyle w:val="34"/>
            </w:pPr>
            <w:r>
              <w:rPr>
                <w:rFonts w:hint="eastAsia"/>
              </w:rPr>
              <w:t>高进模式</w:t>
            </w:r>
          </w:p>
        </w:tc>
        <w:tc>
          <w:tcPr>
            <w:tcW w:w="9639" w:type="dxa"/>
            <w:tcBorders>
              <w:top w:val="outset" w:color="auto" w:sz="6" w:space="0"/>
              <w:left w:val="outset" w:color="auto" w:sz="6" w:space="0"/>
              <w:bottom w:val="outset" w:color="auto" w:sz="6" w:space="0"/>
              <w:right w:val="outset" w:color="auto" w:sz="6" w:space="0"/>
            </w:tcBorders>
          </w:tcPr>
          <w:p>
            <w:pPr>
              <w:pStyle w:val="34"/>
            </w:pPr>
            <w:r>
              <w:rPr>
                <w:rFonts w:hint="eastAsia"/>
              </w:rPr>
              <w:t>庄家高度控盘阶段，此股票处于价位相对较高位置可能随时再次拉升，可以考虑进入</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425" w:type="dxa"/>
            <w:tcBorders>
              <w:top w:val="outset" w:color="auto" w:sz="6" w:space="0"/>
              <w:left w:val="outset" w:color="auto" w:sz="6" w:space="0"/>
              <w:bottom w:val="outset" w:color="auto" w:sz="6" w:space="0"/>
              <w:right w:val="outset" w:color="auto" w:sz="6" w:space="0"/>
            </w:tcBorders>
          </w:tcPr>
          <w:p>
            <w:pPr>
              <w:pStyle w:val="34"/>
            </w:pPr>
            <w:r>
              <w:rPr>
                <w:rFonts w:hint="eastAsia"/>
              </w:rPr>
              <w:t>高出模式</w:t>
            </w:r>
          </w:p>
        </w:tc>
        <w:tc>
          <w:tcPr>
            <w:tcW w:w="9639" w:type="dxa"/>
            <w:tcBorders>
              <w:top w:val="outset" w:color="auto" w:sz="6" w:space="0"/>
              <w:left w:val="outset" w:color="auto" w:sz="6" w:space="0"/>
              <w:bottom w:val="outset" w:color="auto" w:sz="6" w:space="0"/>
              <w:right w:val="outset" w:color="auto" w:sz="6" w:space="0"/>
            </w:tcBorders>
          </w:tcPr>
          <w:p>
            <w:pPr>
              <w:pStyle w:val="34"/>
            </w:pPr>
            <w:r>
              <w:rPr>
                <w:rFonts w:hint="eastAsia"/>
              </w:rPr>
              <w:t>庄家有意高位出货，此股票处于高位，有下降趋势时应考虑出货</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425" w:type="dxa"/>
            <w:tcBorders>
              <w:top w:val="outset" w:color="auto" w:sz="6" w:space="0"/>
              <w:left w:val="outset" w:color="auto" w:sz="6" w:space="0"/>
              <w:bottom w:val="outset" w:color="auto" w:sz="6" w:space="0"/>
              <w:right w:val="outset" w:color="auto" w:sz="6" w:space="0"/>
            </w:tcBorders>
          </w:tcPr>
          <w:p>
            <w:pPr>
              <w:pStyle w:val="34"/>
            </w:pPr>
            <w:r>
              <w:rPr>
                <w:rFonts w:hint="eastAsia"/>
              </w:rPr>
              <w:t>低出模式</w:t>
            </w:r>
          </w:p>
        </w:tc>
        <w:tc>
          <w:tcPr>
            <w:tcW w:w="9639" w:type="dxa"/>
            <w:tcBorders>
              <w:top w:val="outset" w:color="auto" w:sz="6" w:space="0"/>
              <w:left w:val="outset" w:color="auto" w:sz="6" w:space="0"/>
              <w:bottom w:val="outset" w:color="auto" w:sz="6" w:space="0"/>
              <w:right w:val="outset" w:color="auto" w:sz="6" w:space="0"/>
            </w:tcBorders>
          </w:tcPr>
          <w:p>
            <w:pPr>
              <w:pStyle w:val="34"/>
            </w:pPr>
            <w:r>
              <w:rPr>
                <w:rFonts w:hint="eastAsia"/>
              </w:rPr>
              <w:t>庄家已经快速出货，此股票股价可能跳水般不断下跌，考虑出货避险</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425" w:type="dxa"/>
            <w:tcBorders>
              <w:top w:val="outset" w:color="auto" w:sz="6" w:space="0"/>
              <w:left w:val="outset" w:color="auto" w:sz="6" w:space="0"/>
              <w:bottom w:val="outset" w:color="auto" w:sz="6" w:space="0"/>
              <w:right w:val="outset" w:color="auto" w:sz="6" w:space="0"/>
            </w:tcBorders>
          </w:tcPr>
          <w:p>
            <w:pPr>
              <w:pStyle w:val="34"/>
            </w:pPr>
            <w:r>
              <w:rPr>
                <w:rFonts w:hint="eastAsia"/>
              </w:rPr>
              <w:t>基本指标</w:t>
            </w:r>
          </w:p>
        </w:tc>
        <w:tc>
          <w:tcPr>
            <w:tcW w:w="9639" w:type="dxa"/>
            <w:tcBorders>
              <w:top w:val="outset" w:color="auto" w:sz="6" w:space="0"/>
              <w:left w:val="outset" w:color="auto" w:sz="6" w:space="0"/>
              <w:bottom w:val="outset" w:color="auto" w:sz="6" w:space="0"/>
              <w:right w:val="outset" w:color="auto" w:sz="6" w:space="0"/>
            </w:tcBorders>
          </w:tcPr>
          <w:p>
            <w:pPr>
              <w:pStyle w:val="34"/>
            </w:pPr>
            <w:r>
              <w:rPr>
                <w:rFonts w:hint="eastAsia"/>
              </w:rPr>
              <w:t>从股票盘子大小，是否刚上市不久，股票业绩分类出的各种股票类型</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425" w:type="dxa"/>
            <w:tcBorders>
              <w:top w:val="outset" w:color="auto" w:sz="6" w:space="0"/>
              <w:left w:val="outset" w:color="auto" w:sz="6" w:space="0"/>
              <w:bottom w:val="outset" w:color="auto" w:sz="6" w:space="0"/>
              <w:right w:val="outset" w:color="auto" w:sz="6" w:space="0"/>
            </w:tcBorders>
          </w:tcPr>
          <w:p>
            <w:pPr>
              <w:pStyle w:val="34"/>
            </w:pPr>
            <w:r>
              <w:rPr>
                <w:rFonts w:hint="eastAsia"/>
              </w:rPr>
              <w:t>技术指标</w:t>
            </w:r>
          </w:p>
        </w:tc>
        <w:tc>
          <w:tcPr>
            <w:tcW w:w="9639" w:type="dxa"/>
            <w:tcBorders>
              <w:top w:val="outset" w:color="auto" w:sz="6" w:space="0"/>
              <w:left w:val="outset" w:color="auto" w:sz="6" w:space="0"/>
              <w:bottom w:val="outset" w:color="auto" w:sz="6" w:space="0"/>
              <w:right w:val="outset" w:color="auto" w:sz="6" w:space="0"/>
            </w:tcBorders>
          </w:tcPr>
          <w:p>
            <w:pPr>
              <w:pStyle w:val="34"/>
            </w:pPr>
            <w:r>
              <w:rPr>
                <w:rFonts w:hint="eastAsia"/>
              </w:rPr>
              <w:t>各种交易技术指标满足买条件的股票被选出</w:t>
            </w:r>
          </w:p>
        </w:tc>
      </w:tr>
    </w:tbl>
    <w:p>
      <w:pPr>
        <w:pStyle w:val="34"/>
      </w:pPr>
      <w:r>
        <w:rPr>
          <w:rFonts w:hint="eastAsia"/>
        </w:rPr>
        <w:t>附注信息</w:t>
      </w:r>
    </w:p>
    <w:p>
      <w:pPr>
        <w:pStyle w:val="34"/>
      </w:pPr>
      <w:r>
        <w:rPr>
          <w:rFonts w:hint="eastAsia"/>
        </w:rPr>
        <w:t>⑴需要完整的本地日线数据</w:t>
      </w:r>
    </w:p>
    <w:p>
      <w:pPr>
        <w:pStyle w:val="34"/>
      </w:pPr>
      <w:r>
        <w:rPr>
          <w:rFonts w:hint="eastAsia"/>
        </w:rPr>
        <w:t>⑵形态选股形态解释</w:t>
      </w:r>
    </w:p>
    <w:p>
      <w:pPr>
        <w:pStyle w:val="34"/>
      </w:pPr>
      <w:r>
        <w:rPr>
          <w:rFonts w:hint="eastAsia"/>
        </w:rPr>
        <w:t>低进定式：符合该组形态的股票一般是庄家处于吸筹阶段，股本不大，股价较低。由于股本不大，庄家很容易吸入足够的筹码以至控盘，由于股价比较低，又有很大的拉高空间，再加上比较好的题材，是易于炒做的股票。处于该阶段，庄家还刚刚开始建仓或建仓刚刚完成，所以庄家不能暴露自己的意图，只能暗中打压股价、吸纳筹码，有货的投资者一定要捂紧自己的筹码，千万不要被轻易震仓出局。无货的投资者则不必急于入货，可等入庄主力正式发动行情（放大量、拉大阳）时及时介入。做中长线的投资者适合选择这种股票，做短线投资者也需留意有这么一些潜在黑马！</w:t>
      </w:r>
    </w:p>
    <w:p>
      <w:pPr>
        <w:pStyle w:val="34"/>
      </w:pPr>
      <w:r>
        <w:rPr>
          <w:rFonts w:hint="eastAsia"/>
        </w:rPr>
        <w:t>高进定式：符合该组形态的股票一般为庄家已基本控盘的股票，有以下两种情况</w:t>
      </w:r>
    </w:p>
    <w:p>
      <w:pPr>
        <w:pStyle w:val="34"/>
      </w:pPr>
      <w:r>
        <w:rPr>
          <w:rFonts w:hint="eastAsia"/>
        </w:rPr>
        <w:t>A、经历了建仓和一段时间的整理，庄家的手中已持有大量的筹码，庄家操作意图开始表现得比较明显，为了避免投资者追入，庄家或进一步洗盘整理以造成假象或迅速拉高，在K线形态上一般走出上升通道横盘向上的形态或者是开始 迅速拉高的形态，虽然尽力地掩饰自己的意图和目的，却是欲盖弥彰，庄家的意图和目的在模式选股下暴露无疑。 </w:t>
      </w:r>
    </w:p>
    <w:p>
      <w:pPr>
        <w:pStyle w:val="34"/>
      </w:pPr>
      <w:r>
        <w:rPr>
          <w:rFonts w:hint="eastAsia"/>
        </w:rPr>
        <w:t>B、庄家手中持有绝大部分的筹码，控盘很稳，虽然经历了一次以上的拉高，但手中依然握有重兵，可能在短期内再次发动行情。</w:t>
      </w:r>
    </w:p>
    <w:p>
      <w:pPr>
        <w:pStyle w:val="34"/>
      </w:pPr>
      <w:r>
        <w:rPr>
          <w:rFonts w:hint="eastAsia"/>
        </w:rPr>
        <w:t>高出定式：符合该组形态的股票一般已经历了一次以上的拉升阶段，股价已达高位，该价位上方再度拉升空间不大，这时庄家极有可能开始出货，此时，庄家一边吸引投资者介入、一边迅速地抛出手中的筹码，同时故意掩饰自己的意图，从K线图上可以看出故意做出的横盘整理、洗盘、拉升等一系列的假象，在庄家抛出手中的绝大部分筹码后，股价就会开始一落千丈，所以投资者应该对此特别的留意。持有该股票的投资者应该及时抛出手中的筹码，未持有该股票的投资者也不要受K线形态的欺骗而介入。</w:t>
      </w:r>
    </w:p>
    <w:p>
      <w:pPr>
        <w:pStyle w:val="34"/>
      </w:pPr>
      <w:r>
        <w:rPr>
          <w:rFonts w:hint="eastAsia"/>
        </w:rPr>
        <w:t>低出定式：符合该组形态的股票一般是庄家已在最短时间内出完货的股票，由于主力机构出货手法非常巧妙，所以绝大部分的投资者都不能全身而退。主力机构的退出，可能导致市场缺乏信心，从而使该股票崩盘；也可能使股价在市场散户行为下缓慢下滑。无论是上述情况中的哪一种，投资者都不应继续抱有任何的希望，应该及时的抽身退出。</w:t>
      </w:r>
    </w:p>
    <w:p>
      <w:pPr>
        <w:pStyle w:val="34"/>
      </w:pPr>
      <w:r>
        <w:rPr>
          <w:rFonts w:hint="eastAsia"/>
        </w:rPr>
        <w:t> </w:t>
      </w:r>
    </w:p>
    <w:p>
      <w:pPr>
        <w:pStyle w:val="34"/>
        <w:ind w:firstLine="482"/>
      </w:pPr>
      <w:r>
        <w:rPr>
          <w:rFonts w:hint="eastAsia"/>
          <w:b/>
          <w:bCs/>
          <w:color w:val="FF0000"/>
        </w:rPr>
        <w:t>【插件选股】 </w:t>
      </w:r>
    </w:p>
    <w:p>
      <w:pPr>
        <w:pStyle w:val="34"/>
      </w:pPr>
      <w:r>
        <w:rPr>
          <w:rFonts w:hint="eastAsia"/>
        </w:rPr>
        <w:t>快捷方式： </w:t>
      </w:r>
    </w:p>
    <w:p>
      <w:pPr>
        <w:pStyle w:val="34"/>
      </w:pPr>
      <w:r>
        <w:rPr>
          <w:rFonts w:hint="eastAsia"/>
        </w:rPr>
        <w:t>▲公式---插件选股 （需注册用户登陆）</w:t>
      </w:r>
    </w:p>
    <w:p>
      <w:pPr>
        <w:pStyle w:val="34"/>
      </w:pPr>
      <w:r>
        <w:rPr>
          <w:rFonts w:hint="eastAsia"/>
        </w:rPr>
        <w:t>▲ 键盘精灵 .908 </w:t>
      </w:r>
    </w:p>
    <w:p>
      <w:pPr>
        <w:pStyle w:val="34"/>
      </w:pPr>
      <w:r>
        <w:rPr>
          <w:rFonts w:hint="eastAsia"/>
        </w:rPr>
        <w:t>插件选股是为高级用户出于保密或速度的需要而以插件方式完成的选股工具。插件选股通过用 C语言编写生成 .dll动态库在系统中调用。 插件的接口定义由通达信公司提供。</w:t>
      </w:r>
    </w:p>
    <w:p>
      <w:pPr>
        <w:pStyle w:val="34"/>
      </w:pPr>
      <w:r>
        <w:rPr>
          <w:rFonts w:hint="eastAsia"/>
        </w:rPr>
        <w:t>插件选股操作步骤</w:t>
      </w:r>
    </w:p>
    <w:p>
      <w:pPr>
        <w:pStyle w:val="34"/>
      </w:pPr>
      <w:r>
        <w:rPr>
          <w:rFonts w:hint="eastAsia"/>
        </w:rPr>
        <w:t>⑴将提供的例dll（MyPlugin.dll）拷贝到安装目录下的plugin目录如果没有此目录新建一个</w:t>
      </w:r>
    </w:p>
    <w:p>
      <w:pPr>
        <w:pStyle w:val="34"/>
      </w:pPr>
      <w:r>
        <w:rPr>
          <w:rFonts w:hint="eastAsia"/>
        </w:rPr>
        <w:t>⑵.908进入插件选股，点击“执行选股”即可</w:t>
      </w:r>
    </w:p>
    <w:p>
      <w:pPr>
        <w:pStyle w:val="34"/>
      </w:pPr>
      <w:r>
        <w:fldChar w:fldCharType="begin"/>
      </w:r>
      <w:r>
        <w:instrText xml:space="preserve"> INCLUDEPICTURE  "https://www.tdx.com.cn/products/helpfile/tdxw/chm/%E7%AC%AC%E4%B8%89%E7%AB%A0  %E7%89%88%E9%9D%A2%E5%92%8C%E5%85%AC%E5%BC%8F/3-2/3-2-6/8.png" \* MERGEFORMATINET </w:instrText>
      </w:r>
      <w:r>
        <w:fldChar w:fldCharType="separate"/>
      </w:r>
      <w:r>
        <w:fldChar w:fldCharType="begin"/>
      </w:r>
      <w:r>
        <w:instrText xml:space="preserve"> INCLUDEPICTURE  "https://www.tdx.com.cn/products/helpfile/tdxw/chm/%E7%AC%AC%E4%B8%89%E7%AB%A0  %E7%89%88%E9%9D%A2%E5%92%8C%E5%85%AC%E5%BC%8F/3-2/3-2-6/8.png" \* MERGEFORMATINET </w:instrText>
      </w:r>
      <w:r>
        <w:fldChar w:fldCharType="separate"/>
      </w:r>
      <w:r>
        <w:fldChar w:fldCharType="begin"/>
      </w:r>
      <w:r>
        <w:instrText xml:space="preserve"> INCLUDEPICTURE  "https://www.tdx.com.cn/products/helpfile/tdxw/chm/%E7%AC%AC%E4%B8%89%E7%AB%A0  %E7%89%88%E9%9D%A2%E5%92%8C%E5%85%AC%E5%BC%8F/3-2/3-2-6/8.png" \* MERGEFORMATINET </w:instrText>
      </w:r>
      <w:r>
        <w:fldChar w:fldCharType="separate"/>
      </w:r>
      <w:r>
        <w:fldChar w:fldCharType="begin"/>
      </w:r>
      <w:r>
        <w:instrText xml:space="preserve"> INCLUDEPICTURE  "https://www.tdx.com.cn/products/helpfile/tdxw/chm/%E7%AC%AC%E4%B8%89%E7%AB%A0  %E7%89%88%E9%9D%A2%E5%92%8C%E5%85%AC%E5%BC%8F/3-2/3-2-6/8.png" \* MERGEFORMATINET </w:instrText>
      </w:r>
      <w:r>
        <w:fldChar w:fldCharType="separate"/>
      </w:r>
      <w:r>
        <w:drawing>
          <wp:inline distT="0" distB="0" distL="114300" distR="114300">
            <wp:extent cx="4857750" cy="3990975"/>
            <wp:effectExtent l="0" t="0" r="0" b="9525"/>
            <wp:docPr id="303" name="图片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303"/>
                    <pic:cNvPicPr>
                      <a:picLocks noChangeAspect="1"/>
                    </pic:cNvPicPr>
                  </pic:nvPicPr>
                  <pic:blipFill>
                    <a:blip r:embed="rId567" r:link="rId568"/>
                    <a:stretch>
                      <a:fillRect/>
                    </a:stretch>
                  </pic:blipFill>
                  <pic:spPr>
                    <a:xfrm>
                      <a:off x="0" y="0"/>
                      <a:ext cx="4857750" cy="3990975"/>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 </w:t>
      </w:r>
    </w:p>
    <w:p>
      <w:pPr>
        <w:pStyle w:val="34"/>
        <w:ind w:firstLine="542"/>
        <w:rPr>
          <w:b/>
          <w:bCs/>
          <w:color w:val="FF0000"/>
          <w:sz w:val="27"/>
          <w:szCs w:val="27"/>
        </w:rPr>
      </w:pPr>
      <w:r>
        <w:rPr>
          <w:rFonts w:hint="eastAsia"/>
          <w:b/>
          <w:bCs/>
          <w:color w:val="FF0000"/>
          <w:sz w:val="27"/>
          <w:szCs w:val="27"/>
        </w:rPr>
        <w:t>【综合选股】</w:t>
      </w:r>
    </w:p>
    <w:p>
      <w:pPr>
        <w:pStyle w:val="34"/>
      </w:pPr>
      <w:r>
        <w:rPr>
          <w:rFonts w:hint="eastAsia"/>
        </w:rPr>
        <w:t>▲ 公式--- 综合选股</w:t>
      </w:r>
    </w:p>
    <w:p>
      <w:pPr>
        <w:pStyle w:val="34"/>
      </w:pPr>
      <w:r>
        <w:rPr>
          <w:rFonts w:hint="eastAsia"/>
        </w:rPr>
        <w:t>通过用户自己设置指标、财务、行情、条件、 K 线来设置满足投资者需求的股票。通过“用法注释”、“查看公式”可以查看所选择公式的用法注释和查看公式内容。 </w:t>
      </w:r>
    </w:p>
    <w:p>
      <w:pPr>
        <w:pStyle w:val="34"/>
      </w:pPr>
      <w:r>
        <w:rPr>
          <w:rFonts w:hint="eastAsia"/>
        </w:rPr>
        <w:t>其中全部条件就是包含用户和系统选股公式的全部公式，系统条件只包含系统自带的选股公式可选，用户条件下面可选的选股公式只有用户自定义公式。</w:t>
      </w:r>
    </w:p>
    <w:p>
      <w:pPr>
        <w:pStyle w:val="34"/>
      </w:pPr>
      <w:r>
        <w:fldChar w:fldCharType="begin"/>
      </w:r>
      <w:r>
        <w:instrText xml:space="preserve"> INCLUDEPICTURE  "https://www.tdx.com.cn/products/helpfile/tdxw/chm/%E7%AC%AC%E4%B8%89%E7%AB%A0  %E7%89%88%E9%9D%A2%E5%92%8C%E5%85%AC%E5%BC%8F/3-2/3-2-6/9.png" \* MERGEFORMATINET </w:instrText>
      </w:r>
      <w:r>
        <w:fldChar w:fldCharType="separate"/>
      </w:r>
      <w:r>
        <w:fldChar w:fldCharType="begin"/>
      </w:r>
      <w:r>
        <w:instrText xml:space="preserve"> INCLUDEPICTURE  "https://www.tdx.com.cn/products/helpfile/tdxw/chm/%E7%AC%AC%E4%B8%89%E7%AB%A0  %E7%89%88%E9%9D%A2%E5%92%8C%E5%85%AC%E5%BC%8F/3-2/3-2-6/9.png" \* MERGEFORMATINET </w:instrText>
      </w:r>
      <w:r>
        <w:fldChar w:fldCharType="separate"/>
      </w:r>
      <w:r>
        <w:fldChar w:fldCharType="begin"/>
      </w:r>
      <w:r>
        <w:instrText xml:space="preserve"> INCLUDEPICTURE  "https://www.tdx.com.cn/products/helpfile/tdxw/chm/%E7%AC%AC%E4%B8%89%E7%AB%A0  %E7%89%88%E9%9D%A2%E5%92%8C%E5%85%AC%E5%BC%8F/3-2/3-2-6/9.png" \* MERGEFORMATINET </w:instrText>
      </w:r>
      <w:r>
        <w:fldChar w:fldCharType="separate"/>
      </w:r>
      <w:r>
        <w:fldChar w:fldCharType="begin"/>
      </w:r>
      <w:r>
        <w:instrText xml:space="preserve"> INCLUDEPICTURE  "https://www.tdx.com.cn/products/helpfile/tdxw/chm/%E7%AC%AC%E4%B8%89%E7%AB%A0  %E7%89%88%E9%9D%A2%E5%92%8C%E5%85%AC%E5%BC%8F/3-2/3-2-6/9.png" \* MERGEFORMATINET </w:instrText>
      </w:r>
      <w:r>
        <w:fldChar w:fldCharType="separate"/>
      </w:r>
      <w:r>
        <w:drawing>
          <wp:inline distT="0" distB="0" distL="114300" distR="114300">
            <wp:extent cx="6076950" cy="5476875"/>
            <wp:effectExtent l="0" t="0" r="0" b="9525"/>
            <wp:docPr id="304" name="图片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304"/>
                    <pic:cNvPicPr>
                      <a:picLocks noChangeAspect="1"/>
                    </pic:cNvPicPr>
                  </pic:nvPicPr>
                  <pic:blipFill>
                    <a:blip r:embed="rId569" r:link="rId570"/>
                    <a:stretch>
                      <a:fillRect/>
                    </a:stretch>
                  </pic:blipFill>
                  <pic:spPr>
                    <a:xfrm>
                      <a:off x="0" y="0"/>
                      <a:ext cx="6076950" cy="5476875"/>
                    </a:xfrm>
                    <a:prstGeom prst="rect">
                      <a:avLst/>
                    </a:prstGeom>
                    <a:noFill/>
                    <a:ln>
                      <a:noFill/>
                    </a:ln>
                  </pic:spPr>
                </pic:pic>
              </a:graphicData>
            </a:graphic>
          </wp:inline>
        </w:drawing>
      </w:r>
      <w:r>
        <w:fldChar w:fldCharType="end"/>
      </w:r>
      <w:r>
        <w:fldChar w:fldCharType="end"/>
      </w:r>
      <w:r>
        <w:fldChar w:fldCharType="end"/>
      </w:r>
      <w:r>
        <w:fldChar w:fldCharType="end"/>
      </w:r>
    </w:p>
    <w:p>
      <w:pPr>
        <w:pStyle w:val="34"/>
        <w:ind w:firstLine="540"/>
        <w:rPr>
          <w:sz w:val="27"/>
          <w:szCs w:val="27"/>
        </w:rPr>
      </w:pPr>
      <w:r>
        <w:rPr>
          <w:rFonts w:hint="eastAsia"/>
          <w:sz w:val="27"/>
          <w:szCs w:val="27"/>
        </w:rPr>
        <w:t> </w:t>
      </w:r>
    </w:p>
    <w:p>
      <w:pPr>
        <w:pStyle w:val="34"/>
      </w:pPr>
      <w:r>
        <w:rPr>
          <w:rFonts w:hint="eastAsia"/>
        </w:rPr>
        <w:t>指定一个小盘低价综合选股。</w:t>
      </w:r>
    </w:p>
    <w:p>
      <w:pPr>
        <w:pStyle w:val="34"/>
      </w:pPr>
      <w:r>
        <w:rPr>
          <w:rFonts w:hint="eastAsia"/>
        </w:rPr>
        <w:t>⑴设定流通股本小于 8000万股；</w:t>
      </w:r>
    </w:p>
    <w:p>
      <w:pPr>
        <w:pStyle w:val="34"/>
      </w:pPr>
      <w:r>
        <w:rPr>
          <w:rFonts w:hint="eastAsia"/>
        </w:rPr>
        <w:t>“全部条件”——“最新财务选股”——“流通股本”，在条件设置处设置好条件（除了实时行情变量和财务指标变量一般的条件都允许设置指定日期），点击“加入条件”，如下图：</w:t>
      </w:r>
    </w:p>
    <w:p>
      <w:pPr>
        <w:pStyle w:val="34"/>
      </w:pPr>
      <w:r>
        <w:fldChar w:fldCharType="begin"/>
      </w:r>
      <w:r>
        <w:instrText xml:space="preserve"> INCLUDEPICTURE  "https://www.tdx.com.cn/products/helpfile/tdxw/chm/%E7%AC%AC%E4%B8%89%E7%AB%A0  %E7%89%88%E9%9D%A2%E5%92%8C%E5%85%AC%E5%BC%8F/3-2/3-2-6/10.png" \* MERGEFORMATINET </w:instrText>
      </w:r>
      <w:r>
        <w:fldChar w:fldCharType="separate"/>
      </w:r>
      <w:r>
        <w:fldChar w:fldCharType="begin"/>
      </w:r>
      <w:r>
        <w:instrText xml:space="preserve"> INCLUDEPICTURE  "https://www.tdx.com.cn/products/helpfile/tdxw/chm/%E7%AC%AC%E4%B8%89%E7%AB%A0  %E7%89%88%E9%9D%A2%E5%92%8C%E5%85%AC%E5%BC%8F/3-2/3-2-6/10.png" \* MERGEFORMATINET </w:instrText>
      </w:r>
      <w:r>
        <w:fldChar w:fldCharType="separate"/>
      </w:r>
      <w:r>
        <w:fldChar w:fldCharType="begin"/>
      </w:r>
      <w:r>
        <w:instrText xml:space="preserve"> INCLUDEPICTURE  "https://www.tdx.com.cn/products/helpfile/tdxw/chm/%E7%AC%AC%E4%B8%89%E7%AB%A0  %E7%89%88%E9%9D%A2%E5%92%8C%E5%85%AC%E5%BC%8F/3-2/3-2-6/10.png" \* MERGEFORMATINET </w:instrText>
      </w:r>
      <w:r>
        <w:fldChar w:fldCharType="separate"/>
      </w:r>
      <w:r>
        <w:fldChar w:fldCharType="begin"/>
      </w:r>
      <w:r>
        <w:instrText xml:space="preserve"> INCLUDEPICTURE  "https://www.tdx.com.cn/products/helpfile/tdxw/chm/%E7%AC%AC%E4%B8%89%E7%AB%A0  %E7%89%88%E9%9D%A2%E5%92%8C%E5%85%AC%E5%BC%8F/3-2/3-2-6/10.png" \* MERGEFORMATINET </w:instrText>
      </w:r>
      <w:r>
        <w:fldChar w:fldCharType="separate"/>
      </w:r>
      <w:r>
        <w:drawing>
          <wp:inline distT="0" distB="0" distL="114300" distR="114300">
            <wp:extent cx="6076950" cy="5476875"/>
            <wp:effectExtent l="0" t="0" r="0" b="9525"/>
            <wp:docPr id="305" name="图片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305"/>
                    <pic:cNvPicPr>
                      <a:picLocks noChangeAspect="1"/>
                    </pic:cNvPicPr>
                  </pic:nvPicPr>
                  <pic:blipFill>
                    <a:blip r:embed="rId571" r:link="rId572"/>
                    <a:stretch>
                      <a:fillRect/>
                    </a:stretch>
                  </pic:blipFill>
                  <pic:spPr>
                    <a:xfrm>
                      <a:off x="0" y="0"/>
                      <a:ext cx="6076950" cy="5476875"/>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p>
    <w:p>
      <w:pPr>
        <w:pStyle w:val="34"/>
      </w:pPr>
      <w:r>
        <w:rPr>
          <w:rFonts w:hint="eastAsia"/>
        </w:rPr>
        <w:t>⑵设定股价小于 10元；</w:t>
      </w:r>
    </w:p>
    <w:p>
      <w:pPr>
        <w:pStyle w:val="34"/>
      </w:pPr>
      <w:r>
        <w:rPr>
          <w:rFonts w:hint="eastAsia"/>
        </w:rPr>
        <w:t>“全部条件”——“实时行情选股”——“现价”，设定好条件并加入条件（除了实时行情变量和财务指标变量一般的条件都允许设置指定日期），如下图：</w:t>
      </w:r>
    </w:p>
    <w:p>
      <w:pPr>
        <w:pStyle w:val="34"/>
      </w:pPr>
      <w:r>
        <w:rPr>
          <w:rFonts w:hint="eastAsia"/>
        </w:rPr>
        <w:t>  </w:t>
      </w:r>
      <w:r>
        <w:fldChar w:fldCharType="begin"/>
      </w:r>
      <w:r>
        <w:instrText xml:space="preserve"> INCLUDEPICTURE  "https://www.tdx.com.cn/products/helpfile/tdxw/chm/%E7%AC%AC%E4%B8%89%E7%AB%A0  %E7%89%88%E9%9D%A2%E5%92%8C%E5%85%AC%E5%BC%8F/3-2/3-2-6/11.png" \* MERGEFORMATINET </w:instrText>
      </w:r>
      <w:r>
        <w:fldChar w:fldCharType="separate"/>
      </w:r>
      <w:r>
        <w:fldChar w:fldCharType="begin"/>
      </w:r>
      <w:r>
        <w:instrText xml:space="preserve"> INCLUDEPICTURE  "https://www.tdx.com.cn/products/helpfile/tdxw/chm/%E7%AC%AC%E4%B8%89%E7%AB%A0  %E7%89%88%E9%9D%A2%E5%92%8C%E5%85%AC%E5%BC%8F/3-2/3-2-6/11.png" \* MERGEFORMATINET </w:instrText>
      </w:r>
      <w:r>
        <w:fldChar w:fldCharType="separate"/>
      </w:r>
      <w:r>
        <w:fldChar w:fldCharType="begin"/>
      </w:r>
      <w:r>
        <w:instrText xml:space="preserve"> INCLUDEPICTURE  "https://www.tdx.com.cn/products/helpfile/tdxw/chm/%E7%AC%AC%E4%B8%89%E7%AB%A0  %E7%89%88%E9%9D%A2%E5%92%8C%E5%85%AC%E5%BC%8F/3-2/3-2-6/11.png" \* MERGEFORMATINET </w:instrText>
      </w:r>
      <w:r>
        <w:fldChar w:fldCharType="separate"/>
      </w:r>
      <w:r>
        <w:fldChar w:fldCharType="begin"/>
      </w:r>
      <w:r>
        <w:instrText xml:space="preserve"> INCLUDEPICTURE  "https://www.tdx.com.cn/products/helpfile/tdxw/chm/%E7%AC%AC%E4%B8%89%E7%AB%A0  %E7%89%88%E9%9D%A2%E5%92%8C%E5%85%AC%E5%BC%8F/3-2/3-2-6/11.png" \* MERGEFORMATINET </w:instrText>
      </w:r>
      <w:r>
        <w:fldChar w:fldCharType="separate"/>
      </w:r>
      <w:r>
        <w:drawing>
          <wp:inline distT="0" distB="0" distL="114300" distR="114300">
            <wp:extent cx="6076950" cy="5476875"/>
            <wp:effectExtent l="0" t="0" r="0" b="9525"/>
            <wp:docPr id="306" name="图片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306"/>
                    <pic:cNvPicPr>
                      <a:picLocks noChangeAspect="1"/>
                    </pic:cNvPicPr>
                  </pic:nvPicPr>
                  <pic:blipFill>
                    <a:blip r:embed="rId573" r:link="rId574"/>
                    <a:stretch>
                      <a:fillRect/>
                    </a:stretch>
                  </pic:blipFill>
                  <pic:spPr>
                    <a:xfrm>
                      <a:off x="0" y="0"/>
                      <a:ext cx="6076950" cy="5476875"/>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⑶选择全部条件相与，点击“执行选股。</w:t>
      </w:r>
    </w:p>
    <w:p>
      <w:pPr>
        <w:pStyle w:val="34"/>
      </w:pPr>
      <w:r>
        <w:rPr>
          <w:rFonts w:hint="eastAsia"/>
        </w:rPr>
        <w:t>(注：全部条件相与表示所选的条件全部同时满足才会选出来，全部条件相或表示所选的条件其中有一项满足就会选出来)</w:t>
      </w:r>
    </w:p>
    <w:p>
      <w:pPr>
        <w:pStyle w:val="34"/>
        <w:ind w:firstLine="540"/>
        <w:rPr>
          <w:sz w:val="27"/>
          <w:szCs w:val="27"/>
        </w:rPr>
      </w:pPr>
      <w:r>
        <w:rPr>
          <w:rFonts w:hint="eastAsia"/>
          <w:sz w:val="27"/>
          <w:szCs w:val="27"/>
        </w:rPr>
        <w:t> </w:t>
      </w:r>
    </w:p>
    <w:p>
      <w:pPr>
        <w:pStyle w:val="34"/>
      </w:pPr>
      <w:r>
        <w:rPr>
          <w:rFonts w:hint="eastAsia"/>
        </w:rPr>
        <w:t>条件选股与综合选股功能转换：</w:t>
      </w:r>
    </w:p>
    <w:p>
      <w:pPr>
        <w:pStyle w:val="34"/>
      </w:pPr>
      <w:r>
        <w:rPr>
          <w:rFonts w:hint="eastAsia"/>
        </w:rPr>
        <w:t>如上面的综合选股条件可以转换成条件选股公式。</w:t>
      </w:r>
    </w:p>
    <w:p>
      <w:pPr>
        <w:pStyle w:val="34"/>
      </w:pPr>
      <w:r>
        <w:rPr>
          <w:rFonts w:hint="eastAsia"/>
        </w:rPr>
        <w:t>FINANCE(7)&lt;80000000 AND C&lt;10;{ 流通股本(股)&lt;80000000 AND 收盘价&lt;10}</w:t>
      </w:r>
    </w:p>
    <w:p>
      <w:pPr>
        <w:pStyle w:val="34"/>
      </w:pPr>
      <w:r>
        <w:rPr>
          <w:rStyle w:val="51"/>
          <w:rFonts w:hint="eastAsia"/>
          <w:szCs w:val="18"/>
        </w:rPr>
        <w:t>然后根据转变的条件选股公式进行条件选股即可。</w:t>
      </w:r>
    </w:p>
    <w:p>
      <w:pPr>
        <w:pStyle w:val="4"/>
      </w:pPr>
      <w:r>
        <w:rPr>
          <w:rFonts w:hint="eastAsia"/>
        </w:rPr>
        <w:t>自动选股设置</w:t>
      </w:r>
    </w:p>
    <w:p>
      <w:pPr>
        <w:pStyle w:val="34"/>
      </w:pPr>
      <w:r>
        <w:rPr>
          <w:rFonts w:hint="eastAsia"/>
        </w:rPr>
        <w:t>打开方式：公式——自动选股设置</w:t>
      </w:r>
    </w:p>
    <w:p>
      <w:pPr>
        <w:pStyle w:val="34"/>
      </w:pPr>
      <w:r>
        <w:rPr>
          <w:rFonts w:hint="eastAsia"/>
        </w:rPr>
        <w:t>将常用的公式添加成自动选股方案，可一键全部选股 。</w:t>
      </w:r>
    </w:p>
    <w:p>
      <w:pPr>
        <w:pStyle w:val="34"/>
      </w:pPr>
      <w:r>
        <w:fldChar w:fldCharType="begin"/>
      </w:r>
      <w:r>
        <w:instrText xml:space="preserve"> INCLUDEPICTURE  "https://www.tdx.com.cn/products/helpfile/tdxw/chm/%E7%AC%AC%E4%B8%89%E7%AB%A0  %E7%89%88%E9%9D%A2%E5%92%8C%E5%85%AC%E5%BC%8F/3-2/3-2-7/1.png" \* MERGEFORMATINET </w:instrText>
      </w:r>
      <w:r>
        <w:fldChar w:fldCharType="separate"/>
      </w:r>
      <w:r>
        <w:fldChar w:fldCharType="begin"/>
      </w:r>
      <w:r>
        <w:instrText xml:space="preserve"> INCLUDEPICTURE  "https://www.tdx.com.cn/products/helpfile/tdxw/chm/%E7%AC%AC%E4%B8%89%E7%AB%A0  %E7%89%88%E9%9D%A2%E5%92%8C%E5%85%AC%E5%BC%8F/3-2/3-2-7/1.png" \* MERGEFORMATINET </w:instrText>
      </w:r>
      <w:r>
        <w:fldChar w:fldCharType="separate"/>
      </w:r>
      <w:r>
        <w:fldChar w:fldCharType="begin"/>
      </w:r>
      <w:r>
        <w:instrText xml:space="preserve"> INCLUDEPICTURE  "https://www.tdx.com.cn/products/helpfile/tdxw/chm/%E7%AC%AC%E4%B8%89%E7%AB%A0  %E7%89%88%E9%9D%A2%E5%92%8C%E5%85%AC%E5%BC%8F/3-2/3-2-7/1.png" \* MERGEFORMATINET </w:instrText>
      </w:r>
      <w:r>
        <w:fldChar w:fldCharType="separate"/>
      </w:r>
      <w:r>
        <w:fldChar w:fldCharType="begin"/>
      </w:r>
      <w:r>
        <w:instrText xml:space="preserve"> INCLUDEPICTURE  "https://www.tdx.com.cn/products/helpfile/tdxw/chm/%E7%AC%AC%E4%B8%89%E7%AB%A0  %E7%89%88%E9%9D%A2%E5%92%8C%E5%85%AC%E5%BC%8F/3-2/3-2-7/1.png" \* MERGEFORMATINET </w:instrText>
      </w:r>
      <w:r>
        <w:fldChar w:fldCharType="separate"/>
      </w:r>
      <w:r>
        <w:drawing>
          <wp:inline distT="0" distB="0" distL="114300" distR="114300">
            <wp:extent cx="5362575" cy="3981450"/>
            <wp:effectExtent l="0" t="0" r="9525" b="0"/>
            <wp:docPr id="307" name="图片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307"/>
                    <pic:cNvPicPr>
                      <a:picLocks noChangeAspect="1"/>
                    </pic:cNvPicPr>
                  </pic:nvPicPr>
                  <pic:blipFill>
                    <a:blip r:embed="rId575" r:link="rId576"/>
                    <a:stretch>
                      <a:fillRect/>
                    </a:stretch>
                  </pic:blipFill>
                  <pic:spPr>
                    <a:xfrm>
                      <a:off x="0" y="0"/>
                      <a:ext cx="5362575" cy="3981450"/>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fldChar w:fldCharType="begin"/>
      </w:r>
      <w:r>
        <w:instrText xml:space="preserve"> INCLUDEPICTURE  "https://www.tdx.com.cn/products/helpfile/tdxw/chm/%E7%AC%AC%E4%B8%89%E7%AB%A0  %E7%89%88%E9%9D%A2%E5%92%8C%E5%85%AC%E5%BC%8F/3-2/3-2-7/2.png" \* MERGEFORMATINET </w:instrText>
      </w:r>
      <w:r>
        <w:fldChar w:fldCharType="separate"/>
      </w:r>
      <w:r>
        <w:fldChar w:fldCharType="begin"/>
      </w:r>
      <w:r>
        <w:instrText xml:space="preserve"> INCLUDEPICTURE  "https://www.tdx.com.cn/products/helpfile/tdxw/chm/%E7%AC%AC%E4%B8%89%E7%AB%A0  %E7%89%88%E9%9D%A2%E5%92%8C%E5%85%AC%E5%BC%8F/3-2/3-2-7/2.png" \* MERGEFORMATINET </w:instrText>
      </w:r>
      <w:r>
        <w:fldChar w:fldCharType="separate"/>
      </w:r>
      <w:r>
        <w:fldChar w:fldCharType="begin"/>
      </w:r>
      <w:r>
        <w:instrText xml:space="preserve"> INCLUDEPICTURE  "https://www.tdx.com.cn/products/helpfile/tdxw/chm/%E7%AC%AC%E4%B8%89%E7%AB%A0  %E7%89%88%E9%9D%A2%E5%92%8C%E5%85%AC%E5%BC%8F/3-2/3-2-7/2.png" \* MERGEFORMATINET </w:instrText>
      </w:r>
      <w:r>
        <w:fldChar w:fldCharType="separate"/>
      </w:r>
      <w:r>
        <w:fldChar w:fldCharType="begin"/>
      </w:r>
      <w:r>
        <w:instrText xml:space="preserve"> INCLUDEPICTURE  "https://www.tdx.com.cn/products/helpfile/tdxw/chm/%E7%AC%AC%E4%B8%89%E7%AB%A0  %E7%89%88%E9%9D%A2%E5%92%8C%E5%85%AC%E5%BC%8F/3-2/3-2-7/2.png" \* MERGEFORMATINET </w:instrText>
      </w:r>
      <w:r>
        <w:fldChar w:fldCharType="separate"/>
      </w:r>
      <w:r>
        <w:drawing>
          <wp:inline distT="0" distB="0" distL="114300" distR="114300">
            <wp:extent cx="4781550" cy="2838450"/>
            <wp:effectExtent l="0" t="0" r="0" b="0"/>
            <wp:docPr id="308" name="图片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308"/>
                    <pic:cNvPicPr>
                      <a:picLocks noChangeAspect="1"/>
                    </pic:cNvPicPr>
                  </pic:nvPicPr>
                  <pic:blipFill>
                    <a:blip r:embed="rId577" r:link="rId578"/>
                    <a:stretch>
                      <a:fillRect/>
                    </a:stretch>
                  </pic:blipFill>
                  <pic:spPr>
                    <a:xfrm>
                      <a:off x="0" y="0"/>
                      <a:ext cx="4781550" cy="2838450"/>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"间隔20分钟后（运行期）重新进入板块即重新选股"：“20分钟”指在设置的间隔时间（20分钟）内，都是用同样的数据选股，选股结果不会有变化。 超过了间隔时间，点击板块名称即会重新刷新选股。</w:t>
      </w:r>
    </w:p>
    <w:p>
      <w:pPr>
        <w:pStyle w:val="34"/>
      </w:pPr>
      <w:r>
        <w:rPr>
          <w:rFonts w:hint="eastAsia"/>
        </w:rPr>
        <w:t>使用数据个数：代表计算公式所使用的K线根数。默认500.</w:t>
      </w:r>
    </w:p>
    <w:p>
      <w:pPr>
        <w:pStyle w:val="4"/>
      </w:pPr>
      <w:r>
        <w:rPr>
          <w:rFonts w:hint="eastAsia"/>
        </w:rPr>
        <w:t>性价比换股器</w:t>
      </w:r>
    </w:p>
    <w:p>
      <w:pPr>
        <w:pStyle w:val="34"/>
      </w:pPr>
      <w:r>
        <w:rPr>
          <w:rFonts w:hint="eastAsia"/>
        </w:rPr>
        <w:t>公式——性价比换股器。通过 选定股票的基本数据信息设定以此股票相关数据为界点的条件来进行对比选股。</w:t>
      </w:r>
    </w:p>
    <w:p>
      <w:pPr>
        <w:pStyle w:val="34"/>
        <w:ind w:firstLine="540"/>
        <w:rPr>
          <w:sz w:val="27"/>
          <w:szCs w:val="27"/>
        </w:rPr>
      </w:pPr>
      <w:r>
        <w:rPr>
          <w:rFonts w:hint="eastAsia"/>
          <w:sz w:val="27"/>
          <w:szCs w:val="27"/>
        </w:rPr>
        <w:t> </w:t>
      </w:r>
    </w:p>
    <w:p>
      <w:pPr>
        <w:pStyle w:val="34"/>
      </w:pPr>
      <w:r>
        <w:rPr>
          <w:rFonts w:hint="eastAsia"/>
        </w:rPr>
        <w:t>这里以一汽富维 为基准股票 进入性价比换股器功能</w:t>
      </w:r>
    </w:p>
    <w:p>
      <w:pPr>
        <w:pStyle w:val="34"/>
      </w:pPr>
      <w:r>
        <w:fldChar w:fldCharType="begin"/>
      </w:r>
      <w:r>
        <w:instrText xml:space="preserve"> INCLUDEPICTURE  "https://www.tdx.com.cn/products/helpfile/tdxw/chm/%E7%AC%AC%E4%B8%89%E7%AB%A0  %E7%89%88%E9%9D%A2%E5%92%8C%E5%85%AC%E5%BC%8F/3-2/3-2-8/untitled.jpg" \* MERGEFORMATINET </w:instrText>
      </w:r>
      <w:r>
        <w:fldChar w:fldCharType="separate"/>
      </w:r>
      <w:r>
        <w:fldChar w:fldCharType="begin"/>
      </w:r>
      <w:r>
        <w:instrText xml:space="preserve"> INCLUDEPICTURE  "https://www.tdx.com.cn/products/helpfile/tdxw/chm/%E7%AC%AC%E4%B8%89%E7%AB%A0  %E7%89%88%E9%9D%A2%E5%92%8C%E5%85%AC%E5%BC%8F/3-2/3-2-8/untitled.jpg" \* MERGEFORMATINET </w:instrText>
      </w:r>
      <w:r>
        <w:fldChar w:fldCharType="separate"/>
      </w:r>
      <w:r>
        <w:fldChar w:fldCharType="begin"/>
      </w:r>
      <w:r>
        <w:instrText xml:space="preserve"> INCLUDEPICTURE  "https://www.tdx.com.cn/products/helpfile/tdxw/chm/%E7%AC%AC%E4%B8%89%E7%AB%A0  %E7%89%88%E9%9D%A2%E5%92%8C%E5%85%AC%E5%BC%8F/3-2/3-2-8/untitled.jpg" \* MERGEFORMATINET </w:instrText>
      </w:r>
      <w:r>
        <w:fldChar w:fldCharType="separate"/>
      </w:r>
      <w:r>
        <w:fldChar w:fldCharType="begin"/>
      </w:r>
      <w:r>
        <w:instrText xml:space="preserve"> INCLUDEPICTURE  "https://www.tdx.com.cn/products/helpfile/tdxw/chm/%E7%AC%AC%E4%B8%89%E7%AB%A0  %E7%89%88%E9%9D%A2%E5%92%8C%E5%85%AC%E5%BC%8F/3-2/3-2-8/untitled.jpg" \* MERGEFORMATINET </w:instrText>
      </w:r>
      <w:r>
        <w:fldChar w:fldCharType="separate"/>
      </w:r>
      <w:r>
        <w:drawing>
          <wp:inline distT="0" distB="0" distL="114300" distR="114300">
            <wp:extent cx="4248150" cy="4724400"/>
            <wp:effectExtent l="0" t="0" r="0" b="0"/>
            <wp:docPr id="309" name="图片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309"/>
                    <pic:cNvPicPr>
                      <a:picLocks noChangeAspect="1"/>
                    </pic:cNvPicPr>
                  </pic:nvPicPr>
                  <pic:blipFill>
                    <a:blip r:embed="rId579" r:link="rId580"/>
                    <a:stretch>
                      <a:fillRect/>
                    </a:stretch>
                  </pic:blipFill>
                  <pic:spPr>
                    <a:xfrm>
                      <a:off x="0" y="0"/>
                      <a:ext cx="4248150" cy="4724400"/>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p>
    <w:p>
      <w:pPr>
        <w:pStyle w:val="34"/>
      </w:pPr>
      <w:r>
        <w:rPr>
          <w:rFonts w:hint="eastAsia"/>
        </w:rPr>
        <w:t>设定选股的范围 ：可以选择全部股票范围（深沪A股）、所属板块（板块可以为系统内置的概念 行业 地区板块）并集两种模式</w:t>
      </w:r>
    </w:p>
    <w:p>
      <w:pPr>
        <w:pStyle w:val="34"/>
      </w:pPr>
      <w:r>
        <w:rPr>
          <w:rFonts w:hint="eastAsia"/>
        </w:rPr>
        <w:t>考虑股性活跃度：勾选此设置可以设置 N日内股票振幅的幅度达到M 这个条件（(hhv(h,n)-llv(l,n))/llv(l,n)*100&gt;M）</w:t>
      </w:r>
    </w:p>
    <w:p>
      <w:pPr>
        <w:pStyle w:val="34"/>
        <w:ind w:firstLine="540"/>
        <w:rPr>
          <w:sz w:val="27"/>
          <w:szCs w:val="27"/>
        </w:rPr>
      </w:pPr>
      <w:r>
        <w:rPr>
          <w:rFonts w:hint="eastAsia"/>
          <w:sz w:val="27"/>
          <w:szCs w:val="27"/>
        </w:rPr>
        <w:t> </w:t>
      </w:r>
    </w:p>
    <w:p>
      <w:pPr>
        <w:pStyle w:val="34"/>
      </w:pPr>
      <w:r>
        <w:rPr>
          <w:rFonts w:hint="eastAsia"/>
        </w:rPr>
        <w:t>默认的其他基本条件是：</w:t>
      </w:r>
    </w:p>
    <w:p>
      <w:pPr>
        <w:pStyle w:val="34"/>
      </w:pPr>
      <w:r>
        <w:rPr>
          <w:rFonts w:hint="eastAsia"/>
        </w:rPr>
        <w:t>流通股本小于基准股票的流通股本</w:t>
      </w:r>
    </w:p>
    <w:p>
      <w:pPr>
        <w:pStyle w:val="34"/>
      </w:pPr>
      <w:r>
        <w:rPr>
          <w:rFonts w:hint="eastAsia"/>
        </w:rPr>
        <w:t>年每股收益大于基准股票的年每股收益 （年每股收益=每股收益(N)/N*4）</w:t>
      </w:r>
    </w:p>
    <w:p>
      <w:pPr>
        <w:pStyle w:val="34"/>
      </w:pPr>
      <w:r>
        <w:rPr>
          <w:rFonts w:hint="eastAsia"/>
        </w:rPr>
        <w:t>每股净资产大于基准股票的每股净资产</w:t>
      </w:r>
    </w:p>
    <w:p>
      <w:pPr>
        <w:pStyle w:val="34"/>
      </w:pPr>
      <w:r>
        <w:rPr>
          <w:rFonts w:hint="eastAsia"/>
        </w:rPr>
        <w:t>当前股价小于基准股票的当前价格</w:t>
      </w:r>
    </w:p>
    <w:p>
      <w:pPr>
        <w:pStyle w:val="34"/>
      </w:pPr>
      <w:r>
        <w:rPr>
          <w:rFonts w:hint="eastAsia"/>
        </w:rPr>
        <w:t>{也可以设置 不同的关系 如 大于/小于/介于某区间}</w:t>
      </w:r>
    </w:p>
    <w:p>
      <w:pPr>
        <w:pStyle w:val="34"/>
        <w:ind w:firstLine="540"/>
        <w:rPr>
          <w:sz w:val="27"/>
          <w:szCs w:val="27"/>
        </w:rPr>
      </w:pPr>
      <w:r>
        <w:rPr>
          <w:rFonts w:hint="eastAsia"/>
          <w:sz w:val="27"/>
          <w:szCs w:val="27"/>
        </w:rPr>
        <w:t> </w:t>
      </w:r>
    </w:p>
    <w:p>
      <w:pPr>
        <w:pStyle w:val="34"/>
      </w:pPr>
      <w:r>
        <w:rPr>
          <w:rFonts w:hint="eastAsia"/>
        </w:rPr>
        <w:t>最后执行选股。 选股结束通过“分析”按钮进入选中的股票分析图， 点击“当前个股” 会自动填充选中股票的流通股本、年收益、每股净资产、当前股价到条件设置里，又可以以此选中股票作为基准股票重新设置条件。</w:t>
      </w:r>
    </w:p>
    <w:p>
      <w:pPr>
        <w:pStyle w:val="3"/>
      </w:pPr>
      <w:bookmarkStart w:id="39" w:name="_Toc90646158"/>
      <w:r>
        <w:t>公式平台</w:t>
      </w:r>
      <w:bookmarkEnd w:id="39"/>
    </w:p>
    <w:p>
      <w:pPr>
        <w:pStyle w:val="4"/>
      </w:pPr>
      <w:r>
        <w:t>公式</w:t>
      </w:r>
      <w:r>
        <w:rPr>
          <w:rFonts w:hint="eastAsia"/>
        </w:rPr>
        <w:t>入</w:t>
      </w:r>
      <w:r>
        <w:t>门</w:t>
      </w:r>
    </w:p>
    <w:p>
      <w:pPr>
        <w:pStyle w:val="34"/>
      </w:pPr>
      <w:r>
        <w:rPr>
          <w:rFonts w:hint="eastAsia"/>
        </w:rPr>
        <w:t>更多学习内容请到 通达信论坛下载 </w:t>
      </w:r>
      <w:r>
        <w:fldChar w:fldCharType="begin"/>
      </w:r>
      <w:r>
        <w:instrText xml:space="preserve"> HYPERLINK "http://tdx.com.cn/dispbbs.asp?boardid=12&amp;Id=240847" </w:instrText>
      </w:r>
      <w:r>
        <w:fldChar w:fldCharType="separate"/>
      </w:r>
      <w:r>
        <w:rPr>
          <w:rStyle w:val="30"/>
          <w:rFonts w:hint="eastAsia" w:ascii="微软雅黑" w:hAnsi="微软雅黑" w:eastAsia="微软雅黑"/>
          <w:sz w:val="18"/>
          <w:szCs w:val="18"/>
        </w:rPr>
        <w:t>http://tdx.com.cn/dispbbs.asp?boardid=12&amp;Id=240847</w:t>
      </w:r>
      <w:r>
        <w:rPr>
          <w:rStyle w:val="30"/>
          <w:rFonts w:hint="eastAsia" w:ascii="微软雅黑" w:hAnsi="微软雅黑" w:eastAsia="微软雅黑"/>
          <w:sz w:val="18"/>
          <w:szCs w:val="18"/>
        </w:rPr>
        <w:fldChar w:fldCharType="end"/>
      </w:r>
    </w:p>
    <w:p>
      <w:pPr>
        <w:pStyle w:val="34"/>
      </w:pPr>
      <w:r>
        <w:rPr>
          <w:rFonts w:hint="eastAsia"/>
        </w:rPr>
        <w:t>公式入门 </w:t>
      </w:r>
    </w:p>
    <w:p>
      <w:pPr>
        <w:pStyle w:val="34"/>
      </w:pPr>
      <w:r>
        <w:rPr>
          <w:rFonts w:hint="eastAsia"/>
        </w:rPr>
        <w:t>我们大多数的用户并不是完全了解 “ 公式编辑器 ” 的意义，简单地，我们可以从以下几个角度进行理解：</w:t>
      </w:r>
    </w:p>
    <w:p>
      <w:pPr>
        <w:pStyle w:val="34"/>
      </w:pPr>
      <w:r>
        <w:rPr>
          <w:rFonts w:hint="eastAsia"/>
        </w:rPr>
        <w:t>一、指标分析： </w:t>
      </w:r>
    </w:p>
    <w:p>
      <w:pPr>
        <w:pStyle w:val="34"/>
      </w:pPr>
      <w:r>
        <w:rPr>
          <w:rFonts w:hint="eastAsia"/>
        </w:rPr>
        <w:t>“ 公式编辑器 ” 好比是一个工作母床，通过这个工作母床可以制造出所需要的各式各样的零件，同样，在指标分析的工作中，利用编辑器可以编写出相应的分析条件，这种方法是在技术分析当中最为常用的方法之一。例如，指标 KD 、指标 MA 等等，通过对这些指标的观察、分析，找出一些合适的条件作为买入卖出点。当然，我们也许需要的是一些自己的指标，一些自己的准确的指标，更多的 MB 、 MC 、 MD 等等，这一切我们通过 “ 公式编辑器 ” 可以实现。</w:t>
      </w:r>
    </w:p>
    <w:p>
      <w:pPr>
        <w:pStyle w:val="34"/>
      </w:pPr>
      <w:r>
        <w:rPr>
          <w:rFonts w:hint="eastAsia"/>
        </w:rPr>
        <w:t>二、条件选股： </w:t>
      </w:r>
    </w:p>
    <w:p>
      <w:pPr>
        <w:pStyle w:val="34"/>
      </w:pPr>
      <w:r>
        <w:rPr>
          <w:rFonts w:hint="eastAsia"/>
        </w:rPr>
        <w:t>编写公式都要用到什么东西？ </w:t>
      </w:r>
    </w:p>
    <w:p>
      <w:pPr>
        <w:pStyle w:val="34"/>
      </w:pPr>
      <w:r>
        <w:rPr>
          <w:rFonts w:hint="eastAsia"/>
        </w:rPr>
        <w:t>我们留下了许多问题 -- 都是公式编写的基础问题，所以我们这节课来解决这些基础的问题。 </w:t>
      </w:r>
    </w:p>
    <w:p>
      <w:pPr>
        <w:pStyle w:val="34"/>
      </w:pPr>
      <w:r>
        <w:rPr>
          <w:rFonts w:hint="eastAsia"/>
        </w:rPr>
        <w:t>什么是技术指标？ </w:t>
      </w:r>
    </w:p>
    <w:p>
      <w:pPr>
        <w:pStyle w:val="34"/>
      </w:pPr>
      <w:r>
        <w:rPr>
          <w:rFonts w:hint="eastAsia"/>
        </w:rPr>
        <w:t>MA 均线就是一种技术指标，我们在炒股的时候，经常会将一些行情数据进行数学计算得出一些曲线等等，方便我们掌握股市的变动情况。 </w:t>
      </w:r>
    </w:p>
    <w:p>
      <w:pPr>
        <w:pStyle w:val="34"/>
      </w:pPr>
      <w:r>
        <w:rPr>
          <w:rFonts w:hint="eastAsia"/>
        </w:rPr>
        <w:t>什么是条件选股？ </w:t>
      </w:r>
    </w:p>
    <w:p>
      <w:pPr>
        <w:pStyle w:val="34"/>
      </w:pPr>
      <w:r>
        <w:rPr>
          <w:rFonts w:hint="eastAsia"/>
        </w:rPr>
        <w:t>简单讲，就是按照您的设定的条件用电脑帮助您完成一些太多太复杂的挑选 -- 比如您有一些好的心得和方法，可使有 1000 多只股票，您就是有 100 双眼睛有时也不一定可以看得过来，这时电脑就派上用场了！ </w:t>
      </w:r>
    </w:p>
    <w:p>
      <w:pPr>
        <w:pStyle w:val="34"/>
      </w:pPr>
      <w:r>
        <w:rPr>
          <w:rFonts w:hint="eastAsia"/>
        </w:rPr>
        <w:t>什么是参数？ </w:t>
      </w:r>
    </w:p>
    <w:p>
      <w:pPr>
        <w:pStyle w:val="34"/>
      </w:pPr>
      <w:r>
        <w:rPr>
          <w:rFonts w:hint="eastAsia"/>
        </w:rPr>
        <w:t>比如讲： 10 日均线，您可以把 10 日当作参数，好处在于，您觉得需要修改成 5 日的时候，就可以使用一些简单的方法，例如参数精灵来很方便的修改和调整。参数需要名字，例如 M 就不错。还要规定参数的范围，例如 1 日至 260 日。这样我们就可以在 1 到 260 之间任意调节 M 的值了， M 最常用的数填在 “ 缺省 ” 一栏，例如你最喜欢用 10 日均线，那就填 10 吧。</w:t>
      </w:r>
    </w:p>
    <w:p>
      <w:pPr>
        <w:pStyle w:val="34"/>
      </w:pPr>
      <w:r>
        <w:rPr>
          <w:rFonts w:hint="eastAsia"/>
        </w:rPr>
        <w:t>什么是周期？ </w:t>
      </w:r>
    </w:p>
    <w:p>
      <w:pPr>
        <w:pStyle w:val="34"/>
      </w:pPr>
      <w:r>
        <w:rPr>
          <w:rFonts w:hint="eastAsia"/>
        </w:rPr>
        <w:t>这么解释吧！我们有的投资者喜欢使用日线图作技术分析；有的喜欢用 5 分钟的 K 线；有的喜欢使用长一点时间的，例如周线。所以在公式设计中，允许不同喜好的使用者选择不同的分析时间 -- 就是可以选择不同的周期。</w:t>
      </w:r>
    </w:p>
    <w:p>
      <w:pPr>
        <w:pStyle w:val="34"/>
      </w:pPr>
      <w:r>
        <w:rPr>
          <w:rFonts w:hint="eastAsia"/>
        </w:rPr>
        <w:t>什么是函数？ </w:t>
      </w:r>
    </w:p>
    <w:p>
      <w:pPr>
        <w:pStyle w:val="34"/>
      </w:pPr>
      <w:r>
        <w:rPr>
          <w:rFonts w:hint="eastAsia"/>
        </w:rPr>
        <w:t>函数在公式编写非常重要，如果作个比喻，我们用一种语言去告诉电脑我的想法，并且让它去帮我做，那么函数就是这种语言的单词。 </w:t>
      </w:r>
    </w:p>
    <w:p>
      <w:pPr>
        <w:pStyle w:val="34"/>
      </w:pPr>
      <w:r>
        <w:rPr>
          <w:rFonts w:hint="eastAsia"/>
        </w:rPr>
        <w:t>我们在公式编辑器中选择插入函数，就可以看到里面有许多的函数，我们在附录中有一个简表，大家可以到那里去检索！ </w:t>
      </w:r>
    </w:p>
    <w:p>
      <w:pPr>
        <w:pStyle w:val="34"/>
      </w:pPr>
      <w:r>
        <w:rPr>
          <w:rFonts w:hint="eastAsia"/>
        </w:rPr>
        <w:t>例一： </w:t>
      </w:r>
    </w:p>
    <w:p>
      <w:pPr>
        <w:pStyle w:val="34"/>
      </w:pPr>
      <w:r>
        <w:rPr>
          <w:rFonts w:hint="eastAsia"/>
        </w:rPr>
        <w:t>一根 K 线有四个价格组成： </w:t>
      </w:r>
    </w:p>
    <w:p>
      <w:pPr>
        <w:pStyle w:val="34"/>
      </w:pPr>
      <w:r>
        <w:rPr>
          <w:rFonts w:hint="eastAsia"/>
        </w:rPr>
        <w:t>最高价： HIGH </w:t>
      </w:r>
    </w:p>
    <w:p>
      <w:pPr>
        <w:pStyle w:val="34"/>
      </w:pPr>
      <w:r>
        <w:rPr>
          <w:rFonts w:hint="eastAsia"/>
        </w:rPr>
        <w:t>收盘价： CLOSE </w:t>
      </w:r>
    </w:p>
    <w:p>
      <w:pPr>
        <w:pStyle w:val="34"/>
      </w:pPr>
      <w:r>
        <w:rPr>
          <w:rFonts w:hint="eastAsia"/>
        </w:rPr>
        <w:t>最低价： LOW </w:t>
      </w:r>
    </w:p>
    <w:p>
      <w:pPr>
        <w:pStyle w:val="34"/>
      </w:pPr>
      <w:r>
        <w:rPr>
          <w:rFonts w:hint="eastAsia"/>
        </w:rPr>
        <w:t>开盘价： OPEN </w:t>
      </w:r>
    </w:p>
    <w:p>
      <w:pPr>
        <w:pStyle w:val="34"/>
      </w:pPr>
      <w:r>
        <w:rPr>
          <w:rFonts w:hint="eastAsia"/>
        </w:rPr>
        <w:t>成交量： VOL </w:t>
      </w:r>
    </w:p>
    <w:p>
      <w:pPr>
        <w:pStyle w:val="34"/>
      </w:pPr>
      <w:r>
        <w:rPr>
          <w:rFonts w:hint="eastAsia"/>
        </w:rPr>
        <w:t>成交额： AMO </w:t>
      </w:r>
    </w:p>
    <w:p>
      <w:pPr>
        <w:pStyle w:val="34"/>
      </w:pPr>
      <w:r>
        <w:rPr>
          <w:rFonts w:hint="eastAsia"/>
        </w:rPr>
        <w:t>例二： </w:t>
      </w:r>
    </w:p>
    <w:p>
      <w:pPr>
        <w:pStyle w:val="34"/>
      </w:pPr>
      <w:r>
        <w:rPr>
          <w:rFonts w:hint="eastAsia"/>
        </w:rPr>
        <w:t>两条均线不断地交叉，就专门设定了一条函数来描述两条线交叉： CROSS （ X ， Y ） </w:t>
      </w:r>
    </w:p>
    <w:p>
      <w:pPr>
        <w:pStyle w:val="34"/>
      </w:pPr>
      <w:r>
        <w:rPr>
          <w:rFonts w:hint="eastAsia"/>
        </w:rPr>
        <w:t>假如下图中的两条均线一条名叫 X ，另外一条叫 Y </w:t>
      </w:r>
    </w:p>
    <w:p>
      <w:pPr>
        <w:pStyle w:val="34"/>
      </w:pPr>
      <w:r>
        <w:rPr>
          <w:rFonts w:hint="eastAsia"/>
        </w:rPr>
        <w:t>CROSS （ X ， Y ）表示 X 向上穿过了 Y </w:t>
      </w:r>
    </w:p>
    <w:p>
      <w:pPr>
        <w:pStyle w:val="34"/>
      </w:pPr>
      <w:r>
        <w:rPr>
          <w:rFonts w:hint="eastAsia"/>
        </w:rPr>
        <w:t>CROSS （ Y ， X ）表示 Y 向上穿过了 X </w:t>
      </w:r>
    </w:p>
    <w:p>
      <w:pPr>
        <w:pStyle w:val="34"/>
      </w:pPr>
      <w:r>
        <w:rPr>
          <w:rFonts w:hint="eastAsia"/>
        </w:rPr>
        <w:t>例三： </w:t>
      </w:r>
    </w:p>
    <w:p>
      <w:pPr>
        <w:pStyle w:val="34"/>
      </w:pPr>
      <w:r>
        <w:rPr>
          <w:rFonts w:hint="eastAsia"/>
        </w:rPr>
        <w:t>前面的 CLOSE ，还是 VOL ，都表示当天，或者您使用的不是日线，那就表示本周期的数据，那么前几天的怎么表示呢？ </w:t>
      </w:r>
    </w:p>
    <w:p>
      <w:pPr>
        <w:pStyle w:val="34"/>
      </w:pPr>
      <w:r>
        <w:rPr>
          <w:rFonts w:hint="eastAsia"/>
        </w:rPr>
        <w:t>REF （ X ， M ） </w:t>
      </w:r>
    </w:p>
    <w:p>
      <w:pPr>
        <w:pStyle w:val="34"/>
      </w:pPr>
      <w:r>
        <w:rPr>
          <w:rFonts w:hint="eastAsia"/>
        </w:rPr>
        <w:t>例如： </w:t>
      </w:r>
    </w:p>
    <w:p>
      <w:pPr>
        <w:pStyle w:val="34"/>
      </w:pPr>
      <w:r>
        <w:rPr>
          <w:rFonts w:hint="eastAsia"/>
        </w:rPr>
        <w:t>REF （ Close ， 5 ）表示 5 天前的收盘； </w:t>
      </w:r>
    </w:p>
    <w:p>
      <w:pPr>
        <w:pStyle w:val="34"/>
      </w:pPr>
      <w:r>
        <w:rPr>
          <w:rFonts w:hint="eastAsia"/>
        </w:rPr>
        <w:t>REF （ Vol ， 10 ）表示 10 天前的成交量； </w:t>
      </w:r>
    </w:p>
    <w:p>
      <w:pPr>
        <w:pStyle w:val="34"/>
      </w:pPr>
      <w:r>
        <w:rPr>
          <w:rFonts w:hint="eastAsia"/>
        </w:rPr>
        <w:t>这里的 M 就是参数，您现在明白了什么是参数了吗？ </w:t>
      </w:r>
    </w:p>
    <w:p>
      <w:pPr>
        <w:pStyle w:val="34"/>
      </w:pPr>
      <w:r>
        <w:rPr>
          <w:rFonts w:hint="eastAsia"/>
        </w:rPr>
        <w:t>例四： </w:t>
      </w:r>
    </w:p>
    <w:p>
      <w:pPr>
        <w:pStyle w:val="34"/>
      </w:pPr>
      <w:r>
        <w:rPr>
          <w:rFonts w:hint="eastAsia"/>
        </w:rPr>
        <w:t>如果我想把两个条件并列在一起怎么办？ </w:t>
      </w:r>
    </w:p>
    <w:p>
      <w:pPr>
        <w:pStyle w:val="34"/>
      </w:pPr>
      <w:r>
        <w:rPr>
          <w:rFonts w:hint="eastAsia"/>
        </w:rPr>
        <w:t>AND </w:t>
      </w:r>
    </w:p>
    <w:p>
      <w:pPr>
        <w:pStyle w:val="34"/>
      </w:pPr>
      <w:r>
        <w:rPr>
          <w:rFonts w:hint="eastAsia"/>
        </w:rPr>
        <w:t>X AND Y 就表示条件 X 和条件 Y </w:t>
      </w:r>
    </w:p>
    <w:p>
      <w:pPr>
        <w:pStyle w:val="34"/>
      </w:pPr>
      <w:r>
        <w:rPr>
          <w:rFonts w:hint="eastAsia"/>
        </w:rPr>
        <w:t>好了！本课结束吧 -- 有点稍慢，下面会好一些！</w:t>
      </w:r>
    </w:p>
    <w:p>
      <w:pPr>
        <w:pStyle w:val="34"/>
      </w:pPr>
      <w:r>
        <w:rPr>
          <w:rFonts w:hint="eastAsia"/>
        </w:rPr>
        <w:t>编写一条最简单的指标线</w:t>
      </w:r>
    </w:p>
    <w:p>
      <w:pPr>
        <w:pStyle w:val="34"/>
      </w:pPr>
    </w:p>
    <w:p>
      <w:pPr>
        <w:pStyle w:val="34"/>
      </w:pPr>
      <w:r>
        <w:rPr>
          <w:rFonts w:hint="eastAsia"/>
        </w:rPr>
        <w:t>通过前几课的学习，我们今天开始使用软件的公式编辑功能编写我们自己的第一条指标线。 </w:t>
      </w:r>
    </w:p>
    <w:p>
      <w:pPr>
        <w:pStyle w:val="34"/>
      </w:pPr>
      <w:r>
        <w:rPr>
          <w:rFonts w:hint="eastAsia"/>
        </w:rPr>
        <w:t>其实不难，你应该对自己有信心！ </w:t>
      </w:r>
    </w:p>
    <w:p>
      <w:pPr>
        <w:pStyle w:val="34"/>
      </w:pPr>
      <w:r>
        <w:rPr>
          <w:rFonts w:hint="eastAsia"/>
        </w:rPr>
        <w:t>按照主菜单 - 工具 - 公式管理 - 选择 -“ 技术指标 ”- 点击 “ 新建 ” ，然后在公式编辑器中留下你的第一行脚印吧！ </w:t>
      </w:r>
    </w:p>
    <w:p>
      <w:pPr>
        <w:pStyle w:val="34"/>
      </w:pPr>
      <w:r>
        <w:rPr>
          <w:rFonts w:hint="eastAsia"/>
        </w:rPr>
        <w:t>点击： “ 确认 ” ，现在看一下我们第一条指标线。 </w:t>
      </w:r>
    </w:p>
    <w:p>
      <w:pPr>
        <w:pStyle w:val="34"/>
      </w:pPr>
      <w:r>
        <w:rPr>
          <w:rFonts w:hint="eastAsia"/>
        </w:rPr>
        <w:t>这条指标线与你的想法相符吗？ </w:t>
      </w:r>
    </w:p>
    <w:p>
      <w:pPr>
        <w:pStyle w:val="34"/>
      </w:pPr>
      <w:r>
        <w:rPr>
          <w:rFonts w:hint="eastAsia"/>
        </w:rPr>
        <w:t>总结与补充： </w:t>
      </w:r>
    </w:p>
    <w:p>
      <w:pPr>
        <w:pStyle w:val="34"/>
      </w:pPr>
      <w:r>
        <w:rPr>
          <w:rFonts w:hint="eastAsia"/>
        </w:rPr>
        <w:t>1 、如果选择： “ 主图叠加 ” ，我们的指标线会与 K 线图显示在同一个图形框中，现在我们的指标线显示在其下方，即 “ 副图 ” 中； </w:t>
      </w:r>
    </w:p>
    <w:p>
      <w:pPr>
        <w:pStyle w:val="34"/>
      </w:pPr>
      <w:r>
        <w:rPr>
          <w:rFonts w:hint="eastAsia"/>
        </w:rPr>
        <w:t>2 、参数可以有，也可以没有，但是鼓励大家设置参数，这是非常好的习惯； </w:t>
      </w:r>
    </w:p>
    <w:p>
      <w:pPr>
        <w:pStyle w:val="34"/>
      </w:pPr>
      <w:r>
        <w:rPr>
          <w:rFonts w:hint="eastAsia"/>
        </w:rPr>
        <w:t>3 、一个句子完了，别忘了以分号结尾； </w:t>
      </w:r>
    </w:p>
    <w:p>
      <w:pPr>
        <w:pStyle w:val="34"/>
      </w:pPr>
      <w:r>
        <w:rPr>
          <w:rFonts w:hint="eastAsia"/>
        </w:rPr>
        <w:t>你的公式写得对不对，可以通过 “ 测试公式 ” 来检查，如果错了，它会告诉你错在哪里。 </w:t>
      </w:r>
    </w:p>
    <w:p>
      <w:pPr>
        <w:pStyle w:val="34"/>
      </w:pPr>
      <w:r>
        <w:rPr>
          <w:rFonts w:hint="eastAsia"/>
        </w:rPr>
        <w:t>编写最常用的均量和均价线 </w:t>
      </w:r>
    </w:p>
    <w:p>
      <w:pPr>
        <w:pStyle w:val="34"/>
      </w:pPr>
      <w:r>
        <w:rPr>
          <w:rFonts w:hint="eastAsia"/>
        </w:rPr>
        <w:t>均价线，不就是那个 “ 移动平均线 MA” 什么的吗？不过，话说回来，听说 10 个人里面有 11 个人都在使用，我可得学习学习！ </w:t>
      </w:r>
    </w:p>
    <w:p>
      <w:pPr>
        <w:pStyle w:val="34"/>
      </w:pPr>
      <w:r>
        <w:rPr>
          <w:rFonts w:hint="eastAsia"/>
        </w:rPr>
        <w:t>原理是？？ </w:t>
      </w:r>
    </w:p>
    <w:p>
      <w:pPr>
        <w:pStyle w:val="34"/>
      </w:pPr>
      <w:r>
        <w:rPr>
          <w:rFonts w:hint="eastAsia"/>
        </w:rPr>
        <w:t>5 日平均线 = （今天收盘价 + 昨天收盘价 +.....--5 天前的收盘价） /5 ； </w:t>
      </w:r>
    </w:p>
    <w:p>
      <w:pPr>
        <w:pStyle w:val="34"/>
      </w:pPr>
      <w:r>
        <w:rPr>
          <w:rFonts w:hint="eastAsia"/>
        </w:rPr>
        <w:t>10 日平均线 = （今天收盘价 + 昨天收盘价 +......+10 天前的收盘价） /10 ； </w:t>
      </w:r>
    </w:p>
    <w:p>
      <w:pPr>
        <w:pStyle w:val="34"/>
      </w:pPr>
      <w:r>
        <w:rPr>
          <w:rFonts w:hint="eastAsia"/>
        </w:rPr>
        <w:t>150 日平均线 = （今天收盘价 + 昨天收盘价 +......+150 天前的收盘价） /150 ； </w:t>
      </w:r>
    </w:p>
    <w:p>
      <w:pPr>
        <w:pStyle w:val="34"/>
      </w:pPr>
      <w:r>
        <w:rPr>
          <w:rFonts w:hint="eastAsia"/>
        </w:rPr>
        <w:t>200 日平均线 ...... 不是这么麻烦吧？难道我每天都要写这么多得数才得到一条平均线？？？？ </w:t>
      </w:r>
    </w:p>
    <w:p>
      <w:pPr>
        <w:pStyle w:val="34"/>
      </w:pPr>
      <w:r>
        <w:rPr>
          <w:rFonts w:hint="eastAsia"/>
        </w:rPr>
        <w:t>你有什么办法？ </w:t>
      </w:r>
    </w:p>
    <w:p>
      <w:pPr>
        <w:pStyle w:val="34"/>
      </w:pPr>
      <w:r>
        <w:rPr>
          <w:rFonts w:hint="eastAsia"/>
        </w:rPr>
        <w:t>MA1=MA （ CLOSE ， 5 ）； </w:t>
      </w:r>
    </w:p>
    <w:p>
      <w:pPr>
        <w:pStyle w:val="34"/>
      </w:pPr>
      <w:r>
        <w:rPr>
          <w:rFonts w:hint="eastAsia"/>
        </w:rPr>
        <w:t>MA2=MA （ CLOSE ， 10 ）； </w:t>
      </w:r>
    </w:p>
    <w:p>
      <w:pPr>
        <w:pStyle w:val="34"/>
      </w:pPr>
      <w:r>
        <w:rPr>
          <w:rFonts w:hint="eastAsia"/>
        </w:rPr>
        <w:t>MA3=MA （ CLOSE ， 50 ）； </w:t>
      </w:r>
    </w:p>
    <w:p>
      <w:pPr>
        <w:pStyle w:val="34"/>
      </w:pPr>
      <w:r>
        <w:rPr>
          <w:rFonts w:hint="eastAsia"/>
        </w:rPr>
        <w:t>...... </w:t>
      </w:r>
    </w:p>
    <w:p>
      <w:pPr>
        <w:pStyle w:val="34"/>
      </w:pPr>
      <w:r>
        <w:rPr>
          <w:rFonts w:hint="eastAsia"/>
        </w:rPr>
        <w:t>当然是有简单的方法了！你把我在上面说过的话写下来，按照前面几课讲的，写在公式的编辑栏当中就可以了！ </w:t>
      </w:r>
    </w:p>
    <w:p>
      <w:pPr>
        <w:pStyle w:val="34"/>
      </w:pPr>
      <w:r>
        <w:rPr>
          <w:rFonts w:hint="eastAsia"/>
        </w:rPr>
        <w:t>注意： </w:t>
      </w:r>
    </w:p>
    <w:p>
      <w:pPr>
        <w:pStyle w:val="34"/>
      </w:pPr>
      <w:r>
        <w:rPr>
          <w:rFonts w:hint="eastAsia"/>
        </w:rPr>
        <w:t>“MA” 表示的就是计算平均值。 </w:t>
      </w:r>
    </w:p>
    <w:p>
      <w:pPr>
        <w:pStyle w:val="34"/>
      </w:pPr>
      <w:r>
        <w:rPr>
          <w:rFonts w:hint="eastAsia"/>
        </w:rPr>
        <w:t>在括号内写上计算的对象和计算的时间长度。 </w:t>
      </w:r>
    </w:p>
    <w:p>
      <w:pPr>
        <w:pStyle w:val="34"/>
      </w:pPr>
      <w:r>
        <w:rPr>
          <w:rFonts w:hint="eastAsia"/>
        </w:rPr>
        <w:t>MA1 ， MA2 ， MA3...... 是好几条指标线，别忘记了用分号把它们分开。 </w:t>
      </w:r>
    </w:p>
    <w:p>
      <w:pPr>
        <w:pStyle w:val="34"/>
      </w:pPr>
      <w:r>
        <w:rPr>
          <w:rFonts w:hint="eastAsia"/>
        </w:rPr>
        <w:t>最后呢？电脑自己会把它们一起画出来。 </w:t>
      </w:r>
    </w:p>
    <w:p>
      <w:pPr>
        <w:pStyle w:val="34"/>
      </w:pPr>
      <w:r>
        <w:rPr>
          <w:rFonts w:hint="eastAsia"/>
        </w:rPr>
        <w:t>均量线？？？ </w:t>
      </w:r>
    </w:p>
    <w:p>
      <w:pPr>
        <w:pStyle w:val="34"/>
      </w:pPr>
      <w:r>
        <w:rPr>
          <w:rFonts w:hint="eastAsia"/>
        </w:rPr>
        <w:t>均价线都有了，照着葫芦画瓢，把收盘价 CLOSE 换成成交量 VOL 就行了！ </w:t>
      </w:r>
    </w:p>
    <w:p>
      <w:pPr>
        <w:pStyle w:val="34"/>
      </w:pPr>
      <w:r>
        <w:rPr>
          <w:rFonts w:hint="eastAsia"/>
        </w:rPr>
        <w:t>MA1 ： MA （ VOL ， 5 ）； </w:t>
      </w:r>
    </w:p>
    <w:p>
      <w:pPr>
        <w:pStyle w:val="34"/>
      </w:pPr>
      <w:r>
        <w:rPr>
          <w:rFonts w:hint="eastAsia"/>
        </w:rPr>
        <w:t>MA2 ： MA （ VOL ， 10 ）； </w:t>
      </w:r>
    </w:p>
    <w:p>
      <w:pPr>
        <w:pStyle w:val="34"/>
      </w:pPr>
      <w:r>
        <w:rPr>
          <w:rFonts w:hint="eastAsia"/>
        </w:rPr>
        <w:t>MA3 ： MA （ VOL ， 150 ）； </w:t>
      </w:r>
    </w:p>
    <w:p>
      <w:pPr>
        <w:pStyle w:val="34"/>
      </w:pPr>
      <w:r>
        <w:rPr>
          <w:rFonts w:hint="eastAsia"/>
        </w:rPr>
        <w:t>MA4 ： MA （ VOL ， 200 ）； </w:t>
      </w:r>
    </w:p>
    <w:p>
      <w:pPr>
        <w:pStyle w:val="34"/>
      </w:pPr>
      <w:r>
        <w:rPr>
          <w:rFonts w:hint="eastAsia"/>
        </w:rPr>
        <w:t>今天有几只发生 MA 金叉？ </w:t>
      </w:r>
    </w:p>
    <w:p>
      <w:pPr>
        <w:pStyle w:val="34"/>
      </w:pPr>
      <w:r>
        <w:rPr>
          <w:rFonts w:hint="eastAsia"/>
        </w:rPr>
        <w:t>我们学习了编写 MA 移动平均线，关于这几条指标线如何使用？我想大家可能都比我清楚。例如短期均线和长期均线发生了金叉或者死叉， ...... 等等，葛兰维尔的八项法则 ...... 如果说如何用软件编写一个条件，让电脑把今天两个市场的股票中所有发生了黄金交叉的股票选出来呢？ </w:t>
      </w:r>
    </w:p>
    <w:p>
      <w:pPr>
        <w:pStyle w:val="34"/>
      </w:pPr>
      <w:r>
        <w:rPr>
          <w:rFonts w:hint="eastAsia"/>
        </w:rPr>
        <w:t>想知道吗？这就是 “ 条件选股 ” ，按照 “ 条件 ” 电脑自动 “ 选择股票 ” 出来，可以供您分析，要不然的话，技术分析的投资者都会累死了！ </w:t>
      </w:r>
    </w:p>
    <w:p>
      <w:pPr>
        <w:pStyle w:val="34"/>
      </w:pPr>
      <w:r>
        <w:rPr>
          <w:rFonts w:hint="eastAsia"/>
        </w:rPr>
        <w:t>跟我学！ </w:t>
      </w:r>
    </w:p>
    <w:p>
      <w:pPr>
        <w:pStyle w:val="34"/>
      </w:pPr>
      <w:r>
        <w:rPr>
          <w:rFonts w:hint="eastAsia"/>
        </w:rPr>
        <w:t>第一步： “ 工具 ” 栏中选中 “ 公式管理器 ” </w:t>
      </w:r>
    </w:p>
    <w:p>
      <w:pPr>
        <w:pStyle w:val="34"/>
      </w:pPr>
      <w:r>
        <w:rPr>
          <w:rFonts w:hint="eastAsia"/>
        </w:rPr>
        <w:t>第二步：我们现在选择 “ 新建 ” 一个 “ 条件选股 ” 公式，结果出现了下面的编辑栏！然后在里面写上您的条件！ </w:t>
      </w:r>
    </w:p>
    <w:p>
      <w:pPr>
        <w:pStyle w:val="34"/>
      </w:pPr>
      <w:r>
        <w:rPr>
          <w:rFonts w:hint="eastAsia"/>
        </w:rPr>
        <w:t>第三步：按照说明书上的步骤选股就行了！ </w:t>
      </w:r>
    </w:p>
    <w:p>
      <w:pPr>
        <w:pStyle w:val="34"/>
      </w:pPr>
      <w:r>
        <w:rPr>
          <w:rFonts w:hint="eastAsia"/>
        </w:rPr>
        <w:t>注意： </w:t>
      </w:r>
    </w:p>
    <w:p>
      <w:pPr>
        <w:pStyle w:val="34"/>
      </w:pPr>
      <w:r>
        <w:rPr>
          <w:rFonts w:hint="eastAsia"/>
        </w:rPr>
        <w:t>1 、在条件选股中点击 “ 新建 ” ； </w:t>
      </w:r>
    </w:p>
    <w:p>
      <w:pPr>
        <w:pStyle w:val="34"/>
      </w:pPr>
      <w:r>
        <w:rPr>
          <w:rFonts w:hint="eastAsia"/>
        </w:rPr>
        <w:t>2 、原来 MA5 ： MA （ CLOSE ， 5 ）； </w:t>
      </w:r>
    </w:p>
    <w:p>
      <w:pPr>
        <w:pStyle w:val="34"/>
      </w:pPr>
      <w:r>
        <w:rPr>
          <w:rFonts w:hint="eastAsia"/>
        </w:rPr>
        <w:t>表示的是一条指标线，可是现在我们在条件选股当中只要引用它，不需要把它画出来。所以我们在冒号的后面加一个符号，表示等会要引用它： MA5 ： =MA （ CLOSE ， 5 ）； </w:t>
      </w:r>
    </w:p>
    <w:p>
      <w:pPr>
        <w:pStyle w:val="34"/>
      </w:pPr>
      <w:r>
        <w:rPr>
          <w:rFonts w:hint="eastAsia"/>
        </w:rPr>
        <w:t>这个在的公式编辑中，叫做 “ 中间表达式 ” 。 </w:t>
      </w:r>
    </w:p>
    <w:p>
      <w:pPr>
        <w:pStyle w:val="34"/>
      </w:pPr>
      <w:r>
        <w:rPr>
          <w:rFonts w:hint="eastAsia"/>
        </w:rPr>
        <w:t>X=1 ； </w:t>
      </w:r>
    </w:p>
    <w:p>
      <w:pPr>
        <w:pStyle w:val="34"/>
      </w:pPr>
      <w:r>
        <w:rPr>
          <w:rFonts w:hint="eastAsia"/>
        </w:rPr>
        <w:t>Y=X+1 ； </w:t>
      </w:r>
    </w:p>
    <w:p>
      <w:pPr>
        <w:pStyle w:val="34"/>
      </w:pPr>
      <w:r>
        <w:rPr>
          <w:rFonts w:hint="eastAsia"/>
        </w:rPr>
        <w:t>Y= ？ </w:t>
      </w:r>
    </w:p>
    <w:p>
      <w:pPr>
        <w:pStyle w:val="34"/>
      </w:pPr>
      <w:r>
        <w:rPr>
          <w:rFonts w:hint="eastAsia"/>
        </w:rPr>
        <w:t>我们学过上面的数学，都知道把 X=1 代入到 Y 的计算中去， “X=1 ； ” 就是一个中间表达式，您明白了吗？ </w:t>
      </w:r>
    </w:p>
    <w:p>
      <w:pPr>
        <w:pStyle w:val="34"/>
      </w:pPr>
    </w:p>
    <w:p>
      <w:pPr>
        <w:pStyle w:val="34"/>
      </w:pPr>
      <w:r>
        <w:rPr>
          <w:rFonts w:hint="eastAsia"/>
        </w:rPr>
        <w:t>条件选股总结： </w:t>
      </w:r>
    </w:p>
    <w:p>
      <w:pPr>
        <w:pStyle w:val="34"/>
      </w:pPr>
      <w:r>
        <w:rPr>
          <w:rFonts w:hint="eastAsia"/>
        </w:rPr>
        <w:t>1 、指标和条件选股在结构上没有差别，只是在内容上，条件选股要多加上我们的条件，比如大于 10 ，或者交叉等等！ </w:t>
      </w:r>
    </w:p>
    <w:p>
      <w:pPr>
        <w:pStyle w:val="34"/>
      </w:pPr>
      <w:r>
        <w:rPr>
          <w:rFonts w:hint="eastAsia"/>
        </w:rPr>
        <w:t>2 、中间表达式可以帮助我们清晰的表达我们的公式，不至于使公式的结构特别的混乱！ </w:t>
      </w:r>
    </w:p>
    <w:p>
      <w:pPr>
        <w:pStyle w:val="4"/>
      </w:pPr>
      <w:r>
        <w:rPr>
          <w:rFonts w:hint="eastAsia"/>
        </w:rPr>
        <w:t>公式编辑器</w:t>
      </w:r>
    </w:p>
    <w:p>
      <w:pPr>
        <w:pStyle w:val="34"/>
        <w:rPr>
          <w:szCs w:val="18"/>
        </w:rPr>
      </w:pPr>
      <w:r>
        <w:rPr>
          <w:rFonts w:hint="eastAsia"/>
          <w:szCs w:val="18"/>
        </w:rPr>
        <w:t>四类公式统一由公式编辑器进行新建、修改、删除等一系列编辑操作。公式编辑器对话框中可以输入公式的名称、密码、公式内容和附加线等信息，也可以对公式类型和画线方法进行选择。 </w:t>
      </w:r>
    </w:p>
    <w:p>
      <w:pPr>
        <w:pStyle w:val="34"/>
        <w:rPr>
          <w:szCs w:val="18"/>
        </w:rPr>
      </w:pPr>
      <w:r>
        <w:rPr>
          <w:rFonts w:hint="eastAsia"/>
          <w:szCs w:val="18"/>
        </w:rPr>
        <w:t>公式编辑器在使用上十分灵活，支持丰富的键盘操作和鼠标操作。基本的键盘定义如下所示： </w:t>
      </w:r>
    </w:p>
    <w:p>
      <w:pPr>
        <w:pStyle w:val="34"/>
        <w:rPr>
          <w:szCs w:val="18"/>
        </w:rPr>
      </w:pPr>
      <w:r>
        <w:rPr>
          <w:rFonts w:hint="eastAsia"/>
          <w:szCs w:val="18"/>
        </w:rPr>
        <w:t>↑、↓、←、→ ――上，下，左，右移动光标 </w:t>
      </w:r>
    </w:p>
    <w:p>
      <w:pPr>
        <w:pStyle w:val="34"/>
        <w:rPr>
          <w:szCs w:val="18"/>
        </w:rPr>
      </w:pPr>
      <w:r>
        <w:rPr>
          <w:rFonts w:hint="eastAsia"/>
          <w:szCs w:val="18"/>
        </w:rPr>
        <w:t>INSERT ――插入/覆盖切换 </w:t>
      </w:r>
    </w:p>
    <w:p>
      <w:pPr>
        <w:pStyle w:val="34"/>
        <w:rPr>
          <w:szCs w:val="18"/>
        </w:rPr>
      </w:pPr>
      <w:r>
        <w:rPr>
          <w:rFonts w:hint="eastAsia"/>
          <w:szCs w:val="18"/>
        </w:rPr>
        <w:t>Ctrl＋P ――括号匹配查找 </w:t>
      </w:r>
    </w:p>
    <w:p>
      <w:pPr>
        <w:pStyle w:val="34"/>
        <w:rPr>
          <w:szCs w:val="18"/>
        </w:rPr>
      </w:pPr>
      <w:r>
        <w:rPr>
          <w:rFonts w:hint="eastAsia"/>
          <w:szCs w:val="18"/>
        </w:rPr>
        <w:t>Ctrl＋A ――全选 </w:t>
      </w:r>
    </w:p>
    <w:p>
      <w:pPr>
        <w:pStyle w:val="34"/>
        <w:rPr>
          <w:szCs w:val="18"/>
        </w:rPr>
      </w:pPr>
      <w:r>
        <w:rPr>
          <w:rFonts w:hint="eastAsia"/>
          <w:szCs w:val="18"/>
        </w:rPr>
        <w:t>Ctrl＋C ――复制选中文本 </w:t>
      </w:r>
    </w:p>
    <w:p>
      <w:pPr>
        <w:pStyle w:val="34"/>
        <w:rPr>
          <w:szCs w:val="18"/>
        </w:rPr>
      </w:pPr>
      <w:r>
        <w:rPr>
          <w:rFonts w:hint="eastAsia"/>
          <w:szCs w:val="18"/>
        </w:rPr>
        <w:t>Ctrl＋V ――粘贴文本 </w:t>
      </w:r>
    </w:p>
    <w:p>
      <w:pPr>
        <w:pStyle w:val="34"/>
        <w:rPr>
          <w:szCs w:val="18"/>
        </w:rPr>
      </w:pPr>
      <w:r>
        <w:rPr>
          <w:rFonts w:hint="eastAsia"/>
          <w:szCs w:val="18"/>
        </w:rPr>
        <w:t>Ctrl＋Z ――取消操作 </w:t>
      </w:r>
    </w:p>
    <w:p>
      <w:pPr>
        <w:pStyle w:val="34"/>
        <w:rPr>
          <w:szCs w:val="18"/>
        </w:rPr>
      </w:pPr>
      <w:r>
        <w:rPr>
          <w:rFonts w:hint="eastAsia"/>
          <w:szCs w:val="18"/>
        </w:rPr>
        <w:t>Ctrl＋Y ――恢复操作 </w:t>
      </w:r>
    </w:p>
    <w:p>
      <w:pPr>
        <w:pStyle w:val="34"/>
        <w:rPr>
          <w:szCs w:val="18"/>
        </w:rPr>
      </w:pPr>
      <w:r>
        <w:rPr>
          <w:rFonts w:hint="eastAsia"/>
          <w:szCs w:val="18"/>
        </w:rPr>
        <w:t>Ctrl＋↑ ――上滚一行 </w:t>
      </w:r>
    </w:p>
    <w:p>
      <w:pPr>
        <w:pStyle w:val="34"/>
        <w:rPr>
          <w:szCs w:val="18"/>
        </w:rPr>
      </w:pPr>
      <w:r>
        <w:rPr>
          <w:rFonts w:hint="eastAsia"/>
          <w:szCs w:val="18"/>
        </w:rPr>
        <w:t>Ctrl＋↓ ――下滚一行 </w:t>
      </w:r>
    </w:p>
    <w:p>
      <w:pPr>
        <w:pStyle w:val="34"/>
        <w:rPr>
          <w:szCs w:val="18"/>
        </w:rPr>
      </w:pPr>
      <w:r>
        <w:rPr>
          <w:rFonts w:hint="eastAsia"/>
          <w:szCs w:val="18"/>
        </w:rPr>
        <w:t>Ctrl＋← ――左移一个单词 </w:t>
      </w:r>
    </w:p>
    <w:p>
      <w:pPr>
        <w:pStyle w:val="34"/>
        <w:rPr>
          <w:szCs w:val="18"/>
        </w:rPr>
      </w:pPr>
      <w:r>
        <w:rPr>
          <w:rFonts w:hint="eastAsia"/>
          <w:szCs w:val="18"/>
        </w:rPr>
        <w:t>Ctrl＋→ ――右移一个单词 </w:t>
      </w:r>
    </w:p>
    <w:p>
      <w:pPr>
        <w:pStyle w:val="34"/>
        <w:rPr>
          <w:szCs w:val="18"/>
        </w:rPr>
      </w:pPr>
      <w:r>
        <w:rPr>
          <w:rFonts w:hint="eastAsia"/>
          <w:szCs w:val="18"/>
        </w:rPr>
        <w:t>Ctrl＋Home ――移至文件最头部 </w:t>
      </w:r>
    </w:p>
    <w:p>
      <w:pPr>
        <w:pStyle w:val="34"/>
        <w:rPr>
          <w:szCs w:val="18"/>
        </w:rPr>
      </w:pPr>
      <w:r>
        <w:rPr>
          <w:rFonts w:hint="eastAsia"/>
          <w:szCs w:val="18"/>
        </w:rPr>
        <w:t>Ctrl＋End ――移至文件最尾部 </w:t>
      </w:r>
    </w:p>
    <w:p>
      <w:pPr>
        <w:pStyle w:val="34"/>
        <w:rPr>
          <w:szCs w:val="18"/>
        </w:rPr>
      </w:pPr>
      <w:r>
        <w:rPr>
          <w:rFonts w:hint="eastAsia"/>
          <w:szCs w:val="18"/>
        </w:rPr>
        <w:t>Ctrl＋鼠标左键 ――选中当前鼠标下的一个单词 </w:t>
      </w:r>
    </w:p>
    <w:p>
      <w:pPr>
        <w:pStyle w:val="34"/>
        <w:rPr>
          <w:szCs w:val="18"/>
        </w:rPr>
      </w:pPr>
      <w:r>
        <w:rPr>
          <w:rFonts w:hint="eastAsia"/>
          <w:szCs w:val="18"/>
        </w:rPr>
        <w:t>Ctrl＋鼠标右键 ――在钩槽中将全部文本选中 </w:t>
      </w:r>
    </w:p>
    <w:p>
      <w:pPr>
        <w:pStyle w:val="34"/>
        <w:rPr>
          <w:szCs w:val="18"/>
        </w:rPr>
      </w:pPr>
      <w:r>
        <w:rPr>
          <w:rFonts w:hint="eastAsia"/>
          <w:szCs w:val="18"/>
        </w:rPr>
        <w:t>Shift＋↑ ――向上选中一行 </w:t>
      </w:r>
    </w:p>
    <w:p>
      <w:pPr>
        <w:pStyle w:val="34"/>
        <w:rPr>
          <w:szCs w:val="18"/>
        </w:rPr>
      </w:pPr>
      <w:r>
        <w:rPr>
          <w:rFonts w:hint="eastAsia"/>
          <w:szCs w:val="18"/>
        </w:rPr>
        <w:t>Shift＋↓ ――向下选中一行 </w:t>
      </w:r>
    </w:p>
    <w:p>
      <w:pPr>
        <w:pStyle w:val="34"/>
        <w:rPr>
          <w:szCs w:val="18"/>
        </w:rPr>
      </w:pPr>
      <w:r>
        <w:rPr>
          <w:rFonts w:hint="eastAsia"/>
          <w:szCs w:val="18"/>
        </w:rPr>
        <w:t>Shift＋← ――向左选中一个字母 </w:t>
      </w:r>
    </w:p>
    <w:p>
      <w:pPr>
        <w:pStyle w:val="34"/>
        <w:rPr>
          <w:szCs w:val="18"/>
        </w:rPr>
      </w:pPr>
      <w:r>
        <w:rPr>
          <w:rFonts w:hint="eastAsia"/>
          <w:szCs w:val="18"/>
        </w:rPr>
        <w:t>Shift＋→ ――向右选中一个字母 </w:t>
      </w:r>
    </w:p>
    <w:p>
      <w:pPr>
        <w:pStyle w:val="34"/>
        <w:rPr>
          <w:szCs w:val="18"/>
        </w:rPr>
      </w:pPr>
      <w:r>
        <w:rPr>
          <w:rFonts w:hint="eastAsia"/>
          <w:szCs w:val="18"/>
        </w:rPr>
        <w:t>Shift＋鼠标左键 ――在钩槽中将当前一行文本选中 </w:t>
      </w:r>
    </w:p>
    <w:p>
      <w:pPr>
        <w:pStyle w:val="34"/>
        <w:rPr>
          <w:szCs w:val="18"/>
        </w:rPr>
      </w:pPr>
      <w:r>
        <w:rPr>
          <w:rFonts w:hint="eastAsia"/>
          <w:szCs w:val="18"/>
        </w:rPr>
        <w:t>Ctrl＋Shift＋←/→ ――以单词为单位的选中 </w:t>
      </w:r>
    </w:p>
    <w:p>
      <w:pPr>
        <w:pStyle w:val="34"/>
        <w:rPr>
          <w:szCs w:val="18"/>
        </w:rPr>
      </w:pPr>
      <w:r>
        <w:rPr>
          <w:rFonts w:hint="eastAsia"/>
          <w:szCs w:val="18"/>
        </w:rPr>
        <w:t>Ctrl＋Shift＋Space ――（只在函数内部有效）显示当前 函数或指标的TOOLTIP提示 </w:t>
      </w:r>
    </w:p>
    <w:p>
      <w:pPr>
        <w:pStyle w:val="34"/>
        <w:rPr>
          <w:szCs w:val="18"/>
        </w:rPr>
      </w:pPr>
      <w:r>
        <w:rPr>
          <w:rFonts w:hint="eastAsia"/>
          <w:szCs w:val="18"/>
        </w:rPr>
        <w:t>TAB键 ――存在选中文本时，若是多行，将选中文本全部右移一个TAB单位（智能的距离），若是单行，将选中文本删除后右移一个TAB单位；不存在选中文本时，简单右移一个TAB单位 </w:t>
      </w:r>
    </w:p>
    <w:p>
      <w:pPr>
        <w:pStyle w:val="34"/>
        <w:rPr>
          <w:szCs w:val="18"/>
        </w:rPr>
      </w:pPr>
      <w:r>
        <w:rPr>
          <w:rFonts w:hint="eastAsia"/>
          <w:szCs w:val="18"/>
        </w:rPr>
        <w:t>Shift＋TAB键 ――（只在右多行选中文本时有效）将选中文本全部左移一个TAB单位 </w:t>
      </w:r>
    </w:p>
    <w:p>
      <w:pPr>
        <w:pStyle w:val="34"/>
        <w:rPr>
          <w:szCs w:val="18"/>
        </w:rPr>
      </w:pPr>
      <w:r>
        <w:rPr>
          <w:rFonts w:hint="eastAsia"/>
          <w:szCs w:val="18"/>
        </w:rPr>
        <w:t>鼠标右键单击 ――右键菜单 </w:t>
      </w:r>
    </w:p>
    <w:p>
      <w:pPr>
        <w:pStyle w:val="34"/>
        <w:rPr>
          <w:szCs w:val="18"/>
        </w:rPr>
      </w:pPr>
      <w:r>
        <w:rPr>
          <w:rFonts w:hint="eastAsia"/>
          <w:szCs w:val="18"/>
        </w:rPr>
        <w:t>鼠标左键双击 ――选中当前光标下的一个单词 </w:t>
      </w:r>
    </w:p>
    <w:p>
      <w:pPr>
        <w:pStyle w:val="34"/>
      </w:pPr>
      <w:r>
        <w:rPr>
          <w:rFonts w:hint="eastAsia"/>
          <w:szCs w:val="18"/>
        </w:rPr>
        <w:t>注：当有参数列表框弹出时，左键双击将当前选中的参数插入到当前光标位置处编辑的同时，动态提示框对录入的内容进行了即时翻译，以尽量自然化的语言解释公式；对函数和指标的引用，自动匹配填充，并提示参数信息。</w:t>
      </w:r>
    </w:p>
    <w:p>
      <w:pPr>
        <w:pStyle w:val="34"/>
        <w:rPr>
          <w:szCs w:val="18"/>
        </w:rPr>
      </w:pPr>
      <w:r>
        <w:rPr>
          <w:rStyle w:val="51"/>
          <w:rFonts w:hint="eastAsia"/>
          <w:szCs w:val="18"/>
        </w:rPr>
        <w:t>画线指标公式编辑器 </w:t>
      </w:r>
    </w:p>
    <w:p>
      <w:pPr>
        <w:pStyle w:val="34"/>
        <w:rPr>
          <w:szCs w:val="18"/>
        </w:rPr>
      </w:pPr>
      <w:r>
        <w:rPr>
          <w:rStyle w:val="51"/>
          <w:rFonts w:hint="eastAsia"/>
          <w:szCs w:val="18"/>
        </w:rPr>
        <w:t>［公式名称］用于识别指标公式，不能重名，最多可以有16个字符。键盘精灵也用该名称来选择公式。 </w:t>
      </w:r>
    </w:p>
    <w:p>
      <w:pPr>
        <w:pStyle w:val="34"/>
        <w:rPr>
          <w:szCs w:val="18"/>
        </w:rPr>
      </w:pPr>
      <w:r>
        <w:rPr>
          <w:rStyle w:val="51"/>
          <w:rFonts w:hint="eastAsia"/>
          <w:szCs w:val="18"/>
        </w:rPr>
        <w:t>［公式描述］简单描述该指标的用途。 </w:t>
      </w:r>
    </w:p>
    <w:p>
      <w:pPr>
        <w:pStyle w:val="34"/>
        <w:rPr>
          <w:szCs w:val="18"/>
        </w:rPr>
      </w:pPr>
      <w:r>
        <w:rPr>
          <w:rStyle w:val="51"/>
          <w:rFonts w:hint="eastAsia"/>
          <w:szCs w:val="18"/>
        </w:rPr>
        <w:t>［密码保护］如果其前未打√，表示该公式没加密。点击"密码保护"，使其打√选中，此时输入密码，公式就被加密。对于已加密的公式，必须输入密码才能看到公式的内容，要去掉密码，点击"密码保护"，使它前面的√消失即可。 </w:t>
      </w:r>
    </w:p>
    <w:p>
      <w:pPr>
        <w:pStyle w:val="34"/>
        <w:rPr>
          <w:szCs w:val="18"/>
        </w:rPr>
      </w:pPr>
      <w:r>
        <w:rPr>
          <w:rStyle w:val="51"/>
          <w:rFonts w:hint="eastAsia"/>
          <w:szCs w:val="18"/>
        </w:rPr>
        <w:t>［指标类型］指定指标公式类型（共分为15种）。 </w:t>
      </w:r>
    </w:p>
    <w:p>
      <w:pPr>
        <w:pStyle w:val="34"/>
        <w:rPr>
          <w:szCs w:val="18"/>
        </w:rPr>
      </w:pPr>
      <w:r>
        <w:rPr>
          <w:rStyle w:val="51"/>
          <w:rFonts w:hint="eastAsia"/>
          <w:szCs w:val="18"/>
        </w:rPr>
        <w:t>［画线方法］紧密围绕股票价格变化的指标可定为主图叠加类型，叠加在主图上显示；否则定为副图指标，只能显示在副图上。 </w:t>
      </w:r>
    </w:p>
    <w:p>
      <w:pPr>
        <w:pStyle w:val="34"/>
        <w:rPr>
          <w:szCs w:val="18"/>
        </w:rPr>
      </w:pPr>
      <w:r>
        <w:rPr>
          <w:rStyle w:val="51"/>
          <w:rFonts w:hint="eastAsia"/>
          <w:szCs w:val="18"/>
        </w:rPr>
        <w:t>［参数名称］公式可以带参数，参数的名字在这里输入。 </w:t>
      </w:r>
    </w:p>
    <w:p>
      <w:pPr>
        <w:pStyle w:val="34"/>
        <w:rPr>
          <w:szCs w:val="18"/>
        </w:rPr>
      </w:pPr>
      <w:r>
        <w:rPr>
          <w:rStyle w:val="51"/>
          <w:rFonts w:hint="eastAsia"/>
          <w:szCs w:val="18"/>
        </w:rPr>
        <w:t>［最小值、最大值、缺省值］参数的最小值、最大值和默认值（缺省值）在这里输入。 </w:t>
      </w:r>
    </w:p>
    <w:p>
      <w:pPr>
        <w:pStyle w:val="34"/>
        <w:rPr>
          <w:szCs w:val="18"/>
        </w:rPr>
      </w:pPr>
      <w:r>
        <w:rPr>
          <w:rStyle w:val="51"/>
          <w:rFonts w:hint="eastAsia"/>
          <w:szCs w:val="18"/>
        </w:rPr>
        <w:t>［坐标线位置］仅对副图指标有效，可指定在哪些位置画水平坐标线，例如对BIAS，可以输入：-20；0；20； 系统将在这三个数值处绘制三条水平坐标线。缺省时为"自动"，即系统据实际情况定水平坐标线。 </w:t>
      </w:r>
    </w:p>
    <w:p>
      <w:pPr>
        <w:pStyle w:val="34"/>
        <w:rPr>
          <w:szCs w:val="18"/>
        </w:rPr>
      </w:pPr>
      <w:r>
        <w:rPr>
          <w:rStyle w:val="51"/>
          <w:rFonts w:hint="eastAsia"/>
          <w:szCs w:val="18"/>
        </w:rPr>
        <w:t>［额外Y轴分界］ </w:t>
      </w:r>
    </w:p>
    <w:p>
      <w:pPr>
        <w:pStyle w:val="34"/>
        <w:rPr>
          <w:szCs w:val="18"/>
        </w:rPr>
      </w:pPr>
      <w:r>
        <w:rPr>
          <w:rStyle w:val="51"/>
          <w:rFonts w:hint="eastAsia"/>
          <w:szCs w:val="18"/>
        </w:rPr>
        <w:t>［引入指标公式］以系统已有的某个指标公式为蓝本，新建自己的指标公式。 </w:t>
      </w:r>
    </w:p>
    <w:p>
      <w:pPr>
        <w:pStyle w:val="34"/>
        <w:rPr>
          <w:szCs w:val="18"/>
        </w:rPr>
      </w:pPr>
      <w:r>
        <w:rPr>
          <w:rStyle w:val="51"/>
          <w:rFonts w:hint="eastAsia"/>
          <w:szCs w:val="18"/>
        </w:rPr>
        <w:t>［插入函数］显示选择函数对话框，帮助您在《通达信集成版》软件函数集中寻找所需函数。当您对系统提供的标准函数还不熟时，这个功能可帮你节省时间。 </w:t>
      </w:r>
    </w:p>
    <w:p>
      <w:pPr>
        <w:pStyle w:val="34"/>
        <w:rPr>
          <w:szCs w:val="18"/>
        </w:rPr>
      </w:pPr>
      <w:r>
        <w:rPr>
          <w:rStyle w:val="51"/>
          <w:rFonts w:hint="eastAsia"/>
          <w:szCs w:val="18"/>
        </w:rPr>
        <w:t>Tdxw3.0将函数类型分为： </w:t>
      </w:r>
    </w:p>
    <w:p>
      <w:pPr>
        <w:pStyle w:val="34"/>
        <w:rPr>
          <w:szCs w:val="18"/>
        </w:rPr>
      </w:pPr>
      <w:r>
        <w:rPr>
          <w:rStyle w:val="51"/>
          <w:rFonts w:hint="eastAsia"/>
          <w:szCs w:val="18"/>
        </w:rPr>
        <w:t>全部函数 行情函数 时间函数 引用函数 逻辑函数 </w:t>
      </w:r>
    </w:p>
    <w:p>
      <w:pPr>
        <w:pStyle w:val="34"/>
        <w:rPr>
          <w:szCs w:val="18"/>
        </w:rPr>
      </w:pPr>
      <w:r>
        <w:rPr>
          <w:rStyle w:val="51"/>
          <w:rFonts w:hint="eastAsia"/>
          <w:szCs w:val="18"/>
        </w:rPr>
        <w:t>数学函数 统计函数 指数函数 大盘函数 常数函数 </w:t>
      </w:r>
    </w:p>
    <w:p>
      <w:pPr>
        <w:pStyle w:val="34"/>
        <w:rPr>
          <w:szCs w:val="18"/>
        </w:rPr>
      </w:pPr>
      <w:r>
        <w:rPr>
          <w:rStyle w:val="51"/>
          <w:rFonts w:hint="eastAsia"/>
          <w:szCs w:val="18"/>
        </w:rPr>
        <w:t>内嵌函数 操作符函数 </w:t>
      </w:r>
    </w:p>
    <w:p>
      <w:pPr>
        <w:pStyle w:val="34"/>
        <w:rPr>
          <w:szCs w:val="18"/>
        </w:rPr>
      </w:pPr>
      <w:r>
        <w:rPr>
          <w:rStyle w:val="51"/>
          <w:rFonts w:hint="eastAsia"/>
          <w:szCs w:val="18"/>
        </w:rPr>
        <w:t>[动态提示]用户输入指标、算法或函数时，同步提示中文语意。 </w:t>
      </w:r>
    </w:p>
    <w:p>
      <w:pPr>
        <w:pStyle w:val="34"/>
        <w:rPr>
          <w:szCs w:val="18"/>
        </w:rPr>
      </w:pPr>
      <w:r>
        <w:rPr>
          <w:rStyle w:val="51"/>
          <w:rFonts w:hint="eastAsia"/>
          <w:szCs w:val="18"/>
        </w:rPr>
        <w:t>[测试公式]公式编写完毕后检查公式的语法错误。 </w:t>
      </w:r>
    </w:p>
    <w:p>
      <w:pPr>
        <w:pStyle w:val="34"/>
        <w:rPr>
          <w:szCs w:val="18"/>
        </w:rPr>
      </w:pPr>
      <w:r>
        <w:rPr>
          <w:rStyle w:val="51"/>
          <w:rFonts w:hint="eastAsia"/>
          <w:szCs w:val="18"/>
        </w:rPr>
        <w:t>[测试结果]测试完毕后提示"测试通过"或显示错误信息。 </w:t>
      </w:r>
    </w:p>
    <w:p>
      <w:pPr>
        <w:pStyle w:val="34"/>
        <w:rPr>
          <w:szCs w:val="18"/>
        </w:rPr>
      </w:pPr>
      <w:r>
        <w:rPr>
          <w:rStyle w:val="51"/>
          <w:rFonts w:hint="eastAsia"/>
          <w:szCs w:val="18"/>
        </w:rPr>
        <w:t>[参数精灵]用户新建公式时，可在参数精灵中用一段文字来描述待设置参数的意义，这段解释性文字会在允许用户调整参数值的地方出现，包括条件选股、指标排序、调整指标参数、选择指标、选择交易系统指示、选择条件选股指示等等。有了这段解释性文字的指导，用户就不会盲目操作了。 </w:t>
      </w:r>
    </w:p>
    <w:p>
      <w:pPr>
        <w:pStyle w:val="34"/>
        <w:rPr>
          <w:szCs w:val="18"/>
        </w:rPr>
      </w:pPr>
      <w:r>
        <w:rPr>
          <w:rStyle w:val="51"/>
          <w:rFonts w:hint="eastAsia"/>
          <w:szCs w:val="18"/>
        </w:rPr>
        <w:t>[注释] </w:t>
      </w:r>
    </w:p>
    <w:p>
      <w:pPr>
        <w:pStyle w:val="34"/>
        <w:rPr>
          <w:szCs w:val="18"/>
        </w:rPr>
      </w:pPr>
      <w:r>
        <w:rPr>
          <w:rStyle w:val="51"/>
          <w:rFonts w:hint="eastAsia"/>
          <w:szCs w:val="18"/>
        </w:rPr>
        <w:t>条件选股公式编辑器 </w:t>
      </w:r>
    </w:p>
    <w:p>
      <w:pPr>
        <w:pStyle w:val="34"/>
        <w:rPr>
          <w:szCs w:val="18"/>
        </w:rPr>
      </w:pPr>
      <w:r>
        <w:rPr>
          <w:rStyle w:val="51"/>
          <w:rFonts w:hint="eastAsia"/>
          <w:szCs w:val="18"/>
        </w:rPr>
        <w:t>条件选股公式编辑器与指标公式编辑器极为相似，因此不专门讲解它。 </w:t>
      </w:r>
    </w:p>
    <w:p>
      <w:pPr>
        <w:pStyle w:val="34"/>
        <w:rPr>
          <w:szCs w:val="18"/>
        </w:rPr>
      </w:pPr>
      <w:r>
        <w:rPr>
          <w:rStyle w:val="51"/>
          <w:rFonts w:hint="eastAsia"/>
          <w:szCs w:val="18"/>
        </w:rPr>
        <w:t>交易系统公式编辑器 </w:t>
      </w:r>
    </w:p>
    <w:p>
      <w:pPr>
        <w:pStyle w:val="34"/>
        <w:rPr>
          <w:szCs w:val="18"/>
        </w:rPr>
      </w:pPr>
      <w:r>
        <w:rPr>
          <w:rStyle w:val="51"/>
          <w:rFonts w:hint="eastAsia"/>
          <w:szCs w:val="18"/>
        </w:rPr>
        <w:t>在新建、修改交易系统公式时，将弹出交易系统公式编辑器对话框。 </w:t>
      </w:r>
    </w:p>
    <w:p>
      <w:pPr>
        <w:pStyle w:val="34"/>
        <w:rPr>
          <w:szCs w:val="18"/>
        </w:rPr>
      </w:pPr>
      <w:r>
        <w:rPr>
          <w:rStyle w:val="51"/>
          <w:rFonts w:hint="eastAsia"/>
          <w:szCs w:val="18"/>
        </w:rPr>
        <w:t>比较指标公式编辑器我们只对多出的部分进行讲解。 </w:t>
      </w:r>
    </w:p>
    <w:p>
      <w:pPr>
        <w:pStyle w:val="34"/>
        <w:rPr>
          <w:szCs w:val="18"/>
        </w:rPr>
      </w:pPr>
      <w:r>
        <w:rPr>
          <w:rStyle w:val="51"/>
          <w:rFonts w:hint="eastAsia"/>
          <w:szCs w:val="18"/>
        </w:rPr>
        <w:t>［测试步长］在进行参数优化时，每次参数变化的大小。 </w:t>
      </w:r>
    </w:p>
    <w:p>
      <w:pPr>
        <w:pStyle w:val="34"/>
        <w:rPr>
          <w:szCs w:val="18"/>
        </w:rPr>
      </w:pPr>
      <w:r>
        <w:rPr>
          <w:rStyle w:val="51"/>
          <w:rFonts w:hint="eastAsia"/>
          <w:szCs w:val="18"/>
        </w:rPr>
        <w:t>［多头买入］做多时的买入条件在此输入，买入点指示的颜色及式样也请在此选定。 </w:t>
      </w:r>
    </w:p>
    <w:p>
      <w:pPr>
        <w:pStyle w:val="34"/>
        <w:rPr>
          <w:szCs w:val="18"/>
        </w:rPr>
      </w:pPr>
      <w:r>
        <w:rPr>
          <w:rStyle w:val="51"/>
          <w:rFonts w:hint="eastAsia"/>
          <w:szCs w:val="18"/>
        </w:rPr>
        <w:t>［多头卖出］　做多时的卖出条件在此输入，卖出点指示的颜色及式样也请在此选定。 </w:t>
      </w:r>
    </w:p>
    <w:p>
      <w:pPr>
        <w:pStyle w:val="34"/>
        <w:rPr>
          <w:szCs w:val="18"/>
        </w:rPr>
      </w:pPr>
      <w:r>
        <w:rPr>
          <w:rStyle w:val="51"/>
          <w:rFonts w:hint="eastAsia"/>
          <w:szCs w:val="18"/>
        </w:rPr>
        <w:t>［空头买入］　做空时的买入条件在此输入，买入点指示的颜色及式样也请在此选定。 </w:t>
      </w:r>
    </w:p>
    <w:p>
      <w:pPr>
        <w:pStyle w:val="34"/>
        <w:rPr>
          <w:szCs w:val="18"/>
        </w:rPr>
      </w:pPr>
      <w:r>
        <w:rPr>
          <w:rStyle w:val="51"/>
          <w:rFonts w:hint="eastAsia"/>
          <w:szCs w:val="18"/>
        </w:rPr>
        <w:t>［空头卖出］做空时的卖出条件在此输入，卖出点指示的颜色及式样也请在此选定。 </w:t>
      </w:r>
    </w:p>
    <w:p>
      <w:pPr>
        <w:pStyle w:val="34"/>
        <w:rPr>
          <w:szCs w:val="18"/>
        </w:rPr>
      </w:pPr>
      <w:r>
        <w:rPr>
          <w:rStyle w:val="51"/>
          <w:rFonts w:hint="eastAsia"/>
          <w:szCs w:val="18"/>
        </w:rPr>
        <w:t>五彩K线公式编辑器：与指标公式编辑器的使用相似 </w:t>
      </w:r>
    </w:p>
    <w:p>
      <w:pPr>
        <w:pStyle w:val="4"/>
      </w:pPr>
      <w:r>
        <w:t>函数学习资料</w:t>
      </w:r>
    </w:p>
    <w:p>
      <w:r>
        <w:rPr>
          <w:rFonts w:hint="eastAsia"/>
        </w:rPr>
        <w:t>感谢大家一直对通达信软件的支持与信赖！</w:t>
      </w:r>
    </w:p>
    <w:p>
      <w:r>
        <w:rPr>
          <w:rFonts w:hint="eastAsia"/>
        </w:rPr>
        <w:t>欢迎喜欢通达信公式平台的朋友，登录通达信用户反馈区 “公式天堂”板块获取最新的学习资料及软件升级信息。</w:t>
      </w:r>
    </w:p>
    <w:p>
      <w:r>
        <w:fldChar w:fldCharType="begin"/>
      </w:r>
      <w:r>
        <w:instrText xml:space="preserve"> HYPERLINK "http://fk.tdx.com.cn/index.asp?boardid=12" </w:instrText>
      </w:r>
      <w:r>
        <w:fldChar w:fldCharType="separate"/>
      </w:r>
      <w:r>
        <w:rPr>
          <w:rStyle w:val="30"/>
        </w:rPr>
        <w:t>http://fk.tdx.com.cn/index.asp?boardid=12</w:t>
      </w:r>
      <w:r>
        <w:rPr>
          <w:rStyle w:val="30"/>
        </w:rPr>
        <w:fldChar w:fldCharType="end"/>
      </w:r>
    </w:p>
    <w:p>
      <w:r>
        <w:rPr>
          <w:rFonts w:hint="eastAsia"/>
        </w:rPr>
        <w:t>最新的公式平台学习资料如下：</w:t>
      </w:r>
    </w:p>
    <w:p>
      <w:r>
        <w:rPr>
          <w:rFonts w:hint="eastAsia"/>
        </w:rPr>
        <w:t>红宝书8 - 公式系统(初级)</w:t>
      </w:r>
    </w:p>
    <w:p>
      <w:r>
        <w:fldChar w:fldCharType="begin"/>
      </w:r>
      <w:r>
        <w:instrText xml:space="preserve"> HYPERLINK "http://www.tdx.com.cn/products/learn/gs_step1.rar" </w:instrText>
      </w:r>
      <w:r>
        <w:fldChar w:fldCharType="separate"/>
      </w:r>
      <w:r>
        <w:rPr>
          <w:rStyle w:val="30"/>
          <w:rFonts w:hint="eastAsia"/>
        </w:rPr>
        <w:t>http://www.tdx.com.cn/products/learn/ gs_step1.rar</w:t>
      </w:r>
      <w:r>
        <w:rPr>
          <w:rStyle w:val="30"/>
          <w:rFonts w:hint="eastAsia"/>
        </w:rPr>
        <w:fldChar w:fldCharType="end"/>
      </w:r>
    </w:p>
    <w:p>
      <w:r>
        <w:rPr>
          <w:rFonts w:hint="eastAsia"/>
        </w:rPr>
        <w:t>红宝书9 - 公式系统(中级)</w:t>
      </w:r>
    </w:p>
    <w:p>
      <w:r>
        <w:fldChar w:fldCharType="begin"/>
      </w:r>
      <w:r>
        <w:instrText xml:space="preserve"> HYPERLINK "http://www.tdx.com.cn/products/learn/gs_step2.rar" </w:instrText>
      </w:r>
      <w:r>
        <w:fldChar w:fldCharType="separate"/>
      </w:r>
      <w:r>
        <w:rPr>
          <w:rStyle w:val="30"/>
          <w:rFonts w:hint="eastAsia"/>
        </w:rPr>
        <w:t>http://www.tdx.com.cn/products/learn/ gs_step2.rar</w:t>
      </w:r>
      <w:r>
        <w:rPr>
          <w:rStyle w:val="30"/>
          <w:rFonts w:hint="eastAsia"/>
        </w:rPr>
        <w:fldChar w:fldCharType="end"/>
      </w:r>
    </w:p>
    <w:p>
      <w:r>
        <w:rPr>
          <w:rFonts w:hint="eastAsia"/>
        </w:rPr>
        <w:t>红宝书10 - 公式系统(高级)</w:t>
      </w:r>
    </w:p>
    <w:p>
      <w:r>
        <w:fldChar w:fldCharType="begin"/>
      </w:r>
      <w:r>
        <w:instrText xml:space="preserve"> HYPERLINK "http://www.tdx.com.cn/products/learn/gs_step3.rar" </w:instrText>
      </w:r>
      <w:r>
        <w:fldChar w:fldCharType="separate"/>
      </w:r>
      <w:r>
        <w:rPr>
          <w:rStyle w:val="30"/>
          <w:rFonts w:hint="eastAsia"/>
        </w:rPr>
        <w:t>http://www.tdx.com.cn/products/learn/ gs_step3.rar</w:t>
      </w:r>
      <w:r>
        <w:rPr>
          <w:rStyle w:val="30"/>
          <w:rFonts w:hint="eastAsia"/>
        </w:rPr>
        <w:fldChar w:fldCharType="end"/>
      </w:r>
    </w:p>
    <w:p>
      <w:r>
        <w:rPr>
          <w:rFonts w:hint="eastAsia"/>
        </w:rPr>
        <w:t>原来老版本的公式教程</w:t>
      </w:r>
    </w:p>
    <w:p>
      <w:r>
        <w:fldChar w:fldCharType="begin"/>
      </w:r>
      <w:r>
        <w:instrText xml:space="preserve"> HYPERLINK "http://www.tdx.com.cn/products/learn/gsjc.rar" </w:instrText>
      </w:r>
      <w:r>
        <w:fldChar w:fldCharType="separate"/>
      </w:r>
      <w:r>
        <w:rPr>
          <w:rStyle w:val="30"/>
          <w:rFonts w:hint="eastAsia"/>
        </w:rPr>
        <w:t>http://www.tdx.com.cn/products/learn/ gsjc.rar</w:t>
      </w:r>
      <w:r>
        <w:rPr>
          <w:rStyle w:val="30"/>
          <w:rFonts w:hint="eastAsia"/>
        </w:rPr>
        <w:fldChar w:fldCharType="end"/>
      </w:r>
    </w:p>
    <w:p>
      <w:pPr>
        <w:pStyle w:val="2"/>
      </w:pPr>
      <w:bookmarkStart w:id="40" w:name="_Toc90646159"/>
      <w:r>
        <w:t>选项</w:t>
      </w:r>
      <w:bookmarkEnd w:id="40"/>
    </w:p>
    <w:p>
      <w:pPr>
        <w:pStyle w:val="3"/>
        <w:rPr>
          <w:rStyle w:val="54"/>
          <w:b w:val="0"/>
          <w:bCs w:val="0"/>
        </w:rPr>
      </w:pPr>
      <w:bookmarkStart w:id="41" w:name="_Toc90646160"/>
      <w:r>
        <w:rPr>
          <w:rStyle w:val="54"/>
          <w:b w:val="0"/>
          <w:bCs w:val="0"/>
        </w:rPr>
        <w:t>连接/断开行情(资讯)主站</w:t>
      </w:r>
      <w:bookmarkEnd w:id="41"/>
    </w:p>
    <w:p>
      <w:pPr>
        <w:pStyle w:val="34"/>
        <w:rPr>
          <w:kern w:val="0"/>
        </w:rPr>
      </w:pPr>
      <w:r>
        <w:rPr>
          <w:kern w:val="0"/>
        </w:rPr>
        <w:t xml:space="preserve">1.连接/断开行情主站 </w:t>
      </w:r>
    </w:p>
    <w:p>
      <w:pPr>
        <w:pStyle w:val="34"/>
        <w:rPr>
          <w:kern w:val="0"/>
        </w:rPr>
      </w:pPr>
      <w:r>
        <w:rPr>
          <w:kern w:val="0"/>
        </w:rPr>
        <w:t xml:space="preserve">用户进入系统后，系统已经连接上了一个行情主站，此时【连接行情主站】选项置灰，表示行情主站连接正常。 </w:t>
      </w:r>
    </w:p>
    <w:p>
      <w:pPr>
        <w:pStyle w:val="34"/>
        <w:rPr>
          <w:kern w:val="0"/>
        </w:rPr>
      </w:pPr>
      <w:r>
        <w:rPr>
          <w:kern w:val="0"/>
        </w:rPr>
        <w:drawing>
          <wp:inline distT="0" distB="0" distL="114300" distR="114300">
            <wp:extent cx="8315325" cy="3790950"/>
            <wp:effectExtent l="0" t="0" r="9525" b="0"/>
            <wp:docPr id="310" name="图片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310"/>
                    <pic:cNvPicPr>
                      <a:picLocks noChangeAspect="1"/>
                    </pic:cNvPicPr>
                  </pic:nvPicPr>
                  <pic:blipFill>
                    <a:blip r:embed="rId581"/>
                    <a:stretch>
                      <a:fillRect/>
                    </a:stretch>
                  </pic:blipFill>
                  <pic:spPr>
                    <a:xfrm>
                      <a:off x="0" y="0"/>
                      <a:ext cx="8315325" cy="3790950"/>
                    </a:xfrm>
                    <a:prstGeom prst="rect">
                      <a:avLst/>
                    </a:prstGeom>
                    <a:noFill/>
                    <a:ln>
                      <a:noFill/>
                    </a:ln>
                  </pic:spPr>
                </pic:pic>
              </a:graphicData>
            </a:graphic>
          </wp:inline>
        </w:drawing>
      </w:r>
    </w:p>
    <w:p>
      <w:pPr>
        <w:pStyle w:val="34"/>
        <w:rPr>
          <w:kern w:val="0"/>
        </w:rPr>
      </w:pPr>
      <w:r>
        <w:rPr>
          <w:kern w:val="0"/>
        </w:rPr>
        <w:t xml:space="preserve">如果用户想更换行情主站，可以点击【断开行情主站】选项，行情断开，此时【断开行情主站】选项置灰。 </w:t>
      </w:r>
    </w:p>
    <w:p>
      <w:pPr>
        <w:pStyle w:val="34"/>
        <w:rPr>
          <w:kern w:val="0"/>
        </w:rPr>
      </w:pPr>
      <w:r>
        <w:rPr>
          <w:kern w:val="0"/>
        </w:rPr>
        <w:drawing>
          <wp:inline distT="0" distB="0" distL="114300" distR="114300">
            <wp:extent cx="8858250" cy="3838575"/>
            <wp:effectExtent l="0" t="0" r="0" b="9525"/>
            <wp:docPr id="311" name="图片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311"/>
                    <pic:cNvPicPr>
                      <a:picLocks noChangeAspect="1"/>
                    </pic:cNvPicPr>
                  </pic:nvPicPr>
                  <pic:blipFill>
                    <a:blip r:embed="rId582"/>
                    <a:stretch>
                      <a:fillRect/>
                    </a:stretch>
                  </pic:blipFill>
                  <pic:spPr>
                    <a:xfrm>
                      <a:off x="0" y="0"/>
                      <a:ext cx="8858250" cy="3838575"/>
                    </a:xfrm>
                    <a:prstGeom prst="rect">
                      <a:avLst/>
                    </a:prstGeom>
                    <a:noFill/>
                    <a:ln>
                      <a:noFill/>
                    </a:ln>
                  </pic:spPr>
                </pic:pic>
              </a:graphicData>
            </a:graphic>
          </wp:inline>
        </w:drawing>
      </w:r>
    </w:p>
    <w:p>
      <w:pPr>
        <w:pStyle w:val="34"/>
        <w:rPr>
          <w:kern w:val="0"/>
        </w:rPr>
      </w:pPr>
      <w:r>
        <w:rPr>
          <w:kern w:val="0"/>
        </w:rPr>
        <w:t xml:space="preserve">点击【连接行情主站】选项，跳出系统登录界面，用户选择新的行情主站后，点击登录就能重新连接网络。 </w:t>
      </w:r>
    </w:p>
    <w:p>
      <w:pPr>
        <w:pStyle w:val="34"/>
        <w:rPr>
          <w:kern w:val="0"/>
        </w:rPr>
      </w:pPr>
      <w:r>
        <w:rPr>
          <w:kern w:val="0"/>
        </w:rPr>
        <w:t xml:space="preserve">当网络出现掉线时。会出现“网络断开，进入脱机状态的提示”。 </w:t>
      </w:r>
    </w:p>
    <w:p>
      <w:pPr>
        <w:pStyle w:val="34"/>
        <w:rPr>
          <w:kern w:val="0"/>
        </w:rPr>
      </w:pPr>
    </w:p>
    <w:p>
      <w:pPr>
        <w:pStyle w:val="34"/>
        <w:rPr>
          <w:kern w:val="0"/>
        </w:rPr>
      </w:pPr>
      <w:r>
        <w:rPr>
          <w:kern w:val="0"/>
        </w:rPr>
        <w:t xml:space="preserve">2.连接/断开资讯主站 （同上行情主站的连接断开） </w:t>
      </w:r>
    </w:p>
    <w:p>
      <w:pPr>
        <w:pStyle w:val="34"/>
        <w:rPr>
          <w:kern w:val="0"/>
        </w:rPr>
      </w:pPr>
      <w:r>
        <w:rPr>
          <w:kern w:val="0"/>
        </w:rPr>
        <w:t xml:space="preserve">当资讯为连接状态时，【连接资讯主站】选项置灰。 </w:t>
      </w:r>
    </w:p>
    <w:p>
      <w:pPr>
        <w:pStyle w:val="34"/>
        <w:rPr>
          <w:kern w:val="0"/>
        </w:rPr>
      </w:pPr>
      <w:r>
        <w:rPr>
          <w:kern w:val="0"/>
        </w:rPr>
        <w:t xml:space="preserve">点击【断开行情主站】选项，资讯断开，【断开行情主站】选项置灰。 </w:t>
      </w:r>
    </w:p>
    <w:p>
      <w:pPr>
        <w:pStyle w:val="34"/>
        <w:rPr>
          <w:kern w:val="0"/>
        </w:rPr>
      </w:pPr>
      <w:r>
        <w:rPr>
          <w:kern w:val="0"/>
        </w:rPr>
        <w:t xml:space="preserve">点击【连接资讯主站】选项，资讯连接。 </w:t>
      </w:r>
    </w:p>
    <w:p>
      <w:pPr>
        <w:pStyle w:val="34"/>
        <w:rPr>
          <w:kern w:val="0"/>
        </w:rPr>
      </w:pPr>
      <w:r>
        <w:rPr>
          <w:kern w:val="0"/>
        </w:rPr>
        <w:t xml:space="preserve">资讯主站可以在通讯设置里进行选择。（另官网免费版本不能连资讯主站） </w:t>
      </w:r>
    </w:p>
    <w:p>
      <w:pPr>
        <w:pStyle w:val="3"/>
      </w:pPr>
      <w:bookmarkStart w:id="42" w:name="_Toc90646161"/>
      <w:r>
        <w:t>通讯设置</w:t>
      </w:r>
      <w:bookmarkEnd w:id="42"/>
    </w:p>
    <w:p>
      <w:pPr>
        <w:pStyle w:val="34"/>
        <w:rPr>
          <w:kern w:val="0"/>
        </w:rPr>
      </w:pPr>
      <w:r>
        <w:rPr>
          <w:kern w:val="0"/>
        </w:rPr>
        <w:t xml:space="preserve">由于地域等各方面的原因，连接的主站可能不是最快的主站。这样会影响行情速度。在这种情况下，进入通讯设置更改行情，资讯以及港股行情主站得以获得更畅通的行情主站。 </w:t>
      </w:r>
    </w:p>
    <w:p>
      <w:pPr>
        <w:pStyle w:val="34"/>
        <w:rPr>
          <w:kern w:val="0"/>
        </w:rPr>
      </w:pPr>
      <w:r>
        <w:rPr>
          <w:kern w:val="0"/>
        </w:rPr>
        <w:drawing>
          <wp:inline distT="0" distB="0" distL="114300" distR="114300">
            <wp:extent cx="3933825" cy="4876800"/>
            <wp:effectExtent l="0" t="0" r="9525" b="0"/>
            <wp:docPr id="312" name="图片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312"/>
                    <pic:cNvPicPr>
                      <a:picLocks noChangeAspect="1"/>
                    </pic:cNvPicPr>
                  </pic:nvPicPr>
                  <pic:blipFill>
                    <a:blip r:embed="rId583"/>
                    <a:stretch>
                      <a:fillRect/>
                    </a:stretch>
                  </pic:blipFill>
                  <pic:spPr>
                    <a:xfrm>
                      <a:off x="0" y="0"/>
                      <a:ext cx="3933825" cy="4876800"/>
                    </a:xfrm>
                    <a:prstGeom prst="rect">
                      <a:avLst/>
                    </a:prstGeom>
                    <a:noFill/>
                    <a:ln>
                      <a:noFill/>
                    </a:ln>
                  </pic:spPr>
                </pic:pic>
              </a:graphicData>
            </a:graphic>
          </wp:inline>
        </w:drawing>
      </w:r>
    </w:p>
    <w:p>
      <w:pPr>
        <w:pStyle w:val="34"/>
        <w:rPr>
          <w:kern w:val="0"/>
        </w:rPr>
      </w:pPr>
      <w:r>
        <w:rPr>
          <w:kern w:val="0"/>
        </w:rPr>
        <w:t xml:space="preserve">〖更改网络区域〗当自己的网络变换供应商之后可以重新设置此项保证网速的最佳状态。 </w:t>
      </w:r>
    </w:p>
    <w:p>
      <w:pPr>
        <w:pStyle w:val="34"/>
        <w:rPr>
          <w:kern w:val="0"/>
        </w:rPr>
      </w:pPr>
      <w:r>
        <w:rPr>
          <w:kern w:val="0"/>
        </w:rPr>
        <w:t xml:space="preserve">〖登录时查找最快的主站〗当“登录时查找最快的主站”被勾选时，在登录系统时系统会自动帮助用户找到最快的主站连接，用户不需要再重新选择主站，因此下面的主站选项将置灰。如果用户需要更换行情主站，则不要勾选此项，用户可以在“行情主站”、“资讯主站”、“港股期货主站”三个下拉列表框中选择主站，然后点击“确定”。 </w:t>
      </w:r>
    </w:p>
    <w:p>
      <w:pPr>
        <w:pStyle w:val="34"/>
        <w:rPr>
          <w:kern w:val="0"/>
        </w:rPr>
      </w:pPr>
      <w:r>
        <w:rPr>
          <w:kern w:val="0"/>
        </w:rPr>
        <w:t>〖自动连接资讯主站〗选中此项时，用户在登录系统连接行情主站时会自动连接资讯主站。如果此项没有被选中，在下次登录不会自动连接资讯主站，用户需要手动连接。</w:t>
      </w:r>
    </w:p>
    <w:p>
      <w:pPr>
        <w:pStyle w:val="34"/>
        <w:rPr>
          <w:kern w:val="0"/>
        </w:rPr>
      </w:pPr>
      <w:r>
        <w:rPr>
          <w:kern w:val="0"/>
        </w:rPr>
        <w:t xml:space="preserve">手动连接方法如下： </w:t>
      </w:r>
    </w:p>
    <w:p>
      <w:pPr>
        <w:pStyle w:val="34"/>
        <w:rPr>
          <w:kern w:val="0"/>
        </w:rPr>
      </w:pPr>
      <w:r>
        <w:rPr>
          <w:kern w:val="0"/>
        </w:rPr>
        <w:t>1.菜单路径：【选项】→【财经资讯】，需收费可以连接资讯主站。</w:t>
      </w:r>
    </w:p>
    <w:p>
      <w:pPr>
        <w:pStyle w:val="34"/>
        <w:rPr>
          <w:kern w:val="0"/>
        </w:rPr>
      </w:pPr>
      <w:r>
        <w:rPr>
          <w:kern w:val="0"/>
        </w:rPr>
        <w:t xml:space="preserve">2.快捷键“F7” </w:t>
      </w:r>
    </w:p>
    <w:p>
      <w:pPr>
        <w:pStyle w:val="34"/>
        <w:rPr>
          <w:kern w:val="0"/>
        </w:rPr>
      </w:pPr>
      <w:r>
        <w:rPr>
          <w:kern w:val="0"/>
        </w:rPr>
        <w:t xml:space="preserve">3.键盘精灵“70” </w:t>
      </w:r>
    </w:p>
    <w:p>
      <w:pPr>
        <w:pStyle w:val="34"/>
        <w:rPr>
          <w:kern w:val="0"/>
        </w:rPr>
      </w:pPr>
      <w:r>
        <w:rPr>
          <w:kern w:val="0"/>
        </w:rPr>
        <w:t xml:space="preserve">用户通过以上三种方法打开“连接资讯主站窗口” </w:t>
      </w:r>
    </w:p>
    <w:p>
      <w:pPr>
        <w:pStyle w:val="34"/>
        <w:rPr>
          <w:kern w:val="0"/>
        </w:rPr>
      </w:pPr>
      <w:r>
        <w:rPr>
          <w:kern w:val="0"/>
        </w:rPr>
        <w:drawing>
          <wp:inline distT="0" distB="0" distL="114300" distR="114300">
            <wp:extent cx="2476500" cy="1104900"/>
            <wp:effectExtent l="0" t="0" r="0" b="0"/>
            <wp:docPr id="313" name="图片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313"/>
                    <pic:cNvPicPr>
                      <a:picLocks noChangeAspect="1"/>
                    </pic:cNvPicPr>
                  </pic:nvPicPr>
                  <pic:blipFill>
                    <a:blip r:embed="rId584"/>
                    <a:stretch>
                      <a:fillRect/>
                    </a:stretch>
                  </pic:blipFill>
                  <pic:spPr>
                    <a:xfrm>
                      <a:off x="0" y="0"/>
                      <a:ext cx="2476500" cy="1104900"/>
                    </a:xfrm>
                    <a:prstGeom prst="rect">
                      <a:avLst/>
                    </a:prstGeom>
                    <a:noFill/>
                    <a:ln>
                      <a:noFill/>
                    </a:ln>
                  </pic:spPr>
                </pic:pic>
              </a:graphicData>
            </a:graphic>
          </wp:inline>
        </w:drawing>
      </w:r>
    </w:p>
    <w:p>
      <w:pPr>
        <w:pStyle w:val="34"/>
        <w:rPr>
          <w:kern w:val="0"/>
        </w:rPr>
      </w:pPr>
      <w:r>
        <w:rPr>
          <w:kern w:val="0"/>
        </w:rPr>
        <w:t xml:space="preserve">在“资讯主站”下拉列表框中选择资讯主站，然后点击“连接主站”。 </w:t>
      </w:r>
    </w:p>
    <w:p>
      <w:pPr>
        <w:pStyle w:val="34"/>
        <w:rPr>
          <w:kern w:val="0"/>
        </w:rPr>
      </w:pPr>
      <w:r>
        <w:rPr>
          <w:kern w:val="0"/>
        </w:rPr>
        <w:t xml:space="preserve">〖自动连接行情主站〗当此项被勾选时，下次登录系统时，系统会自动连接一个行情主站并自动登录。 </w:t>
      </w:r>
    </w:p>
    <w:p>
      <w:pPr>
        <w:pStyle w:val="34"/>
        <w:rPr>
          <w:kern w:val="0"/>
        </w:rPr>
      </w:pPr>
      <w:r>
        <w:rPr>
          <w:kern w:val="0"/>
        </w:rPr>
        <w:t xml:space="preserve">如果用户需要自己选择行情主站，则不要勾选“登录时查找最快的主站”， 当勾选上自动连接主站时，网络出现断开有连接上的情况下会自动连接主站。 </w:t>
      </w:r>
    </w:p>
    <w:p>
      <w:pPr>
        <w:pStyle w:val="34"/>
        <w:rPr>
          <w:kern w:val="0"/>
        </w:rPr>
      </w:pPr>
      <w:r>
        <w:rPr>
          <w:kern w:val="0"/>
        </w:rPr>
        <w:t xml:space="preserve">由于有些网络会出现网络限制，代理服务的配置可以解决这个问题。具体情况根据您的网络环境进行配置。 </w:t>
      </w:r>
    </w:p>
    <w:p>
      <w:pPr>
        <w:pStyle w:val="34"/>
        <w:rPr>
          <w:kern w:val="0"/>
        </w:rPr>
      </w:pPr>
      <w:r>
        <w:rPr>
          <w:kern w:val="0"/>
        </w:rPr>
        <w:t xml:space="preserve">〖代理〗对一般用户，不需要设置代理，主站设置好后直接登录即可。如果用户需要设置代理，步骤如下： </w:t>
      </w:r>
    </w:p>
    <w:p>
      <w:pPr>
        <w:pStyle w:val="34"/>
        <w:rPr>
          <w:kern w:val="0"/>
        </w:rPr>
      </w:pPr>
      <w:r>
        <w:rPr>
          <w:kern w:val="0"/>
        </w:rPr>
        <w:t xml:space="preserve">1.勾选“使用代理”，本系统提供了三种代理类型：SCOK4协议、SCOK5协议和HTTP代理。 </w:t>
      </w:r>
    </w:p>
    <w:p>
      <w:pPr>
        <w:pStyle w:val="34"/>
        <w:rPr>
          <w:kern w:val="0"/>
        </w:rPr>
      </w:pPr>
      <w:r>
        <w:rPr>
          <w:kern w:val="0"/>
        </w:rPr>
        <w:t xml:space="preserve">2.选择好代理类型后，输入代理地址和相应的端口。如果服务器需要认证，则还需要输入用户账号和密码。点击“测试代理”进行代理测试。测试通过就可以使用此代理，点击“确定”即可连接到所选的行情主站，否则不能用此代理连接行情主站。 </w:t>
      </w:r>
    </w:p>
    <w:p>
      <w:pPr>
        <w:pStyle w:val="3"/>
      </w:pPr>
      <w:bookmarkStart w:id="43" w:name="_Toc90646162"/>
      <w:r>
        <w:rPr>
          <w:rFonts w:hint="eastAsia"/>
        </w:rPr>
        <w:t>主站测速</w:t>
      </w:r>
      <w:bookmarkEnd w:id="43"/>
    </w:p>
    <w:p>
      <w:pPr>
        <w:pStyle w:val="34"/>
      </w:pPr>
      <w:r>
        <w:rPr>
          <w:rFonts w:hint="eastAsia"/>
        </w:rPr>
        <w:t>通过主站测速功能，选择出网络相对畅通的主站。</w:t>
      </w:r>
    </w:p>
    <w:p>
      <w:pPr>
        <w:pStyle w:val="34"/>
      </w:pPr>
      <w:r>
        <w:fldChar w:fldCharType="begin"/>
      </w:r>
      <w:r>
        <w:instrText xml:space="preserve"> INCLUDEPICTURE  "https://www.tdx.com.cn/products/helpfile/tdxw/chm/%E7%AC%AC%E5%9B%9B%E7%AB%A0  %E9%80%89%E9%A1%B9/4-3/1.png" \* MERGEFORMATINET </w:instrText>
      </w:r>
      <w:r>
        <w:fldChar w:fldCharType="separate"/>
      </w:r>
      <w:r>
        <w:fldChar w:fldCharType="begin"/>
      </w:r>
      <w:r>
        <w:instrText xml:space="preserve"> INCLUDEPICTURE  "https://www.tdx.com.cn/products/helpfile/tdxw/chm/%E7%AC%AC%E5%9B%9B%E7%AB%A0  %E9%80%89%E9%A1%B9/4-3/1.png" \* MERGEFORMATINET </w:instrText>
      </w:r>
      <w:r>
        <w:fldChar w:fldCharType="separate"/>
      </w:r>
      <w:r>
        <w:fldChar w:fldCharType="begin"/>
      </w:r>
      <w:r>
        <w:instrText xml:space="preserve"> INCLUDEPICTURE  "https://www.tdx.com.cn/products/helpfile/tdxw/chm/%E7%AC%AC%E5%9B%9B%E7%AB%A0  %E9%80%89%E9%A1%B9/4-3/1.png" \* MERGEFORMATINET </w:instrText>
      </w:r>
      <w:r>
        <w:fldChar w:fldCharType="separate"/>
      </w:r>
      <w:r>
        <w:fldChar w:fldCharType="begin"/>
      </w:r>
      <w:r>
        <w:instrText xml:space="preserve"> INCLUDEPICTURE  "https://www.tdx.com.cn/products/helpfile/tdxw/chm/%E7%AC%AC%E5%9B%9B%E7%AB%A0  %E9%80%89%E9%A1%B9/4-3/1.png" \* MERGEFORMATINET </w:instrText>
      </w:r>
      <w:r>
        <w:fldChar w:fldCharType="separate"/>
      </w:r>
      <w:r>
        <w:drawing>
          <wp:inline distT="0" distB="0" distL="114300" distR="114300">
            <wp:extent cx="5162550" cy="3152775"/>
            <wp:effectExtent l="0" t="0" r="0" b="9525"/>
            <wp:docPr id="314" name="图片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314"/>
                    <pic:cNvPicPr>
                      <a:picLocks noChangeAspect="1"/>
                    </pic:cNvPicPr>
                  </pic:nvPicPr>
                  <pic:blipFill>
                    <a:blip r:embed="rId585" r:link="rId586"/>
                    <a:stretch>
                      <a:fillRect/>
                    </a:stretch>
                  </pic:blipFill>
                  <pic:spPr>
                    <a:xfrm>
                      <a:off x="0" y="0"/>
                      <a:ext cx="5162550" cy="3152775"/>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点击“主站测速”，系统会自动为用户测出每个行情主站的网络延时、主站负载等数据，并计算出每个行情主站的综合值。行情主站综合值越低，表示该行情主站的网络状况越好。用户只需双击综合值最低的行情主站，或者选中综合值最低的行情主站然后点击“使用所选”即可连接到网络最畅通的行情主站。</w:t>
      </w:r>
    </w:p>
    <w:p>
      <w:pPr>
        <w:pStyle w:val="3"/>
      </w:pPr>
      <w:bookmarkStart w:id="44" w:name="_Toc90646163"/>
      <w:r>
        <w:rPr>
          <w:rFonts w:hint="eastAsia"/>
        </w:rPr>
        <w:t>自动升级</w:t>
      </w:r>
      <w:bookmarkEnd w:id="44"/>
    </w:p>
    <w:p>
      <w:pPr>
        <w:pStyle w:val="34"/>
      </w:pPr>
      <w:r>
        <w:rPr>
          <w:rFonts w:hint="eastAsia"/>
        </w:rPr>
        <w:t>如果用户的版本较老，点击自动升级功能，你将获得最新版本。若由于网速等原因不能自动升级，可以去官网 </w:t>
      </w:r>
      <w:r>
        <w:fldChar w:fldCharType="begin"/>
      </w:r>
      <w:r>
        <w:instrText xml:space="preserve"> HYPERLINK "http://www.tdx.com.cn/" </w:instrText>
      </w:r>
      <w:r>
        <w:fldChar w:fldCharType="separate"/>
      </w:r>
      <w:r>
        <w:rPr>
          <w:rStyle w:val="30"/>
          <w:rFonts w:hint="eastAsia" w:ascii="微软雅黑" w:hAnsi="微软雅黑" w:eastAsia="微软雅黑"/>
          <w:sz w:val="23"/>
          <w:szCs w:val="23"/>
        </w:rPr>
        <w:t>http://www.tdx.com.cn/ </w:t>
      </w:r>
      <w:r>
        <w:rPr>
          <w:rStyle w:val="30"/>
          <w:rFonts w:hint="eastAsia" w:ascii="微软雅黑" w:hAnsi="微软雅黑" w:eastAsia="微软雅黑"/>
          <w:sz w:val="23"/>
          <w:szCs w:val="23"/>
        </w:rPr>
        <w:fldChar w:fldCharType="end"/>
      </w:r>
      <w:r>
        <w:rPr>
          <w:rFonts w:hint="eastAsia"/>
        </w:rPr>
        <w:t>的下载中心下载最新的版本。金融终端不支持在线自动升级功能，需要登陆到官网下载最新版本。</w:t>
      </w:r>
    </w:p>
    <w:p>
      <w:pPr>
        <w:pStyle w:val="3"/>
      </w:pPr>
      <w:bookmarkStart w:id="45" w:name="_Toc90646164"/>
      <w:r>
        <w:rPr>
          <w:rFonts w:hint="eastAsia"/>
        </w:rPr>
        <w:t>盘后数据下载</w:t>
      </w:r>
      <w:bookmarkEnd w:id="45"/>
    </w:p>
    <w:p>
      <w:pPr>
        <w:pStyle w:val="34"/>
      </w:pPr>
      <w:r>
        <w:rPr>
          <w:rFonts w:hint="eastAsia"/>
        </w:rPr>
        <w:t>在连接行情主站的前提下进行盘后数据的下载。如果行情主站处在断开状态会自动提示连接行情主站。</w:t>
      </w:r>
    </w:p>
    <w:p>
      <w:pPr>
        <w:pStyle w:val="34"/>
      </w:pPr>
      <w:r>
        <w:rPr>
          <w:rFonts w:hint="eastAsia"/>
        </w:rPr>
        <w:t>盘后数据下载是下载日线数据、深沪分钟数据、深沪分时图、扩展市场行情日线和扩展市场行情分钟线。</w:t>
      </w:r>
    </w:p>
    <w:p>
      <w:pPr>
        <w:pStyle w:val="34"/>
      </w:pPr>
      <w:r>
        <w:fldChar w:fldCharType="begin"/>
      </w:r>
      <w:r>
        <w:instrText xml:space="preserve"> INCLUDEPICTURE  "https://www.tdx.com.cn/products/helpfile/tdxw/chm/%E7%AC%AC%E5%9B%9B%E7%AB%A0  %E9%80%89%E9%A1%B9/4-5/1.png" \* MERGEFORMATINET </w:instrText>
      </w:r>
      <w:r>
        <w:fldChar w:fldCharType="separate"/>
      </w:r>
      <w:r>
        <w:fldChar w:fldCharType="begin"/>
      </w:r>
      <w:r>
        <w:instrText xml:space="preserve"> INCLUDEPICTURE  "https://www.tdx.com.cn/products/helpfile/tdxw/chm/%E7%AC%AC%E5%9B%9B%E7%AB%A0  %E9%80%89%E9%A1%B9/4-5/1.png" \* MERGEFORMATINET </w:instrText>
      </w:r>
      <w:r>
        <w:fldChar w:fldCharType="separate"/>
      </w:r>
      <w:r>
        <w:fldChar w:fldCharType="begin"/>
      </w:r>
      <w:r>
        <w:instrText xml:space="preserve"> INCLUDEPICTURE  "https://www.tdx.com.cn/products/helpfile/tdxw/chm/%E7%AC%AC%E5%9B%9B%E7%AB%A0  %E9%80%89%E9%A1%B9/4-5/1.png" \* MERGEFORMATINET </w:instrText>
      </w:r>
      <w:r>
        <w:fldChar w:fldCharType="separate"/>
      </w:r>
      <w:r>
        <w:fldChar w:fldCharType="begin"/>
      </w:r>
      <w:r>
        <w:instrText xml:space="preserve"> INCLUDEPICTURE  "https://www.tdx.com.cn/products/helpfile/tdxw/chm/%E7%AC%AC%E5%9B%9B%E7%AB%A0  %E9%80%89%E9%A1%B9/4-5/1.png" \* MERGEFORMATINET </w:instrText>
      </w:r>
      <w:r>
        <w:fldChar w:fldCharType="separate"/>
      </w:r>
      <w:r>
        <w:drawing>
          <wp:inline distT="0" distB="0" distL="114300" distR="114300">
            <wp:extent cx="5353050" cy="3810000"/>
            <wp:effectExtent l="0" t="0" r="0" b="0"/>
            <wp:docPr id="315" name="图片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315"/>
                    <pic:cNvPicPr>
                      <a:picLocks noChangeAspect="1"/>
                    </pic:cNvPicPr>
                  </pic:nvPicPr>
                  <pic:blipFill>
                    <a:blip r:embed="rId587" r:link="rId588"/>
                    <a:stretch>
                      <a:fillRect/>
                    </a:stretch>
                  </pic:blipFill>
                  <pic:spPr>
                    <a:xfrm>
                      <a:off x="0" y="0"/>
                      <a:ext cx="5353050" cy="3810000"/>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因为选股、报表分析和脱机分析等功能需要用到这些数据，所以建议用户及时下载补充这些数据。而且为了防止下载速度过慢可选择每次下载数据是否下载扩展行情的数据（系统-通讯设置(自动连接扩展市场行情项不勾选)）。</w:t>
      </w:r>
    </w:p>
    <w:p>
      <w:pPr>
        <w:pStyle w:val="34"/>
      </w:pPr>
      <w:r>
        <w:rPr>
          <w:rFonts w:hint="eastAsia"/>
        </w:rPr>
        <w:t>其中日线数据和深沪分钟数据都有时间范围的设置，用户可以在日期下拉选择框中选择所要下载的数据的日期范围。</w:t>
      </w:r>
    </w:p>
    <w:p>
      <w:pPr>
        <w:pStyle w:val="34"/>
      </w:pPr>
      <w:r>
        <w:rPr>
          <w:rFonts w:hint="eastAsia"/>
        </w:rPr>
        <w:t>而分时图数据的下载有股票范围的设置，用户可以通过“添加股票”和“移去股票”来选择要下载哪些股票的分时图数据。</w:t>
      </w:r>
    </w:p>
    <w:p>
      <w:pPr>
        <w:pStyle w:val="34"/>
      </w:pPr>
      <w:r>
        <w:rPr>
          <w:rFonts w:hint="eastAsia"/>
        </w:rPr>
        <w:t>如果是慢速上网用户，下载肯能耗时较长，用户也可以选择较少的股票和较短的时间段。</w:t>
      </w:r>
    </w:p>
    <w:p>
      <w:pPr>
        <w:pStyle w:val="3"/>
      </w:pPr>
      <w:bookmarkStart w:id="46" w:name="_Toc90646165"/>
      <w:r>
        <w:rPr>
          <w:rFonts w:hint="eastAsia"/>
        </w:rPr>
        <w:t>日线自动写盘</w:t>
      </w:r>
      <w:bookmarkEnd w:id="46"/>
    </w:p>
    <w:p>
      <w:pPr>
        <w:pStyle w:val="34"/>
      </w:pPr>
      <w:r>
        <w:rPr>
          <w:rFonts w:hint="eastAsia"/>
        </w:rPr>
        <w:t>勾选“日线自动写盘”功能后，查看过的证券都会自动存盘，脱机以后用户仍可以查阅这些数据。</w:t>
      </w:r>
    </w:p>
    <w:p>
      <w:pPr>
        <w:pStyle w:val="3"/>
      </w:pPr>
      <w:bookmarkStart w:id="47" w:name="_Toc90646166"/>
      <w:r>
        <w:rPr>
          <w:rFonts w:hint="eastAsia"/>
        </w:rPr>
        <w:t>数据导出</w:t>
      </w:r>
      <w:bookmarkEnd w:id="47"/>
    </w:p>
    <w:p>
      <w:pPr>
        <w:pStyle w:val="34"/>
      </w:pPr>
      <w:r>
        <w:rPr>
          <w:rFonts w:hint="eastAsia"/>
        </w:rPr>
        <w:t>如果用户想通过其他软件（如Word或者EXCEL）对股票行情、个股资料等数据做进一步的分析，可以使用数据导出功能将用户需要的数据导出到格式文本文件、EXCEL文件或者图形文件。数据导出界面如下图所示：</w:t>
      </w:r>
    </w:p>
    <w:p>
      <w:r>
        <w:fldChar w:fldCharType="begin"/>
      </w:r>
      <w:r>
        <w:instrText xml:space="preserve"> INCLUDEPICTURE  "https://www.tdx.com.cn/products/helpfile/tdxw/chm/%E7%AC%AC%E5%9B%9B%E7%AB%A0  %E9%80%89%E9%A1%B9/4-7/1.png" \* MERGEFORMATINET </w:instrText>
      </w:r>
      <w:r>
        <w:fldChar w:fldCharType="separate"/>
      </w:r>
      <w:r>
        <w:fldChar w:fldCharType="begin"/>
      </w:r>
      <w:r>
        <w:instrText xml:space="preserve"> INCLUDEPICTURE  "https://www.tdx.com.cn/products/helpfile/tdxw/chm/%E7%AC%AC%E5%9B%9B%E7%AB%A0  %E9%80%89%E9%A1%B9/4-7/1.png" \* MERGEFORMATINET </w:instrText>
      </w:r>
      <w:r>
        <w:fldChar w:fldCharType="separate"/>
      </w:r>
      <w:r>
        <w:fldChar w:fldCharType="begin"/>
      </w:r>
      <w:r>
        <w:instrText xml:space="preserve"> INCLUDEPICTURE  "https://www.tdx.com.cn/products/helpfile/tdxw/chm/%E7%AC%AC%E5%9B%9B%E7%AB%A0  %E9%80%89%E9%A1%B9/4-7/1.png" \* MERGEFORMATINET </w:instrText>
      </w:r>
      <w:r>
        <w:fldChar w:fldCharType="separate"/>
      </w:r>
      <w:r>
        <w:fldChar w:fldCharType="begin"/>
      </w:r>
      <w:r>
        <w:instrText xml:space="preserve"> INCLUDEPICTURE  "https://www.tdx.com.cn/products/helpfile/tdxw/chm/%E7%AC%AC%E5%9B%9B%E7%AB%A0  %E9%80%89%E9%A1%B9/4-7/1.png" \* MERGEFORMATINET </w:instrText>
      </w:r>
      <w:r>
        <w:fldChar w:fldCharType="separate"/>
      </w:r>
      <w:r>
        <w:drawing>
          <wp:inline distT="0" distB="0" distL="114300" distR="114300">
            <wp:extent cx="4581525" cy="2809875"/>
            <wp:effectExtent l="0" t="0" r="9525" b="9525"/>
            <wp:docPr id="316" name="图片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316"/>
                    <pic:cNvPicPr>
                      <a:picLocks noChangeAspect="1"/>
                    </pic:cNvPicPr>
                  </pic:nvPicPr>
                  <pic:blipFill>
                    <a:blip r:embed="rId589" r:link="rId590"/>
                    <a:stretch>
                      <a:fillRect/>
                    </a:stretch>
                  </pic:blipFill>
                  <pic:spPr>
                    <a:xfrm>
                      <a:off x="0" y="0"/>
                      <a:ext cx="4581525" cy="2809875"/>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数据导出方法：从三种文件格式中选择一种，然后选择数据的内容（“当前屏幕数据”、“报表中所有数据-显示的栏目”，或者“报表中所有数据-显示列开始所有栏目”），点击“浏览”选择所导出的文件存放的路径，最后点击“导出”按钮。 </w:t>
      </w:r>
    </w:p>
    <w:p>
      <w:pPr>
        <w:pStyle w:val="34"/>
      </w:pPr>
      <w:r>
        <w:rPr>
          <w:rFonts w:hint="eastAsia"/>
        </w:rPr>
        <w:t>高级数据导出：在数据导出界面的右上角有高级导出按钮，点击该按钮弹出高级数据导出界面：</w:t>
      </w:r>
    </w:p>
    <w:p>
      <w:r>
        <w:fldChar w:fldCharType="begin"/>
      </w:r>
      <w:r>
        <w:instrText xml:space="preserve"> INCLUDEPICTURE  "https://www.tdx.com.cn/products/helpfile/tdxw/chm/%E7%AC%AC%E5%9B%9B%E7%AB%A0  %E9%80%89%E9%A1%B9/4-7/2.png" \* MERGEFORMATINET </w:instrText>
      </w:r>
      <w:r>
        <w:fldChar w:fldCharType="separate"/>
      </w:r>
      <w:r>
        <w:fldChar w:fldCharType="begin"/>
      </w:r>
      <w:r>
        <w:instrText xml:space="preserve"> INCLUDEPICTURE  "https://www.tdx.com.cn/products/helpfile/tdxw/chm/%E7%AC%AC%E5%9B%9B%E7%AB%A0  %E9%80%89%E9%A1%B9/4-7/2.png" \* MERGEFORMATINET </w:instrText>
      </w:r>
      <w:r>
        <w:fldChar w:fldCharType="separate"/>
      </w:r>
      <w:r>
        <w:fldChar w:fldCharType="begin"/>
      </w:r>
      <w:r>
        <w:instrText xml:space="preserve"> INCLUDEPICTURE  "https://www.tdx.com.cn/products/helpfile/tdxw/chm/%E7%AC%AC%E5%9B%9B%E7%AB%A0  %E9%80%89%E9%A1%B9/4-7/2.png" \* MERGEFORMATINET </w:instrText>
      </w:r>
      <w:r>
        <w:fldChar w:fldCharType="separate"/>
      </w:r>
      <w:r>
        <w:fldChar w:fldCharType="begin"/>
      </w:r>
      <w:r>
        <w:instrText xml:space="preserve"> INCLUDEPICTURE  "https://www.tdx.com.cn/products/helpfile/tdxw/chm/%E7%AC%AC%E5%9B%9B%E7%AB%A0  %E9%80%89%E9%A1%B9/4-7/2.png" \* MERGEFORMATINET </w:instrText>
      </w:r>
      <w:r>
        <w:fldChar w:fldCharType="separate"/>
      </w:r>
      <w:r>
        <w:drawing>
          <wp:inline distT="0" distB="0" distL="114300" distR="114300">
            <wp:extent cx="4648200" cy="3667125"/>
            <wp:effectExtent l="0" t="0" r="0" b="9525"/>
            <wp:docPr id="317" name="图片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图片 317"/>
                    <pic:cNvPicPr>
                      <a:picLocks noChangeAspect="1"/>
                    </pic:cNvPicPr>
                  </pic:nvPicPr>
                  <pic:blipFill>
                    <a:blip r:embed="rId591" r:link="rId592"/>
                    <a:stretch>
                      <a:fillRect/>
                    </a:stretch>
                  </pic:blipFill>
                  <pic:spPr>
                    <a:xfrm>
                      <a:off x="0" y="0"/>
                      <a:ext cx="4648200" cy="3667125"/>
                    </a:xfrm>
                    <a:prstGeom prst="rect">
                      <a:avLst/>
                    </a:prstGeom>
                    <a:noFill/>
                    <a:ln>
                      <a:noFill/>
                    </a:ln>
                  </pic:spPr>
                </pic:pic>
              </a:graphicData>
            </a:graphic>
          </wp:inline>
        </w:drawing>
      </w:r>
      <w:r>
        <w:fldChar w:fldCharType="end"/>
      </w:r>
      <w:r>
        <w:fldChar w:fldCharType="end"/>
      </w:r>
      <w:r>
        <w:fldChar w:fldCharType="end"/>
      </w:r>
      <w:r>
        <w:fldChar w:fldCharType="end"/>
      </w:r>
    </w:p>
    <w:p>
      <w:r>
        <w:rPr>
          <w:rFonts w:hint="eastAsia"/>
        </w:rPr>
        <w:t> </w:t>
      </w:r>
    </w:p>
    <w:p>
      <w:pPr>
        <w:pStyle w:val="34"/>
      </w:pPr>
      <w:r>
        <w:rPr>
          <w:rFonts w:hint="eastAsia"/>
        </w:rPr>
        <w:t>打印及预览:</w:t>
      </w:r>
    </w:p>
    <w:p>
      <w:pPr>
        <w:pStyle w:val="34"/>
      </w:pPr>
      <w:r>
        <w:rPr>
          <w:rFonts w:hint="eastAsia"/>
        </w:rPr>
        <w:t>〖打印〗打印当前屏幕所显示的内容。</w:t>
      </w:r>
    </w:p>
    <w:p>
      <w:pPr>
        <w:pStyle w:val="34"/>
      </w:pPr>
      <w:r>
        <w:rPr>
          <w:rFonts w:hint="eastAsia"/>
        </w:rPr>
        <w:t>〖打印预览〗预览打印出来的效果。</w:t>
      </w:r>
    </w:p>
    <w:p>
      <w:pPr>
        <w:pStyle w:val="34"/>
      </w:pPr>
      <w:r>
        <w:rPr>
          <w:rFonts w:hint="eastAsia"/>
        </w:rPr>
        <w:t>打开方式：</w:t>
      </w:r>
    </w:p>
    <w:p>
      <w:pPr>
        <w:pStyle w:val="34"/>
      </w:pPr>
      <w:r>
        <w:rPr>
          <w:rFonts w:hint="eastAsia"/>
        </w:rPr>
        <w:t>34数据导出点打印预览 ——打印</w:t>
      </w:r>
    </w:p>
    <w:p>
      <w:pPr>
        <w:pStyle w:val="34"/>
      </w:pPr>
      <w:r>
        <w:rPr>
          <w:rFonts w:hint="eastAsia"/>
        </w:rPr>
        <w:t>附：可先进入系统设置将配色方案调成典雅白，再打印。</w:t>
      </w:r>
    </w:p>
    <w:p>
      <w:pPr>
        <w:pStyle w:val="34"/>
      </w:pPr>
      <w:r>
        <w:fldChar w:fldCharType="begin"/>
      </w:r>
      <w:r>
        <w:instrText xml:space="preserve"> INCLUDEPICTURE  "https://www.tdx.com.cn/products/helpfile/tdxw/chm/%E7%AC%AC%E5%9B%9B%E7%AB%A0  %E9%80%89%E9%A1%B9/4-7/3.png" \* MERGEFORMATINET </w:instrText>
      </w:r>
      <w:r>
        <w:fldChar w:fldCharType="separate"/>
      </w:r>
      <w:r>
        <w:fldChar w:fldCharType="begin"/>
      </w:r>
      <w:r>
        <w:instrText xml:space="preserve"> INCLUDEPICTURE  "https://www.tdx.com.cn/products/helpfile/tdxw/chm/%E7%AC%AC%E5%9B%9B%E7%AB%A0  %E9%80%89%E9%A1%B9/4-7/3.png" \* MERGEFORMATINET </w:instrText>
      </w:r>
      <w:r>
        <w:fldChar w:fldCharType="separate"/>
      </w:r>
      <w:r>
        <w:fldChar w:fldCharType="begin"/>
      </w:r>
      <w:r>
        <w:instrText xml:space="preserve"> INCLUDEPICTURE  "https://www.tdx.com.cn/products/helpfile/tdxw/chm/%E7%AC%AC%E5%9B%9B%E7%AB%A0  %E9%80%89%E9%A1%B9/4-7/3.png" \* MERGEFORMATINET </w:instrText>
      </w:r>
      <w:r>
        <w:fldChar w:fldCharType="separate"/>
      </w:r>
      <w:r>
        <w:fldChar w:fldCharType="begin"/>
      </w:r>
      <w:r>
        <w:instrText xml:space="preserve"> INCLUDEPICTURE  "https://www.tdx.com.cn/products/helpfile/tdxw/chm/%E7%AC%AC%E5%9B%9B%E7%AB%A0  %E9%80%89%E9%A1%B9/4-7/3.png" \* MERGEFORMATINET </w:instrText>
      </w:r>
      <w:r>
        <w:fldChar w:fldCharType="separate"/>
      </w:r>
      <w:r>
        <w:drawing>
          <wp:inline distT="0" distB="0" distL="114300" distR="114300">
            <wp:extent cx="4581525" cy="2524125"/>
            <wp:effectExtent l="0" t="0" r="9525" b="9525"/>
            <wp:docPr id="318" name="图片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318"/>
                    <pic:cNvPicPr>
                      <a:picLocks noChangeAspect="1"/>
                    </pic:cNvPicPr>
                  </pic:nvPicPr>
                  <pic:blipFill>
                    <a:blip r:embed="rId593" r:link="rId594"/>
                    <a:stretch>
                      <a:fillRect/>
                    </a:stretch>
                  </pic:blipFill>
                  <pic:spPr>
                    <a:xfrm>
                      <a:off x="0" y="0"/>
                      <a:ext cx="4581525" cy="2524125"/>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fldChar w:fldCharType="begin"/>
      </w:r>
      <w:r>
        <w:instrText xml:space="preserve"> INCLUDEPICTURE  "https://www.tdx.com.cn/products/helpfile/tdxw/chm/%E7%AC%AC%E5%9B%9B%E7%AB%A0  %E9%80%89%E9%A1%B9/4-7/4.png" \* MERGEFORMATINET </w:instrText>
      </w:r>
      <w:r>
        <w:fldChar w:fldCharType="separate"/>
      </w:r>
      <w:r>
        <w:fldChar w:fldCharType="begin"/>
      </w:r>
      <w:r>
        <w:instrText xml:space="preserve"> INCLUDEPICTURE  "https://www.tdx.com.cn/products/helpfile/tdxw/chm/%E7%AC%AC%E5%9B%9B%E7%AB%A0  %E9%80%89%E9%A1%B9/4-7/4.png" \* MERGEFORMATINET </w:instrText>
      </w:r>
      <w:r>
        <w:fldChar w:fldCharType="separate"/>
      </w:r>
      <w:r>
        <w:fldChar w:fldCharType="begin"/>
      </w:r>
      <w:r>
        <w:instrText xml:space="preserve"> INCLUDEPICTURE  "https://www.tdx.com.cn/products/helpfile/tdxw/chm/%E7%AC%AC%E5%9B%9B%E7%AB%A0  %E9%80%89%E9%A1%B9/4-7/4.png" \* MERGEFORMATINET </w:instrText>
      </w:r>
      <w:r>
        <w:fldChar w:fldCharType="separate"/>
      </w:r>
      <w:r>
        <w:fldChar w:fldCharType="begin"/>
      </w:r>
      <w:r>
        <w:instrText xml:space="preserve"> INCLUDEPICTURE  "https://www.tdx.com.cn/products/helpfile/tdxw/chm/%E7%AC%AC%E5%9B%9B%E7%AB%A0  %E9%80%89%E9%A1%B9/4-7/4.png" \* MERGEFORMATINET </w:instrText>
      </w:r>
      <w:r>
        <w:fldChar w:fldCharType="separate"/>
      </w:r>
      <w:r>
        <w:drawing>
          <wp:inline distT="0" distB="0" distL="114300" distR="114300">
            <wp:extent cx="3667125" cy="1114425"/>
            <wp:effectExtent l="0" t="0" r="9525" b="9525"/>
            <wp:docPr id="319" name="图片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图片 319"/>
                    <pic:cNvPicPr>
                      <a:picLocks noChangeAspect="1"/>
                    </pic:cNvPicPr>
                  </pic:nvPicPr>
                  <pic:blipFill>
                    <a:blip r:embed="rId595" r:link="rId596"/>
                    <a:stretch>
                      <a:fillRect/>
                    </a:stretch>
                  </pic:blipFill>
                  <pic:spPr>
                    <a:xfrm>
                      <a:off x="0" y="0"/>
                      <a:ext cx="3667125" cy="1114425"/>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fldChar w:fldCharType="begin"/>
      </w:r>
      <w:r>
        <w:instrText xml:space="preserve"> INCLUDEPICTURE  "https://www.tdx.com.cn/products/helpfile/tdxw/chm/%E7%AC%AC%E5%9B%9B%E7%AB%A0  %E9%80%89%E9%A1%B9/4-7/5.png" \* MERGEFORMATINET </w:instrText>
      </w:r>
      <w:r>
        <w:fldChar w:fldCharType="separate"/>
      </w:r>
      <w:r>
        <w:fldChar w:fldCharType="begin"/>
      </w:r>
      <w:r>
        <w:instrText xml:space="preserve"> INCLUDEPICTURE  "https://www.tdx.com.cn/products/helpfile/tdxw/chm/%E7%AC%AC%E5%9B%9B%E7%AB%A0  %E9%80%89%E9%A1%B9/4-7/5.png" \* MERGEFORMATINET </w:instrText>
      </w:r>
      <w:r>
        <w:fldChar w:fldCharType="separate"/>
      </w:r>
      <w:r>
        <w:fldChar w:fldCharType="begin"/>
      </w:r>
      <w:r>
        <w:instrText xml:space="preserve"> INCLUDEPICTURE  "https://www.tdx.com.cn/products/helpfile/tdxw/chm/%E7%AC%AC%E5%9B%9B%E7%AB%A0  %E9%80%89%E9%A1%B9/4-7/5.png" \* MERGEFORMATINET </w:instrText>
      </w:r>
      <w:r>
        <w:fldChar w:fldCharType="separate"/>
      </w:r>
      <w:r>
        <w:fldChar w:fldCharType="begin"/>
      </w:r>
      <w:r>
        <w:instrText xml:space="preserve"> INCLUDEPICTURE  "https://www.tdx.com.cn/products/helpfile/tdxw/chm/%E7%AC%AC%E5%9B%9B%E7%AB%A0  %E9%80%89%E9%A1%B9/4-7/5.png" \* MERGEFORMATINET </w:instrText>
      </w:r>
      <w:r>
        <w:fldChar w:fldCharType="separate"/>
      </w:r>
      <w:r>
        <w:drawing>
          <wp:inline distT="0" distB="0" distL="114300" distR="114300">
            <wp:extent cx="5715000" cy="3848100"/>
            <wp:effectExtent l="0" t="0" r="0" b="0"/>
            <wp:docPr id="320" name="图片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320"/>
                    <pic:cNvPicPr>
                      <a:picLocks noChangeAspect="1"/>
                    </pic:cNvPicPr>
                  </pic:nvPicPr>
                  <pic:blipFill>
                    <a:blip r:embed="rId597" r:link="rId598"/>
                    <a:stretch>
                      <a:fillRect/>
                    </a:stretch>
                  </pic:blipFill>
                  <pic:spPr>
                    <a:xfrm>
                      <a:off x="0" y="0"/>
                      <a:ext cx="5715000" cy="3848100"/>
                    </a:xfrm>
                    <a:prstGeom prst="rect">
                      <a:avLst/>
                    </a:prstGeom>
                    <a:noFill/>
                    <a:ln>
                      <a:noFill/>
                    </a:ln>
                  </pic:spPr>
                </pic:pic>
              </a:graphicData>
            </a:graphic>
          </wp:inline>
        </w:drawing>
      </w:r>
      <w:r>
        <w:fldChar w:fldCharType="end"/>
      </w:r>
      <w:r>
        <w:fldChar w:fldCharType="end"/>
      </w:r>
      <w:r>
        <w:fldChar w:fldCharType="end"/>
      </w:r>
      <w:r>
        <w:fldChar w:fldCharType="end"/>
      </w:r>
    </w:p>
    <w:p>
      <w:pPr>
        <w:pStyle w:val="3"/>
      </w:pPr>
      <w:bookmarkStart w:id="48" w:name="_Toc90646167"/>
      <w:r>
        <w:rPr>
          <w:rFonts w:hint="eastAsia"/>
        </w:rPr>
        <w:t>数据维护工具</w:t>
      </w:r>
      <w:bookmarkEnd w:id="48"/>
    </w:p>
    <w:p>
      <w:pPr>
        <w:pStyle w:val="34"/>
      </w:pPr>
      <w:r>
        <w:rPr>
          <w:rFonts w:hint="eastAsia"/>
        </w:rPr>
        <w:t>数据维护工具是用来对接收到的存在问题的数据进行修正的工具。数据维护分为：数据清理，数据备份，数据恢复和日线维护。</w:t>
      </w:r>
    </w:p>
    <w:p>
      <w:pPr>
        <w:pStyle w:val="34"/>
      </w:pPr>
      <w:r>
        <w:rPr>
          <w:rFonts w:hint="eastAsia"/>
        </w:rPr>
        <w:t>〖数据清理〗</w:t>
      </w:r>
    </w:p>
    <w:p>
      <w:pPr>
        <w:pStyle w:val="34"/>
      </w:pPr>
      <w:r>
        <w:fldChar w:fldCharType="begin"/>
      </w:r>
      <w:r>
        <w:instrText xml:space="preserve"> INCLUDEPICTURE  "https://www.tdx.com.cn/products/helpfile/tdxw/chm/%E7%AC%AC%E5%9B%9B%E7%AB%A0  %E9%80%89%E9%A1%B9/4-8/1.png" \* MERGEFORMATINET </w:instrText>
      </w:r>
      <w:r>
        <w:fldChar w:fldCharType="separate"/>
      </w:r>
      <w:r>
        <w:fldChar w:fldCharType="begin"/>
      </w:r>
      <w:r>
        <w:instrText xml:space="preserve"> INCLUDEPICTURE  "https://www.tdx.com.cn/products/helpfile/tdxw/chm/%E7%AC%AC%E5%9B%9B%E7%AB%A0  %E9%80%89%E9%A1%B9/4-8/1.png" \* MERGEFORMATINET </w:instrText>
      </w:r>
      <w:r>
        <w:fldChar w:fldCharType="separate"/>
      </w:r>
      <w:r>
        <w:fldChar w:fldCharType="begin"/>
      </w:r>
      <w:r>
        <w:instrText xml:space="preserve"> INCLUDEPICTURE  "https://www.tdx.com.cn/products/helpfile/tdxw/chm/%E7%AC%AC%E5%9B%9B%E7%AB%A0  %E9%80%89%E9%A1%B9/4-8/1.png" \* MERGEFORMATINET </w:instrText>
      </w:r>
      <w:r>
        <w:fldChar w:fldCharType="separate"/>
      </w:r>
      <w:r>
        <w:fldChar w:fldCharType="begin"/>
      </w:r>
      <w:r>
        <w:instrText xml:space="preserve"> INCLUDEPICTURE  "https://www.tdx.com.cn/products/helpfile/tdxw/chm/%E7%AC%AC%E5%9B%9B%E7%AB%A0  %E9%80%89%E9%A1%B9/4-8/1.png" \* MERGEFORMATINET </w:instrText>
      </w:r>
      <w:r>
        <w:fldChar w:fldCharType="separate"/>
      </w:r>
      <w:r>
        <w:drawing>
          <wp:inline distT="0" distB="0" distL="114300" distR="114300">
            <wp:extent cx="4791075" cy="3038475"/>
            <wp:effectExtent l="0" t="0" r="9525" b="9525"/>
            <wp:docPr id="321" name="图片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321"/>
                    <pic:cNvPicPr>
                      <a:picLocks noChangeAspect="1"/>
                    </pic:cNvPicPr>
                  </pic:nvPicPr>
                  <pic:blipFill>
                    <a:blip r:embed="rId599" r:link="rId600"/>
                    <a:stretch>
                      <a:fillRect/>
                    </a:stretch>
                  </pic:blipFill>
                  <pic:spPr>
                    <a:xfrm>
                      <a:off x="0" y="0"/>
                      <a:ext cx="4791075" cy="3038475"/>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“数据清理”为用户提供了7种数据的清理，包括：</w:t>
      </w:r>
    </w:p>
    <w:p>
      <w:pPr>
        <w:pStyle w:val="34"/>
      </w:pPr>
      <w:r>
        <w:rPr>
          <w:rFonts w:hint="eastAsia"/>
        </w:rPr>
        <w:t>1.清除上次初始化数据（客户端得新进入后将重传股票码表信息）</w:t>
      </w:r>
    </w:p>
    <w:p>
      <w:pPr>
        <w:pStyle w:val="34"/>
      </w:pPr>
      <w:r>
        <w:rPr>
          <w:rFonts w:hint="eastAsia"/>
        </w:rPr>
        <w:t>2.清除基本资料、股本变迁文件等（如果股本和权息资料紊乱，需要清理此项）</w:t>
      </w:r>
    </w:p>
    <w:p>
      <w:pPr>
        <w:pStyle w:val="34"/>
      </w:pPr>
      <w:r>
        <w:rPr>
          <w:rFonts w:hint="eastAsia"/>
        </w:rPr>
        <w:t>3.清除画线工具数据</w:t>
      </w:r>
    </w:p>
    <w:p>
      <w:pPr>
        <w:pStyle w:val="34"/>
      </w:pPr>
      <w:r>
        <w:rPr>
          <w:rFonts w:hint="eastAsia"/>
        </w:rPr>
        <w:t>4.清除下载的盘后日线、统计数据和5分钟数据（Vipdoc目录） </w:t>
      </w:r>
    </w:p>
    <w:p>
      <w:pPr>
        <w:pStyle w:val="34"/>
      </w:pPr>
      <w:r>
        <w:rPr>
          <w:rFonts w:hint="eastAsia"/>
        </w:rPr>
        <w:t>5.清除自动升级的中间文件和备份文件</w:t>
      </w:r>
    </w:p>
    <w:p>
      <w:pPr>
        <w:pStyle w:val="34"/>
      </w:pPr>
      <w:r>
        <w:rPr>
          <w:rFonts w:hint="eastAsia"/>
        </w:rPr>
        <w:t>6.清除缓存中间数据,委托交易，消息,资讯等各类临时缓冲数据</w:t>
      </w:r>
    </w:p>
    <w:p>
      <w:pPr>
        <w:pStyle w:val="34"/>
      </w:pPr>
      <w:r>
        <w:rPr>
          <w:rFonts w:hint="eastAsia"/>
        </w:rPr>
        <w:t>7.清除通达信委托交易个性化配置数据</w:t>
      </w:r>
    </w:p>
    <w:p>
      <w:pPr>
        <w:pStyle w:val="34"/>
      </w:pPr>
      <w:r>
        <w:rPr>
          <w:rFonts w:hint="eastAsia"/>
        </w:rPr>
        <w:t>用户可以根据自己的需要选择以上的一项或多项，然后点击“执行清理选中栏目”进行数据清理。</w:t>
      </w:r>
    </w:p>
    <w:p>
      <w:pPr>
        <w:pStyle w:val="34"/>
      </w:pPr>
      <w:r>
        <w:rPr>
          <w:rFonts w:hint="eastAsia"/>
        </w:rPr>
        <w:t>如果系统出现的严重的影响到系统运行的错误时，可以点击“恢复到系统刚安装状态”按钮，清理除自选股等板块以及自定义公式等以外的数据，以便系统恢复正常。 </w:t>
      </w:r>
    </w:p>
    <w:p>
      <w:pPr>
        <w:pStyle w:val="34"/>
      </w:pPr>
      <w:r>
        <w:rPr>
          <w:rFonts w:hint="eastAsia"/>
        </w:rPr>
        <w:t>“清除所有自定义公式”按钮为用户清除所有的自定义公式。</w:t>
      </w:r>
    </w:p>
    <w:p>
      <w:pPr>
        <w:pStyle w:val="34"/>
      </w:pPr>
      <w:r>
        <w:rPr>
          <w:rFonts w:hint="eastAsia"/>
        </w:rPr>
        <w:t>〖数据备份〗</w:t>
      </w:r>
    </w:p>
    <w:p>
      <w:pPr>
        <w:pStyle w:val="34"/>
      </w:pPr>
      <w:r>
        <w:fldChar w:fldCharType="begin"/>
      </w:r>
      <w:r>
        <w:instrText xml:space="preserve"> INCLUDEPICTURE  "https://www.tdx.com.cn/products/helpfile/tdxw/chm/%E7%AC%AC%E5%9B%9B%E7%AB%A0  %E9%80%89%E9%A1%B9/4-8/2.png" \* MERGEFORMATINET </w:instrText>
      </w:r>
      <w:r>
        <w:fldChar w:fldCharType="separate"/>
      </w:r>
      <w:r>
        <w:fldChar w:fldCharType="begin"/>
      </w:r>
      <w:r>
        <w:instrText xml:space="preserve"> INCLUDEPICTURE  "https://www.tdx.com.cn/products/helpfile/tdxw/chm/%E7%AC%AC%E5%9B%9B%E7%AB%A0  %E9%80%89%E9%A1%B9/4-8/2.png" \* MERGEFORMATINET </w:instrText>
      </w:r>
      <w:r>
        <w:fldChar w:fldCharType="separate"/>
      </w:r>
      <w:r>
        <w:fldChar w:fldCharType="begin"/>
      </w:r>
      <w:r>
        <w:instrText xml:space="preserve"> INCLUDEPICTURE  "https://www.tdx.com.cn/products/helpfile/tdxw/chm/%E7%AC%AC%E5%9B%9B%E7%AB%A0  %E9%80%89%E9%A1%B9/4-8/2.png" \* MERGEFORMATINET </w:instrText>
      </w:r>
      <w:r>
        <w:fldChar w:fldCharType="separate"/>
      </w:r>
      <w:r>
        <w:fldChar w:fldCharType="begin"/>
      </w:r>
      <w:r>
        <w:instrText xml:space="preserve"> INCLUDEPICTURE  "https://www.tdx.com.cn/products/helpfile/tdxw/chm/%E7%AC%AC%E5%9B%9B%E7%AB%A0  %E9%80%89%E9%A1%B9/4-8/2.png" \* MERGEFORMATINET </w:instrText>
      </w:r>
      <w:r>
        <w:fldChar w:fldCharType="separate"/>
      </w:r>
      <w:r>
        <w:drawing>
          <wp:inline distT="0" distB="0" distL="114300" distR="114300">
            <wp:extent cx="4791075" cy="3038475"/>
            <wp:effectExtent l="0" t="0" r="9525" b="9525"/>
            <wp:docPr id="322" name="图片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图片 322"/>
                    <pic:cNvPicPr>
                      <a:picLocks noChangeAspect="1"/>
                    </pic:cNvPicPr>
                  </pic:nvPicPr>
                  <pic:blipFill>
                    <a:blip r:embed="rId601" r:link="rId602"/>
                    <a:stretch>
                      <a:fillRect/>
                    </a:stretch>
                  </pic:blipFill>
                  <pic:spPr>
                    <a:xfrm>
                      <a:off x="0" y="0"/>
                      <a:ext cx="4791075" cy="3038475"/>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数据备份为用户提供备份个性化数据的工具，可以备份的数据包括自选股等板块、自定义公式、投资日记和个人理财数据、画线工具数据、金融记事本内容、所有个性化数据和设置。用户点击“浏览”选择数据备份的目标目录，然后勾选想要备份的数据（如果想要备份所有个性化数据，勾选“所有个性化设置”即可），最后点击“执行操作”即可。注意点击“执行操作”，可能导致客户端立即关闭，请认真查看操作提示。</w:t>
      </w:r>
    </w:p>
    <w:p>
      <w:pPr>
        <w:pStyle w:val="34"/>
      </w:pPr>
      <w:r>
        <w:rPr>
          <w:rFonts w:hint="eastAsia"/>
        </w:rPr>
        <w:t>〖数据恢复〗</w:t>
      </w:r>
    </w:p>
    <w:p>
      <w:pPr>
        <w:pStyle w:val="34"/>
      </w:pPr>
      <w:r>
        <w:fldChar w:fldCharType="begin"/>
      </w:r>
      <w:r>
        <w:instrText xml:space="preserve"> INCLUDEPICTURE  "https://www.tdx.com.cn/products/helpfile/tdxw/chm/%E7%AC%AC%E5%9B%9B%E7%AB%A0  %E9%80%89%E9%A1%B9/4-8/3.png" \* MERGEFORMATINET </w:instrText>
      </w:r>
      <w:r>
        <w:fldChar w:fldCharType="separate"/>
      </w:r>
      <w:r>
        <w:fldChar w:fldCharType="begin"/>
      </w:r>
      <w:r>
        <w:instrText xml:space="preserve"> INCLUDEPICTURE  "https://www.tdx.com.cn/products/helpfile/tdxw/chm/%E7%AC%AC%E5%9B%9B%E7%AB%A0  %E9%80%89%E9%A1%B9/4-8/3.png" \* MERGEFORMATINET </w:instrText>
      </w:r>
      <w:r>
        <w:fldChar w:fldCharType="separate"/>
      </w:r>
      <w:r>
        <w:fldChar w:fldCharType="begin"/>
      </w:r>
      <w:r>
        <w:instrText xml:space="preserve"> INCLUDEPICTURE  "https://www.tdx.com.cn/products/helpfile/tdxw/chm/%E7%AC%AC%E5%9B%9B%E7%AB%A0  %E9%80%89%E9%A1%B9/4-8/3.png" \* MERGEFORMATINET </w:instrText>
      </w:r>
      <w:r>
        <w:fldChar w:fldCharType="separate"/>
      </w:r>
      <w:r>
        <w:fldChar w:fldCharType="begin"/>
      </w:r>
      <w:r>
        <w:instrText xml:space="preserve"> INCLUDEPICTURE  "https://www.tdx.com.cn/products/helpfile/tdxw/chm/%E7%AC%AC%E5%9B%9B%E7%AB%A0  %E9%80%89%E9%A1%B9/4-8/3.png" \* MERGEFORMATINET </w:instrText>
      </w:r>
      <w:r>
        <w:fldChar w:fldCharType="separate"/>
      </w:r>
      <w:r>
        <w:drawing>
          <wp:inline distT="0" distB="0" distL="114300" distR="114300">
            <wp:extent cx="4791075" cy="3038475"/>
            <wp:effectExtent l="0" t="0" r="9525" b="9525"/>
            <wp:docPr id="323" name="图片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323"/>
                    <pic:cNvPicPr>
                      <a:picLocks noChangeAspect="1"/>
                    </pic:cNvPicPr>
                  </pic:nvPicPr>
                  <pic:blipFill>
                    <a:blip r:embed="rId603" r:link="rId604"/>
                    <a:stretch>
                      <a:fillRect/>
                    </a:stretch>
                  </pic:blipFill>
                  <pic:spPr>
                    <a:xfrm>
                      <a:off x="0" y="0"/>
                      <a:ext cx="4791075" cy="3038475"/>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数据恢复是利用已经备份的数据或者另一版本用户数据T0002目录来恢复数据。点击浏览选择备份的数据所在的目录（或另一版本的T0002目录），然后勾选需要恢复的个性化数据（如果想要恢复所有个性化数据，勾选“所有个性化设置”即可），最后点击执行操作。操作完成后系统会自动关闭。</w:t>
      </w:r>
    </w:p>
    <w:p>
      <w:pPr>
        <w:pStyle w:val="34"/>
      </w:pPr>
      <w:r>
        <w:rPr>
          <w:rFonts w:hint="eastAsia"/>
        </w:rPr>
        <w:t>〖本地数据〗</w:t>
      </w:r>
    </w:p>
    <w:p>
      <w:pPr>
        <w:pStyle w:val="34"/>
      </w:pPr>
      <w:r>
        <w:fldChar w:fldCharType="begin"/>
      </w:r>
      <w:r>
        <w:instrText xml:space="preserve"> INCLUDEPICTURE  "https://www.tdx.com.cn/products/helpfile/tdxw/chm/%E7%AC%AC%E5%9B%9B%E7%AB%A0  %E9%80%89%E9%A1%B9/4-8/4.png" \* MERGEFORMATINET </w:instrText>
      </w:r>
      <w:r>
        <w:fldChar w:fldCharType="separate"/>
      </w:r>
      <w:r>
        <w:fldChar w:fldCharType="begin"/>
      </w:r>
      <w:r>
        <w:instrText xml:space="preserve"> INCLUDEPICTURE  "https://www.tdx.com.cn/products/helpfile/tdxw/chm/%E7%AC%AC%E5%9B%9B%E7%AB%A0  %E9%80%89%E9%A1%B9/4-8/4.png" \* MERGEFORMATINET </w:instrText>
      </w:r>
      <w:r>
        <w:fldChar w:fldCharType="separate"/>
      </w:r>
      <w:r>
        <w:fldChar w:fldCharType="begin"/>
      </w:r>
      <w:r>
        <w:instrText xml:space="preserve"> INCLUDEPICTURE  "https://www.tdx.com.cn/products/helpfile/tdxw/chm/%E7%AC%AC%E5%9B%9B%E7%AB%A0  %E9%80%89%E9%A1%B9/4-8/4.png" \* MERGEFORMATINET </w:instrText>
      </w:r>
      <w:r>
        <w:fldChar w:fldCharType="separate"/>
      </w:r>
      <w:r>
        <w:fldChar w:fldCharType="begin"/>
      </w:r>
      <w:r>
        <w:instrText xml:space="preserve"> INCLUDEPICTURE  "https://www.tdx.com.cn/products/helpfile/tdxw/chm/%E7%AC%AC%E5%9B%9B%E7%AB%A0  %E9%80%89%E9%A1%B9/4-8/4.png" \* MERGEFORMATINET </w:instrText>
      </w:r>
      <w:r>
        <w:fldChar w:fldCharType="separate"/>
      </w:r>
      <w:r>
        <w:drawing>
          <wp:inline distT="0" distB="0" distL="114300" distR="114300">
            <wp:extent cx="4791075" cy="3038475"/>
            <wp:effectExtent l="0" t="0" r="9525" b="9525"/>
            <wp:docPr id="324" name="图片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图片 324"/>
                    <pic:cNvPicPr>
                      <a:picLocks noChangeAspect="1"/>
                    </pic:cNvPicPr>
                  </pic:nvPicPr>
                  <pic:blipFill>
                    <a:blip r:embed="rId605" r:link="rId606"/>
                    <a:stretch>
                      <a:fillRect/>
                    </a:stretch>
                  </pic:blipFill>
                  <pic:spPr>
                    <a:xfrm>
                      <a:off x="0" y="0"/>
                      <a:ext cx="4791075" cy="3038475"/>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日线维护工具可以让用户拷贝其他地方或其他版本的历史数据以更新本地的日线数据，用户可以删除指定日期的日线数据、删除指定日期前的所有日线数据或者删除本地所有的分钟线数据。</w:t>
      </w:r>
    </w:p>
    <w:p>
      <w:pPr>
        <w:pStyle w:val="3"/>
      </w:pPr>
      <w:bookmarkStart w:id="49" w:name="_Toc90646168"/>
      <w:r>
        <w:rPr>
          <w:rFonts w:hint="eastAsia"/>
        </w:rPr>
        <w:t>监控剪贴板</w:t>
      </w:r>
      <w:bookmarkEnd w:id="49"/>
    </w:p>
    <w:p>
      <w:pPr>
        <w:pStyle w:val="34"/>
      </w:pPr>
      <w:r>
        <w:rPr>
          <w:rFonts w:hint="eastAsia"/>
        </w:rPr>
        <w:t>如果勾选“监控剪贴板”，在使用复制功能的时候，若识别到股票代码，可能方便快捷地对股票添加标记和加入到板块。</w:t>
      </w:r>
    </w:p>
    <w:p>
      <w:pPr>
        <w:pStyle w:val="50"/>
        <w:rPr>
          <w:rFonts w:ascii="微软雅黑" w:hAnsi="微软雅黑" w:eastAsia="微软雅黑"/>
          <w:color w:val="000000"/>
          <w:sz w:val="18"/>
          <w:szCs w:val="18"/>
        </w:rPr>
      </w:pPr>
      <w:r>
        <w:rPr>
          <w:rFonts w:ascii="微软雅黑" w:hAnsi="微软雅黑" w:eastAsia="微软雅黑"/>
          <w:color w:val="000000"/>
          <w:sz w:val="18"/>
          <w:szCs w:val="18"/>
        </w:rPr>
        <w:fldChar w:fldCharType="begin"/>
      </w:r>
      <w:r>
        <w:rPr>
          <w:rFonts w:ascii="微软雅黑" w:hAnsi="微软雅黑" w:eastAsia="微软雅黑"/>
          <w:color w:val="000000"/>
          <w:sz w:val="18"/>
          <w:szCs w:val="18"/>
        </w:rPr>
        <w:instrText xml:space="preserve"> INCLUDEPICTURE  "https://www.tdx.com.cn/products/helpfile/tdxw/chm/%E7%AC%AC%E5%9B%9B%E7%AB%A0  %E9%80%89%E9%A1%B9/4-9/1.png" \* MERGEFORMATINET </w:instrText>
      </w:r>
      <w:r>
        <w:rPr>
          <w:rFonts w:ascii="微软雅黑" w:hAnsi="微软雅黑" w:eastAsia="微软雅黑"/>
          <w:color w:val="000000"/>
          <w:sz w:val="18"/>
          <w:szCs w:val="18"/>
        </w:rPr>
        <w:fldChar w:fldCharType="separate"/>
      </w:r>
      <w:r>
        <w:rPr>
          <w:rFonts w:ascii="微软雅黑" w:hAnsi="微软雅黑" w:eastAsia="微软雅黑"/>
          <w:color w:val="000000"/>
          <w:sz w:val="18"/>
          <w:szCs w:val="18"/>
        </w:rPr>
        <w:fldChar w:fldCharType="begin"/>
      </w:r>
      <w:r>
        <w:rPr>
          <w:rFonts w:ascii="微软雅黑" w:hAnsi="微软雅黑" w:eastAsia="微软雅黑"/>
          <w:color w:val="000000"/>
          <w:sz w:val="18"/>
          <w:szCs w:val="18"/>
        </w:rPr>
        <w:instrText xml:space="preserve"> INCLUDEPICTURE  "https://www.tdx.com.cn/products/helpfile/tdxw/chm/%E7%AC%AC%E5%9B%9B%E7%AB%A0  %E9%80%89%E9%A1%B9/4-9/1.png" \* MERGEFORMATINET </w:instrText>
      </w:r>
      <w:r>
        <w:rPr>
          <w:rFonts w:ascii="微软雅黑" w:hAnsi="微软雅黑" w:eastAsia="微软雅黑"/>
          <w:color w:val="000000"/>
          <w:sz w:val="18"/>
          <w:szCs w:val="18"/>
        </w:rPr>
        <w:fldChar w:fldCharType="separate"/>
      </w:r>
      <w:r>
        <w:rPr>
          <w:rFonts w:ascii="微软雅黑" w:hAnsi="微软雅黑" w:eastAsia="微软雅黑"/>
          <w:color w:val="000000"/>
          <w:sz w:val="18"/>
          <w:szCs w:val="18"/>
        </w:rPr>
        <w:fldChar w:fldCharType="begin"/>
      </w:r>
      <w:r>
        <w:rPr>
          <w:rFonts w:ascii="微软雅黑" w:hAnsi="微软雅黑" w:eastAsia="微软雅黑"/>
          <w:color w:val="000000"/>
          <w:sz w:val="18"/>
          <w:szCs w:val="18"/>
        </w:rPr>
        <w:instrText xml:space="preserve"> INCLUDEPICTURE  "https://www.tdx.com.cn/products/helpfile/tdxw/chm/%E7%AC%AC%E5%9B%9B%E7%AB%A0  %E9%80%89%E9%A1%B9/4-9/1.png" \* MERGEFORMATINET </w:instrText>
      </w:r>
      <w:r>
        <w:rPr>
          <w:rFonts w:ascii="微软雅黑" w:hAnsi="微软雅黑" w:eastAsia="微软雅黑"/>
          <w:color w:val="000000"/>
          <w:sz w:val="18"/>
          <w:szCs w:val="18"/>
        </w:rPr>
        <w:fldChar w:fldCharType="separate"/>
      </w:r>
      <w:r>
        <w:rPr>
          <w:rFonts w:ascii="微软雅黑" w:hAnsi="微软雅黑" w:eastAsia="微软雅黑"/>
          <w:color w:val="000000"/>
          <w:sz w:val="18"/>
          <w:szCs w:val="18"/>
        </w:rPr>
        <w:fldChar w:fldCharType="begin"/>
      </w:r>
      <w:r>
        <w:rPr>
          <w:rFonts w:ascii="微软雅黑" w:hAnsi="微软雅黑" w:eastAsia="微软雅黑"/>
          <w:color w:val="000000"/>
          <w:sz w:val="18"/>
          <w:szCs w:val="18"/>
        </w:rPr>
        <w:instrText xml:space="preserve"> INCLUDEPICTURE  "https://www.tdx.com.cn/products/helpfile/tdxw/chm/%E7%AC%AC%E5%9B%9B%E7%AB%A0  %E9%80%89%E9%A1%B9/4-9/1.png" \* MERGEFORMATINET </w:instrText>
      </w:r>
      <w:r>
        <w:rPr>
          <w:rFonts w:ascii="微软雅黑" w:hAnsi="微软雅黑" w:eastAsia="微软雅黑"/>
          <w:color w:val="000000"/>
          <w:sz w:val="18"/>
          <w:szCs w:val="18"/>
        </w:rPr>
        <w:fldChar w:fldCharType="separate"/>
      </w:r>
      <w:r>
        <w:rPr>
          <w:rFonts w:ascii="微软雅黑" w:hAnsi="微软雅黑" w:eastAsia="微软雅黑"/>
          <w:color w:val="000000"/>
          <w:sz w:val="18"/>
          <w:szCs w:val="18"/>
        </w:rPr>
        <w:drawing>
          <wp:inline distT="0" distB="0" distL="114300" distR="114300">
            <wp:extent cx="2867025" cy="4467225"/>
            <wp:effectExtent l="0" t="0" r="9525" b="9525"/>
            <wp:docPr id="325" name="图片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325"/>
                    <pic:cNvPicPr>
                      <a:picLocks noChangeAspect="1"/>
                    </pic:cNvPicPr>
                  </pic:nvPicPr>
                  <pic:blipFill>
                    <a:blip r:embed="rId607" r:link="rId608"/>
                    <a:stretch>
                      <a:fillRect/>
                    </a:stretch>
                  </pic:blipFill>
                  <pic:spPr>
                    <a:xfrm>
                      <a:off x="0" y="0"/>
                      <a:ext cx="2867025" cy="4467225"/>
                    </a:xfrm>
                    <a:prstGeom prst="rect">
                      <a:avLst/>
                    </a:prstGeom>
                    <a:noFill/>
                    <a:ln>
                      <a:noFill/>
                    </a:ln>
                  </pic:spPr>
                </pic:pic>
              </a:graphicData>
            </a:graphic>
          </wp:inline>
        </w:drawing>
      </w:r>
      <w:r>
        <w:rPr>
          <w:rFonts w:ascii="微软雅黑" w:hAnsi="微软雅黑" w:eastAsia="微软雅黑"/>
          <w:color w:val="000000"/>
          <w:sz w:val="18"/>
          <w:szCs w:val="18"/>
        </w:rPr>
        <w:fldChar w:fldCharType="end"/>
      </w:r>
      <w:r>
        <w:rPr>
          <w:rFonts w:ascii="微软雅黑" w:hAnsi="微软雅黑" w:eastAsia="微软雅黑"/>
          <w:color w:val="000000"/>
          <w:sz w:val="18"/>
          <w:szCs w:val="18"/>
        </w:rPr>
        <w:fldChar w:fldCharType="end"/>
      </w:r>
      <w:r>
        <w:rPr>
          <w:rFonts w:ascii="微软雅黑" w:hAnsi="微软雅黑" w:eastAsia="微软雅黑"/>
          <w:color w:val="000000"/>
          <w:sz w:val="18"/>
          <w:szCs w:val="18"/>
        </w:rPr>
        <w:fldChar w:fldCharType="end"/>
      </w:r>
      <w:r>
        <w:rPr>
          <w:rFonts w:ascii="微软雅黑" w:hAnsi="微软雅黑" w:eastAsia="微软雅黑"/>
          <w:color w:val="000000"/>
          <w:sz w:val="18"/>
          <w:szCs w:val="18"/>
        </w:rPr>
        <w:fldChar w:fldCharType="end"/>
      </w:r>
    </w:p>
    <w:p>
      <w:pPr>
        <w:pStyle w:val="3"/>
      </w:pPr>
      <w:bookmarkStart w:id="50" w:name="_Toc90646169"/>
      <w:r>
        <w:rPr>
          <w:rFonts w:hint="eastAsia"/>
        </w:rPr>
        <w:t>屏幕截图</w:t>
      </w:r>
      <w:bookmarkEnd w:id="50"/>
    </w:p>
    <w:p>
      <w:pPr>
        <w:pStyle w:val="34"/>
      </w:pPr>
      <w:r>
        <w:rPr>
          <w:rFonts w:hint="eastAsia"/>
        </w:rPr>
        <w:t>捷键：35</w:t>
      </w:r>
    </w:p>
    <w:p>
      <w:pPr>
        <w:pStyle w:val="34"/>
      </w:pPr>
      <w:r>
        <w:rPr>
          <w:rFonts w:hint="eastAsia"/>
        </w:rPr>
        <w:t>屏幕截图可以将软件所在界面或框选部分界面保存为图片。</w:t>
      </w:r>
    </w:p>
    <w:p>
      <w:pPr>
        <w:pStyle w:val="3"/>
      </w:pPr>
      <w:bookmarkStart w:id="51" w:name="_Toc90646170"/>
      <w:r>
        <w:rPr>
          <w:rFonts w:hint="eastAsia"/>
        </w:rPr>
        <w:t>自动换页</w:t>
      </w:r>
      <w:bookmarkEnd w:id="51"/>
    </w:p>
    <w:p>
      <w:pPr>
        <w:pStyle w:val="34"/>
      </w:pPr>
      <w:r>
        <w:rPr>
          <w:rFonts w:hint="eastAsia"/>
        </w:rPr>
        <w:t>激活此功能，使行情窗口、即时窗口、分析窗口按一定时间刷新。自动换页的时间在系统设置中设定。</w:t>
      </w:r>
    </w:p>
    <w:p>
      <w:r>
        <w:drawing>
          <wp:inline distT="0" distB="0" distL="114300" distR="114300">
            <wp:extent cx="5248275" cy="4248150"/>
            <wp:effectExtent l="0" t="0" r="9525" b="0"/>
            <wp:docPr id="326" name="图片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图片 326"/>
                    <pic:cNvPicPr>
                      <a:picLocks noChangeAspect="1"/>
                    </pic:cNvPicPr>
                  </pic:nvPicPr>
                  <pic:blipFill>
                    <a:blip r:embed="rId609"/>
                    <a:stretch>
                      <a:fillRect/>
                    </a:stretch>
                  </pic:blipFill>
                  <pic:spPr>
                    <a:xfrm>
                      <a:off x="0" y="0"/>
                      <a:ext cx="5248275" cy="4248150"/>
                    </a:xfrm>
                    <a:prstGeom prst="rect">
                      <a:avLst/>
                    </a:prstGeom>
                    <a:noFill/>
                    <a:ln>
                      <a:noFill/>
                    </a:ln>
                  </pic:spPr>
                </pic:pic>
              </a:graphicData>
            </a:graphic>
          </wp:inline>
        </w:drawing>
      </w:r>
    </w:p>
    <w:p>
      <w:pPr>
        <w:pStyle w:val="3"/>
      </w:pPr>
      <w:bookmarkStart w:id="52" w:name="_Toc90646171"/>
      <w:r>
        <w:rPr>
          <w:rFonts w:hint="eastAsia"/>
        </w:rPr>
        <w:t>品种组合计算</w:t>
      </w:r>
      <w:bookmarkEnd w:id="52"/>
    </w:p>
    <w:p>
      <w:pPr>
        <w:pStyle w:val="34"/>
      </w:pPr>
      <w:r>
        <w:rPr>
          <w:rFonts w:hint="eastAsia"/>
        </w:rPr>
        <w:t>客户可以对多个板块进行组合计算。</w:t>
      </w:r>
    </w:p>
    <w:p>
      <w:pPr>
        <w:pStyle w:val="34"/>
      </w:pPr>
      <w:r>
        <w:fldChar w:fldCharType="begin"/>
      </w:r>
      <w:r>
        <w:instrText xml:space="preserve"> INCLUDEPICTURE  "https://www.tdx.com.cn/products/helpfile/tdxw/chm/%E7%AC%AC%E5%9B%9B%E7%AB%A0  %E9%80%89%E9%A1%B9/4-12/1.png" \* MERGEFORMATINET </w:instrText>
      </w:r>
      <w:r>
        <w:fldChar w:fldCharType="separate"/>
      </w:r>
      <w:r>
        <w:fldChar w:fldCharType="begin"/>
      </w:r>
      <w:r>
        <w:instrText xml:space="preserve"> INCLUDEPICTURE  "https://www.tdx.com.cn/products/helpfile/tdxw/chm/%E7%AC%AC%E5%9B%9B%E7%AB%A0  %E9%80%89%E9%A1%B9/4-12/1.png" \* MERGEFORMATINET </w:instrText>
      </w:r>
      <w:r>
        <w:fldChar w:fldCharType="separate"/>
      </w:r>
      <w:r>
        <w:fldChar w:fldCharType="begin"/>
      </w:r>
      <w:r>
        <w:instrText xml:space="preserve"> INCLUDEPICTURE  "https://www.tdx.com.cn/products/helpfile/tdxw/chm/%E7%AC%AC%E5%9B%9B%E7%AB%A0  %E9%80%89%E9%A1%B9/4-12/1.png" \* MERGEFORMATINET </w:instrText>
      </w:r>
      <w:r>
        <w:fldChar w:fldCharType="separate"/>
      </w:r>
      <w:r>
        <w:fldChar w:fldCharType="begin"/>
      </w:r>
      <w:r>
        <w:instrText xml:space="preserve"> INCLUDEPICTURE  "https://www.tdx.com.cn/products/helpfile/tdxw/chm/%E7%AC%AC%E5%9B%9B%E7%AB%A0  %E9%80%89%E9%A1%B9/4-12/1.png" \* MERGEFORMATINET </w:instrText>
      </w:r>
      <w:r>
        <w:fldChar w:fldCharType="separate"/>
      </w:r>
      <w:r>
        <w:drawing>
          <wp:inline distT="0" distB="0" distL="114300" distR="114300">
            <wp:extent cx="3009900" cy="3876675"/>
            <wp:effectExtent l="0" t="0" r="0" b="9525"/>
            <wp:docPr id="327" name="图片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327"/>
                    <pic:cNvPicPr>
                      <a:picLocks noChangeAspect="1"/>
                    </pic:cNvPicPr>
                  </pic:nvPicPr>
                  <pic:blipFill>
                    <a:blip r:embed="rId610" r:link="rId611"/>
                    <a:stretch>
                      <a:fillRect/>
                    </a:stretch>
                  </pic:blipFill>
                  <pic:spPr>
                    <a:xfrm>
                      <a:off x="0" y="0"/>
                      <a:ext cx="3009900" cy="3876675"/>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运行方式：</w:t>
      </w:r>
    </w:p>
    <w:p>
      <w:pPr>
        <w:pStyle w:val="34"/>
      </w:pPr>
      <w:r>
        <w:fldChar w:fldCharType="begin"/>
      </w:r>
      <w:r>
        <w:instrText xml:space="preserve"> INCLUDEPICTURE  "https://www.tdx.com.cn/products/helpfile/tdxw/chm/%E7%AC%AC%E5%9B%9B%E7%AB%A0  %E9%80%89%E9%A1%B9/4-12/2.png" \* MERGEFORMATINET </w:instrText>
      </w:r>
      <w:r>
        <w:fldChar w:fldCharType="separate"/>
      </w:r>
      <w:r>
        <w:fldChar w:fldCharType="begin"/>
      </w:r>
      <w:r>
        <w:instrText xml:space="preserve"> INCLUDEPICTURE  "https://www.tdx.com.cn/products/helpfile/tdxw/chm/%E7%AC%AC%E5%9B%9B%E7%AB%A0  %E9%80%89%E9%A1%B9/4-12/2.png" \* MERGEFORMATINET </w:instrText>
      </w:r>
      <w:r>
        <w:fldChar w:fldCharType="separate"/>
      </w:r>
      <w:r>
        <w:fldChar w:fldCharType="begin"/>
      </w:r>
      <w:r>
        <w:instrText xml:space="preserve"> INCLUDEPICTURE  "https://www.tdx.com.cn/products/helpfile/tdxw/chm/%E7%AC%AC%E5%9B%9B%E7%AB%A0  %E9%80%89%E9%A1%B9/4-12/2.png" \* MERGEFORMATINET </w:instrText>
      </w:r>
      <w:r>
        <w:fldChar w:fldCharType="separate"/>
      </w:r>
      <w:r>
        <w:fldChar w:fldCharType="begin"/>
      </w:r>
      <w:r>
        <w:instrText xml:space="preserve"> INCLUDEPICTURE  "https://www.tdx.com.cn/products/helpfile/tdxw/chm/%E7%AC%AC%E5%9B%9B%E7%AB%A0  %E9%80%89%E9%A1%B9/4-12/2.png" \* MERGEFORMATINET </w:instrText>
      </w:r>
      <w:r>
        <w:fldChar w:fldCharType="separate"/>
      </w:r>
      <w:r>
        <w:drawing>
          <wp:inline distT="0" distB="0" distL="114300" distR="114300">
            <wp:extent cx="819150" cy="476250"/>
            <wp:effectExtent l="0" t="0" r="0" b="0"/>
            <wp:docPr id="328" name="图片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328"/>
                    <pic:cNvPicPr>
                      <a:picLocks noChangeAspect="1"/>
                    </pic:cNvPicPr>
                  </pic:nvPicPr>
                  <pic:blipFill>
                    <a:blip r:embed="rId612" r:link="rId613"/>
                    <a:stretch>
                      <a:fillRect/>
                    </a:stretch>
                  </pic:blipFill>
                  <pic:spPr>
                    <a:xfrm>
                      <a:off x="0" y="0"/>
                      <a:ext cx="819150" cy="476250"/>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点击开始计算，计算出符合自己需要的品种后，可点击存为板块。</w:t>
      </w:r>
    </w:p>
    <w:p>
      <w:pPr>
        <w:pStyle w:val="34"/>
        <w:ind w:firstLine="540"/>
        <w:rPr>
          <w:sz w:val="27"/>
          <w:szCs w:val="27"/>
        </w:rPr>
      </w:pPr>
      <w:r>
        <w:rPr>
          <w:sz w:val="27"/>
          <w:szCs w:val="27"/>
        </w:rPr>
        <w:fldChar w:fldCharType="begin"/>
      </w:r>
      <w:r>
        <w:rPr>
          <w:sz w:val="27"/>
          <w:szCs w:val="27"/>
        </w:rPr>
        <w:instrText xml:space="preserve"> INCLUDEPICTURE  "https://www.tdx.com.cn/products/helpfile/tdxw/chm/%E7%AC%AC%E5%9B%9B%E7%AB%A0  %E9%80%89%E9%A1%B9/4-12/3.png" \* MERGEFORMATINET </w:instrText>
      </w:r>
      <w:r>
        <w:rPr>
          <w:sz w:val="27"/>
          <w:szCs w:val="27"/>
        </w:rPr>
        <w:fldChar w:fldCharType="separate"/>
      </w:r>
      <w:r>
        <w:rPr>
          <w:sz w:val="27"/>
          <w:szCs w:val="27"/>
        </w:rPr>
        <w:fldChar w:fldCharType="begin"/>
      </w:r>
      <w:r>
        <w:rPr>
          <w:sz w:val="27"/>
          <w:szCs w:val="27"/>
        </w:rPr>
        <w:instrText xml:space="preserve"> INCLUDEPICTURE  "https://www.tdx.com.cn/products/helpfile/tdxw/chm/%E7%AC%AC%E5%9B%9B%E7%AB%A0  %E9%80%89%E9%A1%B9/4-12/3.png" \* MERGEFORMATINET </w:instrText>
      </w:r>
      <w:r>
        <w:rPr>
          <w:sz w:val="27"/>
          <w:szCs w:val="27"/>
        </w:rPr>
        <w:fldChar w:fldCharType="separate"/>
      </w:r>
      <w:r>
        <w:rPr>
          <w:sz w:val="27"/>
          <w:szCs w:val="27"/>
        </w:rPr>
        <w:fldChar w:fldCharType="begin"/>
      </w:r>
      <w:r>
        <w:rPr>
          <w:sz w:val="27"/>
          <w:szCs w:val="27"/>
        </w:rPr>
        <w:instrText xml:space="preserve"> INCLUDEPICTURE  "https://www.tdx.com.cn/products/helpfile/tdxw/chm/%E7%AC%AC%E5%9B%9B%E7%AB%A0  %E9%80%89%E9%A1%B9/4-12/3.png" \* MERGEFORMATINET </w:instrText>
      </w:r>
      <w:r>
        <w:rPr>
          <w:sz w:val="27"/>
          <w:szCs w:val="27"/>
        </w:rPr>
        <w:fldChar w:fldCharType="separate"/>
      </w:r>
      <w:r>
        <w:rPr>
          <w:sz w:val="27"/>
          <w:szCs w:val="27"/>
        </w:rPr>
        <w:fldChar w:fldCharType="begin"/>
      </w:r>
      <w:r>
        <w:rPr>
          <w:sz w:val="27"/>
          <w:szCs w:val="27"/>
        </w:rPr>
        <w:instrText xml:space="preserve"> INCLUDEPICTURE  "https://www.tdx.com.cn/products/helpfile/tdxw/chm/%E7%AC%AC%E5%9B%9B%E7%AB%A0  %E9%80%89%E9%A1%B9/4-12/3.png" \* MERGEFORMATINET </w:instrText>
      </w:r>
      <w:r>
        <w:rPr>
          <w:sz w:val="27"/>
          <w:szCs w:val="27"/>
        </w:rPr>
        <w:fldChar w:fldCharType="separate"/>
      </w:r>
      <w:r>
        <w:rPr>
          <w:sz w:val="27"/>
          <w:szCs w:val="27"/>
        </w:rPr>
        <w:drawing>
          <wp:inline distT="0" distB="0" distL="114300" distR="114300">
            <wp:extent cx="3009900" cy="3876675"/>
            <wp:effectExtent l="0" t="0" r="0" b="9525"/>
            <wp:docPr id="329" name="图片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329"/>
                    <pic:cNvPicPr>
                      <a:picLocks noChangeAspect="1"/>
                    </pic:cNvPicPr>
                  </pic:nvPicPr>
                  <pic:blipFill>
                    <a:blip r:embed="rId614" r:link="rId615"/>
                    <a:stretch>
                      <a:fillRect/>
                    </a:stretch>
                  </pic:blipFill>
                  <pic:spPr>
                    <a:xfrm>
                      <a:off x="0" y="0"/>
                      <a:ext cx="3009900" cy="3876675"/>
                    </a:xfrm>
                    <a:prstGeom prst="rect">
                      <a:avLst/>
                    </a:prstGeom>
                    <a:noFill/>
                    <a:ln>
                      <a:noFill/>
                    </a:ln>
                  </pic:spPr>
                </pic:pic>
              </a:graphicData>
            </a:graphic>
          </wp:inline>
        </w:drawing>
      </w:r>
      <w:r>
        <w:rPr>
          <w:sz w:val="27"/>
          <w:szCs w:val="27"/>
        </w:rPr>
        <w:fldChar w:fldCharType="end"/>
      </w:r>
      <w:r>
        <w:rPr>
          <w:sz w:val="27"/>
          <w:szCs w:val="27"/>
        </w:rPr>
        <w:fldChar w:fldCharType="end"/>
      </w:r>
      <w:r>
        <w:rPr>
          <w:sz w:val="27"/>
          <w:szCs w:val="27"/>
        </w:rPr>
        <w:fldChar w:fldCharType="end"/>
      </w:r>
      <w:r>
        <w:rPr>
          <w:sz w:val="27"/>
          <w:szCs w:val="27"/>
        </w:rPr>
        <w:fldChar w:fldCharType="end"/>
      </w:r>
    </w:p>
    <w:p>
      <w:pPr>
        <w:pStyle w:val="3"/>
      </w:pPr>
      <w:bookmarkStart w:id="53" w:name="_Toc90646172"/>
      <w:r>
        <w:rPr>
          <w:rFonts w:hint="eastAsia"/>
        </w:rPr>
        <w:t>图形标识设置</w:t>
      </w:r>
      <w:bookmarkEnd w:id="53"/>
    </w:p>
    <w:p>
      <w:pPr>
        <w:pStyle w:val="34"/>
        <w:rPr>
          <w:color w:val="000000"/>
        </w:rPr>
      </w:pPr>
      <w:r>
        <w:rPr>
          <w:rFonts w:hint="eastAsia"/>
          <w:color w:val="000000"/>
        </w:rPr>
        <w:t>图形标识设置调出方式：选项——“图形标识设置”或者在分析界面的右上角那个菱形图标 </w:t>
      </w:r>
      <w:r>
        <w:fldChar w:fldCharType="begin"/>
      </w:r>
      <w:r>
        <w:instrText xml:space="preserve"> HYPERLINK "http://www.tdx.com.cn/" </w:instrText>
      </w:r>
      <w:r>
        <w:fldChar w:fldCharType="separate"/>
      </w:r>
      <w:r>
        <w:fldChar w:fldCharType="begin"/>
      </w:r>
      <w:r>
        <w:instrText xml:space="preserve"> INCLUDEPICTURE  "https://www.tdx.com.cn/products/helpfile/tdxw/chm/%E7%AC%AC%E5%9B%9B%E7%AB%A0  %E9%80%89%E9%A1%B9/4-13/1.png" \* MERGEFORMATINET </w:instrText>
      </w:r>
      <w:r>
        <w:fldChar w:fldCharType="separate"/>
      </w:r>
      <w:r>
        <w:fldChar w:fldCharType="begin"/>
      </w:r>
      <w:r>
        <w:instrText xml:space="preserve"> INCLUDEPICTURE  "https://www.tdx.com.cn/products/helpfile/tdxw/chm/%E7%AC%AC%E5%9B%9B%E7%AB%A0  %E9%80%89%E9%A1%B9/4-13/1.png" \* MERGEFORMATINET </w:instrText>
      </w:r>
      <w:r>
        <w:fldChar w:fldCharType="separate"/>
      </w:r>
      <w:r>
        <w:fldChar w:fldCharType="begin"/>
      </w:r>
      <w:r>
        <w:instrText xml:space="preserve"> INCLUDEPICTURE  "https://www.tdx.com.cn/products/helpfile/tdxw/chm/%E7%AC%AC%E5%9B%9B%E7%AB%A0  %E9%80%89%E9%A1%B9/4-13/1.png" \* MERGEFORMATINET </w:instrText>
      </w:r>
      <w:r>
        <w:fldChar w:fldCharType="separate"/>
      </w:r>
      <w:r>
        <w:fldChar w:fldCharType="begin"/>
      </w:r>
      <w:r>
        <w:instrText xml:space="preserve"> INCLUDEPICTURE  "https://www.tdx.com.cn/products/helpfile/tdxw/chm/%E7%AC%AC%E5%9B%9B%E7%AB%A0  %E9%80%89%E9%A1%B9/4-13/1.png" \* MERGEFORMATINET </w:instrText>
      </w:r>
      <w:r>
        <w:fldChar w:fldCharType="separate"/>
      </w:r>
      <w:r>
        <w:drawing>
          <wp:inline distT="0" distB="0" distL="114300" distR="114300">
            <wp:extent cx="438150" cy="219075"/>
            <wp:effectExtent l="0" t="0" r="0" b="9525"/>
            <wp:docPr id="330" name="图片 330" descr="通达信网站">
              <a:hlinkClick xmlns:a="http://schemas.openxmlformats.org/drawingml/2006/main" r:id="rId6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330" descr="通达信网站"/>
                    <pic:cNvPicPr>
                      <a:picLocks noChangeAspect="1"/>
                    </pic:cNvPicPr>
                  </pic:nvPicPr>
                  <pic:blipFill>
                    <a:blip r:embed="rId617" r:link="rId618"/>
                    <a:stretch>
                      <a:fillRect/>
                    </a:stretch>
                  </pic:blipFill>
                  <pic:spPr>
                    <a:xfrm>
                      <a:off x="0" y="0"/>
                      <a:ext cx="438150" cy="219075"/>
                    </a:xfrm>
                    <a:prstGeom prst="rect">
                      <a:avLst/>
                    </a:prstGeom>
                    <a:noFill/>
                    <a:ln>
                      <a:noFill/>
                    </a:ln>
                  </pic:spPr>
                </pic:pic>
              </a:graphicData>
            </a:graphic>
          </wp:inline>
        </w:drawing>
      </w:r>
      <w:r>
        <w:fldChar w:fldCharType="end"/>
      </w:r>
      <w:r>
        <w:fldChar w:fldCharType="end"/>
      </w:r>
      <w:r>
        <w:fldChar w:fldCharType="end"/>
      </w:r>
      <w:r>
        <w:fldChar w:fldCharType="end"/>
      </w:r>
      <w:r>
        <w:fldChar w:fldCharType="end"/>
      </w:r>
      <w:r>
        <w:rPr>
          <w:rFonts w:hint="eastAsia"/>
          <w:color w:val="000000"/>
        </w:rPr>
        <w:t>。 </w:t>
      </w:r>
    </w:p>
    <w:p>
      <w:pPr>
        <w:pStyle w:val="34"/>
        <w:rPr>
          <w:color w:val="000000"/>
        </w:rPr>
      </w:pPr>
      <w:r>
        <w:rPr>
          <w:rFonts w:hint="eastAsia"/>
          <w:color w:val="000000"/>
        </w:rPr>
        <w:t>图形标识设置是为了方便个别的用户的使用特点，有的如果不想在行情界面看到历史信息地雷的情况就可以不需要此图形标识显示出来了。</w:t>
      </w:r>
    </w:p>
    <w:p>
      <w:pPr>
        <w:pStyle w:val="34"/>
        <w:rPr>
          <w:color w:val="000000"/>
        </w:rPr>
      </w:pPr>
      <w:r>
        <w:rPr>
          <w:rFonts w:hint="eastAsia"/>
          <w:color w:val="000000"/>
        </w:rPr>
        <w:t>其他的标识也是一样，根据自己的需要显隐！</w:t>
      </w:r>
    </w:p>
    <w:p>
      <w:pPr>
        <w:pStyle w:val="34"/>
        <w:rPr>
          <w:color w:val="000000"/>
        </w:rPr>
      </w:pPr>
      <w:r>
        <w:drawing>
          <wp:inline distT="0" distB="0" distL="114300" distR="114300">
            <wp:extent cx="2314575" cy="3086100"/>
            <wp:effectExtent l="0" t="0" r="9525" b="0"/>
            <wp:docPr id="331" name="图片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331"/>
                    <pic:cNvPicPr>
                      <a:picLocks noChangeAspect="1"/>
                    </pic:cNvPicPr>
                  </pic:nvPicPr>
                  <pic:blipFill>
                    <a:blip r:embed="rId619"/>
                    <a:stretch>
                      <a:fillRect/>
                    </a:stretch>
                  </pic:blipFill>
                  <pic:spPr>
                    <a:xfrm>
                      <a:off x="0" y="0"/>
                      <a:ext cx="2314575" cy="3086100"/>
                    </a:xfrm>
                    <a:prstGeom prst="rect">
                      <a:avLst/>
                    </a:prstGeom>
                    <a:noFill/>
                    <a:ln>
                      <a:noFill/>
                    </a:ln>
                  </pic:spPr>
                </pic:pic>
              </a:graphicData>
            </a:graphic>
          </wp:inline>
        </w:drawing>
      </w:r>
    </w:p>
    <w:p>
      <w:pPr>
        <w:pStyle w:val="34"/>
        <w:rPr>
          <w:szCs w:val="18"/>
        </w:rPr>
      </w:pPr>
      <w:r>
        <w:rPr>
          <w:rStyle w:val="51"/>
          <w:rFonts w:hint="eastAsia"/>
          <w:szCs w:val="18"/>
        </w:rPr>
        <w:t>分析图的信息地雷标识：分析图中最上方的小的粉紫的小星号 </w:t>
      </w:r>
      <w:r>
        <w:fldChar w:fldCharType="begin"/>
      </w:r>
      <w:r>
        <w:instrText xml:space="preserve"> HYPERLINK "http://www.tdx.com.cn/" </w:instrText>
      </w:r>
      <w:r>
        <w:fldChar w:fldCharType="separate"/>
      </w:r>
      <w:r>
        <w:rPr>
          <w:szCs w:val="18"/>
        </w:rPr>
        <w:fldChar w:fldCharType="begin"/>
      </w:r>
      <w:r>
        <w:rPr>
          <w:szCs w:val="18"/>
        </w:rPr>
        <w:instrText xml:space="preserve"> INCLUDEPICTURE  "https://www.tdx.com.cn/products/helpfile/tdxw/chm/%E7%AC%AC%E5%9B%9B%E7%AB%A0  %E9%80%89%E9%A1%B9/4-13/3.png" \* MERGEFORMATINET </w:instrText>
      </w:r>
      <w:r>
        <w:rPr>
          <w:szCs w:val="18"/>
        </w:rPr>
        <w:fldChar w:fldCharType="separate"/>
      </w:r>
      <w:r>
        <w:rPr>
          <w:szCs w:val="18"/>
        </w:rPr>
        <w:fldChar w:fldCharType="begin"/>
      </w:r>
      <w:r>
        <w:rPr>
          <w:szCs w:val="18"/>
        </w:rPr>
        <w:instrText xml:space="preserve"> INCLUDEPICTURE  "https://www.tdx.com.cn/products/helpfile/tdxw/chm/%E7%AC%AC%E5%9B%9B%E7%AB%A0  %E9%80%89%E9%A1%B9/4-13/3.png" \* MERGEFORMATINET </w:instrText>
      </w:r>
      <w:r>
        <w:rPr>
          <w:szCs w:val="18"/>
        </w:rPr>
        <w:fldChar w:fldCharType="separate"/>
      </w:r>
      <w:r>
        <w:rPr>
          <w:szCs w:val="18"/>
        </w:rPr>
        <w:fldChar w:fldCharType="begin"/>
      </w:r>
      <w:r>
        <w:rPr>
          <w:szCs w:val="18"/>
        </w:rPr>
        <w:instrText xml:space="preserve"> INCLUDEPICTURE  "https://www.tdx.com.cn/products/helpfile/tdxw/chm/%E7%AC%AC%E5%9B%9B%E7%AB%A0  %E9%80%89%E9%A1%B9/4-13/3.png" \* MERGEFORMATINET </w:instrText>
      </w:r>
      <w:r>
        <w:rPr>
          <w:szCs w:val="18"/>
        </w:rPr>
        <w:fldChar w:fldCharType="separate"/>
      </w:r>
      <w:r>
        <w:rPr>
          <w:szCs w:val="18"/>
        </w:rPr>
        <w:fldChar w:fldCharType="begin"/>
      </w:r>
      <w:r>
        <w:rPr>
          <w:szCs w:val="18"/>
        </w:rPr>
        <w:instrText xml:space="preserve"> INCLUDEPICTURE  "https://www.tdx.com.cn/products/helpfile/tdxw/chm/%E7%AC%AC%E5%9B%9B%E7%AB%A0  %E9%80%89%E9%A1%B9/4-13/3.png" \* MERGEFORMATINET </w:instrText>
      </w:r>
      <w:r>
        <w:rPr>
          <w:szCs w:val="18"/>
        </w:rPr>
        <w:fldChar w:fldCharType="separate"/>
      </w:r>
      <w:r>
        <w:rPr>
          <w:szCs w:val="18"/>
        </w:rPr>
        <w:drawing>
          <wp:inline distT="0" distB="0" distL="114300" distR="114300">
            <wp:extent cx="209550" cy="114300"/>
            <wp:effectExtent l="0" t="0" r="0" b="0"/>
            <wp:docPr id="332" name="图片 332" descr="通达信网站">
              <a:hlinkClick xmlns:a="http://schemas.openxmlformats.org/drawingml/2006/main" r:id="rId6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图片 332" descr="通达信网站"/>
                    <pic:cNvPicPr>
                      <a:picLocks noChangeAspect="1"/>
                    </pic:cNvPicPr>
                  </pic:nvPicPr>
                  <pic:blipFill>
                    <a:blip r:embed="rId620" r:link="rId621"/>
                    <a:stretch>
                      <a:fillRect/>
                    </a:stretch>
                  </pic:blipFill>
                  <pic:spPr>
                    <a:xfrm>
                      <a:off x="0" y="0"/>
                      <a:ext cx="209550" cy="114300"/>
                    </a:xfrm>
                    <a:prstGeom prst="rect">
                      <a:avLst/>
                    </a:prstGeom>
                    <a:noFill/>
                    <a:ln>
                      <a:noFill/>
                    </a:ln>
                  </pic:spPr>
                </pic:pic>
              </a:graphicData>
            </a:graphic>
          </wp:inline>
        </w:drawing>
      </w:r>
      <w:r>
        <w:rPr>
          <w:szCs w:val="18"/>
        </w:rPr>
        <w:fldChar w:fldCharType="end"/>
      </w:r>
      <w:r>
        <w:rPr>
          <w:szCs w:val="18"/>
        </w:rPr>
        <w:fldChar w:fldCharType="end"/>
      </w:r>
      <w:r>
        <w:rPr>
          <w:szCs w:val="18"/>
        </w:rPr>
        <w:fldChar w:fldCharType="end"/>
      </w:r>
      <w:r>
        <w:rPr>
          <w:szCs w:val="18"/>
        </w:rPr>
        <w:fldChar w:fldCharType="end"/>
      </w:r>
      <w:r>
        <w:rPr>
          <w:szCs w:val="18"/>
        </w:rPr>
        <w:fldChar w:fldCharType="end"/>
      </w:r>
      <w:r>
        <w:rPr>
          <w:rStyle w:val="51"/>
          <w:rFonts w:hint="eastAsia"/>
          <w:szCs w:val="18"/>
        </w:rPr>
        <w:t>。 </w:t>
      </w:r>
    </w:p>
    <w:p>
      <w:pPr>
        <w:pStyle w:val="34"/>
        <w:rPr>
          <w:szCs w:val="18"/>
        </w:rPr>
      </w:pPr>
      <w:r>
        <w:rPr>
          <w:rStyle w:val="51"/>
          <w:rFonts w:hint="eastAsia"/>
          <w:szCs w:val="18"/>
        </w:rPr>
        <w:t>分时图的信息地雷标识：分时图的最上方的小的粉紫的小星号 </w:t>
      </w:r>
      <w:r>
        <w:fldChar w:fldCharType="begin"/>
      </w:r>
      <w:r>
        <w:instrText xml:space="preserve"> HYPERLINK "http://www.tdx.com.cn/" </w:instrText>
      </w:r>
      <w:r>
        <w:fldChar w:fldCharType="separate"/>
      </w:r>
      <w:r>
        <w:rPr>
          <w:szCs w:val="18"/>
        </w:rPr>
        <w:fldChar w:fldCharType="begin"/>
      </w:r>
      <w:r>
        <w:rPr>
          <w:szCs w:val="18"/>
        </w:rPr>
        <w:instrText xml:space="preserve"> INCLUDEPICTURE  "https://www.tdx.com.cn/products/helpfile/tdxw/chm/%E7%AC%AC%E5%9B%9B%E7%AB%A0  %E9%80%89%E9%A1%B9/4-13/4.png" \* MERGEFORMATINET </w:instrText>
      </w:r>
      <w:r>
        <w:rPr>
          <w:szCs w:val="18"/>
        </w:rPr>
        <w:fldChar w:fldCharType="separate"/>
      </w:r>
      <w:r>
        <w:rPr>
          <w:szCs w:val="18"/>
        </w:rPr>
        <w:fldChar w:fldCharType="begin"/>
      </w:r>
      <w:r>
        <w:rPr>
          <w:szCs w:val="18"/>
        </w:rPr>
        <w:instrText xml:space="preserve"> INCLUDEPICTURE  "https://www.tdx.com.cn/products/helpfile/tdxw/chm/%E7%AC%AC%E5%9B%9B%E7%AB%A0  %E9%80%89%E9%A1%B9/4-13/4.png" \* MERGEFORMATINET </w:instrText>
      </w:r>
      <w:r>
        <w:rPr>
          <w:szCs w:val="18"/>
        </w:rPr>
        <w:fldChar w:fldCharType="separate"/>
      </w:r>
      <w:r>
        <w:rPr>
          <w:szCs w:val="18"/>
        </w:rPr>
        <w:fldChar w:fldCharType="begin"/>
      </w:r>
      <w:r>
        <w:rPr>
          <w:szCs w:val="18"/>
        </w:rPr>
        <w:instrText xml:space="preserve"> INCLUDEPICTURE  "https://www.tdx.com.cn/products/helpfile/tdxw/chm/%E7%AC%AC%E5%9B%9B%E7%AB%A0  %E9%80%89%E9%A1%B9/4-13/4.png" \* MERGEFORMATINET </w:instrText>
      </w:r>
      <w:r>
        <w:rPr>
          <w:szCs w:val="18"/>
        </w:rPr>
        <w:fldChar w:fldCharType="separate"/>
      </w:r>
      <w:r>
        <w:rPr>
          <w:szCs w:val="18"/>
        </w:rPr>
        <w:fldChar w:fldCharType="begin"/>
      </w:r>
      <w:r>
        <w:rPr>
          <w:szCs w:val="18"/>
        </w:rPr>
        <w:instrText xml:space="preserve"> INCLUDEPICTURE  "https://www.tdx.com.cn/products/helpfile/tdxw/chm/%E7%AC%AC%E5%9B%9B%E7%AB%A0  %E9%80%89%E9%A1%B9/4-13/4.png" \* MERGEFORMATINET </w:instrText>
      </w:r>
      <w:r>
        <w:rPr>
          <w:szCs w:val="18"/>
        </w:rPr>
        <w:fldChar w:fldCharType="separate"/>
      </w:r>
      <w:r>
        <w:rPr>
          <w:szCs w:val="18"/>
        </w:rPr>
        <w:drawing>
          <wp:inline distT="0" distB="0" distL="114300" distR="114300">
            <wp:extent cx="419100" cy="161925"/>
            <wp:effectExtent l="0" t="0" r="0" b="9525"/>
            <wp:docPr id="333" name="图片 333" descr="通达信网站">
              <a:hlinkClick xmlns:a="http://schemas.openxmlformats.org/drawingml/2006/main" r:id="rId6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333" descr="通达信网站"/>
                    <pic:cNvPicPr>
                      <a:picLocks noChangeAspect="1"/>
                    </pic:cNvPicPr>
                  </pic:nvPicPr>
                  <pic:blipFill>
                    <a:blip r:embed="rId622" r:link="rId623"/>
                    <a:stretch>
                      <a:fillRect/>
                    </a:stretch>
                  </pic:blipFill>
                  <pic:spPr>
                    <a:xfrm>
                      <a:off x="0" y="0"/>
                      <a:ext cx="419100" cy="161925"/>
                    </a:xfrm>
                    <a:prstGeom prst="rect">
                      <a:avLst/>
                    </a:prstGeom>
                    <a:noFill/>
                    <a:ln>
                      <a:noFill/>
                    </a:ln>
                  </pic:spPr>
                </pic:pic>
              </a:graphicData>
            </a:graphic>
          </wp:inline>
        </w:drawing>
      </w:r>
      <w:r>
        <w:rPr>
          <w:szCs w:val="18"/>
        </w:rPr>
        <w:fldChar w:fldCharType="end"/>
      </w:r>
      <w:r>
        <w:rPr>
          <w:szCs w:val="18"/>
        </w:rPr>
        <w:fldChar w:fldCharType="end"/>
      </w:r>
      <w:r>
        <w:rPr>
          <w:szCs w:val="18"/>
        </w:rPr>
        <w:fldChar w:fldCharType="end"/>
      </w:r>
      <w:r>
        <w:rPr>
          <w:szCs w:val="18"/>
        </w:rPr>
        <w:fldChar w:fldCharType="end"/>
      </w:r>
      <w:r>
        <w:rPr>
          <w:szCs w:val="18"/>
        </w:rPr>
        <w:fldChar w:fldCharType="end"/>
      </w:r>
      <w:r>
        <w:rPr>
          <w:rStyle w:val="51"/>
          <w:rFonts w:hint="eastAsia"/>
          <w:szCs w:val="18"/>
        </w:rPr>
        <w:t>。和分析图中的一样。 </w:t>
      </w:r>
    </w:p>
    <w:p>
      <w:pPr>
        <w:pStyle w:val="34"/>
        <w:rPr>
          <w:szCs w:val="18"/>
        </w:rPr>
      </w:pPr>
      <w:r>
        <w:rPr>
          <w:rStyle w:val="51"/>
          <w:rFonts w:hint="eastAsia"/>
          <w:szCs w:val="18"/>
        </w:rPr>
        <w:t>行情表的信息地雷标识：报价的证券代码后面的小的粉紫的小星号 </w:t>
      </w:r>
      <w:r>
        <w:fldChar w:fldCharType="begin"/>
      </w:r>
      <w:r>
        <w:instrText xml:space="preserve"> HYPERLINK "http://www.tdx.com.cn/" </w:instrText>
      </w:r>
      <w:r>
        <w:fldChar w:fldCharType="separate"/>
      </w:r>
      <w:r>
        <w:rPr>
          <w:szCs w:val="18"/>
        </w:rPr>
        <w:fldChar w:fldCharType="begin"/>
      </w:r>
      <w:r>
        <w:rPr>
          <w:szCs w:val="18"/>
        </w:rPr>
        <w:instrText xml:space="preserve"> INCLUDEPICTURE  "https://www.tdx.com.cn/products/helpfile/tdxw/chm/%E7%AC%AC%E5%9B%9B%E7%AB%A0  %E9%80%89%E9%A1%B9/4-13/5.png" \* MERGEFORMATINET </w:instrText>
      </w:r>
      <w:r>
        <w:rPr>
          <w:szCs w:val="18"/>
        </w:rPr>
        <w:fldChar w:fldCharType="separate"/>
      </w:r>
      <w:r>
        <w:rPr>
          <w:szCs w:val="18"/>
        </w:rPr>
        <w:fldChar w:fldCharType="begin"/>
      </w:r>
      <w:r>
        <w:rPr>
          <w:szCs w:val="18"/>
        </w:rPr>
        <w:instrText xml:space="preserve"> INCLUDEPICTURE  "https://www.tdx.com.cn/products/helpfile/tdxw/chm/%E7%AC%AC%E5%9B%9B%E7%AB%A0  %E9%80%89%E9%A1%B9/4-13/5.png" \* MERGEFORMATINET </w:instrText>
      </w:r>
      <w:r>
        <w:rPr>
          <w:szCs w:val="18"/>
        </w:rPr>
        <w:fldChar w:fldCharType="separate"/>
      </w:r>
      <w:r>
        <w:rPr>
          <w:szCs w:val="18"/>
        </w:rPr>
        <w:fldChar w:fldCharType="begin"/>
      </w:r>
      <w:r>
        <w:rPr>
          <w:szCs w:val="18"/>
        </w:rPr>
        <w:instrText xml:space="preserve"> INCLUDEPICTURE  "https://www.tdx.com.cn/products/helpfile/tdxw/chm/%E7%AC%AC%E5%9B%9B%E7%AB%A0  %E9%80%89%E9%A1%B9/4-13/5.png" \* MERGEFORMATINET </w:instrText>
      </w:r>
      <w:r>
        <w:rPr>
          <w:szCs w:val="18"/>
        </w:rPr>
        <w:fldChar w:fldCharType="separate"/>
      </w:r>
      <w:r>
        <w:rPr>
          <w:szCs w:val="18"/>
        </w:rPr>
        <w:fldChar w:fldCharType="begin"/>
      </w:r>
      <w:r>
        <w:rPr>
          <w:szCs w:val="18"/>
        </w:rPr>
        <w:instrText xml:space="preserve"> INCLUDEPICTURE  "https://www.tdx.com.cn/products/helpfile/tdxw/chm/%E7%AC%AC%E5%9B%9B%E7%AB%A0  %E9%80%89%E9%A1%B9/4-13/5.png" \* MERGEFORMATINET </w:instrText>
      </w:r>
      <w:r>
        <w:rPr>
          <w:szCs w:val="18"/>
        </w:rPr>
        <w:fldChar w:fldCharType="separate"/>
      </w:r>
      <w:r>
        <w:rPr>
          <w:szCs w:val="18"/>
        </w:rPr>
        <w:drawing>
          <wp:inline distT="0" distB="0" distL="114300" distR="114300">
            <wp:extent cx="238125" cy="180975"/>
            <wp:effectExtent l="0" t="0" r="9525" b="9525"/>
            <wp:docPr id="334" name="图片 334" descr="通达信网站">
              <a:hlinkClick xmlns:a="http://schemas.openxmlformats.org/drawingml/2006/main" r:id="rId6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334" descr="通达信网站"/>
                    <pic:cNvPicPr>
                      <a:picLocks noChangeAspect="1"/>
                    </pic:cNvPicPr>
                  </pic:nvPicPr>
                  <pic:blipFill>
                    <a:blip r:embed="rId624" r:link="rId625"/>
                    <a:stretch>
                      <a:fillRect/>
                    </a:stretch>
                  </pic:blipFill>
                  <pic:spPr>
                    <a:xfrm>
                      <a:off x="0" y="0"/>
                      <a:ext cx="238125" cy="180975"/>
                    </a:xfrm>
                    <a:prstGeom prst="rect">
                      <a:avLst/>
                    </a:prstGeom>
                    <a:noFill/>
                    <a:ln>
                      <a:noFill/>
                    </a:ln>
                  </pic:spPr>
                </pic:pic>
              </a:graphicData>
            </a:graphic>
          </wp:inline>
        </w:drawing>
      </w:r>
      <w:r>
        <w:rPr>
          <w:szCs w:val="18"/>
        </w:rPr>
        <w:fldChar w:fldCharType="end"/>
      </w:r>
      <w:r>
        <w:rPr>
          <w:szCs w:val="18"/>
        </w:rPr>
        <w:fldChar w:fldCharType="end"/>
      </w:r>
      <w:r>
        <w:rPr>
          <w:szCs w:val="18"/>
        </w:rPr>
        <w:fldChar w:fldCharType="end"/>
      </w:r>
      <w:r>
        <w:rPr>
          <w:szCs w:val="18"/>
        </w:rPr>
        <w:fldChar w:fldCharType="end"/>
      </w:r>
      <w:r>
        <w:rPr>
          <w:szCs w:val="18"/>
        </w:rPr>
        <w:fldChar w:fldCharType="end"/>
      </w:r>
      <w:r>
        <w:rPr>
          <w:rStyle w:val="51"/>
          <w:rFonts w:hint="eastAsia"/>
          <w:szCs w:val="18"/>
        </w:rPr>
        <w:t>。和分析图中的一样。</w:t>
      </w:r>
    </w:p>
    <w:p>
      <w:pPr>
        <w:pStyle w:val="34"/>
        <w:rPr>
          <w:color w:val="000000"/>
        </w:rPr>
      </w:pPr>
      <w:r>
        <w:rPr>
          <w:rFonts w:hint="eastAsia"/>
          <w:color w:val="000000"/>
        </w:rPr>
        <w:t>行情表的融资融券和次新股标识：行情报价证券代码后面有个“R”标识</w:t>
      </w:r>
      <w:r>
        <w:rPr>
          <w:color w:val="000000"/>
        </w:rPr>
        <w:fldChar w:fldCharType="begin"/>
      </w:r>
      <w:r>
        <w:rPr>
          <w:color w:val="000000"/>
        </w:rPr>
        <w:instrText xml:space="preserve"> INCLUDEPICTURE  "https://www.tdx.com.cn/products/helpfile/tdxw/chm/%E7%AC%AC%E5%9B%9B%E7%AB%A0  %E9%80%89%E9%A1%B9/4-13/4.5.png" \* MERGEFORMATINET </w:instrText>
      </w:r>
      <w:r>
        <w:rPr>
          <w:color w:val="000000"/>
        </w:rPr>
        <w:fldChar w:fldCharType="separate"/>
      </w:r>
      <w:r>
        <w:rPr>
          <w:color w:val="000000"/>
        </w:rPr>
        <w:fldChar w:fldCharType="begin"/>
      </w:r>
      <w:r>
        <w:rPr>
          <w:color w:val="000000"/>
        </w:rPr>
        <w:instrText xml:space="preserve"> INCLUDEPICTURE  "https://www.tdx.com.cn/products/helpfile/tdxw/chm/%E7%AC%AC%E5%9B%9B%E7%AB%A0  %E9%80%89%E9%A1%B9/4-13/4.5.png" \* MERGEFORMATINET </w:instrText>
      </w:r>
      <w:r>
        <w:rPr>
          <w:color w:val="000000"/>
        </w:rPr>
        <w:fldChar w:fldCharType="separate"/>
      </w:r>
      <w:r>
        <w:rPr>
          <w:color w:val="000000"/>
        </w:rPr>
        <w:fldChar w:fldCharType="begin"/>
      </w:r>
      <w:r>
        <w:rPr>
          <w:color w:val="000000"/>
        </w:rPr>
        <w:instrText xml:space="preserve"> INCLUDEPICTURE  "https://www.tdx.com.cn/products/helpfile/tdxw/chm/%E7%AC%AC%E5%9B%9B%E7%AB%A0  %E9%80%89%E9%A1%B9/4-13/4.5.png" \* MERGEFORMATINET </w:instrText>
      </w:r>
      <w:r>
        <w:rPr>
          <w:color w:val="000000"/>
        </w:rPr>
        <w:fldChar w:fldCharType="separate"/>
      </w:r>
      <w:r>
        <w:rPr>
          <w:color w:val="000000"/>
        </w:rPr>
        <w:fldChar w:fldCharType="begin"/>
      </w:r>
      <w:r>
        <w:rPr>
          <w:color w:val="000000"/>
        </w:rPr>
        <w:instrText xml:space="preserve"> INCLUDEPICTURE  "https://www.tdx.com.cn/products/helpfile/tdxw/chm/%E7%AC%AC%E5%9B%9B%E7%AB%A0  %E9%80%89%E9%A1%B9/4-13/4.5.png" \* MERGEFORMATINET </w:instrText>
      </w:r>
      <w:r>
        <w:rPr>
          <w:color w:val="000000"/>
        </w:rPr>
        <w:fldChar w:fldCharType="separate"/>
      </w:r>
      <w:r>
        <w:rPr>
          <w:color w:val="000000"/>
        </w:rPr>
        <w:drawing>
          <wp:inline distT="0" distB="0" distL="114300" distR="114300">
            <wp:extent cx="1038225" cy="295275"/>
            <wp:effectExtent l="0" t="0" r="9525" b="9525"/>
            <wp:docPr id="335" name="图片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335"/>
                    <pic:cNvPicPr>
                      <a:picLocks noChangeAspect="1"/>
                    </pic:cNvPicPr>
                  </pic:nvPicPr>
                  <pic:blipFill>
                    <a:blip r:embed="rId626" r:link="rId627"/>
                    <a:stretch>
                      <a:fillRect/>
                    </a:stretch>
                  </pic:blipFill>
                  <pic:spPr>
                    <a:xfrm>
                      <a:off x="0" y="0"/>
                      <a:ext cx="1038225" cy="295275"/>
                    </a:xfrm>
                    <a:prstGeom prst="rect">
                      <a:avLst/>
                    </a:prstGeom>
                    <a:noFill/>
                    <a:ln>
                      <a:noFill/>
                    </a:ln>
                  </pic:spPr>
                </pic:pic>
              </a:graphicData>
            </a:graphic>
          </wp:inline>
        </w:drawing>
      </w:r>
      <w:r>
        <w:rPr>
          <w:color w:val="000000"/>
        </w:rPr>
        <w:fldChar w:fldCharType="end"/>
      </w:r>
      <w:r>
        <w:rPr>
          <w:color w:val="000000"/>
        </w:rPr>
        <w:fldChar w:fldCharType="end"/>
      </w:r>
      <w:r>
        <w:rPr>
          <w:color w:val="000000"/>
        </w:rPr>
        <w:fldChar w:fldCharType="end"/>
      </w:r>
      <w:r>
        <w:rPr>
          <w:color w:val="000000"/>
        </w:rPr>
        <w:fldChar w:fldCharType="end"/>
      </w:r>
      <w:r>
        <w:rPr>
          <w:rFonts w:hint="eastAsia"/>
          <w:color w:val="000000"/>
        </w:rPr>
        <w:t>。灰N</w:t>
      </w:r>
      <w:r>
        <w:rPr>
          <w:color w:val="000000"/>
        </w:rPr>
        <w:fldChar w:fldCharType="begin"/>
      </w:r>
      <w:r>
        <w:rPr>
          <w:color w:val="000000"/>
        </w:rPr>
        <w:instrText xml:space="preserve"> INCLUDEPICTURE  "https://www.tdx.com.cn/products/helpfile/tdxw/chm/%E7%AC%AC%E5%9B%9B%E7%AB%A0  %E9%80%89%E9%A1%B9/4-13/4.7.png" \* MERGEFORMATINET </w:instrText>
      </w:r>
      <w:r>
        <w:rPr>
          <w:color w:val="000000"/>
        </w:rPr>
        <w:fldChar w:fldCharType="separate"/>
      </w:r>
      <w:r>
        <w:rPr>
          <w:color w:val="000000"/>
        </w:rPr>
        <w:fldChar w:fldCharType="begin"/>
      </w:r>
      <w:r>
        <w:rPr>
          <w:color w:val="000000"/>
        </w:rPr>
        <w:instrText xml:space="preserve"> INCLUDEPICTURE  "https://www.tdx.com.cn/products/helpfile/tdxw/chm/%E7%AC%AC%E5%9B%9B%E7%AB%A0  %E9%80%89%E9%A1%B9/4-13/4.7.png" \* MERGEFORMATINET </w:instrText>
      </w:r>
      <w:r>
        <w:rPr>
          <w:color w:val="000000"/>
        </w:rPr>
        <w:fldChar w:fldCharType="separate"/>
      </w:r>
      <w:r>
        <w:rPr>
          <w:color w:val="000000"/>
        </w:rPr>
        <w:fldChar w:fldCharType="begin"/>
      </w:r>
      <w:r>
        <w:rPr>
          <w:color w:val="000000"/>
        </w:rPr>
        <w:instrText xml:space="preserve"> INCLUDEPICTURE  "https://www.tdx.com.cn/products/helpfile/tdxw/chm/%E7%AC%AC%E5%9B%9B%E7%AB%A0  %E9%80%89%E9%A1%B9/4-13/4.7.png" \* MERGEFORMATINET </w:instrText>
      </w:r>
      <w:r>
        <w:rPr>
          <w:color w:val="000000"/>
        </w:rPr>
        <w:fldChar w:fldCharType="separate"/>
      </w:r>
      <w:r>
        <w:rPr>
          <w:color w:val="000000"/>
        </w:rPr>
        <w:fldChar w:fldCharType="begin"/>
      </w:r>
      <w:r>
        <w:rPr>
          <w:color w:val="000000"/>
        </w:rPr>
        <w:instrText xml:space="preserve"> INCLUDEPICTURE  "https://www.tdx.com.cn/products/helpfile/tdxw/chm/%E7%AC%AC%E5%9B%9B%E7%AB%A0  %E9%80%89%E9%A1%B9/4-13/4.7.png" \* MERGEFORMATINET </w:instrText>
      </w:r>
      <w:r>
        <w:rPr>
          <w:color w:val="000000"/>
        </w:rPr>
        <w:fldChar w:fldCharType="separate"/>
      </w:r>
      <w:r>
        <w:rPr>
          <w:color w:val="000000"/>
        </w:rPr>
        <w:drawing>
          <wp:inline distT="0" distB="0" distL="114300" distR="114300">
            <wp:extent cx="428625" cy="304800"/>
            <wp:effectExtent l="0" t="0" r="9525" b="0"/>
            <wp:docPr id="336" name="图片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图片 336"/>
                    <pic:cNvPicPr>
                      <a:picLocks noChangeAspect="1"/>
                    </pic:cNvPicPr>
                  </pic:nvPicPr>
                  <pic:blipFill>
                    <a:blip r:embed="rId628" r:link="rId629"/>
                    <a:stretch>
                      <a:fillRect/>
                    </a:stretch>
                  </pic:blipFill>
                  <pic:spPr>
                    <a:xfrm>
                      <a:off x="0" y="0"/>
                      <a:ext cx="428625" cy="304800"/>
                    </a:xfrm>
                    <a:prstGeom prst="rect">
                      <a:avLst/>
                    </a:prstGeom>
                    <a:noFill/>
                    <a:ln>
                      <a:noFill/>
                    </a:ln>
                  </pic:spPr>
                </pic:pic>
              </a:graphicData>
            </a:graphic>
          </wp:inline>
        </w:drawing>
      </w:r>
      <w:r>
        <w:rPr>
          <w:color w:val="000000"/>
        </w:rPr>
        <w:fldChar w:fldCharType="end"/>
      </w:r>
      <w:r>
        <w:rPr>
          <w:color w:val="000000"/>
        </w:rPr>
        <w:fldChar w:fldCharType="end"/>
      </w:r>
      <w:r>
        <w:rPr>
          <w:color w:val="000000"/>
        </w:rPr>
        <w:fldChar w:fldCharType="end"/>
      </w:r>
      <w:r>
        <w:rPr>
          <w:color w:val="000000"/>
        </w:rPr>
        <w:fldChar w:fldCharType="end"/>
      </w:r>
      <w:r>
        <w:rPr>
          <w:rFonts w:hint="eastAsia"/>
          <w:color w:val="000000"/>
        </w:rPr>
        <w:t>：未开板新股；</w:t>
      </w:r>
    </w:p>
    <w:p>
      <w:pPr>
        <w:pStyle w:val="34"/>
        <w:rPr>
          <w:color w:val="000000"/>
        </w:rPr>
      </w:pPr>
      <w:r>
        <w:rPr>
          <w:rFonts w:hint="eastAsia"/>
          <w:color w:val="000000"/>
        </w:rPr>
        <w:t>黄N</w:t>
      </w:r>
      <w:r>
        <w:rPr>
          <w:color w:val="000000"/>
        </w:rPr>
        <w:fldChar w:fldCharType="begin"/>
      </w:r>
      <w:r>
        <w:rPr>
          <w:color w:val="000000"/>
        </w:rPr>
        <w:instrText xml:space="preserve"> INCLUDEPICTURE  "https://www.tdx.com.cn/products/helpfile/tdxw/chm/%E7%AC%AC%E5%9B%9B%E7%AB%A0  %E9%80%89%E9%A1%B9/4-13/4.6.png" \* MERGEFORMATINET </w:instrText>
      </w:r>
      <w:r>
        <w:rPr>
          <w:color w:val="000000"/>
        </w:rPr>
        <w:fldChar w:fldCharType="separate"/>
      </w:r>
      <w:r>
        <w:rPr>
          <w:color w:val="000000"/>
        </w:rPr>
        <w:fldChar w:fldCharType="begin"/>
      </w:r>
      <w:r>
        <w:rPr>
          <w:color w:val="000000"/>
        </w:rPr>
        <w:instrText xml:space="preserve"> INCLUDEPICTURE  "https://www.tdx.com.cn/products/helpfile/tdxw/chm/%E7%AC%AC%E5%9B%9B%E7%AB%A0  %E9%80%89%E9%A1%B9/4-13/4.6.png" \* MERGEFORMATINET </w:instrText>
      </w:r>
      <w:r>
        <w:rPr>
          <w:color w:val="000000"/>
        </w:rPr>
        <w:fldChar w:fldCharType="separate"/>
      </w:r>
      <w:r>
        <w:rPr>
          <w:color w:val="000000"/>
        </w:rPr>
        <w:fldChar w:fldCharType="begin"/>
      </w:r>
      <w:r>
        <w:rPr>
          <w:color w:val="000000"/>
        </w:rPr>
        <w:instrText xml:space="preserve"> INCLUDEPICTURE  "https://www.tdx.com.cn/products/helpfile/tdxw/chm/%E7%AC%AC%E5%9B%9B%E7%AB%A0  %E9%80%89%E9%A1%B9/4-13/4.6.png" \* MERGEFORMATINET </w:instrText>
      </w:r>
      <w:r>
        <w:rPr>
          <w:color w:val="000000"/>
        </w:rPr>
        <w:fldChar w:fldCharType="separate"/>
      </w:r>
      <w:r>
        <w:rPr>
          <w:color w:val="000000"/>
        </w:rPr>
        <w:fldChar w:fldCharType="begin"/>
      </w:r>
      <w:r>
        <w:rPr>
          <w:color w:val="000000"/>
        </w:rPr>
        <w:instrText xml:space="preserve"> INCLUDEPICTURE  "https://www.tdx.com.cn/products/helpfile/tdxw/chm/%E7%AC%AC%E5%9B%9B%E7%AB%A0  %E9%80%89%E9%A1%B9/4-13/4.6.png" \* MERGEFORMATINET </w:instrText>
      </w:r>
      <w:r>
        <w:rPr>
          <w:color w:val="000000"/>
        </w:rPr>
        <w:fldChar w:fldCharType="separate"/>
      </w:r>
      <w:r>
        <w:rPr>
          <w:color w:val="000000"/>
        </w:rPr>
        <w:drawing>
          <wp:inline distT="0" distB="0" distL="114300" distR="114300">
            <wp:extent cx="342900" cy="276225"/>
            <wp:effectExtent l="0" t="0" r="0" b="9525"/>
            <wp:docPr id="337" name="图片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图片 337"/>
                    <pic:cNvPicPr>
                      <a:picLocks noChangeAspect="1"/>
                    </pic:cNvPicPr>
                  </pic:nvPicPr>
                  <pic:blipFill>
                    <a:blip r:embed="rId630" r:link="rId631"/>
                    <a:stretch>
                      <a:fillRect/>
                    </a:stretch>
                  </pic:blipFill>
                  <pic:spPr>
                    <a:xfrm>
                      <a:off x="0" y="0"/>
                      <a:ext cx="342900" cy="276225"/>
                    </a:xfrm>
                    <a:prstGeom prst="rect">
                      <a:avLst/>
                    </a:prstGeom>
                    <a:noFill/>
                    <a:ln>
                      <a:noFill/>
                    </a:ln>
                  </pic:spPr>
                </pic:pic>
              </a:graphicData>
            </a:graphic>
          </wp:inline>
        </w:drawing>
      </w:r>
      <w:r>
        <w:rPr>
          <w:color w:val="000000"/>
        </w:rPr>
        <w:fldChar w:fldCharType="end"/>
      </w:r>
      <w:r>
        <w:rPr>
          <w:color w:val="000000"/>
        </w:rPr>
        <w:fldChar w:fldCharType="end"/>
      </w:r>
      <w:r>
        <w:rPr>
          <w:color w:val="000000"/>
        </w:rPr>
        <w:fldChar w:fldCharType="end"/>
      </w:r>
      <w:r>
        <w:rPr>
          <w:color w:val="000000"/>
        </w:rPr>
        <w:fldChar w:fldCharType="end"/>
      </w:r>
      <w:r>
        <w:rPr>
          <w:rFonts w:hint="eastAsia"/>
          <w:color w:val="000000"/>
        </w:rPr>
        <w:t>：次新股；</w:t>
      </w:r>
    </w:p>
    <w:p>
      <w:pPr>
        <w:pStyle w:val="34"/>
      </w:pPr>
      <w:r>
        <w:rPr>
          <w:rFonts w:hint="eastAsia"/>
        </w:rPr>
        <w:t>行情表的条件预警标识：在行情报价界面，证券代码后面有预警标识。</w:t>
      </w:r>
      <w:r>
        <w:fldChar w:fldCharType="begin"/>
      </w:r>
      <w:r>
        <w:instrText xml:space="preserve"> INCLUDEPICTURE  "https://www.tdx.com.cn/products/helpfile/tdxw/chm/%E7%AC%AC%E5%9B%9B%E7%AB%A0  %E9%80%89%E9%A1%B9/4-13/5.5.png" \* MERGEFORMATINET </w:instrText>
      </w:r>
      <w:r>
        <w:fldChar w:fldCharType="separate"/>
      </w:r>
      <w:r>
        <w:fldChar w:fldCharType="begin"/>
      </w:r>
      <w:r>
        <w:instrText xml:space="preserve"> INCLUDEPICTURE  "https://www.tdx.com.cn/products/helpfile/tdxw/chm/%E7%AC%AC%E5%9B%9B%E7%AB%A0  %E9%80%89%E9%A1%B9/4-13/5.5.png" \* MERGEFORMATINET </w:instrText>
      </w:r>
      <w:r>
        <w:fldChar w:fldCharType="separate"/>
      </w:r>
      <w:r>
        <w:fldChar w:fldCharType="begin"/>
      </w:r>
      <w:r>
        <w:instrText xml:space="preserve"> INCLUDEPICTURE  "https://www.tdx.com.cn/products/helpfile/tdxw/chm/%E7%AC%AC%E5%9B%9B%E7%AB%A0  %E9%80%89%E9%A1%B9/4-13/5.5.png" \* MERGEFORMATINET </w:instrText>
      </w:r>
      <w:r>
        <w:fldChar w:fldCharType="separate"/>
      </w:r>
      <w:r>
        <w:fldChar w:fldCharType="begin"/>
      </w:r>
      <w:r>
        <w:instrText xml:space="preserve"> INCLUDEPICTURE  "https://www.tdx.com.cn/products/helpfile/tdxw/chm/%E7%AC%AC%E5%9B%9B%E7%AB%A0  %E9%80%89%E9%A1%B9/4-13/5.5.png" \* MERGEFORMATINET </w:instrText>
      </w:r>
      <w:r>
        <w:fldChar w:fldCharType="separate"/>
      </w:r>
      <w:r>
        <w:drawing>
          <wp:inline distT="0" distB="0" distL="114300" distR="114300">
            <wp:extent cx="1485900" cy="390525"/>
            <wp:effectExtent l="0" t="0" r="0" b="9525"/>
            <wp:docPr id="338" name="图片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图片 338"/>
                    <pic:cNvPicPr>
                      <a:picLocks noChangeAspect="1"/>
                    </pic:cNvPicPr>
                  </pic:nvPicPr>
                  <pic:blipFill>
                    <a:blip r:embed="rId632" r:link="rId633"/>
                    <a:stretch>
                      <a:fillRect/>
                    </a:stretch>
                  </pic:blipFill>
                  <pic:spPr>
                    <a:xfrm>
                      <a:off x="0" y="0"/>
                      <a:ext cx="1485900" cy="390525"/>
                    </a:xfrm>
                    <a:prstGeom prst="rect">
                      <a:avLst/>
                    </a:prstGeom>
                    <a:noFill/>
                    <a:ln>
                      <a:noFill/>
                    </a:ln>
                  </pic:spPr>
                </pic:pic>
              </a:graphicData>
            </a:graphic>
          </wp:inline>
        </w:drawing>
      </w:r>
      <w:r>
        <w:fldChar w:fldCharType="end"/>
      </w:r>
      <w:r>
        <w:fldChar w:fldCharType="end"/>
      </w:r>
      <w:r>
        <w:fldChar w:fldCharType="end"/>
      </w:r>
      <w:r>
        <w:fldChar w:fldCharType="end"/>
      </w:r>
      <w:r>
        <w:rPr>
          <w:rFonts w:hint="eastAsia"/>
        </w:rPr>
        <w:t>。和分时图一样。</w:t>
      </w:r>
    </w:p>
    <w:p>
      <w:pPr>
        <w:pStyle w:val="34"/>
      </w:pPr>
      <w:r>
        <w:rPr>
          <w:rFonts w:hint="eastAsia"/>
        </w:rPr>
        <w:t>除权除息标识：就是K线图的下方的S型的标号 </w:t>
      </w:r>
      <w:r>
        <w:fldChar w:fldCharType="begin"/>
      </w:r>
      <w:r>
        <w:instrText xml:space="preserve"> HYPERLINK "http://www.tdx.com.cn/" </w:instrText>
      </w:r>
      <w:r>
        <w:fldChar w:fldCharType="separate"/>
      </w:r>
      <w:r>
        <w:rPr>
          <w:rStyle w:val="30"/>
        </w:rPr>
        <w:fldChar w:fldCharType="begin"/>
      </w:r>
      <w:r>
        <w:rPr>
          <w:rStyle w:val="30"/>
        </w:rPr>
        <w:instrText xml:space="preserve"> INCLUDEPICTURE  "https://www.tdx.com.cn/products/helpfile/tdxw/chm/%E7%AC%AC%E5%9B%9B%E7%AB%A0  %E9%80%89%E9%A1%B9/4-13/6.png" \* MERGEFORMATINET </w:instrText>
      </w:r>
      <w:r>
        <w:rPr>
          <w:rStyle w:val="30"/>
        </w:rPr>
        <w:fldChar w:fldCharType="separate"/>
      </w:r>
      <w:r>
        <w:rPr>
          <w:rStyle w:val="30"/>
        </w:rPr>
        <w:fldChar w:fldCharType="begin"/>
      </w:r>
      <w:r>
        <w:rPr>
          <w:rStyle w:val="30"/>
        </w:rPr>
        <w:instrText xml:space="preserve"> INCLUDEPICTURE  "https://www.tdx.com.cn/products/helpfile/tdxw/chm/%E7%AC%AC%E5%9B%9B%E7%AB%A0  %E9%80%89%E9%A1%B9/4-13/6.png" \* MERGEFORMATINET </w:instrText>
      </w:r>
      <w:r>
        <w:rPr>
          <w:rStyle w:val="30"/>
        </w:rPr>
        <w:fldChar w:fldCharType="separate"/>
      </w:r>
      <w:r>
        <w:rPr>
          <w:rStyle w:val="30"/>
        </w:rPr>
        <w:fldChar w:fldCharType="begin"/>
      </w:r>
      <w:r>
        <w:rPr>
          <w:rStyle w:val="30"/>
        </w:rPr>
        <w:instrText xml:space="preserve"> INCLUDEPICTURE  "https://www.tdx.com.cn/products/helpfile/tdxw/chm/%E7%AC%AC%E5%9B%9B%E7%AB%A0  %E9%80%89%E9%A1%B9/4-13/6.png" \* MERGEFORMATINET </w:instrText>
      </w:r>
      <w:r>
        <w:rPr>
          <w:rStyle w:val="30"/>
        </w:rPr>
        <w:fldChar w:fldCharType="separate"/>
      </w:r>
      <w:r>
        <w:rPr>
          <w:rStyle w:val="30"/>
        </w:rPr>
        <w:fldChar w:fldCharType="begin"/>
      </w:r>
      <w:r>
        <w:rPr>
          <w:rStyle w:val="30"/>
        </w:rPr>
        <w:instrText xml:space="preserve"> INCLUDEPICTURE  "https://www.tdx.com.cn/products/helpfile/tdxw/chm/%E7%AC%AC%E5%9B%9B%E7%AB%A0  %E9%80%89%E9%A1%B9/4-13/6.png" \* MERGEFORMATINET </w:instrText>
      </w:r>
      <w:r>
        <w:rPr>
          <w:rStyle w:val="30"/>
        </w:rPr>
        <w:fldChar w:fldCharType="separate"/>
      </w:r>
      <w:r>
        <w:rPr>
          <w:rStyle w:val="30"/>
        </w:rPr>
        <w:drawing>
          <wp:inline distT="0" distB="0" distL="114300" distR="114300">
            <wp:extent cx="219075" cy="142875"/>
            <wp:effectExtent l="0" t="0" r="9525" b="9525"/>
            <wp:docPr id="339" name="图片 339" descr="通达信网站">
              <a:hlinkClick xmlns:a="http://schemas.openxmlformats.org/drawingml/2006/main" r:id="rId6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图片 339" descr="通达信网站"/>
                    <pic:cNvPicPr>
                      <a:picLocks noChangeAspect="1"/>
                    </pic:cNvPicPr>
                  </pic:nvPicPr>
                  <pic:blipFill>
                    <a:blip r:embed="rId634" r:link="rId635"/>
                    <a:stretch>
                      <a:fillRect/>
                    </a:stretch>
                  </pic:blipFill>
                  <pic:spPr>
                    <a:xfrm>
                      <a:off x="0" y="0"/>
                      <a:ext cx="219075" cy="142875"/>
                    </a:xfrm>
                    <a:prstGeom prst="rect">
                      <a:avLst/>
                    </a:prstGeom>
                    <a:noFill/>
                    <a:ln>
                      <a:noFill/>
                    </a:ln>
                  </pic:spPr>
                </pic:pic>
              </a:graphicData>
            </a:graphic>
          </wp:inline>
        </w:drawing>
      </w:r>
      <w:r>
        <w:rPr>
          <w:rStyle w:val="30"/>
        </w:rPr>
        <w:fldChar w:fldCharType="end"/>
      </w:r>
      <w:r>
        <w:rPr>
          <w:rStyle w:val="30"/>
        </w:rPr>
        <w:fldChar w:fldCharType="end"/>
      </w:r>
      <w:r>
        <w:rPr>
          <w:rStyle w:val="30"/>
        </w:rPr>
        <w:fldChar w:fldCharType="end"/>
      </w:r>
      <w:r>
        <w:rPr>
          <w:rStyle w:val="30"/>
        </w:rPr>
        <w:fldChar w:fldCharType="end"/>
      </w:r>
      <w:r>
        <w:rPr>
          <w:rStyle w:val="30"/>
        </w:rPr>
        <w:fldChar w:fldCharType="end"/>
      </w:r>
      <w:r>
        <w:rPr>
          <w:rFonts w:hint="eastAsia"/>
        </w:rPr>
        <w:t>。 </w:t>
      </w:r>
    </w:p>
    <w:p>
      <w:pPr>
        <w:pStyle w:val="34"/>
      </w:pPr>
    </w:p>
    <w:p>
      <w:pPr>
        <w:pStyle w:val="34"/>
      </w:pPr>
      <w:r>
        <w:rPr>
          <w:rFonts w:hint="eastAsia"/>
        </w:rPr>
        <w:t>证券更名标识：就是K线图的下方的绿红三角形拼成的标号 </w:t>
      </w:r>
      <w:r>
        <w:fldChar w:fldCharType="begin"/>
      </w:r>
      <w:r>
        <w:instrText xml:space="preserve"> HYPERLINK "http://www.tdx.com.cn/" </w:instrText>
      </w:r>
      <w:r>
        <w:fldChar w:fldCharType="separate"/>
      </w:r>
      <w:r>
        <w:rPr>
          <w:rStyle w:val="30"/>
        </w:rPr>
        <w:fldChar w:fldCharType="begin"/>
      </w:r>
      <w:r>
        <w:rPr>
          <w:rStyle w:val="30"/>
        </w:rPr>
        <w:instrText xml:space="preserve"> INCLUDEPICTURE  "https://www.tdx.com.cn/products/helpfile/tdxw/chm/%E7%AC%AC%E5%9B%9B%E7%AB%A0  %E9%80%89%E9%A1%B9/4-13/8.png" \* MERGEFORMATINET </w:instrText>
      </w:r>
      <w:r>
        <w:rPr>
          <w:rStyle w:val="30"/>
        </w:rPr>
        <w:fldChar w:fldCharType="separate"/>
      </w:r>
      <w:r>
        <w:rPr>
          <w:rStyle w:val="30"/>
        </w:rPr>
        <w:fldChar w:fldCharType="begin"/>
      </w:r>
      <w:r>
        <w:rPr>
          <w:rStyle w:val="30"/>
        </w:rPr>
        <w:instrText xml:space="preserve"> INCLUDEPICTURE  "https://www.tdx.com.cn/products/helpfile/tdxw/chm/%E7%AC%AC%E5%9B%9B%E7%AB%A0  %E9%80%89%E9%A1%B9/4-13/8.png" \* MERGEFORMATINET </w:instrText>
      </w:r>
      <w:r>
        <w:rPr>
          <w:rStyle w:val="30"/>
        </w:rPr>
        <w:fldChar w:fldCharType="separate"/>
      </w:r>
      <w:r>
        <w:rPr>
          <w:rStyle w:val="30"/>
        </w:rPr>
        <w:fldChar w:fldCharType="begin"/>
      </w:r>
      <w:r>
        <w:rPr>
          <w:rStyle w:val="30"/>
        </w:rPr>
        <w:instrText xml:space="preserve"> INCLUDEPICTURE  "https://www.tdx.com.cn/products/helpfile/tdxw/chm/%E7%AC%AC%E5%9B%9B%E7%AB%A0  %E9%80%89%E9%A1%B9/4-13/8.png" \* MERGEFORMATINET </w:instrText>
      </w:r>
      <w:r>
        <w:rPr>
          <w:rStyle w:val="30"/>
        </w:rPr>
        <w:fldChar w:fldCharType="separate"/>
      </w:r>
      <w:r>
        <w:rPr>
          <w:rStyle w:val="30"/>
        </w:rPr>
        <w:fldChar w:fldCharType="begin"/>
      </w:r>
      <w:r>
        <w:rPr>
          <w:rStyle w:val="30"/>
        </w:rPr>
        <w:instrText xml:space="preserve"> INCLUDEPICTURE  "https://www.tdx.com.cn/products/helpfile/tdxw/chm/%E7%AC%AC%E5%9B%9B%E7%AB%A0  %E9%80%89%E9%A1%B9/4-13/8.png" \* MERGEFORMATINET </w:instrText>
      </w:r>
      <w:r>
        <w:rPr>
          <w:rStyle w:val="30"/>
        </w:rPr>
        <w:fldChar w:fldCharType="separate"/>
      </w:r>
      <w:r>
        <w:rPr>
          <w:rStyle w:val="30"/>
        </w:rPr>
        <w:drawing>
          <wp:inline distT="0" distB="0" distL="114300" distR="114300">
            <wp:extent cx="238125" cy="152400"/>
            <wp:effectExtent l="0" t="0" r="9525" b="0"/>
            <wp:docPr id="340" name="图片 340" descr="通达信网站">
              <a:hlinkClick xmlns:a="http://schemas.openxmlformats.org/drawingml/2006/main" r:id="rId6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图片 340" descr="通达信网站"/>
                    <pic:cNvPicPr>
                      <a:picLocks noChangeAspect="1"/>
                    </pic:cNvPicPr>
                  </pic:nvPicPr>
                  <pic:blipFill>
                    <a:blip r:embed="rId636" r:link="rId637"/>
                    <a:stretch>
                      <a:fillRect/>
                    </a:stretch>
                  </pic:blipFill>
                  <pic:spPr>
                    <a:xfrm>
                      <a:off x="0" y="0"/>
                      <a:ext cx="238125" cy="152400"/>
                    </a:xfrm>
                    <a:prstGeom prst="rect">
                      <a:avLst/>
                    </a:prstGeom>
                    <a:noFill/>
                    <a:ln>
                      <a:noFill/>
                    </a:ln>
                  </pic:spPr>
                </pic:pic>
              </a:graphicData>
            </a:graphic>
          </wp:inline>
        </w:drawing>
      </w:r>
      <w:r>
        <w:rPr>
          <w:rStyle w:val="30"/>
        </w:rPr>
        <w:fldChar w:fldCharType="end"/>
      </w:r>
      <w:r>
        <w:rPr>
          <w:rStyle w:val="30"/>
        </w:rPr>
        <w:fldChar w:fldCharType="end"/>
      </w:r>
      <w:r>
        <w:rPr>
          <w:rStyle w:val="30"/>
        </w:rPr>
        <w:fldChar w:fldCharType="end"/>
      </w:r>
      <w:r>
        <w:rPr>
          <w:rStyle w:val="30"/>
        </w:rPr>
        <w:fldChar w:fldCharType="end"/>
      </w:r>
      <w:r>
        <w:rPr>
          <w:rStyle w:val="30"/>
        </w:rPr>
        <w:fldChar w:fldCharType="end"/>
      </w:r>
      <w:r>
        <w:rPr>
          <w:rFonts w:hint="eastAsia"/>
        </w:rPr>
        <w:t>。 </w:t>
      </w:r>
    </w:p>
    <w:p>
      <w:pPr>
        <w:pStyle w:val="34"/>
      </w:pPr>
      <w:r>
        <w:rPr>
          <w:rFonts w:hint="eastAsia"/>
        </w:rPr>
        <w:t>分析图中的最高最低值：分时图中最高价、最低价标出来的那些数字 </w:t>
      </w:r>
      <w:r>
        <w:fldChar w:fldCharType="begin"/>
      </w:r>
      <w:r>
        <w:instrText xml:space="preserve"> HYPERLINK "http://www.tdx.com.cn/" </w:instrText>
      </w:r>
      <w:r>
        <w:fldChar w:fldCharType="separate"/>
      </w:r>
      <w:r>
        <w:rPr>
          <w:rStyle w:val="30"/>
        </w:rPr>
        <w:fldChar w:fldCharType="begin"/>
      </w:r>
      <w:r>
        <w:rPr>
          <w:rStyle w:val="30"/>
        </w:rPr>
        <w:instrText xml:space="preserve"> INCLUDEPICTURE  "https://www.tdx.com.cn/products/helpfile/tdxw/chm/%E7%AC%AC%E5%9B%9B%E7%AB%A0  %E9%80%89%E9%A1%B9/4-13/9.png" \* MERGEFORMATINET </w:instrText>
      </w:r>
      <w:r>
        <w:rPr>
          <w:rStyle w:val="30"/>
        </w:rPr>
        <w:fldChar w:fldCharType="separate"/>
      </w:r>
      <w:r>
        <w:rPr>
          <w:rStyle w:val="30"/>
        </w:rPr>
        <w:fldChar w:fldCharType="begin"/>
      </w:r>
      <w:r>
        <w:rPr>
          <w:rStyle w:val="30"/>
        </w:rPr>
        <w:instrText xml:space="preserve"> INCLUDEPICTURE  "https://www.tdx.com.cn/products/helpfile/tdxw/chm/%E7%AC%AC%E5%9B%9B%E7%AB%A0  %E9%80%89%E9%A1%B9/4-13/9.png" \* MERGEFORMATINET </w:instrText>
      </w:r>
      <w:r>
        <w:rPr>
          <w:rStyle w:val="30"/>
        </w:rPr>
        <w:fldChar w:fldCharType="separate"/>
      </w:r>
      <w:r>
        <w:rPr>
          <w:rStyle w:val="30"/>
        </w:rPr>
        <w:fldChar w:fldCharType="begin"/>
      </w:r>
      <w:r>
        <w:rPr>
          <w:rStyle w:val="30"/>
        </w:rPr>
        <w:instrText xml:space="preserve"> INCLUDEPICTURE  "https://www.tdx.com.cn/products/helpfile/tdxw/chm/%E7%AC%AC%E5%9B%9B%E7%AB%A0  %E9%80%89%E9%A1%B9/4-13/9.png" \* MERGEFORMATINET </w:instrText>
      </w:r>
      <w:r>
        <w:rPr>
          <w:rStyle w:val="30"/>
        </w:rPr>
        <w:fldChar w:fldCharType="separate"/>
      </w:r>
      <w:r>
        <w:rPr>
          <w:rStyle w:val="30"/>
        </w:rPr>
        <w:fldChar w:fldCharType="begin"/>
      </w:r>
      <w:r>
        <w:rPr>
          <w:rStyle w:val="30"/>
        </w:rPr>
        <w:instrText xml:space="preserve"> INCLUDEPICTURE  "https://www.tdx.com.cn/products/helpfile/tdxw/chm/%E7%AC%AC%E5%9B%9B%E7%AB%A0  %E9%80%89%E9%A1%B9/4-13/9.png" \* MERGEFORMATINET </w:instrText>
      </w:r>
      <w:r>
        <w:rPr>
          <w:rStyle w:val="30"/>
        </w:rPr>
        <w:fldChar w:fldCharType="separate"/>
      </w:r>
      <w:r>
        <w:rPr>
          <w:rStyle w:val="30"/>
        </w:rPr>
        <w:drawing>
          <wp:inline distT="0" distB="0" distL="114300" distR="114300">
            <wp:extent cx="1038225" cy="247650"/>
            <wp:effectExtent l="0" t="0" r="9525" b="0"/>
            <wp:docPr id="341" name="图片 341" descr="通达信网站">
              <a:hlinkClick xmlns:a="http://schemas.openxmlformats.org/drawingml/2006/main" r:id="rId6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图片 341" descr="通达信网站"/>
                    <pic:cNvPicPr>
                      <a:picLocks noChangeAspect="1"/>
                    </pic:cNvPicPr>
                  </pic:nvPicPr>
                  <pic:blipFill>
                    <a:blip r:embed="rId638" r:link="rId639"/>
                    <a:stretch>
                      <a:fillRect/>
                    </a:stretch>
                  </pic:blipFill>
                  <pic:spPr>
                    <a:xfrm>
                      <a:off x="0" y="0"/>
                      <a:ext cx="1038225" cy="247650"/>
                    </a:xfrm>
                    <a:prstGeom prst="rect">
                      <a:avLst/>
                    </a:prstGeom>
                    <a:noFill/>
                    <a:ln>
                      <a:noFill/>
                    </a:ln>
                  </pic:spPr>
                </pic:pic>
              </a:graphicData>
            </a:graphic>
          </wp:inline>
        </w:drawing>
      </w:r>
      <w:r>
        <w:rPr>
          <w:rStyle w:val="30"/>
        </w:rPr>
        <w:fldChar w:fldCharType="end"/>
      </w:r>
      <w:r>
        <w:rPr>
          <w:rStyle w:val="30"/>
        </w:rPr>
        <w:fldChar w:fldCharType="end"/>
      </w:r>
      <w:r>
        <w:rPr>
          <w:rStyle w:val="30"/>
        </w:rPr>
        <w:fldChar w:fldCharType="end"/>
      </w:r>
      <w:r>
        <w:rPr>
          <w:rStyle w:val="30"/>
        </w:rPr>
        <w:fldChar w:fldCharType="end"/>
      </w:r>
      <w:r>
        <w:rPr>
          <w:rStyle w:val="30"/>
        </w:rPr>
        <w:fldChar w:fldCharType="end"/>
      </w:r>
      <w:r>
        <w:rPr>
          <w:rFonts w:hint="eastAsia"/>
        </w:rPr>
        <w:t>，往往在一定时间段的k线的最高（最高价）或者最低（最低价）的地方。</w:t>
      </w:r>
    </w:p>
    <w:p>
      <w:pPr>
        <w:pStyle w:val="34"/>
      </w:pPr>
      <w:r>
        <w:rPr>
          <w:rFonts w:hint="eastAsia"/>
        </w:rPr>
        <w:t>分析图中的交易记录标识（盘面下单时）：分析图中如果发生买卖股票的交易，则会有B和S显示，此功能针对部分有高端交易权限的版本才能显示。</w:t>
      </w:r>
      <w:r>
        <w:fldChar w:fldCharType="begin"/>
      </w:r>
      <w:r>
        <w:instrText xml:space="preserve"> INCLUDEPICTURE  "https://www.tdx.com.cn/products/helpfile/tdxw/chm/%E7%AC%AC%E5%9B%9B%E7%AB%A0  %E9%80%89%E9%A1%B9/4-13/7.5.png" \* MERGEFORMATINET </w:instrText>
      </w:r>
      <w:r>
        <w:fldChar w:fldCharType="separate"/>
      </w:r>
      <w:r>
        <w:fldChar w:fldCharType="begin"/>
      </w:r>
      <w:r>
        <w:instrText xml:space="preserve"> INCLUDEPICTURE  "https://www.tdx.com.cn/products/helpfile/tdxw/chm/%E7%AC%AC%E5%9B%9B%E7%AB%A0  %E9%80%89%E9%A1%B9/4-13/7.5.png" \* MERGEFORMATINET </w:instrText>
      </w:r>
      <w:r>
        <w:fldChar w:fldCharType="separate"/>
      </w:r>
      <w:r>
        <w:fldChar w:fldCharType="begin"/>
      </w:r>
      <w:r>
        <w:instrText xml:space="preserve"> INCLUDEPICTURE  "https://www.tdx.com.cn/products/helpfile/tdxw/chm/%E7%AC%AC%E5%9B%9B%E7%AB%A0  %E9%80%89%E9%A1%B9/4-13/7.5.png" \* MERGEFORMATINET </w:instrText>
      </w:r>
      <w:r>
        <w:fldChar w:fldCharType="separate"/>
      </w:r>
      <w:r>
        <w:fldChar w:fldCharType="begin"/>
      </w:r>
      <w:r>
        <w:instrText xml:space="preserve"> INCLUDEPICTURE  "https://www.tdx.com.cn/products/helpfile/tdxw/chm/%E7%AC%AC%E5%9B%9B%E7%AB%A0  %E9%80%89%E9%A1%B9/4-13/7.5.png" \* MERGEFORMATINET </w:instrText>
      </w:r>
      <w:r>
        <w:fldChar w:fldCharType="separate"/>
      </w:r>
      <w:r>
        <w:drawing>
          <wp:inline distT="0" distB="0" distL="114300" distR="114300">
            <wp:extent cx="1543050" cy="1714500"/>
            <wp:effectExtent l="0" t="0" r="0" b="0"/>
            <wp:docPr id="342" name="图片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图片 342"/>
                    <pic:cNvPicPr>
                      <a:picLocks noChangeAspect="1"/>
                    </pic:cNvPicPr>
                  </pic:nvPicPr>
                  <pic:blipFill>
                    <a:blip r:embed="rId640" r:link="rId641"/>
                    <a:stretch>
                      <a:fillRect/>
                    </a:stretch>
                  </pic:blipFill>
                  <pic:spPr>
                    <a:xfrm>
                      <a:off x="0" y="0"/>
                      <a:ext cx="1543050" cy="1714500"/>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主图指标输出自动折行显示：在K线主图上，指标自动折行。（根据需求对应勾选是分析图中还是定制版面中）</w:t>
      </w:r>
    </w:p>
    <w:p>
      <w:pPr>
        <w:pStyle w:val="34"/>
      </w:pPr>
      <w:r>
        <w:fldChar w:fldCharType="begin"/>
      </w:r>
      <w:r>
        <w:instrText xml:space="preserve"> INCLUDEPICTURE  "https://www.tdx.com.cn/products/helpfile/tdxw/chm/%E7%AC%AC%E5%9B%9B%E7%AB%A0  %E9%80%89%E9%A1%B9/4-13/8.5.png" \* MERGEFORMATINET </w:instrText>
      </w:r>
      <w:r>
        <w:fldChar w:fldCharType="separate"/>
      </w:r>
      <w:r>
        <w:fldChar w:fldCharType="begin"/>
      </w:r>
      <w:r>
        <w:instrText xml:space="preserve"> INCLUDEPICTURE  "https://www.tdx.com.cn/products/helpfile/tdxw/chm/%E7%AC%AC%E5%9B%9B%E7%AB%A0  %E9%80%89%E9%A1%B9/4-13/8.5.png" \* MERGEFORMATINET </w:instrText>
      </w:r>
      <w:r>
        <w:fldChar w:fldCharType="separate"/>
      </w:r>
      <w:r>
        <w:fldChar w:fldCharType="begin"/>
      </w:r>
      <w:r>
        <w:instrText xml:space="preserve"> INCLUDEPICTURE  "https://www.tdx.com.cn/products/helpfile/tdxw/chm/%E7%AC%AC%E5%9B%9B%E7%AB%A0  %E9%80%89%E9%A1%B9/4-13/8.5.png" \* MERGEFORMATINET </w:instrText>
      </w:r>
      <w:r>
        <w:fldChar w:fldCharType="separate"/>
      </w:r>
      <w:r>
        <w:fldChar w:fldCharType="begin"/>
      </w:r>
      <w:r>
        <w:instrText xml:space="preserve"> INCLUDEPICTURE  "https://www.tdx.com.cn/products/helpfile/tdxw/chm/%E7%AC%AC%E5%9B%9B%E7%AB%A0  %E9%80%89%E9%A1%B9/4-13/8.5.png" \* MERGEFORMATINET </w:instrText>
      </w:r>
      <w:r>
        <w:fldChar w:fldCharType="separate"/>
      </w:r>
      <w:r>
        <w:drawing>
          <wp:inline distT="0" distB="0" distL="114300" distR="114300">
            <wp:extent cx="7010400" cy="314325"/>
            <wp:effectExtent l="0" t="0" r="0" b="9525"/>
            <wp:docPr id="343" name="图片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图片 343"/>
                    <pic:cNvPicPr>
                      <a:picLocks noChangeAspect="1"/>
                    </pic:cNvPicPr>
                  </pic:nvPicPr>
                  <pic:blipFill>
                    <a:blip r:embed="rId642" r:link="rId643"/>
                    <a:stretch>
                      <a:fillRect/>
                    </a:stretch>
                  </pic:blipFill>
                  <pic:spPr>
                    <a:xfrm>
                      <a:off x="0" y="0"/>
                      <a:ext cx="7010400" cy="314325"/>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p>
    <w:p>
      <w:pPr>
        <w:pStyle w:val="34"/>
      </w:pPr>
      <w:r>
        <w:rPr>
          <w:rFonts w:hint="eastAsia"/>
        </w:rPr>
        <w:t>现价水平线和交易参考信息：分析图表示交易日当天的红色小短线即涨停价，灰色水平线即现价及绿色小短线即跌停价。</w:t>
      </w:r>
      <w:r>
        <w:drawing>
          <wp:inline distT="0" distB="0" distL="114300" distR="114300">
            <wp:extent cx="2333625" cy="2667000"/>
            <wp:effectExtent l="0" t="0" r="9525" b="0"/>
            <wp:docPr id="344" name="图片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图片 344"/>
                    <pic:cNvPicPr>
                      <a:picLocks noChangeAspect="1"/>
                    </pic:cNvPicPr>
                  </pic:nvPicPr>
                  <pic:blipFill>
                    <a:blip r:embed="rId644"/>
                    <a:stretch>
                      <a:fillRect/>
                    </a:stretch>
                  </pic:blipFill>
                  <pic:spPr>
                    <a:xfrm>
                      <a:off x="0" y="0"/>
                      <a:ext cx="2333625" cy="2667000"/>
                    </a:xfrm>
                    <a:prstGeom prst="rect">
                      <a:avLst/>
                    </a:prstGeom>
                    <a:noFill/>
                    <a:ln>
                      <a:noFill/>
                    </a:ln>
                  </pic:spPr>
                </pic:pic>
              </a:graphicData>
            </a:graphic>
          </wp:inline>
        </w:drawing>
      </w:r>
    </w:p>
    <w:p>
      <w:pPr>
        <w:pStyle w:val="34"/>
      </w:pPr>
      <w:r>
        <w:rPr>
          <w:rFonts w:hint="eastAsia"/>
        </w:rPr>
        <w:t>分析图分昨图纵轴显示买卖盘信息：分析图分时图右边显示买盘与卖盘信息。显示买一现价及量；卖一现价及量；现价及现量。</w:t>
      </w:r>
      <w:r>
        <w:fldChar w:fldCharType="begin"/>
      </w:r>
      <w:r>
        <w:instrText xml:space="preserve"> INCLUDEPICTURE  "https://www.tdx.com.cn/products/helpfile/tdxw/chm/%E7%AC%AC%E5%9B%9B%E7%AB%A0  %E9%80%89%E9%A1%B9/4-13/11.png" \* MERGEFORMATINET </w:instrText>
      </w:r>
      <w:r>
        <w:fldChar w:fldCharType="separate"/>
      </w:r>
      <w:r>
        <w:fldChar w:fldCharType="begin"/>
      </w:r>
      <w:r>
        <w:instrText xml:space="preserve"> INCLUDEPICTURE  "https://www.tdx.com.cn/products/helpfile/tdxw/chm/%E7%AC%AC%E5%9B%9B%E7%AB%A0  %E9%80%89%E9%A1%B9/4-13/11.png" \* MERGEFORMATINET </w:instrText>
      </w:r>
      <w:r>
        <w:fldChar w:fldCharType="separate"/>
      </w:r>
      <w:r>
        <w:fldChar w:fldCharType="begin"/>
      </w:r>
      <w:r>
        <w:instrText xml:space="preserve"> INCLUDEPICTURE  "https://www.tdx.com.cn/products/helpfile/tdxw/chm/%E7%AC%AC%E5%9B%9B%E7%AB%A0  %E9%80%89%E9%A1%B9/4-13/11.png" \* MERGEFORMATINET </w:instrText>
      </w:r>
      <w:r>
        <w:fldChar w:fldCharType="separate"/>
      </w:r>
      <w:r>
        <w:fldChar w:fldCharType="begin"/>
      </w:r>
      <w:r>
        <w:instrText xml:space="preserve"> INCLUDEPICTURE  "https://www.tdx.com.cn/products/helpfile/tdxw/chm/%E7%AC%AC%E5%9B%9B%E7%AB%A0  %E9%80%89%E9%A1%B9/4-13/11.png" \* MERGEFORMATINET </w:instrText>
      </w:r>
      <w:r>
        <w:fldChar w:fldCharType="separate"/>
      </w:r>
      <w:r>
        <w:drawing>
          <wp:inline distT="0" distB="0" distL="114300" distR="114300">
            <wp:extent cx="3629025" cy="3219450"/>
            <wp:effectExtent l="0" t="0" r="9525" b="0"/>
            <wp:docPr id="345" name="图片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图片 345"/>
                    <pic:cNvPicPr>
                      <a:picLocks noChangeAspect="1"/>
                    </pic:cNvPicPr>
                  </pic:nvPicPr>
                  <pic:blipFill>
                    <a:blip r:embed="rId645" r:link="rId646"/>
                    <a:stretch>
                      <a:fillRect/>
                    </a:stretch>
                  </pic:blipFill>
                  <pic:spPr>
                    <a:xfrm>
                      <a:off x="0" y="0"/>
                      <a:ext cx="3629025" cy="3219450"/>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分析图分时图预警线显示幅度：即条件预警线可以显示和隐藏幅度百分比信息。</w:t>
      </w:r>
      <w:r>
        <w:fldChar w:fldCharType="begin"/>
      </w:r>
      <w:r>
        <w:instrText xml:space="preserve"> INCLUDEPICTURE  "https://www.tdx.com.cn/products/helpfile/tdxw/chm/%E7%AC%AC%E5%9B%9B%E7%AB%A0  %E9%80%89%E9%A1%B9/4-13/12.png" \* MERGEFORMATINET </w:instrText>
      </w:r>
      <w:r>
        <w:fldChar w:fldCharType="separate"/>
      </w:r>
      <w:r>
        <w:fldChar w:fldCharType="begin"/>
      </w:r>
      <w:r>
        <w:instrText xml:space="preserve"> INCLUDEPICTURE  "https://www.tdx.com.cn/products/helpfile/tdxw/chm/%E7%AC%AC%E5%9B%9B%E7%AB%A0  %E9%80%89%E9%A1%B9/4-13/12.png" \* MERGEFORMATINET </w:instrText>
      </w:r>
      <w:r>
        <w:fldChar w:fldCharType="separate"/>
      </w:r>
      <w:r>
        <w:fldChar w:fldCharType="begin"/>
      </w:r>
      <w:r>
        <w:instrText xml:space="preserve"> INCLUDEPICTURE  "https://www.tdx.com.cn/products/helpfile/tdxw/chm/%E7%AC%AC%E5%9B%9B%E7%AB%A0  %E9%80%89%E9%A1%B9/4-13/12.png" \* MERGEFORMATINET </w:instrText>
      </w:r>
      <w:r>
        <w:fldChar w:fldCharType="separate"/>
      </w:r>
      <w:r>
        <w:fldChar w:fldCharType="begin"/>
      </w:r>
      <w:r>
        <w:instrText xml:space="preserve"> INCLUDEPICTURE  "https://www.tdx.com.cn/products/helpfile/tdxw/chm/%E7%AC%AC%E5%9B%9B%E7%AB%A0  %E9%80%89%E9%A1%B9/4-13/12.png" \* MERGEFORMATINET </w:instrText>
      </w:r>
      <w:r>
        <w:fldChar w:fldCharType="separate"/>
      </w:r>
      <w:r>
        <w:drawing>
          <wp:inline distT="0" distB="0" distL="114300" distR="114300">
            <wp:extent cx="1228725" cy="1162050"/>
            <wp:effectExtent l="0" t="0" r="9525" b="0"/>
            <wp:docPr id="346" name="图片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图片 346"/>
                    <pic:cNvPicPr>
                      <a:picLocks noChangeAspect="1"/>
                    </pic:cNvPicPr>
                  </pic:nvPicPr>
                  <pic:blipFill>
                    <a:blip r:embed="rId647" r:link="rId648"/>
                    <a:stretch>
                      <a:fillRect/>
                    </a:stretch>
                  </pic:blipFill>
                  <pic:spPr>
                    <a:xfrm>
                      <a:off x="0" y="0"/>
                      <a:ext cx="1228725" cy="1162050"/>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分析图显示条件预警上破下破线：</w:t>
      </w:r>
      <w:r>
        <w:fldChar w:fldCharType="begin"/>
      </w:r>
      <w:r>
        <w:instrText xml:space="preserve"> INCLUDEPICTURE  "https://www.tdx.com.cn/products/helpfile/tdxw/chm/%E7%AC%AC%E5%9B%9B%E7%AB%A0  %E9%80%89%E9%A1%B9/4-13/13.png" \* MERGEFORMATINET </w:instrText>
      </w:r>
      <w:r>
        <w:fldChar w:fldCharType="separate"/>
      </w:r>
      <w:r>
        <w:fldChar w:fldCharType="begin"/>
      </w:r>
      <w:r>
        <w:instrText xml:space="preserve"> INCLUDEPICTURE  "https://www.tdx.com.cn/products/helpfile/tdxw/chm/%E7%AC%AC%E5%9B%9B%E7%AB%A0  %E9%80%89%E9%A1%B9/4-13/13.png" \* MERGEFORMATINET </w:instrText>
      </w:r>
      <w:r>
        <w:fldChar w:fldCharType="separate"/>
      </w:r>
      <w:r>
        <w:fldChar w:fldCharType="begin"/>
      </w:r>
      <w:r>
        <w:instrText xml:space="preserve"> INCLUDEPICTURE  "https://www.tdx.com.cn/products/helpfile/tdxw/chm/%E7%AC%AC%E5%9B%9B%E7%AB%A0  %E9%80%89%E9%A1%B9/4-13/13.png" \* MERGEFORMATINET </w:instrText>
      </w:r>
      <w:r>
        <w:fldChar w:fldCharType="separate"/>
      </w:r>
      <w:r>
        <w:fldChar w:fldCharType="begin"/>
      </w:r>
      <w:r>
        <w:instrText xml:space="preserve"> INCLUDEPICTURE  "https://www.tdx.com.cn/products/helpfile/tdxw/chm/%E7%AC%AC%E5%9B%9B%E7%AB%A0  %E9%80%89%E9%A1%B9/4-13/13.png" \* MERGEFORMATINET </w:instrText>
      </w:r>
      <w:r>
        <w:fldChar w:fldCharType="separate"/>
      </w:r>
      <w:r>
        <w:drawing>
          <wp:inline distT="0" distB="0" distL="114300" distR="114300">
            <wp:extent cx="1266825" cy="1019175"/>
            <wp:effectExtent l="0" t="0" r="9525" b="9525"/>
            <wp:docPr id="347" name="图片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图片 347"/>
                    <pic:cNvPicPr>
                      <a:picLocks noChangeAspect="1"/>
                    </pic:cNvPicPr>
                  </pic:nvPicPr>
                  <pic:blipFill>
                    <a:blip r:embed="rId649" r:link="rId650"/>
                    <a:stretch>
                      <a:fillRect/>
                    </a:stretch>
                  </pic:blipFill>
                  <pic:spPr>
                    <a:xfrm>
                      <a:off x="0" y="0"/>
                      <a:ext cx="1266825" cy="1019175"/>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日线图显示最近财报上榜等标识：</w:t>
      </w:r>
      <w:r>
        <w:fldChar w:fldCharType="begin"/>
      </w:r>
      <w:r>
        <w:instrText xml:space="preserve"> INCLUDEPICTURE  "https://www.tdx.com.cn/products/helpfile/tdxw/chm/%E7%AC%AC%E5%9B%9B%E7%AB%A0  %E9%80%89%E9%A1%B9/4-13/14.png" \* MERGEFORMATINET </w:instrText>
      </w:r>
      <w:r>
        <w:fldChar w:fldCharType="separate"/>
      </w:r>
      <w:r>
        <w:fldChar w:fldCharType="begin"/>
      </w:r>
      <w:r>
        <w:instrText xml:space="preserve"> INCLUDEPICTURE  "https://www.tdx.com.cn/products/helpfile/tdxw/chm/%E7%AC%AC%E5%9B%9B%E7%AB%A0  %E9%80%89%E9%A1%B9/4-13/14.png" \* MERGEFORMATINET </w:instrText>
      </w:r>
      <w:r>
        <w:fldChar w:fldCharType="separate"/>
      </w:r>
      <w:r>
        <w:fldChar w:fldCharType="begin"/>
      </w:r>
      <w:r>
        <w:instrText xml:space="preserve"> INCLUDEPICTURE  "https://www.tdx.com.cn/products/helpfile/tdxw/chm/%E7%AC%AC%E5%9B%9B%E7%AB%A0  %E9%80%89%E9%A1%B9/4-13/14.png" \* MERGEFORMATINET </w:instrText>
      </w:r>
      <w:r>
        <w:fldChar w:fldCharType="separate"/>
      </w:r>
      <w:r>
        <w:fldChar w:fldCharType="begin"/>
      </w:r>
      <w:r>
        <w:instrText xml:space="preserve"> INCLUDEPICTURE  "https://www.tdx.com.cn/products/helpfile/tdxw/chm/%E7%AC%AC%E5%9B%9B%E7%AB%A0  %E9%80%89%E9%A1%B9/4-13/14.png" \* MERGEFORMATINET </w:instrText>
      </w:r>
      <w:r>
        <w:fldChar w:fldCharType="separate"/>
      </w:r>
      <w:r>
        <w:drawing>
          <wp:inline distT="0" distB="0" distL="114300" distR="114300">
            <wp:extent cx="4600575" cy="4143375"/>
            <wp:effectExtent l="0" t="0" r="9525" b="9525"/>
            <wp:docPr id="348" name="图片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图片 348"/>
                    <pic:cNvPicPr>
                      <a:picLocks noChangeAspect="1"/>
                    </pic:cNvPicPr>
                  </pic:nvPicPr>
                  <pic:blipFill>
                    <a:blip r:embed="rId651" r:link="rId652"/>
                    <a:stretch>
                      <a:fillRect/>
                    </a:stretch>
                  </pic:blipFill>
                  <pic:spPr>
                    <a:xfrm>
                      <a:off x="0" y="0"/>
                      <a:ext cx="4600575" cy="4143375"/>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日线图显示加入自选标识：将此股票加入自选股的那一日，在K线下方会有个三角形标识。</w:t>
      </w:r>
      <w:r>
        <w:fldChar w:fldCharType="begin"/>
      </w:r>
      <w:r>
        <w:instrText xml:space="preserve"> INCLUDEPICTURE  "https://www.tdx.com.cn/products/helpfile/tdxw/chm/%E7%AC%AC%E5%9B%9B%E7%AB%A0  %E9%80%89%E9%A1%B9/4-13/15.png" \* MERGEFORMATINET </w:instrText>
      </w:r>
      <w:r>
        <w:fldChar w:fldCharType="separate"/>
      </w:r>
      <w:r>
        <w:fldChar w:fldCharType="begin"/>
      </w:r>
      <w:r>
        <w:instrText xml:space="preserve"> INCLUDEPICTURE  "https://www.tdx.com.cn/products/helpfile/tdxw/chm/%E7%AC%AC%E5%9B%9B%E7%AB%A0  %E9%80%89%E9%A1%B9/4-13/15.png" \* MERGEFORMATINET </w:instrText>
      </w:r>
      <w:r>
        <w:fldChar w:fldCharType="separate"/>
      </w:r>
      <w:r>
        <w:fldChar w:fldCharType="begin"/>
      </w:r>
      <w:r>
        <w:instrText xml:space="preserve"> INCLUDEPICTURE  "https://www.tdx.com.cn/products/helpfile/tdxw/chm/%E7%AC%AC%E5%9B%9B%E7%AB%A0  %E9%80%89%E9%A1%B9/4-13/15.png" \* MERGEFORMATINET </w:instrText>
      </w:r>
      <w:r>
        <w:fldChar w:fldCharType="separate"/>
      </w:r>
      <w:r>
        <w:fldChar w:fldCharType="begin"/>
      </w:r>
      <w:r>
        <w:instrText xml:space="preserve"> INCLUDEPICTURE  "https://www.tdx.com.cn/products/helpfile/tdxw/chm/%E7%AC%AC%E5%9B%9B%E7%AB%A0  %E9%80%89%E9%A1%B9/4-13/15.png" \* MERGEFORMATINET </w:instrText>
      </w:r>
      <w:r>
        <w:fldChar w:fldCharType="separate"/>
      </w:r>
      <w:r>
        <w:drawing>
          <wp:inline distT="0" distB="0" distL="114300" distR="114300">
            <wp:extent cx="4238625" cy="3848100"/>
            <wp:effectExtent l="0" t="0" r="9525" b="0"/>
            <wp:docPr id="349" name="图片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图片 349"/>
                    <pic:cNvPicPr>
                      <a:picLocks noChangeAspect="1"/>
                    </pic:cNvPicPr>
                  </pic:nvPicPr>
                  <pic:blipFill>
                    <a:blip r:embed="rId653" r:link="rId654"/>
                    <a:stretch>
                      <a:fillRect/>
                    </a:stretch>
                  </pic:blipFill>
                  <pic:spPr>
                    <a:xfrm>
                      <a:off x="0" y="0"/>
                      <a:ext cx="4238625" cy="3848100"/>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分析图显示已过期同月份数据(期货)：</w:t>
      </w:r>
      <w:r>
        <w:drawing>
          <wp:inline distT="0" distB="0" distL="114300" distR="114300">
            <wp:extent cx="3829050" cy="2924175"/>
            <wp:effectExtent l="0" t="0" r="0" b="9525"/>
            <wp:docPr id="350" name="图片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图片 350"/>
                    <pic:cNvPicPr>
                      <a:picLocks noChangeAspect="1"/>
                    </pic:cNvPicPr>
                  </pic:nvPicPr>
                  <pic:blipFill>
                    <a:blip r:embed="rId655"/>
                    <a:stretch>
                      <a:fillRect/>
                    </a:stretch>
                  </pic:blipFill>
                  <pic:spPr>
                    <a:xfrm>
                      <a:off x="0" y="0"/>
                      <a:ext cx="3829050" cy="2924175"/>
                    </a:xfrm>
                    <a:prstGeom prst="rect">
                      <a:avLst/>
                    </a:prstGeom>
                    <a:noFill/>
                    <a:ln>
                      <a:noFill/>
                    </a:ln>
                  </pic:spPr>
                </pic:pic>
              </a:graphicData>
            </a:graphic>
          </wp:inline>
        </w:drawing>
      </w:r>
    </w:p>
    <w:p>
      <w:pPr>
        <w:pStyle w:val="3"/>
      </w:pPr>
      <w:bookmarkStart w:id="54" w:name="_Toc90646173"/>
      <w:r>
        <w:rPr>
          <w:rFonts w:hint="eastAsia"/>
        </w:rPr>
        <w:t>自定义关联品种</w:t>
      </w:r>
      <w:bookmarkEnd w:id="54"/>
    </w:p>
    <w:p>
      <w:pPr>
        <w:pStyle w:val="34"/>
      </w:pPr>
      <w:r>
        <w:rPr>
          <w:rFonts w:hint="eastAsia"/>
        </w:rPr>
        <w:t>可以给当前品种设置所需的关联品种。</w:t>
      </w:r>
    </w:p>
    <w:p>
      <w:pPr>
        <w:pStyle w:val="34"/>
      </w:pPr>
      <w:r>
        <w:fldChar w:fldCharType="begin"/>
      </w:r>
      <w:r>
        <w:instrText xml:space="preserve"> INCLUDEPICTURE  "https://www.tdx.com.cn/products/helpfile/tdxw/chm/%E7%AC%AC%E5%9B%9B%E7%AB%A0  %E9%80%89%E9%A1%B9/4-14/1.png" \* MERGEFORMATINET </w:instrText>
      </w:r>
      <w:r>
        <w:fldChar w:fldCharType="separate"/>
      </w:r>
      <w:r>
        <w:fldChar w:fldCharType="begin"/>
      </w:r>
      <w:r>
        <w:instrText xml:space="preserve"> INCLUDEPICTURE  "https://www.tdx.com.cn/products/helpfile/tdxw/chm/%E7%AC%AC%E5%9B%9B%E7%AB%A0  %E9%80%89%E9%A1%B9/4-14/1.png" \* MERGEFORMATINET </w:instrText>
      </w:r>
      <w:r>
        <w:fldChar w:fldCharType="separate"/>
      </w:r>
      <w:r>
        <w:fldChar w:fldCharType="begin"/>
      </w:r>
      <w:r>
        <w:instrText xml:space="preserve"> INCLUDEPICTURE  "https://www.tdx.com.cn/products/helpfile/tdxw/chm/%E7%AC%AC%E5%9B%9B%E7%AB%A0  %E9%80%89%E9%A1%B9/4-14/1.png" \* MERGEFORMATINET </w:instrText>
      </w:r>
      <w:r>
        <w:fldChar w:fldCharType="separate"/>
      </w:r>
      <w:r>
        <w:fldChar w:fldCharType="begin"/>
      </w:r>
      <w:r>
        <w:instrText xml:space="preserve"> INCLUDEPICTURE  "https://www.tdx.com.cn/products/helpfile/tdxw/chm/%E7%AC%AC%E5%9B%9B%E7%AB%A0  %E9%80%89%E9%A1%B9/4-14/1.png" \* MERGEFORMATINET </w:instrText>
      </w:r>
      <w:r>
        <w:fldChar w:fldCharType="separate"/>
      </w:r>
      <w:r>
        <w:drawing>
          <wp:inline distT="0" distB="0" distL="114300" distR="114300">
            <wp:extent cx="5248275" cy="3467100"/>
            <wp:effectExtent l="0" t="0" r="9525" b="0"/>
            <wp:docPr id="351" name="图片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图片 351"/>
                    <pic:cNvPicPr>
                      <a:picLocks noChangeAspect="1"/>
                    </pic:cNvPicPr>
                  </pic:nvPicPr>
                  <pic:blipFill>
                    <a:blip r:embed="rId656" r:link="rId657"/>
                    <a:stretch>
                      <a:fillRect/>
                    </a:stretch>
                  </pic:blipFill>
                  <pic:spPr>
                    <a:xfrm>
                      <a:off x="0" y="0"/>
                      <a:ext cx="5248275" cy="3467100"/>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设置后，行情信息区会有“L”的标识，点击即可看到对应关联品种。</w:t>
      </w:r>
    </w:p>
    <w:p>
      <w:pPr>
        <w:pStyle w:val="50"/>
        <w:rPr>
          <w:rFonts w:ascii="微软雅黑" w:hAnsi="微软雅黑" w:eastAsia="微软雅黑"/>
          <w:color w:val="000000"/>
          <w:sz w:val="18"/>
          <w:szCs w:val="18"/>
        </w:rPr>
      </w:pPr>
      <w:r>
        <w:rPr>
          <w:rFonts w:ascii="微软雅黑" w:hAnsi="微软雅黑" w:eastAsia="微软雅黑"/>
          <w:color w:val="000000"/>
          <w:sz w:val="18"/>
          <w:szCs w:val="18"/>
        </w:rPr>
        <w:fldChar w:fldCharType="begin"/>
      </w:r>
      <w:r>
        <w:rPr>
          <w:rFonts w:ascii="微软雅黑" w:hAnsi="微软雅黑" w:eastAsia="微软雅黑"/>
          <w:color w:val="000000"/>
          <w:sz w:val="18"/>
          <w:szCs w:val="18"/>
        </w:rPr>
        <w:instrText xml:space="preserve"> INCLUDEPICTURE  "https://www.tdx.com.cn/products/helpfile/tdxw/chm/%E7%AC%AC%E5%9B%9B%E7%AB%A0  %E9%80%89%E9%A1%B9/4-14/2.png" \* MERGEFORMATINET </w:instrText>
      </w:r>
      <w:r>
        <w:rPr>
          <w:rFonts w:ascii="微软雅黑" w:hAnsi="微软雅黑" w:eastAsia="微软雅黑"/>
          <w:color w:val="000000"/>
          <w:sz w:val="18"/>
          <w:szCs w:val="18"/>
        </w:rPr>
        <w:fldChar w:fldCharType="separate"/>
      </w:r>
      <w:r>
        <w:rPr>
          <w:rFonts w:ascii="微软雅黑" w:hAnsi="微软雅黑" w:eastAsia="微软雅黑"/>
          <w:color w:val="000000"/>
          <w:sz w:val="18"/>
          <w:szCs w:val="18"/>
        </w:rPr>
        <w:fldChar w:fldCharType="begin"/>
      </w:r>
      <w:r>
        <w:rPr>
          <w:rFonts w:ascii="微软雅黑" w:hAnsi="微软雅黑" w:eastAsia="微软雅黑"/>
          <w:color w:val="000000"/>
          <w:sz w:val="18"/>
          <w:szCs w:val="18"/>
        </w:rPr>
        <w:instrText xml:space="preserve"> INCLUDEPICTURE  "https://www.tdx.com.cn/products/helpfile/tdxw/chm/%E7%AC%AC%E5%9B%9B%E7%AB%A0  %E9%80%89%E9%A1%B9/4-14/2.png" \* MERGEFORMATINET </w:instrText>
      </w:r>
      <w:r>
        <w:rPr>
          <w:rFonts w:ascii="微软雅黑" w:hAnsi="微软雅黑" w:eastAsia="微软雅黑"/>
          <w:color w:val="000000"/>
          <w:sz w:val="18"/>
          <w:szCs w:val="18"/>
        </w:rPr>
        <w:fldChar w:fldCharType="separate"/>
      </w:r>
      <w:r>
        <w:rPr>
          <w:rFonts w:ascii="微软雅黑" w:hAnsi="微软雅黑" w:eastAsia="微软雅黑"/>
          <w:color w:val="000000"/>
          <w:sz w:val="18"/>
          <w:szCs w:val="18"/>
        </w:rPr>
        <w:fldChar w:fldCharType="begin"/>
      </w:r>
      <w:r>
        <w:rPr>
          <w:rFonts w:ascii="微软雅黑" w:hAnsi="微软雅黑" w:eastAsia="微软雅黑"/>
          <w:color w:val="000000"/>
          <w:sz w:val="18"/>
          <w:szCs w:val="18"/>
        </w:rPr>
        <w:instrText xml:space="preserve"> INCLUDEPICTURE  "https://www.tdx.com.cn/products/helpfile/tdxw/chm/%E7%AC%AC%E5%9B%9B%E7%AB%A0  %E9%80%89%E9%A1%B9/4-14/2.png" \* MERGEFORMATINET </w:instrText>
      </w:r>
      <w:r>
        <w:rPr>
          <w:rFonts w:ascii="微软雅黑" w:hAnsi="微软雅黑" w:eastAsia="微软雅黑"/>
          <w:color w:val="000000"/>
          <w:sz w:val="18"/>
          <w:szCs w:val="18"/>
        </w:rPr>
        <w:fldChar w:fldCharType="separate"/>
      </w:r>
      <w:r>
        <w:rPr>
          <w:rFonts w:ascii="微软雅黑" w:hAnsi="微软雅黑" w:eastAsia="微软雅黑"/>
          <w:color w:val="000000"/>
          <w:sz w:val="18"/>
          <w:szCs w:val="18"/>
        </w:rPr>
        <w:fldChar w:fldCharType="begin"/>
      </w:r>
      <w:r>
        <w:rPr>
          <w:rFonts w:ascii="微软雅黑" w:hAnsi="微软雅黑" w:eastAsia="微软雅黑"/>
          <w:color w:val="000000"/>
          <w:sz w:val="18"/>
          <w:szCs w:val="18"/>
        </w:rPr>
        <w:instrText xml:space="preserve"> INCLUDEPICTURE  "https://www.tdx.com.cn/products/helpfile/tdxw/chm/%E7%AC%AC%E5%9B%9B%E7%AB%A0  %E9%80%89%E9%A1%B9/4-14/2.png" \* MERGEFORMATINET </w:instrText>
      </w:r>
      <w:r>
        <w:rPr>
          <w:rFonts w:ascii="微软雅黑" w:hAnsi="微软雅黑" w:eastAsia="微软雅黑"/>
          <w:color w:val="000000"/>
          <w:sz w:val="18"/>
          <w:szCs w:val="18"/>
        </w:rPr>
        <w:fldChar w:fldCharType="separate"/>
      </w:r>
      <w:r>
        <w:rPr>
          <w:rFonts w:ascii="微软雅黑" w:hAnsi="微软雅黑" w:eastAsia="微软雅黑"/>
          <w:color w:val="000000"/>
          <w:sz w:val="18"/>
          <w:szCs w:val="18"/>
        </w:rPr>
        <w:drawing>
          <wp:inline distT="0" distB="0" distL="114300" distR="114300">
            <wp:extent cx="3943350" cy="2962275"/>
            <wp:effectExtent l="0" t="0" r="0" b="9525"/>
            <wp:docPr id="352" name="图片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352"/>
                    <pic:cNvPicPr>
                      <a:picLocks noChangeAspect="1"/>
                    </pic:cNvPicPr>
                  </pic:nvPicPr>
                  <pic:blipFill>
                    <a:blip r:embed="rId658" r:link="rId659"/>
                    <a:stretch>
                      <a:fillRect/>
                    </a:stretch>
                  </pic:blipFill>
                  <pic:spPr>
                    <a:xfrm>
                      <a:off x="0" y="0"/>
                      <a:ext cx="3943350" cy="2962275"/>
                    </a:xfrm>
                    <a:prstGeom prst="rect">
                      <a:avLst/>
                    </a:prstGeom>
                    <a:noFill/>
                    <a:ln>
                      <a:noFill/>
                    </a:ln>
                  </pic:spPr>
                </pic:pic>
              </a:graphicData>
            </a:graphic>
          </wp:inline>
        </w:drawing>
      </w:r>
      <w:r>
        <w:rPr>
          <w:rFonts w:ascii="微软雅黑" w:hAnsi="微软雅黑" w:eastAsia="微软雅黑"/>
          <w:color w:val="000000"/>
          <w:sz w:val="18"/>
          <w:szCs w:val="18"/>
        </w:rPr>
        <w:fldChar w:fldCharType="end"/>
      </w:r>
      <w:r>
        <w:rPr>
          <w:rFonts w:ascii="微软雅黑" w:hAnsi="微软雅黑" w:eastAsia="微软雅黑"/>
          <w:color w:val="000000"/>
          <w:sz w:val="18"/>
          <w:szCs w:val="18"/>
        </w:rPr>
        <w:fldChar w:fldCharType="end"/>
      </w:r>
      <w:r>
        <w:rPr>
          <w:rFonts w:ascii="微软雅黑" w:hAnsi="微软雅黑" w:eastAsia="微软雅黑"/>
          <w:color w:val="000000"/>
          <w:sz w:val="18"/>
          <w:szCs w:val="18"/>
        </w:rPr>
        <w:fldChar w:fldCharType="end"/>
      </w:r>
      <w:r>
        <w:rPr>
          <w:rFonts w:ascii="微软雅黑" w:hAnsi="微软雅黑" w:eastAsia="微软雅黑"/>
          <w:color w:val="000000"/>
          <w:sz w:val="18"/>
          <w:szCs w:val="18"/>
        </w:rPr>
        <w:fldChar w:fldCharType="end"/>
      </w:r>
    </w:p>
    <w:p>
      <w:pPr>
        <w:pStyle w:val="3"/>
      </w:pPr>
      <w:bookmarkStart w:id="55" w:name="_Toc90646174"/>
      <w:r>
        <w:rPr>
          <w:rFonts w:hint="eastAsia"/>
        </w:rPr>
        <w:t>自定义板块设置</w:t>
      </w:r>
      <w:bookmarkEnd w:id="55"/>
    </w:p>
    <w:p>
      <w:pPr>
        <w:pStyle w:val="34"/>
      </w:pPr>
      <w:r>
        <w:rPr>
          <w:rFonts w:hint="eastAsia"/>
        </w:rPr>
        <w:t>将用户板块功能单独题列出来，方便股民使用，该功能为股民自定义的用户板块，可以将自己近期高度关注的股票单列出来，以掌握时机。</w:t>
      </w:r>
    </w:p>
    <w:p>
      <w:pPr>
        <w:pStyle w:val="34"/>
      </w:pPr>
      <w:r>
        <w:rPr>
          <w:rFonts w:hint="eastAsia"/>
        </w:rPr>
        <w:t>选项——自定义板块设置进入以下界面：</w:t>
      </w:r>
    </w:p>
    <w:p>
      <w:pPr>
        <w:pStyle w:val="34"/>
      </w:pPr>
      <w:r>
        <w:rPr>
          <w:rFonts w:hint="eastAsia"/>
        </w:rPr>
        <w:t>自定义板块管理：</w:t>
      </w:r>
    </w:p>
    <w:p>
      <w:pPr>
        <w:pStyle w:val="34"/>
      </w:pPr>
      <w:r>
        <w:rPr>
          <w:rFonts w:hint="eastAsia"/>
        </w:rPr>
        <w:t>新加品种放在板块前面：如果勾选此选项，则新加入品种，会自动放在板块的前面。</w:t>
      </w:r>
    </w:p>
    <w:p>
      <w:pPr>
        <w:pStyle w:val="34"/>
      </w:pPr>
      <w:r>
        <w:fldChar w:fldCharType="begin"/>
      </w:r>
      <w:r>
        <w:instrText xml:space="preserve"> INCLUDEPICTURE  "https://www.tdx.com.cn/products/helpfile/tdxw/chm/%E7%AC%AC%E5%9B%9B%E7%AB%A0  %E9%80%89%E9%A1%B9/4-15/1.png" \* MERGEFORMATINET </w:instrText>
      </w:r>
      <w:r>
        <w:fldChar w:fldCharType="separate"/>
      </w:r>
      <w:r>
        <w:fldChar w:fldCharType="begin"/>
      </w:r>
      <w:r>
        <w:instrText xml:space="preserve"> INCLUDEPICTURE  "https://www.tdx.com.cn/products/helpfile/tdxw/chm/%E7%AC%AC%E5%9B%9B%E7%AB%A0  %E9%80%89%E9%A1%B9/4-15/1.png" \* MERGEFORMATINET </w:instrText>
      </w:r>
      <w:r>
        <w:fldChar w:fldCharType="separate"/>
      </w:r>
      <w:r>
        <w:fldChar w:fldCharType="begin"/>
      </w:r>
      <w:r>
        <w:instrText xml:space="preserve"> INCLUDEPICTURE  "https://www.tdx.com.cn/products/helpfile/tdxw/chm/%E7%AC%AC%E5%9B%9B%E7%AB%A0  %E9%80%89%E9%A1%B9/4-15/1.png" \* MERGEFORMATINET </w:instrText>
      </w:r>
      <w:r>
        <w:fldChar w:fldCharType="separate"/>
      </w:r>
      <w:r>
        <w:fldChar w:fldCharType="begin"/>
      </w:r>
      <w:r>
        <w:instrText xml:space="preserve"> INCLUDEPICTURE  "https://www.tdx.com.cn/products/helpfile/tdxw/chm/%E7%AC%AC%E5%9B%9B%E7%AB%A0  %E9%80%89%E9%A1%B9/4-15/1.png" \* MERGEFORMATINET </w:instrText>
      </w:r>
      <w:r>
        <w:fldChar w:fldCharType="separate"/>
      </w:r>
      <w:r>
        <w:drawing>
          <wp:inline distT="0" distB="0" distL="114300" distR="114300">
            <wp:extent cx="7162800" cy="5676900"/>
            <wp:effectExtent l="0" t="0" r="0" b="0"/>
            <wp:docPr id="353" name="图片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图片 353"/>
                    <pic:cNvPicPr>
                      <a:picLocks noChangeAspect="1"/>
                    </pic:cNvPicPr>
                  </pic:nvPicPr>
                  <pic:blipFill>
                    <a:blip r:embed="rId660" r:link="rId661"/>
                    <a:stretch>
                      <a:fillRect/>
                    </a:stretch>
                  </pic:blipFill>
                  <pic:spPr>
                    <a:xfrm>
                      <a:off x="0" y="0"/>
                      <a:ext cx="7162800" cy="5676900"/>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用户板块颜色，其颜色应用在界面中会有详细的介绍：（左右键的灵活应用）</w:t>
      </w:r>
    </w:p>
    <w:p>
      <w:pPr>
        <w:pStyle w:val="34"/>
      </w:pPr>
      <w:r>
        <w:fldChar w:fldCharType="begin"/>
      </w:r>
      <w:r>
        <w:instrText xml:space="preserve"> INCLUDEPICTURE  "https://www.tdx.com.cn/products/helpfile/tdxw/chm/%E7%AC%AC%E5%9B%9B%E7%AB%A0  %E9%80%89%E9%A1%B9/4-15/2.png" \* MERGEFORMATINET </w:instrText>
      </w:r>
      <w:r>
        <w:fldChar w:fldCharType="separate"/>
      </w:r>
      <w:r>
        <w:fldChar w:fldCharType="begin"/>
      </w:r>
      <w:r>
        <w:instrText xml:space="preserve"> INCLUDEPICTURE  "https://www.tdx.com.cn/products/helpfile/tdxw/chm/%E7%AC%AC%E5%9B%9B%E7%AB%A0  %E9%80%89%E9%A1%B9/4-15/2.png" \* MERGEFORMATINET </w:instrText>
      </w:r>
      <w:r>
        <w:fldChar w:fldCharType="separate"/>
      </w:r>
      <w:r>
        <w:fldChar w:fldCharType="begin"/>
      </w:r>
      <w:r>
        <w:instrText xml:space="preserve"> INCLUDEPICTURE  "https://www.tdx.com.cn/products/helpfile/tdxw/chm/%E7%AC%AC%E5%9B%9B%E7%AB%A0  %E9%80%89%E9%A1%B9/4-15/2.png" \* MERGEFORMATINET </w:instrText>
      </w:r>
      <w:r>
        <w:fldChar w:fldCharType="separate"/>
      </w:r>
      <w:r>
        <w:fldChar w:fldCharType="begin"/>
      </w:r>
      <w:r>
        <w:instrText xml:space="preserve"> INCLUDEPICTURE  "https://www.tdx.com.cn/products/helpfile/tdxw/chm/%E7%AC%AC%E5%9B%9B%E7%AB%A0  %E9%80%89%E9%A1%B9/4-15/2.png" \* MERGEFORMATINET </w:instrText>
      </w:r>
      <w:r>
        <w:fldChar w:fldCharType="separate"/>
      </w:r>
      <w:r>
        <w:drawing>
          <wp:inline distT="0" distB="0" distL="114300" distR="114300">
            <wp:extent cx="4991100" cy="3952875"/>
            <wp:effectExtent l="0" t="0" r="0" b="9525"/>
            <wp:docPr id="354" name="图片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354"/>
                    <pic:cNvPicPr>
                      <a:picLocks noChangeAspect="1"/>
                    </pic:cNvPicPr>
                  </pic:nvPicPr>
                  <pic:blipFill>
                    <a:blip r:embed="rId662" r:link="rId663"/>
                    <a:stretch>
                      <a:fillRect/>
                    </a:stretch>
                  </pic:blipFill>
                  <pic:spPr>
                    <a:xfrm>
                      <a:off x="0" y="0"/>
                      <a:ext cx="4991100" cy="3952875"/>
                    </a:xfrm>
                    <a:prstGeom prst="rect">
                      <a:avLst/>
                    </a:prstGeom>
                    <a:noFill/>
                    <a:ln>
                      <a:noFill/>
                    </a:ln>
                  </pic:spPr>
                </pic:pic>
              </a:graphicData>
            </a:graphic>
          </wp:inline>
        </w:drawing>
      </w:r>
      <w:r>
        <w:fldChar w:fldCharType="end"/>
      </w:r>
      <w:r>
        <w:fldChar w:fldCharType="end"/>
      </w:r>
      <w:r>
        <w:fldChar w:fldCharType="end"/>
      </w:r>
      <w:r>
        <w:fldChar w:fldCharType="end"/>
      </w:r>
    </w:p>
    <w:p>
      <w:pPr>
        <w:pStyle w:val="34"/>
        <w:ind w:firstLine="540"/>
        <w:rPr>
          <w:sz w:val="27"/>
          <w:szCs w:val="27"/>
        </w:rPr>
      </w:pPr>
      <w:r>
        <w:rPr>
          <w:rFonts w:hint="eastAsia"/>
          <w:sz w:val="27"/>
          <w:szCs w:val="27"/>
        </w:rPr>
        <w:t> </w:t>
      </w:r>
    </w:p>
    <w:p>
      <w:pPr>
        <w:pStyle w:val="34"/>
      </w:pPr>
      <w:r>
        <w:rPr>
          <w:rFonts w:hint="eastAsia"/>
        </w:rPr>
        <w:t>分时图和分析图左上角的品种名称也采用板块颜色：</w:t>
      </w:r>
      <w:r>
        <w:fldChar w:fldCharType="begin"/>
      </w:r>
      <w:r>
        <w:instrText xml:space="preserve"> INCLUDEPICTURE  "https://www.tdx.com.cn/products/helpfile/tdxw/chm/%E7%AC%AC%E5%9B%9B%E7%AB%A0  %E9%80%89%E9%A1%B9/4-15/3.png" \* MERGEFORMATINET </w:instrText>
      </w:r>
      <w:r>
        <w:fldChar w:fldCharType="separate"/>
      </w:r>
      <w:r>
        <w:fldChar w:fldCharType="begin"/>
      </w:r>
      <w:r>
        <w:instrText xml:space="preserve"> INCLUDEPICTURE  "https://www.tdx.com.cn/products/helpfile/tdxw/chm/%E7%AC%AC%E5%9B%9B%E7%AB%A0  %E9%80%89%E9%A1%B9/4-15/3.png" \* MERGEFORMATINET </w:instrText>
      </w:r>
      <w:r>
        <w:fldChar w:fldCharType="separate"/>
      </w:r>
      <w:r>
        <w:fldChar w:fldCharType="begin"/>
      </w:r>
      <w:r>
        <w:instrText xml:space="preserve"> INCLUDEPICTURE  "https://www.tdx.com.cn/products/helpfile/tdxw/chm/%E7%AC%AC%E5%9B%9B%E7%AB%A0  %E9%80%89%E9%A1%B9/4-15/3.png" \* MERGEFORMATINET </w:instrText>
      </w:r>
      <w:r>
        <w:fldChar w:fldCharType="separate"/>
      </w:r>
      <w:r>
        <w:fldChar w:fldCharType="begin"/>
      </w:r>
      <w:r>
        <w:instrText xml:space="preserve"> INCLUDEPICTURE  "https://www.tdx.com.cn/products/helpfile/tdxw/chm/%E7%AC%AC%E5%9B%9B%E7%AB%A0  %E9%80%89%E9%A1%B9/4-15/3.png" \* MERGEFORMATINET </w:instrText>
      </w:r>
      <w:r>
        <w:fldChar w:fldCharType="separate"/>
      </w:r>
      <w:r>
        <w:drawing>
          <wp:inline distT="0" distB="0" distL="114300" distR="114300">
            <wp:extent cx="3209925" cy="1885950"/>
            <wp:effectExtent l="0" t="0" r="9525" b="0"/>
            <wp:docPr id="355" name="图片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355"/>
                    <pic:cNvPicPr>
                      <a:picLocks noChangeAspect="1"/>
                    </pic:cNvPicPr>
                  </pic:nvPicPr>
                  <pic:blipFill>
                    <a:blip r:embed="rId664" r:link="rId665"/>
                    <a:stretch>
                      <a:fillRect/>
                    </a:stretch>
                  </pic:blipFill>
                  <pic:spPr>
                    <a:xfrm>
                      <a:off x="0" y="0"/>
                      <a:ext cx="3209925" cy="1885950"/>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行情标签和板块菜单中也采用板块颜色：</w:t>
      </w:r>
    </w:p>
    <w:p>
      <w:pPr>
        <w:pStyle w:val="34"/>
      </w:pPr>
      <w:r>
        <w:fldChar w:fldCharType="begin"/>
      </w:r>
      <w:r>
        <w:instrText xml:space="preserve"> INCLUDEPICTURE  "https://www.tdx.com.cn/products/helpfile/tdxw/chm/%E7%AC%AC%E5%9B%9B%E7%AB%A0  %E9%80%89%E9%A1%B9/4-15/4.png" \* MERGEFORMATINET </w:instrText>
      </w:r>
      <w:r>
        <w:fldChar w:fldCharType="separate"/>
      </w:r>
      <w:r>
        <w:fldChar w:fldCharType="begin"/>
      </w:r>
      <w:r>
        <w:instrText xml:space="preserve"> INCLUDEPICTURE  "https://www.tdx.com.cn/products/helpfile/tdxw/chm/%E7%AC%AC%E5%9B%9B%E7%AB%A0  %E9%80%89%E9%A1%B9/4-15/4.png" \* MERGEFORMATINET </w:instrText>
      </w:r>
      <w:r>
        <w:fldChar w:fldCharType="separate"/>
      </w:r>
      <w:r>
        <w:fldChar w:fldCharType="begin"/>
      </w:r>
      <w:r>
        <w:instrText xml:space="preserve"> INCLUDEPICTURE  "https://www.tdx.com.cn/products/helpfile/tdxw/chm/%E7%AC%AC%E5%9B%9B%E7%AB%A0  %E9%80%89%E9%A1%B9/4-15/4.png" \* MERGEFORMATINET </w:instrText>
      </w:r>
      <w:r>
        <w:fldChar w:fldCharType="separate"/>
      </w:r>
      <w:r>
        <w:fldChar w:fldCharType="begin"/>
      </w:r>
      <w:r>
        <w:instrText xml:space="preserve"> INCLUDEPICTURE  "https://www.tdx.com.cn/products/helpfile/tdxw/chm/%E7%AC%AC%E5%9B%9B%E7%AB%A0  %E9%80%89%E9%A1%B9/4-15/4.png" \* MERGEFORMATINET </w:instrText>
      </w:r>
      <w:r>
        <w:fldChar w:fldCharType="separate"/>
      </w:r>
      <w:r>
        <w:drawing>
          <wp:inline distT="0" distB="0" distL="114300" distR="114300">
            <wp:extent cx="7696200" cy="1771650"/>
            <wp:effectExtent l="0" t="0" r="0" b="0"/>
            <wp:docPr id="356" name="图片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图片 356"/>
                    <pic:cNvPicPr>
                      <a:picLocks noChangeAspect="1"/>
                    </pic:cNvPicPr>
                  </pic:nvPicPr>
                  <pic:blipFill>
                    <a:blip r:embed="rId666" r:link="rId667"/>
                    <a:stretch>
                      <a:fillRect/>
                    </a:stretch>
                  </pic:blipFill>
                  <pic:spPr>
                    <a:xfrm>
                      <a:off x="0" y="0"/>
                      <a:ext cx="7696200" cy="1771650"/>
                    </a:xfrm>
                    <a:prstGeom prst="rect">
                      <a:avLst/>
                    </a:prstGeom>
                    <a:noFill/>
                    <a:ln>
                      <a:noFill/>
                    </a:ln>
                  </pic:spPr>
                </pic:pic>
              </a:graphicData>
            </a:graphic>
          </wp:inline>
        </w:drawing>
      </w:r>
      <w:r>
        <w:fldChar w:fldCharType="end"/>
      </w:r>
      <w:r>
        <w:fldChar w:fldCharType="end"/>
      </w:r>
      <w:r>
        <w:fldChar w:fldCharType="end"/>
      </w:r>
      <w:r>
        <w:fldChar w:fldCharType="end"/>
      </w:r>
    </w:p>
    <w:p>
      <w:pPr>
        <w:pStyle w:val="3"/>
      </w:pPr>
      <w:bookmarkStart w:id="56" w:name="_Toc90646175"/>
      <w:r>
        <w:rPr>
          <w:rFonts w:hint="eastAsia"/>
        </w:rPr>
        <w:t>系统设置</w:t>
      </w:r>
      <w:bookmarkEnd w:id="56"/>
    </w:p>
    <w:p>
      <w:pPr>
        <w:pStyle w:val="34"/>
      </w:pPr>
      <w:r>
        <w:rPr>
          <w:rFonts w:hint="eastAsia"/>
        </w:rPr>
        <w:t>系统设置包括：外观设置、系统设置1、系统设置2、系统设置3、系统设置4、周期、标签、输入、链接、高级等设置。</w:t>
      </w:r>
    </w:p>
    <w:p>
      <w:pPr>
        <w:pStyle w:val="34"/>
      </w:pPr>
      <w:r>
        <w:rPr>
          <w:rFonts w:hint="eastAsia"/>
        </w:rPr>
        <w:t>快捷方式： </w:t>
      </w:r>
    </w:p>
    <w:p>
      <w:pPr>
        <w:pStyle w:val="34"/>
      </w:pPr>
      <w:r>
        <w:rPr>
          <w:rFonts w:hint="eastAsia"/>
        </w:rPr>
        <w:t>▲ 热键 Ctrl+D </w:t>
      </w:r>
    </w:p>
    <w:p>
      <w:pPr>
        <w:pStyle w:val="34"/>
      </w:pPr>
      <w:r>
        <w:rPr>
          <w:rFonts w:hint="eastAsia"/>
        </w:rPr>
        <w:t>▲ 键盘精灵 .930 </w:t>
      </w:r>
    </w:p>
    <w:p>
      <w:pPr>
        <w:pStyle w:val="34"/>
      </w:pPr>
      <w:r>
        <w:rPr>
          <w:rFonts w:hint="eastAsia"/>
        </w:rPr>
        <w:t>▲ 选项---系统设置 </w:t>
      </w:r>
    </w:p>
    <w:p>
      <w:pPr>
        <w:pStyle w:val="34"/>
      </w:pPr>
      <w:r>
        <w:fldChar w:fldCharType="begin"/>
      </w:r>
      <w:r>
        <w:instrText xml:space="preserve"> INCLUDEPICTURE  "https://www.tdx.com.cn/products/helpfile/tdxw/chm/%E7%AC%AC%E5%9B%9B%E7%AB%A0  %E9%80%89%E9%A1%B9/4-16%E7%B3%BB%E7%BB%9F%E8%AE%BE%E7%BD%AE/1.png" \* MERGEFORMATINET </w:instrText>
      </w:r>
      <w:r>
        <w:fldChar w:fldCharType="separate"/>
      </w:r>
      <w:r>
        <w:fldChar w:fldCharType="begin"/>
      </w:r>
      <w:r>
        <w:instrText xml:space="preserve"> INCLUDEPICTURE  "https://www.tdx.com.cn/products/helpfile/tdxw/chm/%E7%AC%AC%E5%9B%9B%E7%AB%A0  %E9%80%89%E9%A1%B9/4-16%E7%B3%BB%E7%BB%9F%E8%AE%BE%E7%BD%AE/1.png" \* MERGEFORMATINET </w:instrText>
      </w:r>
      <w:r>
        <w:fldChar w:fldCharType="separate"/>
      </w:r>
      <w:r>
        <w:fldChar w:fldCharType="begin"/>
      </w:r>
      <w:r>
        <w:instrText xml:space="preserve"> INCLUDEPICTURE  "https://www.tdx.com.cn/products/helpfile/tdxw/chm/%E7%AC%AC%E5%9B%9B%E7%AB%A0  %E9%80%89%E9%A1%B9/4-16%E7%B3%BB%E7%BB%9F%E8%AE%BE%E7%BD%AE/1.png" \* MERGEFORMATINET </w:instrText>
      </w:r>
      <w:r>
        <w:fldChar w:fldCharType="separate"/>
      </w:r>
      <w:r>
        <w:fldChar w:fldCharType="begin"/>
      </w:r>
      <w:r>
        <w:instrText xml:space="preserve"> INCLUDEPICTURE  "https://www.tdx.com.cn/products/helpfile/tdxw/chm/%E7%AC%AC%E5%9B%9B%E7%AB%A0  %E9%80%89%E9%A1%B9/4-16%E7%B3%BB%E7%BB%9F%E8%AE%BE%E7%BD%AE/1.png" \* MERGEFORMATINET </w:instrText>
      </w:r>
      <w:r>
        <w:fldChar w:fldCharType="separate"/>
      </w:r>
      <w:r>
        <w:drawing>
          <wp:inline distT="0" distB="0" distL="114300" distR="114300">
            <wp:extent cx="6648450" cy="5305425"/>
            <wp:effectExtent l="0" t="0" r="0" b="9525"/>
            <wp:docPr id="357" name="图片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图片 357"/>
                    <pic:cNvPicPr>
                      <a:picLocks noChangeAspect="1"/>
                    </pic:cNvPicPr>
                  </pic:nvPicPr>
                  <pic:blipFill>
                    <a:blip r:embed="rId668" r:link="rId669"/>
                    <a:stretch>
                      <a:fillRect/>
                    </a:stretch>
                  </pic:blipFill>
                  <pic:spPr>
                    <a:xfrm>
                      <a:off x="0" y="0"/>
                      <a:ext cx="6648450" cy="5305425"/>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外观设置</w:t>
      </w:r>
    </w:p>
    <w:p>
      <w:pPr>
        <w:pStyle w:val="34"/>
      </w:pPr>
      <w:r>
        <w:rPr>
          <w:rFonts w:hint="eastAsia"/>
        </w:rPr>
        <w:t>■选择“配色方案”左侧的方案预览就可以查看到此配色方案的展示效果； 有几组预定义的方案可供选择。选择其中某一配色方案，左边"方案预览"窗显示该配色方案的效果图。 </w:t>
      </w:r>
    </w:p>
    <w:p>
      <w:pPr>
        <w:pStyle w:val="34"/>
      </w:pPr>
      <w:r>
        <w:rPr>
          <w:rFonts w:hint="eastAsia"/>
        </w:rPr>
        <w:t>如果对选中的系统配色方案的某些地方不满意，可以局部修改。例如想把"背景"变成红色，先在右边的选项窗中选中这一项，然后在"颜色"组框点击红色按钮，方案预览中的背景已变成红色。 </w:t>
      </w:r>
    </w:p>
    <w:p>
      <w:pPr>
        <w:pStyle w:val="34"/>
      </w:pPr>
      <w:r>
        <w:rPr>
          <w:rFonts w:hint="eastAsia"/>
        </w:rPr>
        <w:t>若"颜色"组框提供的二十五种颜色不能满足要求，点及"其它颜色"按钮，将提供更丰富的颜色。 </w:t>
      </w:r>
    </w:p>
    <w:p>
      <w:pPr>
        <w:pStyle w:val="34"/>
      </w:pPr>
      <w:r>
        <w:rPr>
          <w:rFonts w:hint="eastAsia"/>
        </w:rPr>
        <w:t>■字体设置</w:t>
      </w:r>
    </w:p>
    <w:tbl>
      <w:tblPr>
        <w:tblStyle w:val="25"/>
        <w:tblW w:w="0" w:type="auto"/>
        <w:tblCellSpacing w:w="0" w:type="dxa"/>
        <w:tblInd w:w="0" w:type="dxa"/>
        <w:tblBorders>
          <w:top w:val="outset" w:color="auto" w:sz="6" w:space="0"/>
          <w:left w:val="outset" w:color="auto" w:sz="6" w:space="0"/>
          <w:bottom w:val="outset" w:color="auto" w:sz="6" w:space="0"/>
          <w:right w:val="outset" w:color="auto" w:sz="6" w:space="0"/>
          <w:insideH w:val="none" w:color="auto" w:sz="0" w:space="0"/>
          <w:insideV w:val="none" w:color="auto" w:sz="0" w:space="0"/>
        </w:tblBorders>
        <w:tblLayout w:type="autofit"/>
        <w:tblCellMar>
          <w:top w:w="0" w:type="dxa"/>
          <w:left w:w="0" w:type="dxa"/>
          <w:bottom w:w="0" w:type="dxa"/>
          <w:right w:w="0" w:type="dxa"/>
        </w:tblCellMar>
      </w:tblPr>
      <w:tblGrid>
        <w:gridCol w:w="2709"/>
        <w:gridCol w:w="10489"/>
      </w:tblGrid>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709" w:type="dxa"/>
            <w:tcBorders>
              <w:top w:val="outset" w:color="auto" w:sz="6" w:space="0"/>
              <w:left w:val="outset" w:color="auto" w:sz="6" w:space="0"/>
              <w:bottom w:val="outset" w:color="auto" w:sz="6" w:space="0"/>
              <w:right w:val="outset" w:color="auto" w:sz="6" w:space="0"/>
            </w:tcBorders>
            <w:vAlign w:val="center"/>
          </w:tcPr>
          <w:p>
            <w:pPr>
              <w:pStyle w:val="34"/>
            </w:pPr>
          </w:p>
          <w:p>
            <w:pPr>
              <w:pStyle w:val="34"/>
              <w:rPr>
                <w:rFonts w:cs="宋体"/>
              </w:rPr>
            </w:pPr>
            <w:r>
              <w:rPr>
                <w:rFonts w:hint="eastAsia"/>
              </w:rPr>
              <w:t>字体类别</w:t>
            </w:r>
          </w:p>
        </w:tc>
        <w:tc>
          <w:tcPr>
            <w:tcW w:w="10489"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具体展示</w:t>
            </w:r>
            <w:r>
              <w:rPr>
                <w:rStyle w:val="28"/>
                <w:rFonts w:hint="eastAsia" w:ascii="微软雅黑" w:hAnsi="微软雅黑" w:eastAsia="微软雅黑"/>
                <w:sz w:val="18"/>
                <w:szCs w:val="18"/>
              </w:rPr>
              <w:t>/</w:t>
            </w:r>
            <w:r>
              <w:rPr>
                <w:rFonts w:hint="eastAsia"/>
              </w:rPr>
              <w:t>说明</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709"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行情报表字体</w:t>
            </w:r>
          </w:p>
        </w:tc>
        <w:tc>
          <w:tcPr>
            <w:tcW w:w="10489"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最初进入客户端的行情报价界面的字体</w:t>
            </w:r>
          </w:p>
          <w:p>
            <w:pPr>
              <w:pStyle w:val="34"/>
            </w:pPr>
            <w:r>
              <w:fldChar w:fldCharType="begin"/>
            </w:r>
            <w:r>
              <w:instrText xml:space="preserve"> INCLUDEPICTURE  "https://www.tdx.com.cn/products/helpfile/tdxw/chm/%E7%AC%AC%E5%9B%9B%E7%AB%A0  %E9%80%89%E9%A1%B9/4-16%E7%B3%BB%E7%BB%9F%E8%AE%BE%E7%BD%AE/2.png" \* MERGEFORMATINET </w:instrText>
            </w:r>
            <w:r>
              <w:fldChar w:fldCharType="separate"/>
            </w:r>
            <w:r>
              <w:fldChar w:fldCharType="begin"/>
            </w:r>
            <w:r>
              <w:instrText xml:space="preserve"> INCLUDEPICTURE  "https://www.tdx.com.cn/products/helpfile/tdxw/chm/%E7%AC%AC%E5%9B%9B%E7%AB%A0  %E9%80%89%E9%A1%B9/4-16%E7%B3%BB%E7%BB%9F%E8%AE%BE%E7%BD%AE/2.png" \* MERGEFORMATINET </w:instrText>
            </w:r>
            <w:r>
              <w:fldChar w:fldCharType="separate"/>
            </w:r>
            <w:r>
              <w:fldChar w:fldCharType="begin"/>
            </w:r>
            <w:r>
              <w:instrText xml:space="preserve"> INCLUDEPICTURE  "https://www.tdx.com.cn/products/helpfile/tdxw/chm/%E7%AC%AC%E5%9B%9B%E7%AB%A0  %E9%80%89%E9%A1%B9/4-16%E7%B3%BB%E7%BB%9F%E8%AE%BE%E7%BD%AE/2.png" \* MERGEFORMATINET </w:instrText>
            </w:r>
            <w:r>
              <w:fldChar w:fldCharType="separate"/>
            </w:r>
            <w:r>
              <w:fldChar w:fldCharType="begin"/>
            </w:r>
            <w:r>
              <w:instrText xml:space="preserve"> INCLUDEPICTURE  "https://www.tdx.com.cn/products/helpfile/tdxw/chm/%E7%AC%AC%E5%9B%9B%E7%AB%A0  %E9%80%89%E9%A1%B9/4-16%E7%B3%BB%E7%BB%9F%E8%AE%BE%E7%BD%AE/2.png" \* MERGEFORMATINET </w:instrText>
            </w:r>
            <w:r>
              <w:fldChar w:fldCharType="separate"/>
            </w:r>
            <w:r>
              <w:drawing>
                <wp:inline distT="0" distB="0" distL="114300" distR="114300">
                  <wp:extent cx="6038850" cy="1304925"/>
                  <wp:effectExtent l="0" t="0" r="0" b="9525"/>
                  <wp:docPr id="358" name="图片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图片 358"/>
                          <pic:cNvPicPr>
                            <a:picLocks noChangeAspect="1"/>
                          </pic:cNvPicPr>
                        </pic:nvPicPr>
                        <pic:blipFill>
                          <a:blip r:embed="rId670" r:link="rId671"/>
                          <a:stretch>
                            <a:fillRect/>
                          </a:stretch>
                        </pic:blipFill>
                        <pic:spPr>
                          <a:xfrm>
                            <a:off x="0" y="0"/>
                            <a:ext cx="6038850" cy="1304925"/>
                          </a:xfrm>
                          <a:prstGeom prst="rect">
                            <a:avLst/>
                          </a:prstGeom>
                          <a:noFill/>
                          <a:ln>
                            <a:noFill/>
                          </a:ln>
                        </pic:spPr>
                      </pic:pic>
                    </a:graphicData>
                  </a:graphic>
                </wp:inline>
              </w:drawing>
            </w:r>
            <w:r>
              <w:fldChar w:fldCharType="end"/>
            </w:r>
            <w:r>
              <w:fldChar w:fldCharType="end"/>
            </w:r>
            <w:r>
              <w:fldChar w:fldCharType="end"/>
            </w:r>
            <w:r>
              <w:fldChar w:fldCharType="end"/>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709"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图形文本字体</w:t>
            </w:r>
          </w:p>
        </w:tc>
        <w:tc>
          <w:tcPr>
            <w:tcW w:w="10489"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分析图</w:t>
            </w:r>
            <w:r>
              <w:rPr>
                <w:rStyle w:val="28"/>
                <w:rFonts w:hint="eastAsia" w:ascii="微软雅黑" w:hAnsi="微软雅黑" w:eastAsia="微软雅黑"/>
                <w:sz w:val="18"/>
                <w:szCs w:val="18"/>
              </w:rPr>
              <w:t>/</w:t>
            </w:r>
            <w:r>
              <w:rPr>
                <w:rFonts w:hint="eastAsia"/>
              </w:rPr>
              <w:t>分时图的图形中的文字或者显示</w:t>
            </w:r>
          </w:p>
          <w:p>
            <w:pPr>
              <w:pStyle w:val="34"/>
            </w:pPr>
            <w:r>
              <w:fldChar w:fldCharType="begin"/>
            </w:r>
            <w:r>
              <w:instrText xml:space="preserve"> INCLUDEPICTURE  "https://www.tdx.com.cn/products/helpfile/tdxw/chm/%E7%AC%AC%E5%9B%9B%E7%AB%A0  %E9%80%89%E9%A1%B9/4-16%E7%B3%BB%E7%BB%9F%E8%AE%BE%E7%BD%AE/3.png" \* MERGEFORMATINET </w:instrText>
            </w:r>
            <w:r>
              <w:fldChar w:fldCharType="separate"/>
            </w:r>
            <w:r>
              <w:fldChar w:fldCharType="begin"/>
            </w:r>
            <w:r>
              <w:instrText xml:space="preserve"> INCLUDEPICTURE  "https://www.tdx.com.cn/products/helpfile/tdxw/chm/%E7%AC%AC%E5%9B%9B%E7%AB%A0  %E9%80%89%E9%A1%B9/4-16%E7%B3%BB%E7%BB%9F%E8%AE%BE%E7%BD%AE/3.png" \* MERGEFORMATINET </w:instrText>
            </w:r>
            <w:r>
              <w:fldChar w:fldCharType="separate"/>
            </w:r>
            <w:r>
              <w:fldChar w:fldCharType="begin"/>
            </w:r>
            <w:r>
              <w:instrText xml:space="preserve"> INCLUDEPICTURE  "https://www.tdx.com.cn/products/helpfile/tdxw/chm/%E7%AC%AC%E5%9B%9B%E7%AB%A0  %E9%80%89%E9%A1%B9/4-16%E7%B3%BB%E7%BB%9F%E8%AE%BE%E7%BD%AE/3.png" \* MERGEFORMATINET </w:instrText>
            </w:r>
            <w:r>
              <w:fldChar w:fldCharType="separate"/>
            </w:r>
            <w:r>
              <w:fldChar w:fldCharType="begin"/>
            </w:r>
            <w:r>
              <w:instrText xml:space="preserve"> INCLUDEPICTURE  "https://www.tdx.com.cn/products/helpfile/tdxw/chm/%E7%AC%AC%E5%9B%9B%E7%AB%A0  %E9%80%89%E9%A1%B9/4-16%E7%B3%BB%E7%BB%9F%E8%AE%BE%E7%BD%AE/3.png" \* MERGEFORMATINET </w:instrText>
            </w:r>
            <w:r>
              <w:fldChar w:fldCharType="separate"/>
            </w:r>
            <w:r>
              <w:drawing>
                <wp:inline distT="0" distB="0" distL="114300" distR="114300">
                  <wp:extent cx="5200650" cy="1809750"/>
                  <wp:effectExtent l="0" t="0" r="0" b="0"/>
                  <wp:docPr id="359" name="图片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图片 359"/>
                          <pic:cNvPicPr>
                            <a:picLocks noChangeAspect="1"/>
                          </pic:cNvPicPr>
                        </pic:nvPicPr>
                        <pic:blipFill>
                          <a:blip r:embed="rId672" r:link="rId673"/>
                          <a:stretch>
                            <a:fillRect/>
                          </a:stretch>
                        </pic:blipFill>
                        <pic:spPr>
                          <a:xfrm>
                            <a:off x="0" y="0"/>
                            <a:ext cx="5200650" cy="1809750"/>
                          </a:xfrm>
                          <a:prstGeom prst="rect">
                            <a:avLst/>
                          </a:prstGeom>
                          <a:noFill/>
                          <a:ln>
                            <a:noFill/>
                          </a:ln>
                        </pic:spPr>
                      </pic:pic>
                    </a:graphicData>
                  </a:graphic>
                </wp:inline>
              </w:drawing>
            </w:r>
            <w:r>
              <w:fldChar w:fldCharType="end"/>
            </w:r>
            <w:r>
              <w:fldChar w:fldCharType="end"/>
            </w:r>
            <w:r>
              <w:fldChar w:fldCharType="end"/>
            </w:r>
            <w:r>
              <w:fldChar w:fldCharType="end"/>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709"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资讯内容字体</w:t>
            </w:r>
          </w:p>
        </w:tc>
        <w:tc>
          <w:tcPr>
            <w:tcW w:w="10489"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F10基本资料</w:t>
            </w:r>
          </w:p>
          <w:p>
            <w:pPr>
              <w:pStyle w:val="34"/>
            </w:pPr>
            <w:r>
              <w:fldChar w:fldCharType="begin"/>
            </w:r>
            <w:r>
              <w:instrText xml:space="preserve"> INCLUDEPICTURE  "https://www.tdx.com.cn/products/helpfile/tdxw/chm/%E7%AC%AC%E5%9B%9B%E7%AB%A0  %E9%80%89%E9%A1%B9/4-16%E7%B3%BB%E7%BB%9F%E8%AE%BE%E7%BD%AE/4.png" \* MERGEFORMATINET </w:instrText>
            </w:r>
            <w:r>
              <w:fldChar w:fldCharType="separate"/>
            </w:r>
            <w:r>
              <w:fldChar w:fldCharType="begin"/>
            </w:r>
            <w:r>
              <w:instrText xml:space="preserve"> INCLUDEPICTURE  "https://www.tdx.com.cn/products/helpfile/tdxw/chm/%E7%AC%AC%E5%9B%9B%E7%AB%A0  %E9%80%89%E9%A1%B9/4-16%E7%B3%BB%E7%BB%9F%E8%AE%BE%E7%BD%AE/4.png" \* MERGEFORMATINET </w:instrText>
            </w:r>
            <w:r>
              <w:fldChar w:fldCharType="separate"/>
            </w:r>
            <w:r>
              <w:fldChar w:fldCharType="begin"/>
            </w:r>
            <w:r>
              <w:instrText xml:space="preserve"> INCLUDEPICTURE  "https://www.tdx.com.cn/products/helpfile/tdxw/chm/%E7%AC%AC%E5%9B%9B%E7%AB%A0  %E9%80%89%E9%A1%B9/4-16%E7%B3%BB%E7%BB%9F%E8%AE%BE%E7%BD%AE/4.png" \* MERGEFORMATINET </w:instrText>
            </w:r>
            <w:r>
              <w:fldChar w:fldCharType="separate"/>
            </w:r>
            <w:r>
              <w:fldChar w:fldCharType="begin"/>
            </w:r>
            <w:r>
              <w:instrText xml:space="preserve"> INCLUDEPICTURE  "https://www.tdx.com.cn/products/helpfile/tdxw/chm/%E7%AC%AC%E5%9B%9B%E7%AB%A0  %E9%80%89%E9%A1%B9/4-16%E7%B3%BB%E7%BB%9F%E8%AE%BE%E7%BD%AE/4.png" \* MERGEFORMATINET </w:instrText>
            </w:r>
            <w:r>
              <w:fldChar w:fldCharType="separate"/>
            </w:r>
            <w:r>
              <w:drawing>
                <wp:inline distT="0" distB="0" distL="114300" distR="114300">
                  <wp:extent cx="6086475" cy="2476500"/>
                  <wp:effectExtent l="0" t="0" r="9525" b="0"/>
                  <wp:docPr id="360" name="图片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图片 360"/>
                          <pic:cNvPicPr>
                            <a:picLocks noChangeAspect="1"/>
                          </pic:cNvPicPr>
                        </pic:nvPicPr>
                        <pic:blipFill>
                          <a:blip r:embed="rId674" r:link="rId675"/>
                          <a:stretch>
                            <a:fillRect/>
                          </a:stretch>
                        </pic:blipFill>
                        <pic:spPr>
                          <a:xfrm>
                            <a:off x="0" y="0"/>
                            <a:ext cx="6086475" cy="2476500"/>
                          </a:xfrm>
                          <a:prstGeom prst="rect">
                            <a:avLst/>
                          </a:prstGeom>
                          <a:noFill/>
                          <a:ln>
                            <a:noFill/>
                          </a:ln>
                        </pic:spPr>
                      </pic:pic>
                    </a:graphicData>
                  </a:graphic>
                </wp:inline>
              </w:drawing>
            </w:r>
            <w:r>
              <w:fldChar w:fldCharType="end"/>
            </w:r>
            <w:r>
              <w:fldChar w:fldCharType="end"/>
            </w:r>
            <w:r>
              <w:fldChar w:fldCharType="end"/>
            </w:r>
            <w:r>
              <w:fldChar w:fldCharType="end"/>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709"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行情信息内容字体</w:t>
            </w:r>
          </w:p>
        </w:tc>
        <w:tc>
          <w:tcPr>
            <w:tcW w:w="10489"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右侧行情信息区的文字的字体调整</w:t>
            </w:r>
            <w:r>
              <w:fldChar w:fldCharType="begin"/>
            </w:r>
            <w:r>
              <w:instrText xml:space="preserve"> INCLUDEPICTURE  "https://www.tdx.com.cn/products/helpfile/tdxw/chm/%E7%AC%AC%E5%9B%9B%E7%AB%A0  %E9%80%89%E9%A1%B9/4-16%E7%B3%BB%E7%BB%9F%E8%AE%BE%E7%BD%AE/5.png" \* MERGEFORMATINET </w:instrText>
            </w:r>
            <w:r>
              <w:fldChar w:fldCharType="separate"/>
            </w:r>
            <w:r>
              <w:fldChar w:fldCharType="begin"/>
            </w:r>
            <w:r>
              <w:instrText xml:space="preserve"> INCLUDEPICTURE  "https://www.tdx.com.cn/products/helpfile/tdxw/chm/%E7%AC%AC%E5%9B%9B%E7%AB%A0  %E9%80%89%E9%A1%B9/4-16%E7%B3%BB%E7%BB%9F%E8%AE%BE%E7%BD%AE/5.png" \* MERGEFORMATINET </w:instrText>
            </w:r>
            <w:r>
              <w:fldChar w:fldCharType="separate"/>
            </w:r>
            <w:r>
              <w:fldChar w:fldCharType="begin"/>
            </w:r>
            <w:r>
              <w:instrText xml:space="preserve"> INCLUDEPICTURE  "https://www.tdx.com.cn/products/helpfile/tdxw/chm/%E7%AC%AC%E5%9B%9B%E7%AB%A0  %E9%80%89%E9%A1%B9/4-16%E7%B3%BB%E7%BB%9F%E8%AE%BE%E7%BD%AE/5.png" \* MERGEFORMATINET </w:instrText>
            </w:r>
            <w:r>
              <w:fldChar w:fldCharType="separate"/>
            </w:r>
            <w:r>
              <w:fldChar w:fldCharType="begin"/>
            </w:r>
            <w:r>
              <w:instrText xml:space="preserve"> INCLUDEPICTURE  "https://www.tdx.com.cn/products/helpfile/tdxw/chm/%E7%AC%AC%E5%9B%9B%E7%AB%A0  %E9%80%89%E9%A1%B9/4-16%E7%B3%BB%E7%BB%9F%E8%AE%BE%E7%BD%AE/5.png" \* MERGEFORMATINET </w:instrText>
            </w:r>
            <w:r>
              <w:fldChar w:fldCharType="separate"/>
            </w:r>
            <w:r>
              <w:drawing>
                <wp:inline distT="0" distB="0" distL="114300" distR="114300">
                  <wp:extent cx="2276475" cy="1000125"/>
                  <wp:effectExtent l="0" t="0" r="9525" b="9525"/>
                  <wp:docPr id="361" name="图片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图片 361"/>
                          <pic:cNvPicPr>
                            <a:picLocks noChangeAspect="1"/>
                          </pic:cNvPicPr>
                        </pic:nvPicPr>
                        <pic:blipFill>
                          <a:blip r:embed="rId676" r:link="rId677"/>
                          <a:stretch>
                            <a:fillRect/>
                          </a:stretch>
                        </pic:blipFill>
                        <pic:spPr>
                          <a:xfrm>
                            <a:off x="0" y="0"/>
                            <a:ext cx="2276475" cy="1000125"/>
                          </a:xfrm>
                          <a:prstGeom prst="rect">
                            <a:avLst/>
                          </a:prstGeom>
                          <a:noFill/>
                          <a:ln>
                            <a:noFill/>
                          </a:ln>
                        </pic:spPr>
                      </pic:pic>
                    </a:graphicData>
                  </a:graphic>
                </wp:inline>
              </w:drawing>
            </w:r>
            <w:r>
              <w:fldChar w:fldCharType="end"/>
            </w:r>
            <w:r>
              <w:fldChar w:fldCharType="end"/>
            </w:r>
            <w:r>
              <w:fldChar w:fldCharType="end"/>
            </w:r>
            <w:r>
              <w:fldChar w:fldCharType="end"/>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709"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行情信息标题字体</w:t>
            </w:r>
          </w:p>
        </w:tc>
        <w:tc>
          <w:tcPr>
            <w:tcW w:w="10489"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行情信息区上方的证券名称的字体</w:t>
            </w:r>
            <w:r>
              <w:fldChar w:fldCharType="begin"/>
            </w:r>
            <w:r>
              <w:instrText xml:space="preserve"> INCLUDEPICTURE  "https://www.tdx.com.cn/products/helpfile/tdxw/chm/%E7%AC%AC%E5%9B%9B%E7%AB%A0  %E9%80%89%E9%A1%B9/4-16%E7%B3%BB%E7%BB%9F%E8%AE%BE%E7%BD%AE/6.png" \* MERGEFORMATINET </w:instrText>
            </w:r>
            <w:r>
              <w:fldChar w:fldCharType="separate"/>
            </w:r>
            <w:r>
              <w:fldChar w:fldCharType="begin"/>
            </w:r>
            <w:r>
              <w:instrText xml:space="preserve"> INCLUDEPICTURE  "https://www.tdx.com.cn/products/helpfile/tdxw/chm/%E7%AC%AC%E5%9B%9B%E7%AB%A0  %E9%80%89%E9%A1%B9/4-16%E7%B3%BB%E7%BB%9F%E8%AE%BE%E7%BD%AE/6.png" \* MERGEFORMATINET </w:instrText>
            </w:r>
            <w:r>
              <w:fldChar w:fldCharType="separate"/>
            </w:r>
            <w:r>
              <w:fldChar w:fldCharType="begin"/>
            </w:r>
            <w:r>
              <w:instrText xml:space="preserve"> INCLUDEPICTURE  "https://www.tdx.com.cn/products/helpfile/tdxw/chm/%E7%AC%AC%E5%9B%9B%E7%AB%A0  %E9%80%89%E9%A1%B9/4-16%E7%B3%BB%E7%BB%9F%E8%AE%BE%E7%BD%AE/6.png" \* MERGEFORMATINET </w:instrText>
            </w:r>
            <w:r>
              <w:fldChar w:fldCharType="separate"/>
            </w:r>
            <w:r>
              <w:fldChar w:fldCharType="begin"/>
            </w:r>
            <w:r>
              <w:instrText xml:space="preserve"> INCLUDEPICTURE  "https://www.tdx.com.cn/products/helpfile/tdxw/chm/%E7%AC%AC%E5%9B%9B%E7%AB%A0  %E9%80%89%E9%A1%B9/4-16%E7%B3%BB%E7%BB%9F%E8%AE%BE%E7%BD%AE/6.png" \* MERGEFORMATINET </w:instrText>
            </w:r>
            <w:r>
              <w:fldChar w:fldCharType="separate"/>
            </w:r>
            <w:r>
              <w:drawing>
                <wp:inline distT="0" distB="0" distL="114300" distR="114300">
                  <wp:extent cx="2209800" cy="266700"/>
                  <wp:effectExtent l="0" t="0" r="0" b="0"/>
                  <wp:docPr id="362" name="图片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图片 362"/>
                          <pic:cNvPicPr>
                            <a:picLocks noChangeAspect="1"/>
                          </pic:cNvPicPr>
                        </pic:nvPicPr>
                        <pic:blipFill>
                          <a:blip r:embed="rId678" r:link="rId679"/>
                          <a:stretch>
                            <a:fillRect/>
                          </a:stretch>
                        </pic:blipFill>
                        <pic:spPr>
                          <a:xfrm>
                            <a:off x="0" y="0"/>
                            <a:ext cx="2209800" cy="266700"/>
                          </a:xfrm>
                          <a:prstGeom prst="rect">
                            <a:avLst/>
                          </a:prstGeom>
                          <a:noFill/>
                          <a:ln>
                            <a:noFill/>
                          </a:ln>
                        </pic:spPr>
                      </pic:pic>
                    </a:graphicData>
                  </a:graphic>
                </wp:inline>
              </w:drawing>
            </w:r>
            <w:r>
              <w:fldChar w:fldCharType="end"/>
            </w:r>
            <w:r>
              <w:fldChar w:fldCharType="end"/>
            </w:r>
            <w:r>
              <w:fldChar w:fldCharType="end"/>
            </w:r>
            <w:r>
              <w:fldChar w:fldCharType="end"/>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709"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图形中小字体</w:t>
            </w:r>
          </w:p>
        </w:tc>
        <w:tc>
          <w:tcPr>
            <w:tcW w:w="10489"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如F10正文上方的标签</w:t>
            </w:r>
            <w:r>
              <w:fldChar w:fldCharType="begin"/>
            </w:r>
            <w:r>
              <w:instrText xml:space="preserve"> INCLUDEPICTURE  "https://www.tdx.com.cn/products/helpfile/tdxw/chm/%E7%AC%AC%E5%9B%9B%E7%AB%A0  %E9%80%89%E9%A1%B9/4-16%E7%B3%BB%E7%BB%9F%E8%AE%BE%E7%BD%AE/7.png" \* MERGEFORMATINET </w:instrText>
            </w:r>
            <w:r>
              <w:fldChar w:fldCharType="separate"/>
            </w:r>
            <w:r>
              <w:fldChar w:fldCharType="begin"/>
            </w:r>
            <w:r>
              <w:instrText xml:space="preserve"> INCLUDEPICTURE  "https://www.tdx.com.cn/products/helpfile/tdxw/chm/%E7%AC%AC%E5%9B%9B%E7%AB%A0  %E9%80%89%E9%A1%B9/4-16%E7%B3%BB%E7%BB%9F%E8%AE%BE%E7%BD%AE/7.png" \* MERGEFORMATINET </w:instrText>
            </w:r>
            <w:r>
              <w:fldChar w:fldCharType="separate"/>
            </w:r>
            <w:r>
              <w:fldChar w:fldCharType="begin"/>
            </w:r>
            <w:r>
              <w:instrText xml:space="preserve"> INCLUDEPICTURE  "https://www.tdx.com.cn/products/helpfile/tdxw/chm/%E7%AC%AC%E5%9B%9B%E7%AB%A0  %E9%80%89%E9%A1%B9/4-16%E7%B3%BB%E7%BB%9F%E8%AE%BE%E7%BD%AE/7.png" \* MERGEFORMATINET </w:instrText>
            </w:r>
            <w:r>
              <w:fldChar w:fldCharType="separate"/>
            </w:r>
            <w:r>
              <w:fldChar w:fldCharType="begin"/>
            </w:r>
            <w:r>
              <w:instrText xml:space="preserve"> INCLUDEPICTURE  "https://www.tdx.com.cn/products/helpfile/tdxw/chm/%E7%AC%AC%E5%9B%9B%E7%AB%A0  %E9%80%89%E9%A1%B9/4-16%E7%B3%BB%E7%BB%9F%E8%AE%BE%E7%BD%AE/7.png" \* MERGEFORMATINET </w:instrText>
            </w:r>
            <w:r>
              <w:fldChar w:fldCharType="separate"/>
            </w:r>
            <w:r>
              <w:drawing>
                <wp:inline distT="0" distB="0" distL="114300" distR="114300">
                  <wp:extent cx="4705350" cy="504825"/>
                  <wp:effectExtent l="0" t="0" r="0" b="9525"/>
                  <wp:docPr id="363" name="图片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图片 363"/>
                          <pic:cNvPicPr>
                            <a:picLocks noChangeAspect="1"/>
                          </pic:cNvPicPr>
                        </pic:nvPicPr>
                        <pic:blipFill>
                          <a:blip r:embed="rId680" r:link="rId681"/>
                          <a:stretch>
                            <a:fillRect/>
                          </a:stretch>
                        </pic:blipFill>
                        <pic:spPr>
                          <a:xfrm>
                            <a:off x="0" y="0"/>
                            <a:ext cx="4705350" cy="504825"/>
                          </a:xfrm>
                          <a:prstGeom prst="rect">
                            <a:avLst/>
                          </a:prstGeom>
                          <a:noFill/>
                          <a:ln>
                            <a:noFill/>
                          </a:ln>
                        </pic:spPr>
                      </pic:pic>
                    </a:graphicData>
                  </a:graphic>
                </wp:inline>
              </w:drawing>
            </w:r>
            <w:r>
              <w:fldChar w:fldCharType="end"/>
            </w:r>
            <w:r>
              <w:fldChar w:fldCharType="end"/>
            </w:r>
            <w:r>
              <w:fldChar w:fldCharType="end"/>
            </w:r>
            <w:r>
              <w:fldChar w:fldCharType="end"/>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709"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切换标签字体</w:t>
            </w:r>
          </w:p>
        </w:tc>
        <w:tc>
          <w:tcPr>
            <w:tcW w:w="10489"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行情切换标签</w:t>
            </w:r>
            <w:r>
              <w:fldChar w:fldCharType="begin"/>
            </w:r>
            <w:r>
              <w:instrText xml:space="preserve"> INCLUDEPICTURE  "https://www.tdx.com.cn/products/helpfile/tdxw/chm/%E7%AC%AC%E5%9B%9B%E7%AB%A0  %E9%80%89%E9%A1%B9/4-16%E7%B3%BB%E7%BB%9F%E8%AE%BE%E7%BD%AE/8.png" \* MERGEFORMATINET </w:instrText>
            </w:r>
            <w:r>
              <w:fldChar w:fldCharType="separate"/>
            </w:r>
            <w:r>
              <w:fldChar w:fldCharType="begin"/>
            </w:r>
            <w:r>
              <w:instrText xml:space="preserve"> INCLUDEPICTURE  "https://www.tdx.com.cn/products/helpfile/tdxw/chm/%E7%AC%AC%E5%9B%9B%E7%AB%A0  %E9%80%89%E9%A1%B9/4-16%E7%B3%BB%E7%BB%9F%E8%AE%BE%E7%BD%AE/8.png" \* MERGEFORMATINET </w:instrText>
            </w:r>
            <w:r>
              <w:fldChar w:fldCharType="separate"/>
            </w:r>
            <w:r>
              <w:fldChar w:fldCharType="begin"/>
            </w:r>
            <w:r>
              <w:instrText xml:space="preserve"> INCLUDEPICTURE  "https://www.tdx.com.cn/products/helpfile/tdxw/chm/%E7%AC%AC%E5%9B%9B%E7%AB%A0  %E9%80%89%E9%A1%B9/4-16%E7%B3%BB%E7%BB%9F%E8%AE%BE%E7%BD%AE/8.png" \* MERGEFORMATINET </w:instrText>
            </w:r>
            <w:r>
              <w:fldChar w:fldCharType="separate"/>
            </w:r>
            <w:r>
              <w:fldChar w:fldCharType="begin"/>
            </w:r>
            <w:r>
              <w:instrText xml:space="preserve"> INCLUDEPICTURE  "https://www.tdx.com.cn/products/helpfile/tdxw/chm/%E7%AC%AC%E5%9B%9B%E7%AB%A0  %E9%80%89%E9%A1%B9/4-16%E7%B3%BB%E7%BB%9F%E8%AE%BE%E7%BD%AE/8.png" \* MERGEFORMATINET </w:instrText>
            </w:r>
            <w:r>
              <w:fldChar w:fldCharType="separate"/>
            </w:r>
            <w:r>
              <w:drawing>
                <wp:inline distT="0" distB="0" distL="114300" distR="114300">
                  <wp:extent cx="5086350" cy="238125"/>
                  <wp:effectExtent l="0" t="0" r="0" b="9525"/>
                  <wp:docPr id="364" name="图片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图片 364"/>
                          <pic:cNvPicPr>
                            <a:picLocks noChangeAspect="1"/>
                          </pic:cNvPicPr>
                        </pic:nvPicPr>
                        <pic:blipFill>
                          <a:blip r:embed="rId682" r:link="rId683"/>
                          <a:stretch>
                            <a:fillRect/>
                          </a:stretch>
                        </pic:blipFill>
                        <pic:spPr>
                          <a:xfrm>
                            <a:off x="0" y="0"/>
                            <a:ext cx="5086350" cy="238125"/>
                          </a:xfrm>
                          <a:prstGeom prst="rect">
                            <a:avLst/>
                          </a:prstGeom>
                          <a:noFill/>
                          <a:ln>
                            <a:noFill/>
                          </a:ln>
                        </pic:spPr>
                      </pic:pic>
                    </a:graphicData>
                  </a:graphic>
                </wp:inline>
              </w:drawing>
            </w:r>
            <w:r>
              <w:fldChar w:fldCharType="end"/>
            </w:r>
            <w:r>
              <w:fldChar w:fldCharType="end"/>
            </w:r>
            <w:r>
              <w:fldChar w:fldCharType="end"/>
            </w:r>
            <w:r>
              <w:fldChar w:fldCharType="end"/>
            </w:r>
          </w:p>
        </w:tc>
      </w:tr>
    </w:tbl>
    <w:p>
      <w:pPr>
        <w:pStyle w:val="34"/>
      </w:pPr>
      <w:r>
        <w:rPr>
          <w:rFonts w:hint="eastAsia"/>
        </w:rPr>
        <w:t>■恢复成缺省字体 </w:t>
      </w:r>
    </w:p>
    <w:p>
      <w:pPr>
        <w:pStyle w:val="34"/>
      </w:pPr>
      <w:r>
        <w:rPr>
          <w:rFonts w:hint="eastAsia"/>
        </w:rPr>
        <w:t>当修改了很多系统设置使的界面显示混乱的时候可以选择舍弃之前设置，恢复成系统原先默认的。 </w:t>
      </w:r>
    </w:p>
    <w:p>
      <w:pPr>
        <w:pStyle w:val="34"/>
      </w:pPr>
      <w:r>
        <w:rPr>
          <w:rFonts w:hint="eastAsia"/>
        </w:rPr>
        <w:t>删除方案：选择方案中选择一个自定义配色方案可以删除方案 </w:t>
      </w:r>
    </w:p>
    <w:p>
      <w:pPr>
        <w:pStyle w:val="34"/>
      </w:pPr>
      <w:r>
        <w:rPr>
          <w:rFonts w:hint="eastAsia"/>
        </w:rPr>
        <w:t>■TIPS</w:t>
      </w:r>
    </w:p>
    <w:p>
      <w:pPr>
        <w:pStyle w:val="34"/>
      </w:pPr>
      <w:r>
        <w:rPr>
          <w:rFonts w:hint="eastAsia"/>
        </w:rPr>
        <w:t>当调整一些字体之后可能会导致盘口信息的不完整，此时只需要“恢复成缺省字体”即可。</w:t>
      </w:r>
    </w:p>
    <w:p>
      <w:pPr>
        <w:pStyle w:val="34"/>
        <w:ind w:firstLine="482"/>
        <w:rPr>
          <w:b/>
        </w:rPr>
      </w:pPr>
      <w:r>
        <w:rPr>
          <w:rFonts w:hint="eastAsia"/>
          <w:b/>
        </w:rPr>
        <w:t>设置1</w:t>
      </w:r>
    </w:p>
    <w:p>
      <w:pPr>
        <w:pStyle w:val="34"/>
      </w:pPr>
      <w:r>
        <w:fldChar w:fldCharType="begin"/>
      </w:r>
      <w:r>
        <w:instrText xml:space="preserve"> INCLUDEPICTURE  "https://www.tdx.com.cn/products/helpfile/tdxw/chm/%E7%AC%AC%E5%9B%9B%E7%AB%A0  %E9%80%89%E9%A1%B9/4-16%E7%B3%BB%E7%BB%9F%E8%AE%BE%E7%BD%AE/100.png" \* MERGEFORMATINET </w:instrText>
      </w:r>
      <w:r>
        <w:fldChar w:fldCharType="separate"/>
      </w:r>
      <w:r>
        <w:fldChar w:fldCharType="begin"/>
      </w:r>
      <w:r>
        <w:instrText xml:space="preserve"> INCLUDEPICTURE  "https://www.tdx.com.cn/products/helpfile/tdxw/chm/%E7%AC%AC%E5%9B%9B%E7%AB%A0  %E9%80%89%E9%A1%B9/4-16%E7%B3%BB%E7%BB%9F%E8%AE%BE%E7%BD%AE/100.png" \* MERGEFORMATINET </w:instrText>
      </w:r>
      <w:r>
        <w:fldChar w:fldCharType="separate"/>
      </w:r>
      <w:r>
        <w:fldChar w:fldCharType="begin"/>
      </w:r>
      <w:r>
        <w:instrText xml:space="preserve"> INCLUDEPICTURE  "https://www.tdx.com.cn/products/helpfile/tdxw/chm/%E7%AC%AC%E5%9B%9B%E7%AB%A0  %E9%80%89%E9%A1%B9/4-16%E7%B3%BB%E7%BB%9F%E8%AE%BE%E7%BD%AE/100.png" \* MERGEFORMATINET </w:instrText>
      </w:r>
      <w:r>
        <w:fldChar w:fldCharType="separate"/>
      </w:r>
      <w:r>
        <w:fldChar w:fldCharType="begin"/>
      </w:r>
      <w:r>
        <w:instrText xml:space="preserve"> INCLUDEPICTURE  "https://www.tdx.com.cn/products/helpfile/tdxw/chm/%E7%AC%AC%E5%9B%9B%E7%AB%A0  %E9%80%89%E9%A1%B9/4-16%E7%B3%BB%E7%BB%9F%E8%AE%BE%E7%BD%AE/100.png" \* MERGEFORMATINET </w:instrText>
      </w:r>
      <w:r>
        <w:fldChar w:fldCharType="separate"/>
      </w:r>
      <w:r>
        <w:drawing>
          <wp:inline distT="0" distB="0" distL="114300" distR="114300">
            <wp:extent cx="5019675" cy="4010025"/>
            <wp:effectExtent l="0" t="0" r="9525" b="9525"/>
            <wp:docPr id="365" name="图片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图片 365"/>
                    <pic:cNvPicPr>
                      <a:picLocks noChangeAspect="1"/>
                    </pic:cNvPicPr>
                  </pic:nvPicPr>
                  <pic:blipFill>
                    <a:blip r:embed="rId684" r:link="rId685"/>
                    <a:stretch>
                      <a:fillRect/>
                    </a:stretch>
                  </pic:blipFill>
                  <pic:spPr>
                    <a:xfrm>
                      <a:off x="0" y="0"/>
                      <a:ext cx="5019675" cy="4010025"/>
                    </a:xfrm>
                    <a:prstGeom prst="rect">
                      <a:avLst/>
                    </a:prstGeom>
                    <a:noFill/>
                    <a:ln>
                      <a:noFill/>
                    </a:ln>
                  </pic:spPr>
                </pic:pic>
              </a:graphicData>
            </a:graphic>
          </wp:inline>
        </w:drawing>
      </w:r>
      <w:r>
        <w:fldChar w:fldCharType="end"/>
      </w:r>
      <w:r>
        <w:fldChar w:fldCharType="end"/>
      </w:r>
      <w:r>
        <w:fldChar w:fldCharType="end"/>
      </w:r>
      <w:r>
        <w:fldChar w:fldCharType="end"/>
      </w:r>
    </w:p>
    <w:p>
      <w:pPr>
        <w:pStyle w:val="34"/>
        <w:ind w:firstLine="540"/>
        <w:rPr>
          <w:sz w:val="27"/>
          <w:szCs w:val="27"/>
        </w:rPr>
      </w:pPr>
      <w:r>
        <w:rPr>
          <w:rFonts w:hint="eastAsia"/>
          <w:sz w:val="27"/>
          <w:szCs w:val="27"/>
        </w:rPr>
        <w:t> </w:t>
      </w:r>
    </w:p>
    <w:tbl>
      <w:tblPr>
        <w:tblStyle w:val="25"/>
        <w:tblW w:w="12540" w:type="dxa"/>
        <w:tblCellSpacing w:w="0" w:type="dxa"/>
        <w:tblInd w:w="0" w:type="dxa"/>
        <w:tblBorders>
          <w:top w:val="outset" w:color="auto" w:sz="6" w:space="0"/>
          <w:left w:val="outset" w:color="auto" w:sz="6" w:space="0"/>
          <w:bottom w:val="outset" w:color="auto" w:sz="6" w:space="0"/>
          <w:right w:val="outset" w:color="auto" w:sz="6" w:space="0"/>
          <w:insideH w:val="none" w:color="auto" w:sz="0" w:space="0"/>
          <w:insideV w:val="none" w:color="auto" w:sz="0" w:space="0"/>
        </w:tblBorders>
        <w:tblLayout w:type="autofit"/>
        <w:tblCellMar>
          <w:top w:w="0" w:type="dxa"/>
          <w:left w:w="0" w:type="dxa"/>
          <w:bottom w:w="0" w:type="dxa"/>
          <w:right w:w="0" w:type="dxa"/>
        </w:tblCellMar>
      </w:tblPr>
      <w:tblGrid>
        <w:gridCol w:w="2992"/>
        <w:gridCol w:w="9548"/>
      </w:tblGrid>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992"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设置项</w:t>
            </w:r>
          </w:p>
        </w:tc>
        <w:tc>
          <w:tcPr>
            <w:tcW w:w="9548" w:type="dxa"/>
            <w:tcBorders>
              <w:top w:val="outset" w:color="auto" w:sz="6" w:space="0"/>
              <w:left w:val="outset" w:color="auto" w:sz="6" w:space="0"/>
              <w:bottom w:val="outset" w:color="auto" w:sz="6" w:space="0"/>
              <w:right w:val="outset" w:color="auto" w:sz="6" w:space="0"/>
            </w:tcBorders>
          </w:tcPr>
          <w:p>
            <w:pPr>
              <w:pStyle w:val="34"/>
            </w:pPr>
            <w:r>
              <w:rPr>
                <w:rFonts w:hint="eastAsia"/>
              </w:rPr>
              <w:t>功能说明</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992" w:type="dxa"/>
            <w:tcBorders>
              <w:top w:val="outset" w:color="auto" w:sz="6" w:space="0"/>
              <w:left w:val="outset" w:color="auto" w:sz="6" w:space="0"/>
              <w:bottom w:val="outset" w:color="auto" w:sz="6" w:space="0"/>
              <w:right w:val="outset" w:color="auto" w:sz="6" w:space="0"/>
            </w:tcBorders>
          </w:tcPr>
          <w:p>
            <w:pPr>
              <w:pStyle w:val="34"/>
            </w:pPr>
            <w:r>
              <w:rPr>
                <w:rFonts w:hint="eastAsia"/>
              </w:rPr>
              <w:t>量比/涨速/总金额高亮</w:t>
            </w:r>
          </w:p>
        </w:tc>
        <w:tc>
          <w:tcPr>
            <w:tcW w:w="9548" w:type="dxa"/>
            <w:tcBorders>
              <w:top w:val="outset" w:color="auto" w:sz="6" w:space="0"/>
              <w:left w:val="outset" w:color="auto" w:sz="6" w:space="0"/>
              <w:bottom w:val="outset" w:color="auto" w:sz="6" w:space="0"/>
              <w:right w:val="outset" w:color="auto" w:sz="6" w:space="0"/>
            </w:tcBorders>
          </w:tcPr>
          <w:p>
            <w:pPr>
              <w:pStyle w:val="34"/>
            </w:pPr>
            <w:r>
              <w:rPr>
                <w:rFonts w:hint="eastAsia"/>
              </w:rPr>
              <w:t>行情报价对应栏目会紫色高亮显示</w:t>
            </w:r>
            <w:r>
              <w:fldChar w:fldCharType="begin"/>
            </w:r>
            <w:r>
              <w:instrText xml:space="preserve"> INCLUDEPICTURE  "https://www.tdx.com.cn/products/helpfile/tdxw/chm/%E7%AC%AC%E5%9B%9B%E7%AB%A0  %E9%80%89%E9%A1%B9/4-16%E7%B3%BB%E7%BB%9F%E8%AE%BE%E7%BD%AE/101.png" \* MERGEFORMATINET </w:instrText>
            </w:r>
            <w:r>
              <w:fldChar w:fldCharType="separate"/>
            </w:r>
            <w:r>
              <w:fldChar w:fldCharType="begin"/>
            </w:r>
            <w:r>
              <w:instrText xml:space="preserve"> INCLUDEPICTURE  "https://www.tdx.com.cn/products/helpfile/tdxw/chm/%E7%AC%AC%E5%9B%9B%E7%AB%A0  %E9%80%89%E9%A1%B9/4-16%E7%B3%BB%E7%BB%9F%E8%AE%BE%E7%BD%AE/101.png" \* MERGEFORMATINET </w:instrText>
            </w:r>
            <w:r>
              <w:fldChar w:fldCharType="separate"/>
            </w:r>
            <w:r>
              <w:fldChar w:fldCharType="begin"/>
            </w:r>
            <w:r>
              <w:instrText xml:space="preserve"> INCLUDEPICTURE  "https://www.tdx.com.cn/products/helpfile/tdxw/chm/%E7%AC%AC%E5%9B%9B%E7%AB%A0  %E9%80%89%E9%A1%B9/4-16%E7%B3%BB%E7%BB%9F%E8%AE%BE%E7%BD%AE/101.png" \* MERGEFORMATINET </w:instrText>
            </w:r>
            <w:r>
              <w:fldChar w:fldCharType="separate"/>
            </w:r>
            <w:r>
              <w:fldChar w:fldCharType="begin"/>
            </w:r>
            <w:r>
              <w:instrText xml:space="preserve"> INCLUDEPICTURE  "https://www.tdx.com.cn/products/helpfile/tdxw/chm/%E7%AC%AC%E5%9B%9B%E7%AB%A0  %E9%80%89%E9%A1%B9/4-16%E7%B3%BB%E7%BB%9F%E8%AE%BE%E7%BD%AE/101.png" \* MERGEFORMATINET </w:instrText>
            </w:r>
            <w:r>
              <w:fldChar w:fldCharType="separate"/>
            </w:r>
            <w:r>
              <w:drawing>
                <wp:inline distT="0" distB="0" distL="114300" distR="114300">
                  <wp:extent cx="1866900" cy="1190625"/>
                  <wp:effectExtent l="0" t="0" r="0" b="9525"/>
                  <wp:docPr id="366" name="图片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图片 366"/>
                          <pic:cNvPicPr>
                            <a:picLocks noChangeAspect="1"/>
                          </pic:cNvPicPr>
                        </pic:nvPicPr>
                        <pic:blipFill>
                          <a:blip r:embed="rId686" r:link="rId687"/>
                          <a:stretch>
                            <a:fillRect/>
                          </a:stretch>
                        </pic:blipFill>
                        <pic:spPr>
                          <a:xfrm>
                            <a:off x="0" y="0"/>
                            <a:ext cx="1866900" cy="1190625"/>
                          </a:xfrm>
                          <a:prstGeom prst="rect">
                            <a:avLst/>
                          </a:prstGeom>
                          <a:noFill/>
                          <a:ln>
                            <a:noFill/>
                          </a:ln>
                        </pic:spPr>
                      </pic:pic>
                    </a:graphicData>
                  </a:graphic>
                </wp:inline>
              </w:drawing>
            </w:r>
            <w:r>
              <w:fldChar w:fldCharType="end"/>
            </w:r>
            <w:r>
              <w:fldChar w:fldCharType="end"/>
            </w:r>
            <w:r>
              <w:fldChar w:fldCharType="end"/>
            </w:r>
            <w:r>
              <w:fldChar w:fldCharType="end"/>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992" w:type="dxa"/>
            <w:tcBorders>
              <w:top w:val="outset" w:color="auto" w:sz="6" w:space="0"/>
              <w:left w:val="outset" w:color="auto" w:sz="6" w:space="0"/>
              <w:bottom w:val="outset" w:color="auto" w:sz="6" w:space="0"/>
              <w:right w:val="outset" w:color="auto" w:sz="6" w:space="0"/>
            </w:tcBorders>
          </w:tcPr>
          <w:p>
            <w:pPr>
              <w:pStyle w:val="34"/>
            </w:pPr>
            <w:r>
              <w:rPr>
                <w:rFonts w:hint="eastAsia"/>
              </w:rPr>
              <w:t>现量高亮</w:t>
            </w:r>
          </w:p>
        </w:tc>
        <w:tc>
          <w:tcPr>
            <w:tcW w:w="9548" w:type="dxa"/>
            <w:tcBorders>
              <w:top w:val="outset" w:color="auto" w:sz="6" w:space="0"/>
              <w:left w:val="outset" w:color="auto" w:sz="6" w:space="0"/>
              <w:bottom w:val="outset" w:color="auto" w:sz="6" w:space="0"/>
              <w:right w:val="outset" w:color="auto" w:sz="6" w:space="0"/>
            </w:tcBorders>
          </w:tcPr>
          <w:p>
            <w:pPr>
              <w:pStyle w:val="34"/>
            </w:pPr>
            <w:r>
              <w:rPr>
                <w:rFonts w:hint="eastAsia"/>
              </w:rPr>
              <w:t>报价中的现量以及level2相关功能如逐笔委托的量、买一卖一委托队列、成交队列中的量达到N的就高亮显示紫红色</w:t>
            </w:r>
          </w:p>
          <w:p>
            <w:pPr>
              <w:pStyle w:val="34"/>
            </w:pPr>
            <w:r>
              <w:rPr>
                <w:rFonts w:hint="eastAsia"/>
              </w:rPr>
              <w:t>（如果要查看这个设置的有效范围是否包括哪个变量可以把这个设置设置成盯着的那个变量的数值然后观察颜色是否变化）</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992" w:type="dxa"/>
            <w:tcBorders>
              <w:top w:val="outset" w:color="auto" w:sz="6" w:space="0"/>
              <w:left w:val="outset" w:color="auto" w:sz="6" w:space="0"/>
              <w:bottom w:val="outset" w:color="auto" w:sz="6" w:space="0"/>
              <w:right w:val="outset" w:color="auto" w:sz="6" w:space="0"/>
            </w:tcBorders>
          </w:tcPr>
          <w:p>
            <w:pPr>
              <w:pStyle w:val="34"/>
            </w:pPr>
            <w:r>
              <w:rPr>
                <w:rFonts w:hint="eastAsia"/>
              </w:rPr>
              <w:t>涨速周期深沪N分钟</w:t>
            </w:r>
          </w:p>
        </w:tc>
        <w:tc>
          <w:tcPr>
            <w:tcW w:w="9548" w:type="dxa"/>
            <w:tcBorders>
              <w:top w:val="outset" w:color="auto" w:sz="6" w:space="0"/>
              <w:left w:val="outset" w:color="auto" w:sz="6" w:space="0"/>
              <w:bottom w:val="outset" w:color="auto" w:sz="6" w:space="0"/>
              <w:right w:val="outset" w:color="auto" w:sz="6" w:space="0"/>
            </w:tcBorders>
          </w:tcPr>
          <w:p>
            <w:pPr>
              <w:pStyle w:val="34"/>
            </w:pPr>
            <w:r>
              <w:rPr>
                <w:rFonts w:hint="eastAsia"/>
              </w:rPr>
              <w:t>报价分析中涨速（N分钟）周期（资金驱动力、资金博弈的N分钟）的N的设定以及个股综合排名中N分钟涨跌速、N分钟资金流入的N的设定；</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992" w:type="dxa"/>
            <w:tcBorders>
              <w:top w:val="outset" w:color="auto" w:sz="6" w:space="0"/>
              <w:left w:val="outset" w:color="auto" w:sz="6" w:space="0"/>
              <w:bottom w:val="outset" w:color="auto" w:sz="6" w:space="0"/>
              <w:right w:val="outset" w:color="auto" w:sz="6" w:space="0"/>
            </w:tcBorders>
          </w:tcPr>
          <w:p>
            <w:pPr>
              <w:pStyle w:val="34"/>
            </w:pPr>
            <w:r>
              <w:rPr>
                <w:rFonts w:hint="eastAsia"/>
              </w:rPr>
              <w:t>报表分析中复权</w:t>
            </w:r>
          </w:p>
        </w:tc>
        <w:tc>
          <w:tcPr>
            <w:tcW w:w="9548" w:type="dxa"/>
            <w:tcBorders>
              <w:top w:val="outset" w:color="auto" w:sz="6" w:space="0"/>
              <w:left w:val="outset" w:color="auto" w:sz="6" w:space="0"/>
              <w:bottom w:val="outset" w:color="auto" w:sz="6" w:space="0"/>
              <w:right w:val="outset" w:color="auto" w:sz="6" w:space="0"/>
            </w:tcBorders>
          </w:tcPr>
          <w:p>
            <w:pPr>
              <w:pStyle w:val="34"/>
            </w:pPr>
            <w:r>
              <w:rPr>
                <w:rFonts w:hint="eastAsia"/>
              </w:rPr>
              <w:t>.401等报表分析的复权方式可以选择不复权、前复权、后复权</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992" w:type="dxa"/>
            <w:tcBorders>
              <w:top w:val="outset" w:color="auto" w:sz="6" w:space="0"/>
              <w:left w:val="outset" w:color="auto" w:sz="6" w:space="0"/>
              <w:bottom w:val="outset" w:color="auto" w:sz="6" w:space="0"/>
              <w:right w:val="outset" w:color="auto" w:sz="6" w:space="0"/>
            </w:tcBorders>
          </w:tcPr>
          <w:p>
            <w:pPr>
              <w:pStyle w:val="34"/>
            </w:pPr>
            <w:r>
              <w:rPr>
                <w:rFonts w:hint="eastAsia"/>
              </w:rPr>
              <w:t>多股同列数</w:t>
            </w:r>
          </w:p>
        </w:tc>
        <w:tc>
          <w:tcPr>
            <w:tcW w:w="9548" w:type="dxa"/>
            <w:tcBorders>
              <w:top w:val="outset" w:color="auto" w:sz="6" w:space="0"/>
              <w:left w:val="outset" w:color="auto" w:sz="6" w:space="0"/>
              <w:bottom w:val="outset" w:color="auto" w:sz="6" w:space="0"/>
              <w:right w:val="outset" w:color="auto" w:sz="6" w:space="0"/>
            </w:tcBorders>
          </w:tcPr>
          <w:p>
            <w:pPr>
              <w:pStyle w:val="34"/>
            </w:pPr>
            <w:r>
              <w:rPr>
                <w:rFonts w:hint="eastAsia"/>
              </w:rPr>
              <w:t>多股同列展示的行列数组合选择</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992" w:type="dxa"/>
            <w:tcBorders>
              <w:top w:val="outset" w:color="auto" w:sz="6" w:space="0"/>
              <w:left w:val="outset" w:color="auto" w:sz="6" w:space="0"/>
              <w:bottom w:val="outset" w:color="auto" w:sz="6" w:space="0"/>
              <w:right w:val="outset" w:color="auto" w:sz="6" w:space="0"/>
            </w:tcBorders>
          </w:tcPr>
          <w:p>
            <w:pPr>
              <w:pStyle w:val="34"/>
            </w:pPr>
            <w:r>
              <w:rPr>
                <w:rFonts w:hint="eastAsia"/>
              </w:rPr>
              <w:t>工具栏位置</w:t>
            </w:r>
          </w:p>
        </w:tc>
        <w:tc>
          <w:tcPr>
            <w:tcW w:w="9548" w:type="dxa"/>
            <w:tcBorders>
              <w:top w:val="outset" w:color="auto" w:sz="6" w:space="0"/>
              <w:left w:val="outset" w:color="auto" w:sz="6" w:space="0"/>
              <w:bottom w:val="outset" w:color="auto" w:sz="6" w:space="0"/>
              <w:right w:val="outset" w:color="auto" w:sz="6" w:space="0"/>
            </w:tcBorders>
          </w:tcPr>
          <w:p>
            <w:pPr>
              <w:pStyle w:val="34"/>
            </w:pPr>
            <w:r>
              <w:rPr>
                <w:rFonts w:hint="eastAsia"/>
              </w:rPr>
              <w:t>规定工具栏可以显示的位置为窗口上边、窗口下边、窗口左边、窗口右边</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992" w:type="dxa"/>
            <w:tcBorders>
              <w:top w:val="outset" w:color="auto" w:sz="6" w:space="0"/>
              <w:left w:val="outset" w:color="auto" w:sz="6" w:space="0"/>
              <w:bottom w:val="outset" w:color="auto" w:sz="6" w:space="0"/>
              <w:right w:val="outset" w:color="auto" w:sz="6" w:space="0"/>
            </w:tcBorders>
          </w:tcPr>
          <w:p>
            <w:pPr>
              <w:pStyle w:val="34"/>
            </w:pPr>
            <w:r>
              <w:rPr>
                <w:rFonts w:hint="eastAsia"/>
              </w:rPr>
              <w:t>分析图中成交量复权</w:t>
            </w:r>
          </w:p>
        </w:tc>
        <w:tc>
          <w:tcPr>
            <w:tcW w:w="9548" w:type="dxa"/>
            <w:tcBorders>
              <w:top w:val="outset" w:color="auto" w:sz="6" w:space="0"/>
              <w:left w:val="outset" w:color="auto" w:sz="6" w:space="0"/>
              <w:bottom w:val="outset" w:color="auto" w:sz="6" w:space="0"/>
              <w:right w:val="outset" w:color="auto" w:sz="6" w:space="0"/>
            </w:tcBorders>
          </w:tcPr>
          <w:p>
            <w:pPr>
              <w:pStyle w:val="34"/>
            </w:pPr>
            <w:r>
              <w:rPr>
                <w:rFonts w:hint="eastAsia"/>
              </w:rPr>
              <w:t>分析图中成交量复权，选择该复权方式后，成交量也会进行相应的复权处理；k线界面行情小窗口换手会标注“量复权”。</w:t>
            </w:r>
          </w:p>
          <w:p>
            <w:pPr>
              <w:pStyle w:val="34"/>
            </w:pPr>
            <w:r>
              <w:rPr>
                <w:rFonts w:hint="eastAsia"/>
              </w:rPr>
              <w:t>如股票10股送5股，则成交量前复权会将此次分红之前的成交量做除权处理乘以1.5。成交量变化会导致换手率的变化，所以在勾选此选项情况下换手会超过百分之百。</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992" w:type="dxa"/>
            <w:tcBorders>
              <w:top w:val="outset" w:color="auto" w:sz="6" w:space="0"/>
              <w:left w:val="outset" w:color="auto" w:sz="6" w:space="0"/>
              <w:bottom w:val="outset" w:color="auto" w:sz="6" w:space="0"/>
              <w:right w:val="outset" w:color="auto" w:sz="6" w:space="0"/>
            </w:tcBorders>
          </w:tcPr>
          <w:p>
            <w:pPr>
              <w:pStyle w:val="34"/>
            </w:pPr>
            <w:r>
              <w:rPr>
                <w:rFonts w:hint="eastAsia"/>
              </w:rPr>
              <w:t>各类复权均使用等比方式</w:t>
            </w:r>
          </w:p>
        </w:tc>
        <w:tc>
          <w:tcPr>
            <w:tcW w:w="9548" w:type="dxa"/>
            <w:tcBorders>
              <w:top w:val="outset" w:color="auto" w:sz="6" w:space="0"/>
              <w:left w:val="outset" w:color="auto" w:sz="6" w:space="0"/>
              <w:bottom w:val="outset" w:color="auto" w:sz="6" w:space="0"/>
              <w:right w:val="outset" w:color="auto" w:sz="6" w:space="0"/>
            </w:tcBorders>
          </w:tcPr>
          <w:p>
            <w:pPr>
              <w:pStyle w:val="34"/>
            </w:pPr>
            <w:r>
              <w:rPr>
                <w:rFonts w:hint="eastAsia"/>
              </w:rPr>
              <w:t>保证对数坐标下K线可以正常显示</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992" w:type="dxa"/>
            <w:tcBorders>
              <w:top w:val="outset" w:color="auto" w:sz="6" w:space="0"/>
              <w:left w:val="outset" w:color="auto" w:sz="6" w:space="0"/>
              <w:bottom w:val="outset" w:color="auto" w:sz="6" w:space="0"/>
              <w:right w:val="outset" w:color="auto" w:sz="6" w:space="0"/>
            </w:tcBorders>
          </w:tcPr>
          <w:p>
            <w:pPr>
              <w:pStyle w:val="34"/>
            </w:pPr>
            <w:r>
              <w:rPr>
                <w:rFonts w:hint="eastAsia"/>
              </w:rPr>
              <w:t>在报价分析中锁定排序顺序</w:t>
            </w:r>
          </w:p>
        </w:tc>
        <w:tc>
          <w:tcPr>
            <w:tcW w:w="9548" w:type="dxa"/>
            <w:tcBorders>
              <w:top w:val="outset" w:color="auto" w:sz="6" w:space="0"/>
              <w:left w:val="outset" w:color="auto" w:sz="6" w:space="0"/>
              <w:bottom w:val="outset" w:color="auto" w:sz="6" w:space="0"/>
              <w:right w:val="outset" w:color="auto" w:sz="6" w:space="0"/>
            </w:tcBorders>
          </w:tcPr>
          <w:p>
            <w:pPr>
              <w:pStyle w:val="34"/>
            </w:pPr>
            <w:r>
              <w:rPr>
                <w:rFonts w:hint="eastAsia"/>
              </w:rPr>
              <w:t>勾选此项时，在报价分界面，切换不同的板块时，当前的排序顺序做保存。</w:t>
            </w:r>
          </w:p>
          <w:p>
            <w:pPr>
              <w:pStyle w:val="34"/>
            </w:pPr>
            <w:r>
              <w:rPr>
                <w:rFonts w:hint="eastAsia"/>
              </w:rPr>
              <w:t>至于34数据导出，导出前界面是按什么排序，导出就是按什么排序</w:t>
            </w:r>
          </w:p>
          <w:p>
            <w:pPr>
              <w:pStyle w:val="34"/>
            </w:pPr>
            <w:r>
              <w:rPr>
                <w:rFonts w:hint="eastAsia"/>
              </w:rPr>
              <w:t>(比如当前按涨幅排序，切换到其它板块后，默认的还是按涨幅排序)</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992" w:type="dxa"/>
            <w:tcBorders>
              <w:top w:val="outset" w:color="auto" w:sz="6" w:space="0"/>
              <w:left w:val="outset" w:color="auto" w:sz="6" w:space="0"/>
              <w:bottom w:val="outset" w:color="auto" w:sz="6" w:space="0"/>
              <w:right w:val="outset" w:color="auto" w:sz="6" w:space="0"/>
            </w:tcBorders>
          </w:tcPr>
          <w:p>
            <w:pPr>
              <w:pStyle w:val="34"/>
            </w:pPr>
            <w:r>
              <w:rPr>
                <w:rFonts w:hint="eastAsia"/>
              </w:rPr>
              <w:t>收市后退出系统提示下载日线</w:t>
            </w:r>
          </w:p>
        </w:tc>
        <w:tc>
          <w:tcPr>
            <w:tcW w:w="9548" w:type="dxa"/>
            <w:tcBorders>
              <w:top w:val="outset" w:color="auto" w:sz="6" w:space="0"/>
              <w:left w:val="outset" w:color="auto" w:sz="6" w:space="0"/>
              <w:bottom w:val="outset" w:color="auto" w:sz="6" w:space="0"/>
              <w:right w:val="outset" w:color="auto" w:sz="6" w:space="0"/>
            </w:tcBorders>
          </w:tcPr>
          <w:p>
            <w:pPr>
              <w:pStyle w:val="34"/>
            </w:pPr>
            <w:r>
              <w:rPr>
                <w:rFonts w:hint="eastAsia"/>
              </w:rPr>
              <w:t>在每次退出系统时提示下载盘后数据</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992" w:type="dxa"/>
            <w:tcBorders>
              <w:top w:val="outset" w:color="auto" w:sz="6" w:space="0"/>
              <w:left w:val="outset" w:color="auto" w:sz="6" w:space="0"/>
              <w:bottom w:val="outset" w:color="auto" w:sz="6" w:space="0"/>
              <w:right w:val="outset" w:color="auto" w:sz="6" w:space="0"/>
            </w:tcBorders>
          </w:tcPr>
          <w:p>
            <w:pPr>
              <w:pStyle w:val="34"/>
            </w:pPr>
            <w:r>
              <w:rPr>
                <w:rFonts w:hint="eastAsia"/>
              </w:rPr>
              <w:t>盘后数据下载仅下载AB股类数据</w:t>
            </w:r>
          </w:p>
        </w:tc>
        <w:tc>
          <w:tcPr>
            <w:tcW w:w="9548" w:type="dxa"/>
            <w:tcBorders>
              <w:top w:val="outset" w:color="auto" w:sz="6" w:space="0"/>
              <w:left w:val="outset" w:color="auto" w:sz="6" w:space="0"/>
              <w:bottom w:val="outset" w:color="auto" w:sz="6" w:space="0"/>
              <w:right w:val="outset" w:color="auto" w:sz="6" w:space="0"/>
            </w:tcBorders>
          </w:tcPr>
          <w:p>
            <w:pPr>
              <w:pStyle w:val="34"/>
            </w:pPr>
            <w:r>
              <w:rPr>
                <w:rFonts w:hint="eastAsia"/>
              </w:rPr>
              <w:t>为了减少数据的下载，勾选时只下载AB股类数据</w:t>
            </w:r>
          </w:p>
          <w:p>
            <w:pPr>
              <w:pStyle w:val="34"/>
            </w:pPr>
            <w:r>
              <w:rPr>
                <w:rFonts w:hint="eastAsia"/>
              </w:rPr>
              <w:t>（非A股证券品种选股、报表分析和脱机分析等功能无法实现）</w:t>
            </w:r>
            <w:r>
              <w:fldChar w:fldCharType="begin"/>
            </w:r>
            <w:r>
              <w:instrText xml:space="preserve"> INCLUDEPICTURE  "https://www.tdx.com.cn/products/helpfile/tdxw/chm/%E7%AC%AC%E5%9B%9B%E7%AB%A0  %E9%80%89%E9%A1%B9/4-16%E7%B3%BB%E7%BB%9F%E8%AE%BE%E7%BD%AE/107.png" \* MERGEFORMATINET </w:instrText>
            </w:r>
            <w:r>
              <w:fldChar w:fldCharType="separate"/>
            </w:r>
            <w:r>
              <w:fldChar w:fldCharType="begin"/>
            </w:r>
            <w:r>
              <w:instrText xml:space="preserve"> INCLUDEPICTURE  "https://www.tdx.com.cn/products/helpfile/tdxw/chm/%E7%AC%AC%E5%9B%9B%E7%AB%A0  %E9%80%89%E9%A1%B9/4-16%E7%B3%BB%E7%BB%9F%E8%AE%BE%E7%BD%AE/107.png" \* MERGEFORMATINET </w:instrText>
            </w:r>
            <w:r>
              <w:fldChar w:fldCharType="separate"/>
            </w:r>
            <w:r>
              <w:fldChar w:fldCharType="begin"/>
            </w:r>
            <w:r>
              <w:instrText xml:space="preserve"> INCLUDEPICTURE  "https://www.tdx.com.cn/products/helpfile/tdxw/chm/%E7%AC%AC%E5%9B%9B%E7%AB%A0  %E9%80%89%E9%A1%B9/4-16%E7%B3%BB%E7%BB%9F%E8%AE%BE%E7%BD%AE/107.png" \* MERGEFORMATINET </w:instrText>
            </w:r>
            <w:r>
              <w:fldChar w:fldCharType="separate"/>
            </w:r>
            <w:r>
              <w:fldChar w:fldCharType="begin"/>
            </w:r>
            <w:r>
              <w:instrText xml:space="preserve"> INCLUDEPICTURE  "https://www.tdx.com.cn/products/helpfile/tdxw/chm/%E7%AC%AC%E5%9B%9B%E7%AB%A0  %E9%80%89%E9%A1%B9/4-16%E7%B3%BB%E7%BB%9F%E8%AE%BE%E7%BD%AE/107.png" \* MERGEFORMATINET </w:instrText>
            </w:r>
            <w:r>
              <w:fldChar w:fldCharType="separate"/>
            </w:r>
            <w:r>
              <w:drawing>
                <wp:inline distT="0" distB="0" distL="114300" distR="114300">
                  <wp:extent cx="4467225" cy="1162050"/>
                  <wp:effectExtent l="0" t="0" r="9525" b="0"/>
                  <wp:docPr id="367" name="图片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图片 367"/>
                          <pic:cNvPicPr>
                            <a:picLocks noChangeAspect="1"/>
                          </pic:cNvPicPr>
                        </pic:nvPicPr>
                        <pic:blipFill>
                          <a:blip r:embed="rId688" r:link="rId689"/>
                          <a:stretch>
                            <a:fillRect/>
                          </a:stretch>
                        </pic:blipFill>
                        <pic:spPr>
                          <a:xfrm>
                            <a:off x="0" y="0"/>
                            <a:ext cx="4467225" cy="1162050"/>
                          </a:xfrm>
                          <a:prstGeom prst="rect">
                            <a:avLst/>
                          </a:prstGeom>
                          <a:noFill/>
                          <a:ln>
                            <a:noFill/>
                          </a:ln>
                        </pic:spPr>
                      </pic:pic>
                    </a:graphicData>
                  </a:graphic>
                </wp:inline>
              </w:drawing>
            </w:r>
            <w:r>
              <w:fldChar w:fldCharType="end"/>
            </w:r>
            <w:r>
              <w:fldChar w:fldCharType="end"/>
            </w:r>
            <w:r>
              <w:fldChar w:fldCharType="end"/>
            </w:r>
            <w:r>
              <w:fldChar w:fldCharType="end"/>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992" w:type="dxa"/>
            <w:tcBorders>
              <w:top w:val="outset" w:color="auto" w:sz="6" w:space="0"/>
              <w:left w:val="outset" w:color="auto" w:sz="6" w:space="0"/>
              <w:bottom w:val="outset" w:color="auto" w:sz="6" w:space="0"/>
              <w:right w:val="outset" w:color="auto" w:sz="6" w:space="0"/>
            </w:tcBorders>
          </w:tcPr>
          <w:p>
            <w:pPr>
              <w:pStyle w:val="34"/>
            </w:pPr>
            <w:r>
              <w:rPr>
                <w:rFonts w:hint="eastAsia"/>
              </w:rPr>
              <w:t>分析图完全使用下载的沪深京日线数据</w:t>
            </w:r>
          </w:p>
        </w:tc>
        <w:tc>
          <w:tcPr>
            <w:tcW w:w="9548" w:type="dxa"/>
            <w:tcBorders>
              <w:top w:val="outset" w:color="auto" w:sz="6" w:space="0"/>
              <w:left w:val="outset" w:color="auto" w:sz="6" w:space="0"/>
              <w:bottom w:val="outset" w:color="auto" w:sz="6" w:space="0"/>
              <w:right w:val="outset" w:color="auto" w:sz="6" w:space="0"/>
            </w:tcBorders>
          </w:tcPr>
          <w:p>
            <w:pPr>
              <w:pStyle w:val="34"/>
            </w:pPr>
            <w:r>
              <w:rPr>
                <w:rFonts w:hint="eastAsia"/>
              </w:rPr>
              <w:t>查看K线数据的时候是不是只查看本地数据包括的k线，显示K线图时用本地的数据显示，速度会更加快捷一些；使用前要做好盘后数据下载</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992" w:type="dxa"/>
            <w:tcBorders>
              <w:top w:val="outset" w:color="auto" w:sz="6" w:space="0"/>
              <w:left w:val="outset" w:color="auto" w:sz="6" w:space="0"/>
              <w:bottom w:val="outset" w:color="auto" w:sz="6" w:space="0"/>
              <w:right w:val="outset" w:color="auto" w:sz="6" w:space="0"/>
            </w:tcBorders>
          </w:tcPr>
          <w:p>
            <w:pPr>
              <w:pStyle w:val="34"/>
            </w:pPr>
            <w:r>
              <w:rPr>
                <w:rFonts w:hint="eastAsia"/>
              </w:rPr>
              <w:t>退出系统时提示用户确认</w:t>
            </w:r>
          </w:p>
        </w:tc>
        <w:tc>
          <w:tcPr>
            <w:tcW w:w="9548" w:type="dxa"/>
            <w:tcBorders>
              <w:top w:val="outset" w:color="auto" w:sz="6" w:space="0"/>
              <w:left w:val="outset" w:color="auto" w:sz="6" w:space="0"/>
              <w:bottom w:val="outset" w:color="auto" w:sz="6" w:space="0"/>
              <w:right w:val="outset" w:color="auto" w:sz="6" w:space="0"/>
            </w:tcBorders>
          </w:tcPr>
          <w:p>
            <w:pPr>
              <w:pStyle w:val="34"/>
            </w:pPr>
            <w:r>
              <w:rPr>
                <w:rFonts w:hint="eastAsia"/>
              </w:rPr>
              <w:t>退出系统的时候是否弹出退出提示框</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992" w:type="dxa"/>
            <w:tcBorders>
              <w:top w:val="outset" w:color="auto" w:sz="6" w:space="0"/>
              <w:left w:val="outset" w:color="auto" w:sz="6" w:space="0"/>
              <w:bottom w:val="outset" w:color="auto" w:sz="6" w:space="0"/>
              <w:right w:val="outset" w:color="auto" w:sz="6" w:space="0"/>
            </w:tcBorders>
          </w:tcPr>
          <w:p>
            <w:pPr>
              <w:pStyle w:val="34"/>
            </w:pPr>
            <w:r>
              <w:rPr>
                <w:rFonts w:hint="eastAsia"/>
              </w:rPr>
              <w:t>行情表价格变化则蓝色反显</w:t>
            </w:r>
          </w:p>
        </w:tc>
        <w:tc>
          <w:tcPr>
            <w:tcW w:w="9548" w:type="dxa"/>
            <w:tcBorders>
              <w:top w:val="outset" w:color="auto" w:sz="6" w:space="0"/>
              <w:left w:val="outset" w:color="auto" w:sz="6" w:space="0"/>
              <w:bottom w:val="outset" w:color="auto" w:sz="6" w:space="0"/>
              <w:right w:val="outset" w:color="auto" w:sz="6" w:space="0"/>
            </w:tcBorders>
          </w:tcPr>
          <w:p>
            <w:pPr>
              <w:pStyle w:val="34"/>
            </w:pPr>
            <w:r>
              <w:rPr>
                <w:rFonts w:hint="eastAsia"/>
              </w:rPr>
              <w:t>当行情表中的现价发生变化，现价就会呈现蓝色显示</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992" w:type="dxa"/>
            <w:tcBorders>
              <w:top w:val="outset" w:color="auto" w:sz="6" w:space="0"/>
              <w:left w:val="outset" w:color="auto" w:sz="6" w:space="0"/>
              <w:bottom w:val="outset" w:color="auto" w:sz="6" w:space="0"/>
              <w:right w:val="outset" w:color="auto" w:sz="6" w:space="0"/>
            </w:tcBorders>
          </w:tcPr>
          <w:p>
            <w:pPr>
              <w:pStyle w:val="34"/>
            </w:pPr>
            <w:r>
              <w:rPr>
                <w:rFonts w:hint="eastAsia"/>
              </w:rPr>
              <w:t>行情表使用实心选中矩</w:t>
            </w:r>
          </w:p>
        </w:tc>
        <w:tc>
          <w:tcPr>
            <w:tcW w:w="9548" w:type="dxa"/>
            <w:tcBorders>
              <w:top w:val="outset" w:color="auto" w:sz="6" w:space="0"/>
              <w:left w:val="outset" w:color="auto" w:sz="6" w:space="0"/>
              <w:bottom w:val="outset" w:color="auto" w:sz="6" w:space="0"/>
              <w:right w:val="outset" w:color="auto" w:sz="6" w:space="0"/>
            </w:tcBorders>
          </w:tcPr>
          <w:p>
            <w:pPr>
              <w:pStyle w:val="34"/>
            </w:pPr>
            <w:r>
              <w:rPr>
                <w:rFonts w:hint="eastAsia"/>
              </w:rPr>
              <w:t>选中某行数据某行整体都会呈现蓝色显示（选中某行显示黄色底线变成显示一个蓝色实心矩）</w:t>
            </w:r>
            <w:r>
              <w:fldChar w:fldCharType="begin"/>
            </w:r>
            <w:r>
              <w:instrText xml:space="preserve"> INCLUDEPICTURE  "https://www.tdx.com.cn/products/helpfile/tdxw/chm/%E7%AC%AC%E5%9B%9B%E7%AB%A0  %E9%80%89%E9%A1%B9/4-16%E7%B3%BB%E7%BB%9F%E8%AE%BE%E7%BD%AE/107.8.png" \* MERGEFORMATINET </w:instrText>
            </w:r>
            <w:r>
              <w:fldChar w:fldCharType="separate"/>
            </w:r>
            <w:r>
              <w:fldChar w:fldCharType="begin"/>
            </w:r>
            <w:r>
              <w:instrText xml:space="preserve"> INCLUDEPICTURE  "https://www.tdx.com.cn/products/helpfile/tdxw/chm/%E7%AC%AC%E5%9B%9B%E7%AB%A0  %E9%80%89%E9%A1%B9/4-16%E7%B3%BB%E7%BB%9F%E8%AE%BE%E7%BD%AE/107.8.png" \* MERGEFORMATINET </w:instrText>
            </w:r>
            <w:r>
              <w:fldChar w:fldCharType="separate"/>
            </w:r>
            <w:r>
              <w:fldChar w:fldCharType="begin"/>
            </w:r>
            <w:r>
              <w:instrText xml:space="preserve"> INCLUDEPICTURE  "https://www.tdx.com.cn/products/helpfile/tdxw/chm/%E7%AC%AC%E5%9B%9B%E7%AB%A0  %E9%80%89%E9%A1%B9/4-16%E7%B3%BB%E7%BB%9F%E8%AE%BE%E7%BD%AE/107.8.png" \* MERGEFORMATINET </w:instrText>
            </w:r>
            <w:r>
              <w:fldChar w:fldCharType="separate"/>
            </w:r>
            <w:r>
              <w:fldChar w:fldCharType="begin"/>
            </w:r>
            <w:r>
              <w:instrText xml:space="preserve"> INCLUDEPICTURE  "https://www.tdx.com.cn/products/helpfile/tdxw/chm/%E7%AC%AC%E5%9B%9B%E7%AB%A0  %E9%80%89%E9%A1%B9/4-16%E7%B3%BB%E7%BB%9F%E8%AE%BE%E7%BD%AE/107.8.png" \* MERGEFORMATINET </w:instrText>
            </w:r>
            <w:r>
              <w:fldChar w:fldCharType="separate"/>
            </w:r>
            <w:r>
              <w:drawing>
                <wp:inline distT="0" distB="0" distL="114300" distR="114300">
                  <wp:extent cx="2486025" cy="352425"/>
                  <wp:effectExtent l="0" t="0" r="9525" b="9525"/>
                  <wp:docPr id="368" name="图片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图片 368"/>
                          <pic:cNvPicPr>
                            <a:picLocks noChangeAspect="1"/>
                          </pic:cNvPicPr>
                        </pic:nvPicPr>
                        <pic:blipFill>
                          <a:blip r:embed="rId690" r:link="rId691"/>
                          <a:stretch>
                            <a:fillRect/>
                          </a:stretch>
                        </pic:blipFill>
                        <pic:spPr>
                          <a:xfrm>
                            <a:off x="0" y="0"/>
                            <a:ext cx="2486025" cy="352425"/>
                          </a:xfrm>
                          <a:prstGeom prst="rect">
                            <a:avLst/>
                          </a:prstGeom>
                          <a:noFill/>
                          <a:ln>
                            <a:noFill/>
                          </a:ln>
                        </pic:spPr>
                      </pic:pic>
                    </a:graphicData>
                  </a:graphic>
                </wp:inline>
              </w:drawing>
            </w:r>
            <w:r>
              <w:fldChar w:fldCharType="end"/>
            </w:r>
            <w:r>
              <w:fldChar w:fldCharType="end"/>
            </w:r>
            <w:r>
              <w:fldChar w:fldCharType="end"/>
            </w:r>
            <w:r>
              <w:fldChar w:fldCharType="end"/>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992" w:type="dxa"/>
            <w:tcBorders>
              <w:top w:val="outset" w:color="auto" w:sz="6" w:space="0"/>
              <w:left w:val="outset" w:color="auto" w:sz="6" w:space="0"/>
              <w:bottom w:val="outset" w:color="auto" w:sz="6" w:space="0"/>
              <w:right w:val="outset" w:color="auto" w:sz="6" w:space="0"/>
            </w:tcBorders>
          </w:tcPr>
          <w:p>
            <w:pPr>
              <w:pStyle w:val="34"/>
            </w:pPr>
            <w:r>
              <w:rPr>
                <w:rFonts w:hint="eastAsia"/>
              </w:rPr>
              <w:t>行情表支持竖向选中</w:t>
            </w:r>
          </w:p>
        </w:tc>
        <w:tc>
          <w:tcPr>
            <w:tcW w:w="9548" w:type="dxa"/>
            <w:tcBorders>
              <w:top w:val="outset" w:color="auto" w:sz="6" w:space="0"/>
              <w:left w:val="outset" w:color="auto" w:sz="6" w:space="0"/>
              <w:bottom w:val="outset" w:color="auto" w:sz="6" w:space="0"/>
              <w:right w:val="outset" w:color="auto" w:sz="6" w:space="0"/>
            </w:tcBorders>
          </w:tcPr>
          <w:p>
            <w:pPr>
              <w:pStyle w:val="34"/>
            </w:pPr>
            <w:r>
              <w:rPr>
                <w:rFonts w:hint="eastAsia"/>
              </w:rPr>
              <w:t>点击表头列，整列呈蓝色显示</w:t>
            </w:r>
            <w:r>
              <w:fldChar w:fldCharType="begin"/>
            </w:r>
            <w:r>
              <w:instrText xml:space="preserve"> INCLUDEPICTURE  "https://www.tdx.com.cn/products/helpfile/tdxw/chm/%E7%AC%AC%E5%9B%9B%E7%AB%A0  %E9%80%89%E9%A1%B9/4-16%E7%B3%BB%E7%BB%9F%E8%AE%BE%E7%BD%AE/108.png" \* MERGEFORMATINET </w:instrText>
            </w:r>
            <w:r>
              <w:fldChar w:fldCharType="separate"/>
            </w:r>
            <w:r>
              <w:fldChar w:fldCharType="begin"/>
            </w:r>
            <w:r>
              <w:instrText xml:space="preserve"> INCLUDEPICTURE  "https://www.tdx.com.cn/products/helpfile/tdxw/chm/%E7%AC%AC%E5%9B%9B%E7%AB%A0  %E9%80%89%E9%A1%B9/4-16%E7%B3%BB%E7%BB%9F%E8%AE%BE%E7%BD%AE/108.png" \* MERGEFORMATINET </w:instrText>
            </w:r>
            <w:r>
              <w:fldChar w:fldCharType="separate"/>
            </w:r>
            <w:r>
              <w:fldChar w:fldCharType="begin"/>
            </w:r>
            <w:r>
              <w:instrText xml:space="preserve"> INCLUDEPICTURE  "https://www.tdx.com.cn/products/helpfile/tdxw/chm/%E7%AC%AC%E5%9B%9B%E7%AB%A0  %E9%80%89%E9%A1%B9/4-16%E7%B3%BB%E7%BB%9F%E8%AE%BE%E7%BD%AE/108.png" \* MERGEFORMATINET </w:instrText>
            </w:r>
            <w:r>
              <w:fldChar w:fldCharType="separate"/>
            </w:r>
            <w:r>
              <w:fldChar w:fldCharType="begin"/>
            </w:r>
            <w:r>
              <w:instrText xml:space="preserve"> INCLUDEPICTURE  "https://www.tdx.com.cn/products/helpfile/tdxw/chm/%E7%AC%AC%E5%9B%9B%E7%AB%A0  %E9%80%89%E9%A1%B9/4-16%E7%B3%BB%E7%BB%9F%E8%AE%BE%E7%BD%AE/108.png" \* MERGEFORMATINET </w:instrText>
            </w:r>
            <w:r>
              <w:fldChar w:fldCharType="separate"/>
            </w:r>
            <w:r>
              <w:drawing>
                <wp:inline distT="0" distB="0" distL="114300" distR="114300">
                  <wp:extent cx="609600" cy="2352675"/>
                  <wp:effectExtent l="0" t="0" r="0" b="9525"/>
                  <wp:docPr id="369" name="图片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图片 369"/>
                          <pic:cNvPicPr>
                            <a:picLocks noChangeAspect="1"/>
                          </pic:cNvPicPr>
                        </pic:nvPicPr>
                        <pic:blipFill>
                          <a:blip r:embed="rId692" r:link="rId693"/>
                          <a:stretch>
                            <a:fillRect/>
                          </a:stretch>
                        </pic:blipFill>
                        <pic:spPr>
                          <a:xfrm>
                            <a:off x="0" y="0"/>
                            <a:ext cx="609600" cy="2352675"/>
                          </a:xfrm>
                          <a:prstGeom prst="rect">
                            <a:avLst/>
                          </a:prstGeom>
                          <a:noFill/>
                          <a:ln>
                            <a:noFill/>
                          </a:ln>
                        </pic:spPr>
                      </pic:pic>
                    </a:graphicData>
                  </a:graphic>
                </wp:inline>
              </w:drawing>
            </w:r>
            <w:r>
              <w:fldChar w:fldCharType="end"/>
            </w:r>
            <w:r>
              <w:fldChar w:fldCharType="end"/>
            </w:r>
            <w:r>
              <w:fldChar w:fldCharType="end"/>
            </w:r>
            <w:r>
              <w:fldChar w:fldCharType="end"/>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992" w:type="dxa"/>
            <w:tcBorders>
              <w:top w:val="outset" w:color="auto" w:sz="6" w:space="0"/>
              <w:left w:val="outset" w:color="auto" w:sz="6" w:space="0"/>
              <w:bottom w:val="outset" w:color="auto" w:sz="6" w:space="0"/>
              <w:right w:val="outset" w:color="auto" w:sz="6" w:space="0"/>
            </w:tcBorders>
          </w:tcPr>
          <w:p>
            <w:pPr>
              <w:pStyle w:val="34"/>
            </w:pPr>
            <w:r>
              <w:rPr>
                <w:rFonts w:hint="eastAsia"/>
              </w:rPr>
              <w:t>行情表中突出显示选中的品种</w:t>
            </w:r>
          </w:p>
        </w:tc>
        <w:tc>
          <w:tcPr>
            <w:tcW w:w="9548" w:type="dxa"/>
            <w:tcBorders>
              <w:top w:val="outset" w:color="auto" w:sz="6" w:space="0"/>
              <w:left w:val="outset" w:color="auto" w:sz="6" w:space="0"/>
              <w:bottom w:val="outset" w:color="auto" w:sz="6" w:space="0"/>
              <w:right w:val="outset" w:color="auto" w:sz="6" w:space="0"/>
            </w:tcBorders>
          </w:tcPr>
          <w:p>
            <w:pPr>
              <w:pStyle w:val="34"/>
            </w:pPr>
            <w:r>
              <w:rPr>
                <w:rFonts w:hint="eastAsia"/>
              </w:rPr>
              <w:t>行情报表中被选中的数据行证券名称会呈现蓝色块显示</w:t>
            </w:r>
            <w:r>
              <w:fldChar w:fldCharType="begin"/>
            </w:r>
            <w:r>
              <w:instrText xml:space="preserve"> INCLUDEPICTURE  "https://www.tdx.com.cn/products/helpfile/tdxw/chm/%E7%AC%AC%E5%9B%9B%E7%AB%A0  %E9%80%89%E9%A1%B9/4-16%E7%B3%BB%E7%BB%9F%E8%AE%BE%E7%BD%AE/109.png" \* MERGEFORMATINET </w:instrText>
            </w:r>
            <w:r>
              <w:fldChar w:fldCharType="separate"/>
            </w:r>
            <w:r>
              <w:fldChar w:fldCharType="begin"/>
            </w:r>
            <w:r>
              <w:instrText xml:space="preserve"> INCLUDEPICTURE  "https://www.tdx.com.cn/products/helpfile/tdxw/chm/%E7%AC%AC%E5%9B%9B%E7%AB%A0  %E9%80%89%E9%A1%B9/4-16%E7%B3%BB%E7%BB%9F%E8%AE%BE%E7%BD%AE/109.png" \* MERGEFORMATINET </w:instrText>
            </w:r>
            <w:r>
              <w:fldChar w:fldCharType="separate"/>
            </w:r>
            <w:r>
              <w:fldChar w:fldCharType="begin"/>
            </w:r>
            <w:r>
              <w:instrText xml:space="preserve"> INCLUDEPICTURE  "https://www.tdx.com.cn/products/helpfile/tdxw/chm/%E7%AC%AC%E5%9B%9B%E7%AB%A0  %E9%80%89%E9%A1%B9/4-16%E7%B3%BB%E7%BB%9F%E8%AE%BE%E7%BD%AE/109.png" \* MERGEFORMATINET </w:instrText>
            </w:r>
            <w:r>
              <w:fldChar w:fldCharType="separate"/>
            </w:r>
            <w:r>
              <w:fldChar w:fldCharType="begin"/>
            </w:r>
            <w:r>
              <w:instrText xml:space="preserve"> INCLUDEPICTURE  "https://www.tdx.com.cn/products/helpfile/tdxw/chm/%E7%AC%AC%E5%9B%9B%E7%AB%A0  %E9%80%89%E9%A1%B9/4-16%E7%B3%BB%E7%BB%9F%E8%AE%BE%E7%BD%AE/109.png" \* MERGEFORMATINET </w:instrText>
            </w:r>
            <w:r>
              <w:fldChar w:fldCharType="separate"/>
            </w:r>
            <w:r>
              <w:drawing>
                <wp:inline distT="0" distB="0" distL="114300" distR="114300">
                  <wp:extent cx="1514475" cy="342900"/>
                  <wp:effectExtent l="0" t="0" r="9525" b="0"/>
                  <wp:docPr id="370" name="图片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图片 370"/>
                          <pic:cNvPicPr>
                            <a:picLocks noChangeAspect="1"/>
                          </pic:cNvPicPr>
                        </pic:nvPicPr>
                        <pic:blipFill>
                          <a:blip r:embed="rId694" r:link="rId695"/>
                          <a:stretch>
                            <a:fillRect/>
                          </a:stretch>
                        </pic:blipFill>
                        <pic:spPr>
                          <a:xfrm>
                            <a:off x="0" y="0"/>
                            <a:ext cx="1514475" cy="342900"/>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而且这个蓝色块会一直跟着最后一次被选中的股票行</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992" w:type="dxa"/>
            <w:tcBorders>
              <w:top w:val="outset" w:color="auto" w:sz="6" w:space="0"/>
              <w:left w:val="outset" w:color="auto" w:sz="6" w:space="0"/>
              <w:bottom w:val="outset" w:color="auto" w:sz="6" w:space="0"/>
              <w:right w:val="outset" w:color="auto" w:sz="6" w:space="0"/>
            </w:tcBorders>
          </w:tcPr>
          <w:p>
            <w:pPr>
              <w:pStyle w:val="34"/>
            </w:pPr>
            <w:r>
              <w:rPr>
                <w:rFonts w:hint="eastAsia"/>
              </w:rPr>
              <w:t>不显示报价中的垂直滚动条（重进客户端有效）</w:t>
            </w:r>
          </w:p>
        </w:tc>
        <w:tc>
          <w:tcPr>
            <w:tcW w:w="9548" w:type="dxa"/>
            <w:tcBorders>
              <w:top w:val="outset" w:color="auto" w:sz="6" w:space="0"/>
              <w:left w:val="outset" w:color="auto" w:sz="6" w:space="0"/>
              <w:bottom w:val="outset" w:color="auto" w:sz="6" w:space="0"/>
              <w:right w:val="outset" w:color="auto" w:sz="6" w:space="0"/>
            </w:tcBorders>
          </w:tcPr>
          <w:p>
            <w:pPr>
              <w:pStyle w:val="34"/>
            </w:pPr>
            <w:r>
              <w:rPr>
                <w:rFonts w:hint="eastAsia"/>
              </w:rPr>
              <w:t>不显示行情报价界面右侧竖向的垂直滚动轴</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992" w:type="dxa"/>
            <w:tcBorders>
              <w:top w:val="outset" w:color="auto" w:sz="6" w:space="0"/>
              <w:left w:val="outset" w:color="auto" w:sz="6" w:space="0"/>
              <w:bottom w:val="outset" w:color="auto" w:sz="6" w:space="0"/>
              <w:right w:val="outset" w:color="auto" w:sz="6" w:space="0"/>
            </w:tcBorders>
          </w:tcPr>
          <w:p>
            <w:pPr>
              <w:pStyle w:val="34"/>
            </w:pPr>
            <w:r>
              <w:rPr>
                <w:rFonts w:hint="eastAsia"/>
              </w:rPr>
              <w:t>不显示报价和报表中的序号列</w:t>
            </w:r>
          </w:p>
        </w:tc>
        <w:tc>
          <w:tcPr>
            <w:tcW w:w="9548" w:type="dxa"/>
            <w:tcBorders>
              <w:top w:val="outset" w:color="auto" w:sz="6" w:space="0"/>
              <w:left w:val="outset" w:color="auto" w:sz="6" w:space="0"/>
              <w:bottom w:val="outset" w:color="auto" w:sz="6" w:space="0"/>
              <w:right w:val="outset" w:color="auto" w:sz="6" w:space="0"/>
            </w:tcBorders>
          </w:tcPr>
          <w:p>
            <w:pPr>
              <w:pStyle w:val="34"/>
            </w:pPr>
            <w:r>
              <w:rPr>
                <w:rFonts w:hint="eastAsia"/>
              </w:rPr>
              <w:t>不显示行情报价界面和报表界面中展示数据的序号列</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992" w:type="dxa"/>
            <w:tcBorders>
              <w:top w:val="outset" w:color="auto" w:sz="6" w:space="0"/>
              <w:left w:val="outset" w:color="auto" w:sz="6" w:space="0"/>
              <w:bottom w:val="outset" w:color="auto" w:sz="6" w:space="0"/>
              <w:right w:val="outset" w:color="auto" w:sz="6" w:space="0"/>
            </w:tcBorders>
          </w:tcPr>
          <w:p>
            <w:pPr>
              <w:pStyle w:val="34"/>
            </w:pPr>
            <w:r>
              <w:rPr>
                <w:rFonts w:hint="eastAsia"/>
              </w:rPr>
              <w:t>恢复成缺省栏目顺序</w:t>
            </w:r>
          </w:p>
        </w:tc>
        <w:tc>
          <w:tcPr>
            <w:tcW w:w="9548" w:type="dxa"/>
            <w:tcBorders>
              <w:top w:val="outset" w:color="auto" w:sz="6" w:space="0"/>
              <w:left w:val="outset" w:color="auto" w:sz="6" w:space="0"/>
              <w:bottom w:val="outset" w:color="auto" w:sz="6" w:space="0"/>
              <w:right w:val="outset" w:color="auto" w:sz="6" w:space="0"/>
            </w:tcBorders>
          </w:tcPr>
          <w:p>
            <w:pPr>
              <w:pStyle w:val="34"/>
            </w:pPr>
            <w:r>
              <w:rPr>
                <w:rFonts w:hint="eastAsia"/>
              </w:rPr>
              <w:t>如果修改了行情栏目的顺序，有添加或者删除过列。使用这个按钮都可以恢复成系统安装时的行情数据排列</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992" w:type="dxa"/>
            <w:tcBorders>
              <w:top w:val="outset" w:color="auto" w:sz="6" w:space="0"/>
              <w:left w:val="outset" w:color="auto" w:sz="6" w:space="0"/>
              <w:bottom w:val="outset" w:color="auto" w:sz="6" w:space="0"/>
              <w:right w:val="outset" w:color="auto" w:sz="6" w:space="0"/>
            </w:tcBorders>
          </w:tcPr>
          <w:p>
            <w:pPr>
              <w:pStyle w:val="34"/>
            </w:pPr>
            <w:r>
              <w:rPr>
                <w:rFonts w:hint="eastAsia"/>
              </w:rPr>
              <w:t>恢复成缺省栏目宽度</w:t>
            </w:r>
          </w:p>
        </w:tc>
        <w:tc>
          <w:tcPr>
            <w:tcW w:w="9548" w:type="dxa"/>
            <w:tcBorders>
              <w:top w:val="outset" w:color="auto" w:sz="6" w:space="0"/>
              <w:left w:val="outset" w:color="auto" w:sz="6" w:space="0"/>
              <w:bottom w:val="outset" w:color="auto" w:sz="6" w:space="0"/>
              <w:right w:val="outset" w:color="auto" w:sz="6" w:space="0"/>
            </w:tcBorders>
          </w:tcPr>
          <w:p>
            <w:pPr>
              <w:pStyle w:val="34"/>
            </w:pPr>
            <w:r>
              <w:rPr>
                <w:rFonts w:hint="eastAsia"/>
              </w:rPr>
              <w:t>如果修改了行情报价的列的宽度，点击可以恢复成系统的列宽</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992" w:type="dxa"/>
            <w:tcBorders>
              <w:top w:val="outset" w:color="auto" w:sz="6" w:space="0"/>
              <w:left w:val="outset" w:color="auto" w:sz="6" w:space="0"/>
              <w:bottom w:val="outset" w:color="auto" w:sz="6" w:space="0"/>
              <w:right w:val="outset" w:color="auto" w:sz="6" w:space="0"/>
            </w:tcBorders>
          </w:tcPr>
          <w:p>
            <w:pPr>
              <w:pStyle w:val="34"/>
            </w:pPr>
            <w:r>
              <w:rPr>
                <w:rFonts w:hint="eastAsia"/>
              </w:rPr>
              <w:t>恢复成缺省指标参数</w:t>
            </w:r>
          </w:p>
        </w:tc>
        <w:tc>
          <w:tcPr>
            <w:tcW w:w="9548" w:type="dxa"/>
            <w:tcBorders>
              <w:top w:val="outset" w:color="auto" w:sz="6" w:space="0"/>
              <w:left w:val="outset" w:color="auto" w:sz="6" w:space="0"/>
              <w:bottom w:val="outset" w:color="auto" w:sz="6" w:space="0"/>
              <w:right w:val="outset" w:color="auto" w:sz="6" w:space="0"/>
            </w:tcBorders>
          </w:tcPr>
          <w:p>
            <w:pPr>
              <w:pStyle w:val="34"/>
            </w:pPr>
            <w:r>
              <w:rPr>
                <w:rFonts w:hint="eastAsia"/>
              </w:rPr>
              <w:t>条件选股或者综合选股时修改了系统公式默认的参数的，如果某天客户自己都不知道改了什么公式的默认参数就可以恢复</w:t>
            </w:r>
          </w:p>
        </w:tc>
      </w:tr>
    </w:tbl>
    <w:p>
      <w:pPr>
        <w:pStyle w:val="34"/>
        <w:ind w:firstLine="482"/>
        <w:rPr>
          <w:b/>
        </w:rPr>
      </w:pPr>
      <w:r>
        <w:rPr>
          <w:rFonts w:hint="eastAsia"/>
          <w:b/>
        </w:rPr>
        <w:t>设置2</w:t>
      </w:r>
    </w:p>
    <w:p>
      <w:pPr>
        <w:pStyle w:val="34"/>
      </w:pPr>
      <w:r>
        <w:fldChar w:fldCharType="begin"/>
      </w:r>
      <w:r>
        <w:instrText xml:space="preserve"> INCLUDEPICTURE  "https://www.tdx.com.cn/products/helpfile/tdxw/chm/%E7%AC%AC%E5%9B%9B%E7%AB%A0  %E9%80%89%E9%A1%B9/4-16%E7%B3%BB%E7%BB%9F%E8%AE%BE%E7%BD%AE/200.png" \* MERGEFORMATINET </w:instrText>
      </w:r>
      <w:r>
        <w:fldChar w:fldCharType="separate"/>
      </w:r>
      <w:r>
        <w:fldChar w:fldCharType="begin"/>
      </w:r>
      <w:r>
        <w:instrText xml:space="preserve"> INCLUDEPICTURE  "https://www.tdx.com.cn/products/helpfile/tdxw/chm/%E7%AC%AC%E5%9B%9B%E7%AB%A0  %E9%80%89%E9%A1%B9/4-16%E7%B3%BB%E7%BB%9F%E8%AE%BE%E7%BD%AE/200.png" \* MERGEFORMATINET </w:instrText>
      </w:r>
      <w:r>
        <w:fldChar w:fldCharType="separate"/>
      </w:r>
      <w:r>
        <w:fldChar w:fldCharType="begin"/>
      </w:r>
      <w:r>
        <w:instrText xml:space="preserve"> INCLUDEPICTURE  "https://www.tdx.com.cn/products/helpfile/tdxw/chm/%E7%AC%AC%E5%9B%9B%E7%AB%A0  %E9%80%89%E9%A1%B9/4-16%E7%B3%BB%E7%BB%9F%E8%AE%BE%E7%BD%AE/200.png" \* MERGEFORMATINET </w:instrText>
      </w:r>
      <w:r>
        <w:fldChar w:fldCharType="separate"/>
      </w:r>
      <w:r>
        <w:fldChar w:fldCharType="begin"/>
      </w:r>
      <w:r>
        <w:instrText xml:space="preserve"> INCLUDEPICTURE  "https://www.tdx.com.cn/products/helpfile/tdxw/chm/%E7%AC%AC%E5%9B%9B%E7%AB%A0  %E9%80%89%E9%A1%B9/4-16%E7%B3%BB%E7%BB%9F%E8%AE%BE%E7%BD%AE/200.png" \* MERGEFORMATINET </w:instrText>
      </w:r>
      <w:r>
        <w:fldChar w:fldCharType="separate"/>
      </w:r>
      <w:r>
        <w:drawing>
          <wp:inline distT="0" distB="0" distL="114300" distR="114300">
            <wp:extent cx="5200650" cy="4152900"/>
            <wp:effectExtent l="0" t="0" r="0" b="0"/>
            <wp:docPr id="371" name="图片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图片 371"/>
                    <pic:cNvPicPr>
                      <a:picLocks noChangeAspect="1"/>
                    </pic:cNvPicPr>
                  </pic:nvPicPr>
                  <pic:blipFill>
                    <a:blip r:embed="rId696" r:link="rId697"/>
                    <a:stretch>
                      <a:fillRect/>
                    </a:stretch>
                  </pic:blipFill>
                  <pic:spPr>
                    <a:xfrm>
                      <a:off x="0" y="0"/>
                      <a:ext cx="5200650" cy="4152900"/>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  </w:t>
      </w:r>
    </w:p>
    <w:p>
      <w:pPr>
        <w:pStyle w:val="34"/>
      </w:pPr>
      <w:r>
        <w:rPr>
          <w:rFonts w:hint="eastAsia"/>
        </w:rPr>
        <w:t>■设置常用指标，可加入常用指标及对常用指标的显示进行排序，设置好后副图区下面的常用指标会跟着变动。（切换分析图指标也可以通过/或者*）</w:t>
      </w:r>
    </w:p>
    <w:p>
      <w:pPr>
        <w:pStyle w:val="34"/>
      </w:pPr>
      <w:r>
        <w:rPr>
          <w:rFonts w:hint="eastAsia"/>
        </w:rPr>
        <w:t> </w:t>
      </w:r>
      <w:r>
        <w:fldChar w:fldCharType="begin"/>
      </w:r>
      <w:r>
        <w:instrText xml:space="preserve"> INCLUDEPICTURE  "https://www.tdx.com.cn/products/helpfile/tdxw/chm/%E7%AC%AC%E5%9B%9B%E7%AB%A0  %E9%80%89%E9%A1%B9/4-16%E7%B3%BB%E7%BB%9F%E8%AE%BE%E7%BD%AE/201.png" \* MERGEFORMATINET </w:instrText>
      </w:r>
      <w:r>
        <w:fldChar w:fldCharType="separate"/>
      </w:r>
      <w:r>
        <w:fldChar w:fldCharType="begin"/>
      </w:r>
      <w:r>
        <w:instrText xml:space="preserve"> INCLUDEPICTURE  "https://www.tdx.com.cn/products/helpfile/tdxw/chm/%E7%AC%AC%E5%9B%9B%E7%AB%A0  %E9%80%89%E9%A1%B9/4-16%E7%B3%BB%E7%BB%9F%E8%AE%BE%E7%BD%AE/201.png" \* MERGEFORMATINET </w:instrText>
      </w:r>
      <w:r>
        <w:fldChar w:fldCharType="separate"/>
      </w:r>
      <w:r>
        <w:fldChar w:fldCharType="begin"/>
      </w:r>
      <w:r>
        <w:instrText xml:space="preserve"> INCLUDEPICTURE  "https://www.tdx.com.cn/products/helpfile/tdxw/chm/%E7%AC%AC%E5%9B%9B%E7%AB%A0  %E9%80%89%E9%A1%B9/4-16%E7%B3%BB%E7%BB%9F%E8%AE%BE%E7%BD%AE/201.png" \* MERGEFORMATINET </w:instrText>
      </w:r>
      <w:r>
        <w:fldChar w:fldCharType="separate"/>
      </w:r>
      <w:r>
        <w:fldChar w:fldCharType="begin"/>
      </w:r>
      <w:r>
        <w:instrText xml:space="preserve"> INCLUDEPICTURE  "https://www.tdx.com.cn/products/helpfile/tdxw/chm/%E7%AC%AC%E5%9B%9B%E7%AB%A0  %E9%80%89%E9%A1%B9/4-16%E7%B3%BB%E7%BB%9F%E8%AE%BE%E7%BD%AE/201.png" \* MERGEFORMATINET </w:instrText>
      </w:r>
      <w:r>
        <w:fldChar w:fldCharType="separate"/>
      </w:r>
      <w:r>
        <w:drawing>
          <wp:inline distT="0" distB="0" distL="114300" distR="114300">
            <wp:extent cx="8277225" cy="209550"/>
            <wp:effectExtent l="0" t="0" r="9525" b="0"/>
            <wp:docPr id="372" name="图片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图片 372"/>
                    <pic:cNvPicPr>
                      <a:picLocks noChangeAspect="1"/>
                    </pic:cNvPicPr>
                  </pic:nvPicPr>
                  <pic:blipFill>
                    <a:blip r:embed="rId698" r:link="rId699"/>
                    <a:stretch>
                      <a:fillRect/>
                    </a:stretch>
                  </pic:blipFill>
                  <pic:spPr>
                    <a:xfrm>
                      <a:off x="0" y="0"/>
                      <a:ext cx="8277225" cy="209550"/>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■上网环境的设置 </w:t>
      </w:r>
    </w:p>
    <w:p>
      <w:pPr>
        <w:pStyle w:val="34"/>
      </w:pPr>
      <w:r>
        <w:rPr>
          <w:rFonts w:hint="eastAsia"/>
        </w:rPr>
        <w:t>在稳定的网络中选择更快的网络环境可以保证初始进入客户端请求的分析数目更多</w:t>
      </w:r>
    </w:p>
    <w:p>
      <w:pPr>
        <w:pStyle w:val="34"/>
      </w:pPr>
      <w:r>
        <w:rPr>
          <w:rFonts w:hint="eastAsia"/>
        </w:rPr>
        <w:t>设置3</w:t>
      </w:r>
    </w:p>
    <w:p>
      <w:pPr>
        <w:pStyle w:val="34"/>
      </w:pPr>
      <w:r>
        <w:drawing>
          <wp:inline distT="0" distB="0" distL="114300" distR="114300">
            <wp:extent cx="5019675" cy="3695700"/>
            <wp:effectExtent l="0" t="0" r="9525" b="0"/>
            <wp:docPr id="373" name="图片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图片 373"/>
                    <pic:cNvPicPr>
                      <a:picLocks noChangeAspect="1"/>
                    </pic:cNvPicPr>
                  </pic:nvPicPr>
                  <pic:blipFill>
                    <a:blip r:embed="rId700"/>
                    <a:stretch>
                      <a:fillRect/>
                    </a:stretch>
                  </pic:blipFill>
                  <pic:spPr>
                    <a:xfrm>
                      <a:off x="0" y="0"/>
                      <a:ext cx="5019675" cy="3695700"/>
                    </a:xfrm>
                    <a:prstGeom prst="rect">
                      <a:avLst/>
                    </a:prstGeom>
                    <a:noFill/>
                    <a:ln>
                      <a:noFill/>
                    </a:ln>
                  </pic:spPr>
                </pic:pic>
              </a:graphicData>
            </a:graphic>
          </wp:inline>
        </w:drawing>
      </w:r>
    </w:p>
    <w:tbl>
      <w:tblPr>
        <w:tblStyle w:val="25"/>
        <w:tblpPr w:leftFromText="180" w:rightFromText="180" w:vertAnchor="text" w:horzAnchor="margin" w:tblpXSpec="center" w:tblpY="753"/>
        <w:tblW w:w="13198" w:type="dxa"/>
        <w:tblCellSpacing w:w="0" w:type="dxa"/>
        <w:tblInd w:w="0" w:type="dxa"/>
        <w:tblBorders>
          <w:top w:val="outset" w:color="auto" w:sz="6" w:space="0"/>
          <w:left w:val="outset" w:color="auto" w:sz="6" w:space="0"/>
          <w:bottom w:val="outset" w:color="auto" w:sz="6" w:space="0"/>
          <w:right w:val="outset" w:color="auto" w:sz="6" w:space="0"/>
          <w:insideH w:val="none" w:color="auto" w:sz="0" w:space="0"/>
          <w:insideV w:val="none" w:color="auto" w:sz="0" w:space="0"/>
        </w:tblBorders>
        <w:tblLayout w:type="autofit"/>
        <w:tblCellMar>
          <w:top w:w="0" w:type="dxa"/>
          <w:left w:w="0" w:type="dxa"/>
          <w:bottom w:w="0" w:type="dxa"/>
          <w:right w:w="0" w:type="dxa"/>
        </w:tblCellMar>
      </w:tblPr>
      <w:tblGrid>
        <w:gridCol w:w="3701"/>
        <w:gridCol w:w="9497"/>
      </w:tblGrid>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3701"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设置项</w:t>
            </w:r>
          </w:p>
        </w:tc>
        <w:tc>
          <w:tcPr>
            <w:tcW w:w="9497" w:type="dxa"/>
            <w:tcBorders>
              <w:top w:val="outset" w:color="auto" w:sz="6" w:space="0"/>
              <w:left w:val="outset" w:color="auto" w:sz="6" w:space="0"/>
              <w:bottom w:val="outset" w:color="auto" w:sz="6" w:space="0"/>
              <w:right w:val="outset" w:color="auto" w:sz="6" w:space="0"/>
            </w:tcBorders>
          </w:tcPr>
          <w:p>
            <w:pPr>
              <w:pStyle w:val="34"/>
            </w:pPr>
            <w:r>
              <w:rPr>
                <w:rFonts w:hint="eastAsia"/>
              </w:rPr>
              <w:t>功能说明</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3701" w:type="dxa"/>
            <w:tcBorders>
              <w:top w:val="outset" w:color="auto" w:sz="6" w:space="0"/>
              <w:left w:val="outset" w:color="auto" w:sz="6" w:space="0"/>
              <w:bottom w:val="outset" w:color="auto" w:sz="6" w:space="0"/>
              <w:right w:val="outset" w:color="auto" w:sz="6" w:space="0"/>
            </w:tcBorders>
          </w:tcPr>
          <w:p>
            <w:pPr>
              <w:pStyle w:val="34"/>
            </w:pPr>
            <w:r>
              <w:rPr>
                <w:rFonts w:hint="eastAsia"/>
              </w:rPr>
              <w:t>基准汇率</w:t>
            </w:r>
          </w:p>
        </w:tc>
        <w:tc>
          <w:tcPr>
            <w:tcW w:w="9497" w:type="dxa"/>
            <w:tcBorders>
              <w:top w:val="outset" w:color="auto" w:sz="6" w:space="0"/>
              <w:left w:val="outset" w:color="auto" w:sz="6" w:space="0"/>
              <w:bottom w:val="outset" w:color="auto" w:sz="6" w:space="0"/>
              <w:right w:val="outset" w:color="auto" w:sz="6" w:space="0"/>
            </w:tcBorders>
          </w:tcPr>
          <w:p>
            <w:pPr>
              <w:pStyle w:val="34"/>
            </w:pPr>
            <w:r>
              <w:rPr>
                <w:rFonts w:hint="eastAsia"/>
              </w:rPr>
              <w:t>基准汇率用于AH对照功能中溢价率的计算</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3701" w:type="dxa"/>
            <w:tcBorders>
              <w:top w:val="outset" w:color="auto" w:sz="6" w:space="0"/>
              <w:left w:val="outset" w:color="auto" w:sz="6" w:space="0"/>
              <w:bottom w:val="outset" w:color="auto" w:sz="6" w:space="0"/>
              <w:right w:val="outset" w:color="auto" w:sz="6" w:space="0"/>
            </w:tcBorders>
          </w:tcPr>
          <w:p>
            <w:pPr>
              <w:pStyle w:val="34"/>
            </w:pPr>
            <w:r>
              <w:rPr>
                <w:rFonts w:hint="eastAsia"/>
              </w:rPr>
              <w:t>添加品种到自定义板块时，若它已在另一板块中，提示此板块中删除</w:t>
            </w:r>
          </w:p>
        </w:tc>
        <w:tc>
          <w:tcPr>
            <w:tcW w:w="9497" w:type="dxa"/>
            <w:tcBorders>
              <w:top w:val="outset" w:color="auto" w:sz="6" w:space="0"/>
              <w:left w:val="outset" w:color="auto" w:sz="6" w:space="0"/>
              <w:bottom w:val="outset" w:color="auto" w:sz="6" w:space="0"/>
              <w:right w:val="outset" w:color="auto" w:sz="6" w:space="0"/>
            </w:tcBorders>
          </w:tcPr>
          <w:p>
            <w:pPr>
              <w:pStyle w:val="34"/>
            </w:pPr>
            <w:r>
              <w:rPr>
                <w:rFonts w:hint="eastAsia"/>
              </w:rPr>
              <w:t>将已经存在于其他自定义板块的个股添加到其他自定义板块时，提示是否将其从其之前所在的其他板块里删除</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3701" w:type="dxa"/>
            <w:tcBorders>
              <w:top w:val="outset" w:color="auto" w:sz="6" w:space="0"/>
              <w:left w:val="outset" w:color="auto" w:sz="6" w:space="0"/>
              <w:bottom w:val="outset" w:color="auto" w:sz="6" w:space="0"/>
              <w:right w:val="outset" w:color="auto" w:sz="6" w:space="0"/>
            </w:tcBorders>
          </w:tcPr>
          <w:p>
            <w:pPr>
              <w:pStyle w:val="34"/>
            </w:pPr>
            <w:r>
              <w:rPr>
                <w:rFonts w:hint="eastAsia"/>
              </w:rPr>
              <w:t>回车键一键到底操作模式选择</w:t>
            </w:r>
          </w:p>
        </w:tc>
        <w:tc>
          <w:tcPr>
            <w:tcW w:w="9497" w:type="dxa"/>
            <w:tcBorders>
              <w:top w:val="outset" w:color="auto" w:sz="6" w:space="0"/>
              <w:left w:val="outset" w:color="auto" w:sz="6" w:space="0"/>
              <w:bottom w:val="outset" w:color="auto" w:sz="6" w:space="0"/>
              <w:right w:val="outset" w:color="auto" w:sz="6" w:space="0"/>
            </w:tcBorders>
          </w:tcPr>
          <w:p>
            <w:pPr>
              <w:pStyle w:val="34"/>
            </w:pPr>
            <w:r>
              <w:rPr>
                <w:rFonts w:hint="eastAsia"/>
              </w:rPr>
              <w:t>可选模式“分时、分析图之间循环”、</w:t>
            </w:r>
          </w:p>
          <w:p>
            <w:pPr>
              <w:pStyle w:val="34"/>
            </w:pPr>
            <w:r>
              <w:rPr>
                <w:rFonts w:hint="eastAsia"/>
              </w:rPr>
              <w:t>“分时、分析图、基本资料之间循环”、</w:t>
            </w:r>
          </w:p>
          <w:p>
            <w:pPr>
              <w:pStyle w:val="34"/>
            </w:pPr>
            <w:r>
              <w:rPr>
                <w:rFonts w:hint="eastAsia"/>
              </w:rPr>
              <w:t>“报价、分时、分析图之间循环”、</w:t>
            </w:r>
          </w:p>
          <w:p>
            <w:pPr>
              <w:pStyle w:val="34"/>
            </w:pPr>
            <w:r>
              <w:rPr>
                <w:rFonts w:hint="eastAsia"/>
              </w:rPr>
              <w:t>“报价、分时、分析图、基本资料之间循环”</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3701" w:type="dxa"/>
            <w:tcBorders>
              <w:top w:val="outset" w:color="auto" w:sz="6" w:space="0"/>
              <w:left w:val="outset" w:color="auto" w:sz="6" w:space="0"/>
              <w:bottom w:val="outset" w:color="auto" w:sz="6" w:space="0"/>
              <w:right w:val="outset" w:color="auto" w:sz="6" w:space="0"/>
            </w:tcBorders>
          </w:tcPr>
          <w:p>
            <w:pPr>
              <w:pStyle w:val="34"/>
            </w:pPr>
            <w:r>
              <w:rPr>
                <w:rFonts w:hint="eastAsia"/>
              </w:rPr>
              <w:t>分析图中指标值显示涨跌箭头</w:t>
            </w:r>
          </w:p>
        </w:tc>
        <w:tc>
          <w:tcPr>
            <w:tcW w:w="9497" w:type="dxa"/>
            <w:tcBorders>
              <w:top w:val="outset" w:color="auto" w:sz="6" w:space="0"/>
              <w:left w:val="outset" w:color="auto" w:sz="6" w:space="0"/>
              <w:bottom w:val="outset" w:color="auto" w:sz="6" w:space="0"/>
              <w:right w:val="outset" w:color="auto" w:sz="6" w:space="0"/>
            </w:tcBorders>
          </w:tcPr>
          <w:p>
            <w:pPr>
              <w:pStyle w:val="34"/>
            </w:pPr>
            <w:r>
              <w:rPr>
                <w:rFonts w:hint="eastAsia"/>
              </w:rPr>
              <w:t>在分析图指标的输出后面加上了相对于昨日数值上升和下降的红色上涨箭头和绿色下降箭头（如果相对于昨天没有变化则不显示箭头）</w:t>
            </w:r>
            <w:r>
              <w:fldChar w:fldCharType="begin"/>
            </w:r>
            <w:r>
              <w:instrText xml:space="preserve"> INCLUDEPICTURE  "https://www.tdx.com.cn/products/helpfile/tdxw/chm/%E7%AC%AC%E5%9B%9B%E7%AB%A0  %E9%80%89%E9%A1%B9/4-16%E7%B3%BB%E7%BB%9F%E8%AE%BE%E7%BD%AE/305.png" \* MERGEFORMATINET </w:instrText>
            </w:r>
            <w:r>
              <w:fldChar w:fldCharType="separate"/>
            </w:r>
            <w:r>
              <w:fldChar w:fldCharType="begin"/>
            </w:r>
            <w:r>
              <w:instrText xml:space="preserve"> INCLUDEPICTURE  "https://www.tdx.com.cn/products/helpfile/tdxw/chm/%E7%AC%AC%E5%9B%9B%E7%AB%A0  %E9%80%89%E9%A1%B9/4-16%E7%B3%BB%E7%BB%9F%E8%AE%BE%E7%BD%AE/305.png" \* MERGEFORMATINET </w:instrText>
            </w:r>
            <w:r>
              <w:fldChar w:fldCharType="separate"/>
            </w:r>
            <w:r>
              <w:fldChar w:fldCharType="begin"/>
            </w:r>
            <w:r>
              <w:instrText xml:space="preserve"> INCLUDEPICTURE  "https://www.tdx.com.cn/products/helpfile/tdxw/chm/%E7%AC%AC%E5%9B%9B%E7%AB%A0  %E9%80%89%E9%A1%B9/4-16%E7%B3%BB%E7%BB%9F%E8%AE%BE%E7%BD%AE/305.png" \* MERGEFORMATINET </w:instrText>
            </w:r>
            <w:r>
              <w:fldChar w:fldCharType="separate"/>
            </w:r>
            <w:r>
              <w:fldChar w:fldCharType="begin"/>
            </w:r>
            <w:r>
              <w:instrText xml:space="preserve"> INCLUDEPICTURE  "https://www.tdx.com.cn/products/helpfile/tdxw/chm/%E7%AC%AC%E5%9B%9B%E7%AB%A0  %E9%80%89%E9%A1%B9/4-16%E7%B3%BB%E7%BB%9F%E8%AE%BE%E7%BD%AE/305.png" \* MERGEFORMATINET </w:instrText>
            </w:r>
            <w:r>
              <w:fldChar w:fldCharType="separate"/>
            </w:r>
            <w:r>
              <w:drawing>
                <wp:inline distT="0" distB="0" distL="114300" distR="114300">
                  <wp:extent cx="2286000" cy="285750"/>
                  <wp:effectExtent l="0" t="0" r="0" b="0"/>
                  <wp:docPr id="374" name="图片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图片 374"/>
                          <pic:cNvPicPr>
                            <a:picLocks noChangeAspect="1"/>
                          </pic:cNvPicPr>
                        </pic:nvPicPr>
                        <pic:blipFill>
                          <a:blip r:embed="rId701" r:link="rId702"/>
                          <a:stretch>
                            <a:fillRect/>
                          </a:stretch>
                        </pic:blipFill>
                        <pic:spPr>
                          <a:xfrm>
                            <a:off x="0" y="0"/>
                            <a:ext cx="2286000" cy="285750"/>
                          </a:xfrm>
                          <a:prstGeom prst="rect">
                            <a:avLst/>
                          </a:prstGeom>
                          <a:noFill/>
                          <a:ln>
                            <a:noFill/>
                          </a:ln>
                        </pic:spPr>
                      </pic:pic>
                    </a:graphicData>
                  </a:graphic>
                </wp:inline>
              </w:drawing>
            </w:r>
            <w:r>
              <w:fldChar w:fldCharType="end"/>
            </w:r>
            <w:r>
              <w:fldChar w:fldCharType="end"/>
            </w:r>
            <w:r>
              <w:fldChar w:fldCharType="end"/>
            </w:r>
            <w:r>
              <w:fldChar w:fldCharType="end"/>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3701" w:type="dxa"/>
            <w:tcBorders>
              <w:top w:val="outset" w:color="auto" w:sz="6" w:space="0"/>
              <w:left w:val="outset" w:color="auto" w:sz="6" w:space="0"/>
              <w:bottom w:val="outset" w:color="auto" w:sz="6" w:space="0"/>
              <w:right w:val="outset" w:color="auto" w:sz="6" w:space="0"/>
            </w:tcBorders>
          </w:tcPr>
          <w:p>
            <w:pPr>
              <w:pStyle w:val="34"/>
            </w:pPr>
            <w:r>
              <w:rPr>
                <w:rFonts w:hint="eastAsia"/>
              </w:rPr>
              <w:t>主图指标不影响坐标的高低值</w:t>
            </w:r>
          </w:p>
        </w:tc>
        <w:tc>
          <w:tcPr>
            <w:tcW w:w="9497" w:type="dxa"/>
            <w:tcBorders>
              <w:top w:val="outset" w:color="auto" w:sz="6" w:space="0"/>
              <w:left w:val="outset" w:color="auto" w:sz="6" w:space="0"/>
              <w:bottom w:val="outset" w:color="auto" w:sz="6" w:space="0"/>
              <w:right w:val="outset" w:color="auto" w:sz="6" w:space="0"/>
            </w:tcBorders>
          </w:tcPr>
          <w:p>
            <w:pPr>
              <w:pStyle w:val="34"/>
            </w:pPr>
            <w:r>
              <w:rPr>
                <w:rFonts w:hint="eastAsia"/>
              </w:rPr>
              <w:t>以展示k线为主，如果指标的最高最低输出和k线高低值跨度相差态度以k线的高低值跨度显示k线，而不是以指标输出高低值跨度为主，压扁了k线。</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3701" w:type="dxa"/>
            <w:tcBorders>
              <w:top w:val="outset" w:color="auto" w:sz="6" w:space="0"/>
              <w:left w:val="outset" w:color="auto" w:sz="6" w:space="0"/>
              <w:bottom w:val="outset" w:color="auto" w:sz="6" w:space="0"/>
              <w:right w:val="outset" w:color="auto" w:sz="6" w:space="0"/>
            </w:tcBorders>
          </w:tcPr>
          <w:p>
            <w:pPr>
              <w:pStyle w:val="34"/>
            </w:pPr>
            <w:r>
              <w:rPr>
                <w:rFonts w:hint="eastAsia"/>
              </w:rPr>
              <w:t>分析图中移动时显示行情小窗口</w:t>
            </w:r>
          </w:p>
        </w:tc>
        <w:tc>
          <w:tcPr>
            <w:tcW w:w="9497" w:type="dxa"/>
            <w:tcBorders>
              <w:top w:val="outset" w:color="auto" w:sz="6" w:space="0"/>
              <w:left w:val="outset" w:color="auto" w:sz="6" w:space="0"/>
              <w:bottom w:val="outset" w:color="auto" w:sz="6" w:space="0"/>
              <w:right w:val="outset" w:color="auto" w:sz="6" w:space="0"/>
            </w:tcBorders>
          </w:tcPr>
          <w:p>
            <w:pPr>
              <w:pStyle w:val="34"/>
            </w:pPr>
            <w:r>
              <w:rPr>
                <w:rFonts w:hint="eastAsia"/>
              </w:rPr>
              <w:t>勾选上时，通过左右方向键调出十字光标后，移到到某K线上时用小行情窗口形式显示此K线上的基本信息；</w:t>
            </w:r>
          </w:p>
          <w:p>
            <w:pPr>
              <w:pStyle w:val="34"/>
            </w:pPr>
            <w:r>
              <w:rPr>
                <w:rFonts w:hint="eastAsia"/>
              </w:rPr>
              <w:t>若不勾选上，移动时直接在指标上方列出对应的基本信息，包括开高低收。</w:t>
            </w:r>
            <w:r>
              <w:fldChar w:fldCharType="begin"/>
            </w:r>
            <w:r>
              <w:instrText xml:space="preserve"> INCLUDEPICTURE  "https://www.tdx.com.cn/products/helpfile/tdxw/chm/%E7%AC%AC%E5%9B%9B%E7%AB%A0  %E9%80%89%E9%A1%B9/4-16%E7%B3%BB%E7%BB%9F%E8%AE%BE%E7%BD%AE/306.png" \* MERGEFORMATINET </w:instrText>
            </w:r>
            <w:r>
              <w:fldChar w:fldCharType="separate"/>
            </w:r>
            <w:r>
              <w:fldChar w:fldCharType="begin"/>
            </w:r>
            <w:r>
              <w:instrText xml:space="preserve"> INCLUDEPICTURE  "https://www.tdx.com.cn/products/helpfile/tdxw/chm/%E7%AC%AC%E5%9B%9B%E7%AB%A0  %E9%80%89%E9%A1%B9/4-16%E7%B3%BB%E7%BB%9F%E8%AE%BE%E7%BD%AE/306.png" \* MERGEFORMATINET </w:instrText>
            </w:r>
            <w:r>
              <w:fldChar w:fldCharType="separate"/>
            </w:r>
            <w:r>
              <w:fldChar w:fldCharType="begin"/>
            </w:r>
            <w:r>
              <w:instrText xml:space="preserve"> INCLUDEPICTURE  "https://www.tdx.com.cn/products/helpfile/tdxw/chm/%E7%AC%AC%E5%9B%9B%E7%AB%A0  %E9%80%89%E9%A1%B9/4-16%E7%B3%BB%E7%BB%9F%E8%AE%BE%E7%BD%AE/306.png" \* MERGEFORMATINET </w:instrText>
            </w:r>
            <w:r>
              <w:fldChar w:fldCharType="separate"/>
            </w:r>
            <w:r>
              <w:fldChar w:fldCharType="begin"/>
            </w:r>
            <w:r>
              <w:instrText xml:space="preserve"> INCLUDEPICTURE  "https://www.tdx.com.cn/products/helpfile/tdxw/chm/%E7%AC%AC%E5%9B%9B%E7%AB%A0  %E9%80%89%E9%A1%B9/4-16%E7%B3%BB%E7%BB%9F%E8%AE%BE%E7%BD%AE/306.png" \* MERGEFORMATINET </w:instrText>
            </w:r>
            <w:r>
              <w:fldChar w:fldCharType="separate"/>
            </w:r>
            <w:r>
              <w:drawing>
                <wp:inline distT="0" distB="0" distL="114300" distR="114300">
                  <wp:extent cx="4124325" cy="352425"/>
                  <wp:effectExtent l="0" t="0" r="9525" b="9525"/>
                  <wp:docPr id="375" name="图片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图片 375"/>
                          <pic:cNvPicPr>
                            <a:picLocks noChangeAspect="1"/>
                          </pic:cNvPicPr>
                        </pic:nvPicPr>
                        <pic:blipFill>
                          <a:blip r:embed="rId703" r:link="rId704"/>
                          <a:stretch>
                            <a:fillRect/>
                          </a:stretch>
                        </pic:blipFill>
                        <pic:spPr>
                          <a:xfrm>
                            <a:off x="0" y="0"/>
                            <a:ext cx="4124325" cy="352425"/>
                          </a:xfrm>
                          <a:prstGeom prst="rect">
                            <a:avLst/>
                          </a:prstGeom>
                          <a:noFill/>
                          <a:ln>
                            <a:noFill/>
                          </a:ln>
                        </pic:spPr>
                      </pic:pic>
                    </a:graphicData>
                  </a:graphic>
                </wp:inline>
              </w:drawing>
            </w:r>
            <w:r>
              <w:fldChar w:fldCharType="end"/>
            </w:r>
            <w:r>
              <w:fldChar w:fldCharType="end"/>
            </w:r>
            <w:r>
              <w:fldChar w:fldCharType="end"/>
            </w:r>
            <w:r>
              <w:fldChar w:fldCharType="end"/>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3701" w:type="dxa"/>
            <w:tcBorders>
              <w:top w:val="outset" w:color="auto" w:sz="6" w:space="0"/>
              <w:left w:val="outset" w:color="auto" w:sz="6" w:space="0"/>
              <w:bottom w:val="outset" w:color="auto" w:sz="6" w:space="0"/>
              <w:right w:val="outset" w:color="auto" w:sz="6" w:space="0"/>
            </w:tcBorders>
          </w:tcPr>
          <w:p>
            <w:pPr>
              <w:pStyle w:val="34"/>
            </w:pPr>
            <w:r>
              <w:rPr>
                <w:rFonts w:hint="eastAsia"/>
              </w:rPr>
              <w:t>分析图中显示指标和模板切换区</w:t>
            </w:r>
          </w:p>
        </w:tc>
        <w:tc>
          <w:tcPr>
            <w:tcW w:w="9497" w:type="dxa"/>
            <w:tcBorders>
              <w:top w:val="outset" w:color="auto" w:sz="6" w:space="0"/>
              <w:left w:val="outset" w:color="auto" w:sz="6" w:space="0"/>
              <w:bottom w:val="outset" w:color="auto" w:sz="6" w:space="0"/>
              <w:right w:val="outset" w:color="auto" w:sz="6" w:space="0"/>
            </w:tcBorders>
          </w:tcPr>
          <w:p>
            <w:pPr>
              <w:pStyle w:val="34"/>
            </w:pPr>
            <w:r>
              <w:rPr>
                <w:rFonts w:hint="eastAsia"/>
              </w:rPr>
              <w:t>设置是否显示分析图指标输出窗口下方的 指标和模板切换区</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3701" w:type="dxa"/>
            <w:tcBorders>
              <w:top w:val="outset" w:color="auto" w:sz="6" w:space="0"/>
              <w:left w:val="outset" w:color="auto" w:sz="6" w:space="0"/>
              <w:bottom w:val="outset" w:color="auto" w:sz="6" w:space="0"/>
              <w:right w:val="outset" w:color="auto" w:sz="6" w:space="0"/>
            </w:tcBorders>
          </w:tcPr>
          <w:p>
            <w:pPr>
              <w:pStyle w:val="34"/>
            </w:pPr>
            <w:r>
              <w:rPr>
                <w:rFonts w:hint="eastAsia"/>
              </w:rPr>
              <w:t>分时图成交量区大小</w:t>
            </w:r>
          </w:p>
        </w:tc>
        <w:tc>
          <w:tcPr>
            <w:tcW w:w="9497" w:type="dxa"/>
            <w:tcBorders>
              <w:top w:val="outset" w:color="auto" w:sz="6" w:space="0"/>
              <w:left w:val="outset" w:color="auto" w:sz="6" w:space="0"/>
              <w:bottom w:val="outset" w:color="auto" w:sz="6" w:space="0"/>
              <w:right w:val="outset" w:color="auto" w:sz="6" w:space="0"/>
            </w:tcBorders>
          </w:tcPr>
          <w:p>
            <w:pPr>
              <w:pStyle w:val="34"/>
            </w:pPr>
            <w:r>
              <w:rPr>
                <w:rFonts w:hint="eastAsia"/>
              </w:rPr>
              <w:t>设置分时图下方的成交量区的窗口高度占用多少个纵格（7、6、5、4、3、2、1、不显示）</w:t>
            </w:r>
            <w:r>
              <w:fldChar w:fldCharType="begin"/>
            </w:r>
            <w:r>
              <w:instrText xml:space="preserve"> INCLUDEPICTURE  "https://www.tdx.com.cn/products/helpfile/tdxw/chm/%E7%AC%AC%E5%9B%9B%E7%AB%A0  %E9%80%89%E9%A1%B9/4-16%E7%B3%BB%E7%BB%9F%E8%AE%BE%E7%BD%AE/307.png" \* MERGEFORMATINET </w:instrText>
            </w:r>
            <w:r>
              <w:fldChar w:fldCharType="separate"/>
            </w:r>
            <w:r>
              <w:fldChar w:fldCharType="begin"/>
            </w:r>
            <w:r>
              <w:instrText xml:space="preserve"> INCLUDEPICTURE  "https://www.tdx.com.cn/products/helpfile/tdxw/chm/%E7%AC%AC%E5%9B%9B%E7%AB%A0  %E9%80%89%E9%A1%B9/4-16%E7%B3%BB%E7%BB%9F%E8%AE%BE%E7%BD%AE/307.png" \* MERGEFORMATINET </w:instrText>
            </w:r>
            <w:r>
              <w:fldChar w:fldCharType="separate"/>
            </w:r>
            <w:r>
              <w:fldChar w:fldCharType="begin"/>
            </w:r>
            <w:r>
              <w:instrText xml:space="preserve"> INCLUDEPICTURE  "https://www.tdx.com.cn/products/helpfile/tdxw/chm/%E7%AC%AC%E5%9B%9B%E7%AB%A0  %E9%80%89%E9%A1%B9/4-16%E7%B3%BB%E7%BB%9F%E8%AE%BE%E7%BD%AE/307.png" \* MERGEFORMATINET </w:instrText>
            </w:r>
            <w:r>
              <w:fldChar w:fldCharType="separate"/>
            </w:r>
            <w:r>
              <w:fldChar w:fldCharType="begin"/>
            </w:r>
            <w:r>
              <w:instrText xml:space="preserve"> INCLUDEPICTURE  "https://www.tdx.com.cn/products/helpfile/tdxw/chm/%E7%AC%AC%E5%9B%9B%E7%AB%A0  %E9%80%89%E9%A1%B9/4-16%E7%B3%BB%E7%BB%9F%E8%AE%BE%E7%BD%AE/307.png" \* MERGEFORMATINET </w:instrText>
            </w:r>
            <w:r>
              <w:fldChar w:fldCharType="separate"/>
            </w:r>
            <w:r>
              <w:drawing>
                <wp:inline distT="0" distB="0" distL="114300" distR="114300">
                  <wp:extent cx="2000250" cy="828675"/>
                  <wp:effectExtent l="0" t="0" r="0" b="9525"/>
                  <wp:docPr id="376" name="图片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图片 376"/>
                          <pic:cNvPicPr>
                            <a:picLocks noChangeAspect="1"/>
                          </pic:cNvPicPr>
                        </pic:nvPicPr>
                        <pic:blipFill>
                          <a:blip r:embed="rId705" r:link="rId706"/>
                          <a:stretch>
                            <a:fillRect/>
                          </a:stretch>
                        </pic:blipFill>
                        <pic:spPr>
                          <a:xfrm>
                            <a:off x="0" y="0"/>
                            <a:ext cx="2000250" cy="828675"/>
                          </a:xfrm>
                          <a:prstGeom prst="rect">
                            <a:avLst/>
                          </a:prstGeom>
                          <a:noFill/>
                          <a:ln>
                            <a:noFill/>
                          </a:ln>
                        </pic:spPr>
                      </pic:pic>
                    </a:graphicData>
                  </a:graphic>
                </wp:inline>
              </w:drawing>
            </w:r>
            <w:r>
              <w:fldChar w:fldCharType="end"/>
            </w:r>
            <w:r>
              <w:fldChar w:fldCharType="end"/>
            </w:r>
            <w:r>
              <w:fldChar w:fldCharType="end"/>
            </w:r>
            <w:r>
              <w:fldChar w:fldCharType="end"/>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3701" w:type="dxa"/>
            <w:tcBorders>
              <w:top w:val="outset" w:color="auto" w:sz="6" w:space="0"/>
              <w:left w:val="outset" w:color="auto" w:sz="6" w:space="0"/>
              <w:bottom w:val="outset" w:color="auto" w:sz="6" w:space="0"/>
              <w:right w:val="outset" w:color="auto" w:sz="6" w:space="0"/>
            </w:tcBorders>
          </w:tcPr>
          <w:p>
            <w:pPr>
              <w:pStyle w:val="34"/>
            </w:pPr>
            <w:r>
              <w:rPr>
                <w:rFonts w:hint="eastAsia"/>
              </w:rPr>
              <w:t>分析图缺省分析周期</w:t>
            </w:r>
          </w:p>
        </w:tc>
        <w:tc>
          <w:tcPr>
            <w:tcW w:w="9497" w:type="dxa"/>
            <w:tcBorders>
              <w:top w:val="outset" w:color="auto" w:sz="6" w:space="0"/>
              <w:left w:val="outset" w:color="auto" w:sz="6" w:space="0"/>
              <w:bottom w:val="outset" w:color="auto" w:sz="6" w:space="0"/>
              <w:right w:val="outset" w:color="auto" w:sz="6" w:space="0"/>
            </w:tcBorders>
          </w:tcPr>
          <w:p>
            <w:pPr>
              <w:pStyle w:val="34"/>
            </w:pPr>
            <w:r>
              <w:rPr>
                <w:rFonts w:hint="eastAsia"/>
              </w:rPr>
              <w:t>设置每次进入客户端分析图时的默认k线周期（对定制版面的k线界面也有效）</w:t>
            </w:r>
          </w:p>
          <w:p>
            <w:pPr>
              <w:pStyle w:val="34"/>
            </w:pPr>
            <w:r>
              <w:rPr>
                <w:rFonts w:hint="eastAsia"/>
              </w:rPr>
              <w:t>支持选择“最近使用周期” 即之后浏览股票k线周期与最近一次选择的周期一致（“最近使用周期”设置不适用重进客户端只是在浏览股票过程中，其他的选择是对重进客户端有效）</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3701" w:type="dxa"/>
            <w:tcBorders>
              <w:top w:val="outset" w:color="auto" w:sz="6" w:space="0"/>
              <w:left w:val="outset" w:color="auto" w:sz="6" w:space="0"/>
              <w:bottom w:val="outset" w:color="auto" w:sz="6" w:space="0"/>
              <w:right w:val="outset" w:color="auto" w:sz="6" w:space="0"/>
            </w:tcBorders>
          </w:tcPr>
          <w:p>
            <w:pPr>
              <w:pStyle w:val="34"/>
            </w:pPr>
            <w:r>
              <w:rPr>
                <w:rFonts w:hint="eastAsia"/>
              </w:rPr>
              <w:t>分析图显示横轴虚线</w:t>
            </w:r>
          </w:p>
        </w:tc>
        <w:tc>
          <w:tcPr>
            <w:tcW w:w="9497" w:type="dxa"/>
            <w:tcBorders>
              <w:top w:val="outset" w:color="auto" w:sz="6" w:space="0"/>
              <w:left w:val="outset" w:color="auto" w:sz="6" w:space="0"/>
              <w:bottom w:val="outset" w:color="auto" w:sz="6" w:space="0"/>
              <w:right w:val="outset" w:color="auto" w:sz="6" w:space="0"/>
            </w:tcBorders>
          </w:tcPr>
          <w:p>
            <w:pPr>
              <w:pStyle w:val="34"/>
            </w:pPr>
            <w:r>
              <w:rPr>
                <w:rFonts w:hint="eastAsia"/>
              </w:rPr>
              <w:t>显示分析图的横向的虚轴线</w:t>
            </w:r>
            <w:r>
              <w:fldChar w:fldCharType="begin"/>
            </w:r>
            <w:r>
              <w:instrText xml:space="preserve"> INCLUDEPICTURE  "https://www.tdx.com.cn/products/helpfile/tdxw/chm/%E7%AC%AC%E5%9B%9B%E7%AB%A0  %E9%80%89%E9%A1%B9/4-16%E7%B3%BB%E7%BB%9F%E8%AE%BE%E7%BD%AE/308.png" \* MERGEFORMATINET </w:instrText>
            </w:r>
            <w:r>
              <w:fldChar w:fldCharType="separate"/>
            </w:r>
            <w:r>
              <w:fldChar w:fldCharType="begin"/>
            </w:r>
            <w:r>
              <w:instrText xml:space="preserve"> INCLUDEPICTURE  "https://www.tdx.com.cn/products/helpfile/tdxw/chm/%E7%AC%AC%E5%9B%9B%E7%AB%A0  %E9%80%89%E9%A1%B9/4-16%E7%B3%BB%E7%BB%9F%E8%AE%BE%E7%BD%AE/308.png" \* MERGEFORMATINET </w:instrText>
            </w:r>
            <w:r>
              <w:fldChar w:fldCharType="separate"/>
            </w:r>
            <w:r>
              <w:fldChar w:fldCharType="begin"/>
            </w:r>
            <w:r>
              <w:instrText xml:space="preserve"> INCLUDEPICTURE  "https://www.tdx.com.cn/products/helpfile/tdxw/chm/%E7%AC%AC%E5%9B%9B%E7%AB%A0  %E9%80%89%E9%A1%B9/4-16%E7%B3%BB%E7%BB%9F%E8%AE%BE%E7%BD%AE/308.png" \* MERGEFORMATINET </w:instrText>
            </w:r>
            <w:r>
              <w:fldChar w:fldCharType="separate"/>
            </w:r>
            <w:r>
              <w:fldChar w:fldCharType="begin"/>
            </w:r>
            <w:r>
              <w:instrText xml:space="preserve"> INCLUDEPICTURE  "https://www.tdx.com.cn/products/helpfile/tdxw/chm/%E7%AC%AC%E5%9B%9B%E7%AB%A0  %E9%80%89%E9%A1%B9/4-16%E7%B3%BB%E7%BB%9F%E8%AE%BE%E7%BD%AE/308.png" \* MERGEFORMATINET </w:instrText>
            </w:r>
            <w:r>
              <w:fldChar w:fldCharType="separate"/>
            </w:r>
            <w:r>
              <w:drawing>
                <wp:inline distT="0" distB="0" distL="114300" distR="114300">
                  <wp:extent cx="2152650" cy="1247775"/>
                  <wp:effectExtent l="0" t="0" r="0" b="9525"/>
                  <wp:docPr id="377" name="图片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图片 377"/>
                          <pic:cNvPicPr>
                            <a:picLocks noChangeAspect="1"/>
                          </pic:cNvPicPr>
                        </pic:nvPicPr>
                        <pic:blipFill>
                          <a:blip r:embed="rId707" r:link="rId708"/>
                          <a:stretch>
                            <a:fillRect/>
                          </a:stretch>
                        </pic:blipFill>
                        <pic:spPr>
                          <a:xfrm>
                            <a:off x="0" y="0"/>
                            <a:ext cx="2152650" cy="1247775"/>
                          </a:xfrm>
                          <a:prstGeom prst="rect">
                            <a:avLst/>
                          </a:prstGeom>
                          <a:noFill/>
                          <a:ln>
                            <a:noFill/>
                          </a:ln>
                        </pic:spPr>
                      </pic:pic>
                    </a:graphicData>
                  </a:graphic>
                </wp:inline>
              </w:drawing>
            </w:r>
            <w:r>
              <w:fldChar w:fldCharType="end"/>
            </w:r>
            <w:r>
              <w:fldChar w:fldCharType="end"/>
            </w:r>
            <w:r>
              <w:fldChar w:fldCharType="end"/>
            </w:r>
            <w:r>
              <w:fldChar w:fldCharType="end"/>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3701" w:type="dxa"/>
            <w:tcBorders>
              <w:top w:val="outset" w:color="auto" w:sz="6" w:space="0"/>
              <w:left w:val="outset" w:color="auto" w:sz="6" w:space="0"/>
              <w:bottom w:val="outset" w:color="auto" w:sz="6" w:space="0"/>
              <w:right w:val="outset" w:color="auto" w:sz="6" w:space="0"/>
            </w:tcBorders>
          </w:tcPr>
          <w:p>
            <w:pPr>
              <w:pStyle w:val="34"/>
            </w:pPr>
            <w:r>
              <w:rPr>
                <w:rFonts w:hint="eastAsia"/>
              </w:rPr>
              <w:t>分析图显示纵轴虚线间隔N</w:t>
            </w:r>
          </w:p>
        </w:tc>
        <w:tc>
          <w:tcPr>
            <w:tcW w:w="9497" w:type="dxa"/>
            <w:tcBorders>
              <w:top w:val="outset" w:color="auto" w:sz="6" w:space="0"/>
              <w:left w:val="outset" w:color="auto" w:sz="6" w:space="0"/>
              <w:bottom w:val="outset" w:color="auto" w:sz="6" w:space="0"/>
              <w:right w:val="outset" w:color="auto" w:sz="6" w:space="0"/>
            </w:tcBorders>
          </w:tcPr>
          <w:p>
            <w:pPr>
              <w:pStyle w:val="34"/>
            </w:pPr>
            <w:r>
              <w:rPr>
                <w:rFonts w:hint="eastAsia"/>
              </w:rPr>
              <w:t>显示分析图的纵向的虚轴线</w:t>
            </w:r>
            <w:r>
              <w:fldChar w:fldCharType="begin"/>
            </w:r>
            <w:r>
              <w:instrText xml:space="preserve"> INCLUDEPICTURE  "https://www.tdx.com.cn/products/helpfile/tdxw/chm/%E7%AC%AC%E5%9B%9B%E7%AB%A0  %E9%80%89%E9%A1%B9/4-16%E7%B3%BB%E7%BB%9F%E8%AE%BE%E7%BD%AE/309.png" \* MERGEFORMATINET </w:instrText>
            </w:r>
            <w:r>
              <w:fldChar w:fldCharType="separate"/>
            </w:r>
            <w:r>
              <w:fldChar w:fldCharType="begin"/>
            </w:r>
            <w:r>
              <w:instrText xml:space="preserve"> INCLUDEPICTURE  "https://www.tdx.com.cn/products/helpfile/tdxw/chm/%E7%AC%AC%E5%9B%9B%E7%AB%A0  %E9%80%89%E9%A1%B9/4-16%E7%B3%BB%E7%BB%9F%E8%AE%BE%E7%BD%AE/309.png" \* MERGEFORMATINET </w:instrText>
            </w:r>
            <w:r>
              <w:fldChar w:fldCharType="separate"/>
            </w:r>
            <w:r>
              <w:fldChar w:fldCharType="begin"/>
            </w:r>
            <w:r>
              <w:instrText xml:space="preserve"> INCLUDEPICTURE  "https://www.tdx.com.cn/products/helpfile/tdxw/chm/%E7%AC%AC%E5%9B%9B%E7%AB%A0  %E9%80%89%E9%A1%B9/4-16%E7%B3%BB%E7%BB%9F%E8%AE%BE%E7%BD%AE/309.png" \* MERGEFORMATINET </w:instrText>
            </w:r>
            <w:r>
              <w:fldChar w:fldCharType="separate"/>
            </w:r>
            <w:r>
              <w:fldChar w:fldCharType="begin"/>
            </w:r>
            <w:r>
              <w:instrText xml:space="preserve"> INCLUDEPICTURE  "https://www.tdx.com.cn/products/helpfile/tdxw/chm/%E7%AC%AC%E5%9B%9B%E7%AB%A0  %E9%80%89%E9%A1%B9/4-16%E7%B3%BB%E7%BB%9F%E8%AE%BE%E7%BD%AE/309.png" \* MERGEFORMATINET </w:instrText>
            </w:r>
            <w:r>
              <w:fldChar w:fldCharType="separate"/>
            </w:r>
            <w:r>
              <w:drawing>
                <wp:inline distT="0" distB="0" distL="114300" distR="114300">
                  <wp:extent cx="2895600" cy="1238250"/>
                  <wp:effectExtent l="0" t="0" r="0" b="0"/>
                  <wp:docPr id="378" name="图片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图片 378"/>
                          <pic:cNvPicPr>
                            <a:picLocks noChangeAspect="1"/>
                          </pic:cNvPicPr>
                        </pic:nvPicPr>
                        <pic:blipFill>
                          <a:blip r:embed="rId709" r:link="rId710"/>
                          <a:stretch>
                            <a:fillRect/>
                          </a:stretch>
                        </pic:blipFill>
                        <pic:spPr>
                          <a:xfrm>
                            <a:off x="0" y="0"/>
                            <a:ext cx="2895600" cy="1238250"/>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显示分析图的纵轴虚线的时候可以设置间隔，一般默认是不设置，日线是一个月一隔，周线、月线一年一隔，分钟周期的都是一天一隔</w:t>
            </w:r>
          </w:p>
          <w:p>
            <w:pPr>
              <w:pStyle w:val="34"/>
            </w:pPr>
            <w:r>
              <w:rPr>
                <w:rFonts w:hint="eastAsia"/>
              </w:rPr>
              <w:t>如果设定了间隔不管什么周期的都是间隔这个N个k线一隔</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3701" w:type="dxa"/>
            <w:tcBorders>
              <w:top w:val="outset" w:color="auto" w:sz="6" w:space="0"/>
              <w:left w:val="outset" w:color="auto" w:sz="6" w:space="0"/>
              <w:bottom w:val="outset" w:color="auto" w:sz="6" w:space="0"/>
              <w:right w:val="outset" w:color="auto" w:sz="6" w:space="0"/>
            </w:tcBorders>
          </w:tcPr>
          <w:p>
            <w:pPr>
              <w:pStyle w:val="34"/>
              <w:rPr>
                <w:rFonts w:cs="宋体"/>
              </w:rPr>
            </w:pPr>
            <w:r>
              <w:rPr>
                <w:rFonts w:hint="eastAsia"/>
              </w:rPr>
              <w:t>分钟周期中显示隔日阴阳框线</w:t>
            </w:r>
          </w:p>
        </w:tc>
        <w:tc>
          <w:tcPr>
            <w:tcW w:w="9497" w:type="dxa"/>
            <w:tcBorders>
              <w:top w:val="outset" w:color="auto" w:sz="6" w:space="0"/>
              <w:left w:val="outset" w:color="auto" w:sz="6" w:space="0"/>
              <w:bottom w:val="outset" w:color="auto" w:sz="6" w:space="0"/>
              <w:right w:val="outset" w:color="auto" w:sz="6" w:space="0"/>
            </w:tcBorders>
          </w:tcPr>
          <w:p>
            <w:pPr>
              <w:pStyle w:val="34"/>
              <w:rPr>
                <w:rFonts w:cs="宋体"/>
              </w:rPr>
            </w:pPr>
            <w:r>
              <w:fldChar w:fldCharType="begin"/>
            </w:r>
            <w:r>
              <w:instrText xml:space="preserve"> INCLUDEPICTURE  "https://www.tdx.com.cn/products/helpfile/tdxw/chm/%E7%AC%AC%E5%9B%9B%E7%AB%A0  %E9%80%89%E9%A1%B9/4-16%E7%B3%BB%E7%BB%9F%E8%AE%BE%E7%BD%AE/310.png" \* MERGEFORMATINET </w:instrText>
            </w:r>
            <w:r>
              <w:fldChar w:fldCharType="separate"/>
            </w:r>
            <w:r>
              <w:fldChar w:fldCharType="begin"/>
            </w:r>
            <w:r>
              <w:instrText xml:space="preserve"> INCLUDEPICTURE  "https://www.tdx.com.cn/products/helpfile/tdxw/chm/%E7%AC%AC%E5%9B%9B%E7%AB%A0  %E9%80%89%E9%A1%B9/4-16%E7%B3%BB%E7%BB%9F%E8%AE%BE%E7%BD%AE/310.png" \* MERGEFORMATINET </w:instrText>
            </w:r>
            <w:r>
              <w:fldChar w:fldCharType="separate"/>
            </w:r>
            <w:r>
              <w:fldChar w:fldCharType="begin"/>
            </w:r>
            <w:r>
              <w:instrText xml:space="preserve"> INCLUDEPICTURE  "https://www.tdx.com.cn/products/helpfile/tdxw/chm/%E7%AC%AC%E5%9B%9B%E7%AB%A0  %E9%80%89%E9%A1%B9/4-16%E7%B3%BB%E7%BB%9F%E8%AE%BE%E7%BD%AE/310.png" \* MERGEFORMATINET </w:instrText>
            </w:r>
            <w:r>
              <w:fldChar w:fldCharType="separate"/>
            </w:r>
            <w:r>
              <w:fldChar w:fldCharType="begin"/>
            </w:r>
            <w:r>
              <w:instrText xml:space="preserve"> INCLUDEPICTURE  "https://www.tdx.com.cn/products/helpfile/tdxw/chm/%E7%AC%AC%E5%9B%9B%E7%AB%A0  %E9%80%89%E9%A1%B9/4-16%E7%B3%BB%E7%BB%9F%E8%AE%BE%E7%BD%AE/310.png" \* MERGEFORMATINET </w:instrText>
            </w:r>
            <w:r>
              <w:fldChar w:fldCharType="separate"/>
            </w:r>
            <w:r>
              <w:drawing>
                <wp:inline distT="0" distB="0" distL="114300" distR="114300">
                  <wp:extent cx="2981325" cy="1600200"/>
                  <wp:effectExtent l="0" t="0" r="9525" b="0"/>
                  <wp:docPr id="379" name="图片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图片 379"/>
                          <pic:cNvPicPr>
                            <a:picLocks noChangeAspect="1"/>
                          </pic:cNvPicPr>
                        </pic:nvPicPr>
                        <pic:blipFill>
                          <a:blip r:embed="rId711" r:link="rId712"/>
                          <a:stretch>
                            <a:fillRect/>
                          </a:stretch>
                        </pic:blipFill>
                        <pic:spPr>
                          <a:xfrm>
                            <a:off x="0" y="0"/>
                            <a:ext cx="2981325" cy="1600200"/>
                          </a:xfrm>
                          <a:prstGeom prst="rect">
                            <a:avLst/>
                          </a:prstGeom>
                          <a:noFill/>
                          <a:ln>
                            <a:noFill/>
                          </a:ln>
                        </pic:spPr>
                      </pic:pic>
                    </a:graphicData>
                  </a:graphic>
                </wp:inline>
              </w:drawing>
            </w:r>
            <w:r>
              <w:fldChar w:fldCharType="end"/>
            </w:r>
            <w:r>
              <w:fldChar w:fldCharType="end"/>
            </w:r>
            <w:r>
              <w:fldChar w:fldCharType="end"/>
            </w:r>
            <w:r>
              <w:fldChar w:fldCharType="end"/>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3701" w:type="dxa"/>
            <w:tcBorders>
              <w:top w:val="outset" w:color="auto" w:sz="6" w:space="0"/>
              <w:left w:val="outset" w:color="auto" w:sz="6" w:space="0"/>
              <w:bottom w:val="outset" w:color="auto" w:sz="6" w:space="0"/>
              <w:right w:val="outset" w:color="auto" w:sz="6" w:space="0"/>
            </w:tcBorders>
          </w:tcPr>
          <w:p>
            <w:pPr>
              <w:pStyle w:val="34"/>
              <w:rPr>
                <w:rFonts w:cs="宋体"/>
              </w:rPr>
            </w:pPr>
            <w:r>
              <w:rPr>
                <w:rFonts w:hint="eastAsia"/>
              </w:rPr>
              <w:t>分析图和分时图的时间线联动</w:t>
            </w:r>
          </w:p>
        </w:tc>
        <w:tc>
          <w:tcPr>
            <w:tcW w:w="9497" w:type="dxa"/>
            <w:tcBorders>
              <w:top w:val="outset" w:color="auto" w:sz="6" w:space="0"/>
              <w:left w:val="outset" w:color="auto" w:sz="6" w:space="0"/>
              <w:bottom w:val="outset" w:color="auto" w:sz="6" w:space="0"/>
              <w:right w:val="outset" w:color="auto" w:sz="6" w:space="0"/>
            </w:tcBorders>
          </w:tcPr>
          <w:p>
            <w:pPr>
              <w:pStyle w:val="34"/>
              <w:rPr>
                <w:rFonts w:cs="宋体"/>
              </w:rPr>
            </w:pPr>
            <w:r>
              <w:fldChar w:fldCharType="begin"/>
            </w:r>
            <w:r>
              <w:instrText xml:space="preserve"> INCLUDEPICTURE  "https://www.tdx.com.cn/products/helpfile/tdxw/chm/%E7%AC%AC%E5%9B%9B%E7%AB%A0  %E9%80%89%E9%A1%B9/4-16%E7%B3%BB%E7%BB%9F%E8%AE%BE%E7%BD%AE/311.png" \* MERGEFORMATINET </w:instrText>
            </w:r>
            <w:r>
              <w:fldChar w:fldCharType="separate"/>
            </w:r>
            <w:r>
              <w:fldChar w:fldCharType="begin"/>
            </w:r>
            <w:r>
              <w:instrText xml:space="preserve"> INCLUDEPICTURE  "https://www.tdx.com.cn/products/helpfile/tdxw/chm/%E7%AC%AC%E5%9B%9B%E7%AB%A0  %E9%80%89%E9%A1%B9/4-16%E7%B3%BB%E7%BB%9F%E8%AE%BE%E7%BD%AE/311.png" \* MERGEFORMATINET </w:instrText>
            </w:r>
            <w:r>
              <w:fldChar w:fldCharType="separate"/>
            </w:r>
            <w:r>
              <w:fldChar w:fldCharType="begin"/>
            </w:r>
            <w:r>
              <w:instrText xml:space="preserve"> INCLUDEPICTURE  "https://www.tdx.com.cn/products/helpfile/tdxw/chm/%E7%AC%AC%E5%9B%9B%E7%AB%A0  %E9%80%89%E9%A1%B9/4-16%E7%B3%BB%E7%BB%9F%E8%AE%BE%E7%BD%AE/311.png" \* MERGEFORMATINET </w:instrText>
            </w:r>
            <w:r>
              <w:fldChar w:fldCharType="separate"/>
            </w:r>
            <w:r>
              <w:fldChar w:fldCharType="begin"/>
            </w:r>
            <w:r>
              <w:instrText xml:space="preserve"> INCLUDEPICTURE  "https://www.tdx.com.cn/products/helpfile/tdxw/chm/%E7%AC%AC%E5%9B%9B%E7%AB%A0  %E9%80%89%E9%A1%B9/4-16%E7%B3%BB%E7%BB%9F%E8%AE%BE%E7%BD%AE/311.png" \* MERGEFORMATINET </w:instrText>
            </w:r>
            <w:r>
              <w:fldChar w:fldCharType="separate"/>
            </w:r>
            <w:r>
              <w:drawing>
                <wp:inline distT="0" distB="0" distL="114300" distR="114300">
                  <wp:extent cx="4743450" cy="2762250"/>
                  <wp:effectExtent l="0" t="0" r="0" b="0"/>
                  <wp:docPr id="380" name="图片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图片 380"/>
                          <pic:cNvPicPr>
                            <a:picLocks noChangeAspect="1"/>
                          </pic:cNvPicPr>
                        </pic:nvPicPr>
                        <pic:blipFill>
                          <a:blip r:embed="rId713" r:link="rId714"/>
                          <a:stretch>
                            <a:fillRect/>
                          </a:stretch>
                        </pic:blipFill>
                        <pic:spPr>
                          <a:xfrm>
                            <a:off x="0" y="0"/>
                            <a:ext cx="4743450" cy="2762250"/>
                          </a:xfrm>
                          <a:prstGeom prst="rect">
                            <a:avLst/>
                          </a:prstGeom>
                          <a:noFill/>
                          <a:ln>
                            <a:noFill/>
                          </a:ln>
                        </pic:spPr>
                      </pic:pic>
                    </a:graphicData>
                  </a:graphic>
                </wp:inline>
              </w:drawing>
            </w:r>
            <w:r>
              <w:fldChar w:fldCharType="end"/>
            </w:r>
            <w:r>
              <w:fldChar w:fldCharType="end"/>
            </w:r>
            <w:r>
              <w:fldChar w:fldCharType="end"/>
            </w:r>
            <w:r>
              <w:fldChar w:fldCharType="end"/>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3701" w:type="dxa"/>
            <w:tcBorders>
              <w:top w:val="outset" w:color="auto" w:sz="6" w:space="0"/>
              <w:left w:val="outset" w:color="auto" w:sz="6" w:space="0"/>
              <w:bottom w:val="outset" w:color="auto" w:sz="6" w:space="0"/>
              <w:right w:val="outset" w:color="auto" w:sz="6" w:space="0"/>
            </w:tcBorders>
          </w:tcPr>
          <w:p>
            <w:pPr>
              <w:pStyle w:val="34"/>
            </w:pPr>
            <w:r>
              <w:rPr>
                <w:rFonts w:hint="eastAsia"/>
              </w:rPr>
              <w:t>分析图等比坐标间隔N%</w:t>
            </w:r>
          </w:p>
        </w:tc>
        <w:tc>
          <w:tcPr>
            <w:tcW w:w="9497" w:type="dxa"/>
            <w:tcBorders>
              <w:top w:val="outset" w:color="auto" w:sz="6" w:space="0"/>
              <w:left w:val="outset" w:color="auto" w:sz="6" w:space="0"/>
              <w:bottom w:val="outset" w:color="auto" w:sz="6" w:space="0"/>
              <w:right w:val="outset" w:color="auto" w:sz="6" w:space="0"/>
            </w:tcBorders>
          </w:tcPr>
          <w:p>
            <w:pPr>
              <w:pStyle w:val="34"/>
            </w:pPr>
            <w:r>
              <w:rPr>
                <w:rFonts w:hint="eastAsia"/>
              </w:rPr>
              <w:t>设置分析图等比坐标间隔默认是10%</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3701" w:type="dxa"/>
            <w:tcBorders>
              <w:top w:val="outset" w:color="auto" w:sz="6" w:space="0"/>
              <w:left w:val="outset" w:color="auto" w:sz="6" w:space="0"/>
              <w:bottom w:val="outset" w:color="auto" w:sz="6" w:space="0"/>
              <w:right w:val="outset" w:color="auto" w:sz="6" w:space="0"/>
            </w:tcBorders>
          </w:tcPr>
          <w:p>
            <w:pPr>
              <w:pStyle w:val="34"/>
            </w:pPr>
            <w:r>
              <w:rPr>
                <w:rFonts w:hint="eastAsia"/>
              </w:rPr>
              <w:t>分析图等分坐标份数N等分</w:t>
            </w:r>
          </w:p>
        </w:tc>
        <w:tc>
          <w:tcPr>
            <w:tcW w:w="9497" w:type="dxa"/>
            <w:tcBorders>
              <w:top w:val="outset" w:color="auto" w:sz="6" w:space="0"/>
              <w:left w:val="outset" w:color="auto" w:sz="6" w:space="0"/>
              <w:bottom w:val="outset" w:color="auto" w:sz="6" w:space="0"/>
              <w:right w:val="outset" w:color="auto" w:sz="6" w:space="0"/>
            </w:tcBorders>
          </w:tcPr>
          <w:p>
            <w:pPr>
              <w:pStyle w:val="34"/>
            </w:pPr>
            <w:r>
              <w:rPr>
                <w:rFonts w:hint="eastAsia"/>
              </w:rPr>
              <w:t>设置分析图等分坐标份数默认是4份</w:t>
            </w:r>
          </w:p>
        </w:tc>
      </w:tr>
    </w:tbl>
    <w:p>
      <w:pPr>
        <w:pStyle w:val="34"/>
        <w:ind w:firstLine="482"/>
        <w:rPr>
          <w:b/>
        </w:rPr>
      </w:pPr>
      <w:r>
        <w:rPr>
          <w:rFonts w:hint="eastAsia"/>
          <w:b/>
        </w:rPr>
        <w:t>设置4</w:t>
      </w:r>
    </w:p>
    <w:p>
      <w:pPr>
        <w:pStyle w:val="34"/>
      </w:pPr>
      <w:r>
        <w:drawing>
          <wp:inline distT="0" distB="0" distL="114300" distR="114300">
            <wp:extent cx="4705350" cy="3752850"/>
            <wp:effectExtent l="0" t="0" r="0" b="0"/>
            <wp:docPr id="381" name="图片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图片 381"/>
                    <pic:cNvPicPr>
                      <a:picLocks noChangeAspect="1"/>
                    </pic:cNvPicPr>
                  </pic:nvPicPr>
                  <pic:blipFill>
                    <a:blip r:embed="rId715"/>
                    <a:stretch>
                      <a:fillRect/>
                    </a:stretch>
                  </pic:blipFill>
                  <pic:spPr>
                    <a:xfrm>
                      <a:off x="0" y="0"/>
                      <a:ext cx="4705350" cy="3752850"/>
                    </a:xfrm>
                    <a:prstGeom prst="rect">
                      <a:avLst/>
                    </a:prstGeom>
                    <a:noFill/>
                    <a:ln>
                      <a:noFill/>
                    </a:ln>
                  </pic:spPr>
                </pic:pic>
              </a:graphicData>
            </a:graphic>
          </wp:inline>
        </w:drawing>
      </w:r>
    </w:p>
    <w:tbl>
      <w:tblPr>
        <w:tblStyle w:val="25"/>
        <w:tblW w:w="13725" w:type="dxa"/>
        <w:tblCellSpacing w:w="0" w:type="dxa"/>
        <w:tblInd w:w="0" w:type="dxa"/>
        <w:tblBorders>
          <w:top w:val="outset" w:color="auto" w:sz="6" w:space="0"/>
          <w:left w:val="outset" w:color="auto" w:sz="6" w:space="0"/>
          <w:bottom w:val="outset" w:color="auto" w:sz="6" w:space="0"/>
          <w:right w:val="outset" w:color="auto" w:sz="6" w:space="0"/>
          <w:insideH w:val="none" w:color="auto" w:sz="0" w:space="0"/>
          <w:insideV w:val="none" w:color="auto" w:sz="0" w:space="0"/>
        </w:tblBorders>
        <w:tblLayout w:type="autofit"/>
        <w:tblCellMar>
          <w:top w:w="0" w:type="dxa"/>
          <w:left w:w="0" w:type="dxa"/>
          <w:bottom w:w="0" w:type="dxa"/>
          <w:right w:w="0" w:type="dxa"/>
        </w:tblCellMar>
      </w:tblPr>
      <w:tblGrid>
        <w:gridCol w:w="3397"/>
        <w:gridCol w:w="10328"/>
      </w:tblGrid>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3375"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设置项</w:t>
            </w:r>
          </w:p>
        </w:tc>
        <w:tc>
          <w:tcPr>
            <w:tcW w:w="10260" w:type="dxa"/>
            <w:tcBorders>
              <w:top w:val="outset" w:color="auto" w:sz="6" w:space="0"/>
              <w:left w:val="outset" w:color="auto" w:sz="6" w:space="0"/>
              <w:bottom w:val="outset" w:color="auto" w:sz="6" w:space="0"/>
              <w:right w:val="outset" w:color="auto" w:sz="6" w:space="0"/>
            </w:tcBorders>
          </w:tcPr>
          <w:p>
            <w:pPr>
              <w:pStyle w:val="34"/>
            </w:pPr>
            <w:r>
              <w:rPr>
                <w:rFonts w:hint="eastAsia"/>
              </w:rPr>
              <w:t>功能说明</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3375" w:type="dxa"/>
            <w:tcBorders>
              <w:top w:val="outset" w:color="auto" w:sz="6" w:space="0"/>
              <w:left w:val="outset" w:color="auto" w:sz="6" w:space="0"/>
              <w:bottom w:val="outset" w:color="auto" w:sz="6" w:space="0"/>
              <w:right w:val="outset" w:color="auto" w:sz="6" w:space="0"/>
            </w:tcBorders>
          </w:tcPr>
          <w:p>
            <w:pPr>
              <w:pStyle w:val="34"/>
            </w:pPr>
            <w:r>
              <w:rPr>
                <w:rFonts w:hint="eastAsia"/>
              </w:rPr>
              <w:t>状态栏行情</w:t>
            </w:r>
          </w:p>
        </w:tc>
        <w:tc>
          <w:tcPr>
            <w:tcW w:w="10260" w:type="dxa"/>
            <w:tcBorders>
              <w:top w:val="outset" w:color="auto" w:sz="6" w:space="0"/>
              <w:left w:val="outset" w:color="auto" w:sz="6" w:space="0"/>
              <w:bottom w:val="outset" w:color="auto" w:sz="6" w:space="0"/>
              <w:right w:val="outset" w:color="auto" w:sz="6" w:space="0"/>
            </w:tcBorders>
          </w:tcPr>
          <w:p>
            <w:pPr>
              <w:pStyle w:val="34"/>
            </w:pPr>
            <w:r>
              <w:rPr>
                <w:rFonts w:hint="eastAsia"/>
              </w:rPr>
              <w:t>设置状态栏上展示行情的各股（大盘或者自己关注的个股）</w:t>
            </w:r>
          </w:p>
          <w:p>
            <w:pPr>
              <w:pStyle w:val="34"/>
            </w:pPr>
            <w:r>
              <w:rPr>
                <w:rFonts w:hint="eastAsia"/>
              </w:rPr>
              <w:t>设置状态栏显示品种行情时为大字体模式</w:t>
            </w:r>
          </w:p>
          <w:p>
            <w:pPr>
              <w:pStyle w:val="34"/>
            </w:pPr>
            <w:r>
              <w:rPr>
                <w:rFonts w:hint="eastAsia"/>
              </w:rPr>
              <w:t>设置状态栏上是否显示深沪总成交额（999999+399001）可以每天动态查看整个市场的交易额变化情况</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3375" w:type="dxa"/>
            <w:tcBorders>
              <w:top w:val="outset" w:color="auto" w:sz="6" w:space="0"/>
              <w:left w:val="outset" w:color="auto" w:sz="6" w:space="0"/>
              <w:bottom w:val="outset" w:color="auto" w:sz="6" w:space="0"/>
              <w:right w:val="outset" w:color="auto" w:sz="6" w:space="0"/>
            </w:tcBorders>
          </w:tcPr>
          <w:p>
            <w:pPr>
              <w:pStyle w:val="34"/>
            </w:pPr>
            <w:r>
              <w:rPr>
                <w:rFonts w:hint="eastAsia"/>
              </w:rPr>
              <w:t>行情信息区</w:t>
            </w:r>
          </w:p>
        </w:tc>
        <w:tc>
          <w:tcPr>
            <w:tcW w:w="10260" w:type="dxa"/>
            <w:tcBorders>
              <w:top w:val="outset" w:color="auto" w:sz="6" w:space="0"/>
              <w:left w:val="outset" w:color="auto" w:sz="6" w:space="0"/>
              <w:bottom w:val="outset" w:color="auto" w:sz="6" w:space="0"/>
              <w:right w:val="outset" w:color="auto" w:sz="6" w:space="0"/>
            </w:tcBorders>
          </w:tcPr>
          <w:p>
            <w:pPr>
              <w:pStyle w:val="34"/>
            </w:pPr>
            <w:r>
              <w:rPr>
                <w:rFonts w:hint="eastAsia"/>
              </w:rPr>
              <w:t>设置右侧行情信息区展示的额外数据项</w:t>
            </w:r>
          </w:p>
          <w:p>
            <w:pPr>
              <w:pStyle w:val="34"/>
            </w:pPr>
            <w:r>
              <w:rPr>
                <w:rFonts w:hint="eastAsia"/>
              </w:rPr>
              <w:t>设置“行情信息区大字布局模式”展示</w:t>
            </w:r>
          </w:p>
          <w:p>
            <w:pPr>
              <w:pStyle w:val="34"/>
            </w:pPr>
            <w:r>
              <w:rPr>
                <w:rFonts w:hint="eastAsia"/>
              </w:rPr>
              <w:t>设置“买卖盘用柱图显示”十档盘口是否以柱图展示委托量</w:t>
            </w:r>
          </w:p>
          <w:p>
            <w:pPr>
              <w:pStyle w:val="34"/>
            </w:pPr>
            <w:r>
              <w:rPr>
                <w:rFonts w:hint="eastAsia"/>
              </w:rPr>
              <w:t>设置“盘中提示买卖盘的委托价量变动”那么会在十档盘口以+-值动态揭示委托量的即时变化</w:t>
            </w:r>
          </w:p>
          <w:p>
            <w:pPr>
              <w:pStyle w:val="34"/>
            </w:pPr>
            <w:r>
              <w:rPr>
                <w:rFonts w:hint="eastAsia"/>
              </w:rPr>
              <w:t>设置“行情等信息放在左边”将行情信息窗口放在左侧展示</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3375" w:type="dxa"/>
            <w:tcBorders>
              <w:top w:val="outset" w:color="auto" w:sz="6" w:space="0"/>
              <w:left w:val="outset" w:color="auto" w:sz="6" w:space="0"/>
              <w:bottom w:val="outset" w:color="auto" w:sz="6" w:space="0"/>
              <w:right w:val="outset" w:color="auto" w:sz="6" w:space="0"/>
            </w:tcBorders>
          </w:tcPr>
          <w:p>
            <w:pPr>
              <w:pStyle w:val="34"/>
            </w:pPr>
            <w:r>
              <w:rPr>
                <w:rFonts w:hint="eastAsia"/>
              </w:rPr>
              <w:t>分时图上部显示涨跌停价和细分行业</w:t>
            </w:r>
          </w:p>
        </w:tc>
        <w:tc>
          <w:tcPr>
            <w:tcW w:w="10260" w:type="dxa"/>
            <w:tcBorders>
              <w:top w:val="outset" w:color="auto" w:sz="6" w:space="0"/>
              <w:left w:val="outset" w:color="auto" w:sz="6" w:space="0"/>
              <w:bottom w:val="outset" w:color="auto" w:sz="6" w:space="0"/>
              <w:right w:val="outset" w:color="auto" w:sz="6" w:space="0"/>
            </w:tcBorders>
          </w:tcPr>
          <w:p>
            <w:pPr>
              <w:pStyle w:val="34"/>
            </w:pPr>
            <w:r>
              <w:rPr>
                <w:rFonts w:hint="eastAsia"/>
              </w:rPr>
              <w:t>在个股分时界面上显示涨跌停价和细分行业</w:t>
            </w:r>
            <w:r>
              <w:fldChar w:fldCharType="begin"/>
            </w:r>
            <w:r>
              <w:instrText xml:space="preserve"> INCLUDEPICTURE  "https://www.tdx.com.cn/products/helpfile/tdxw/chm/%E7%AC%AC%E5%9B%9B%E7%AB%A0  %E9%80%89%E9%A1%B9/4-16%E7%B3%BB%E7%BB%9F%E8%AE%BE%E7%BD%AE/401.png" \* MERGEFORMATINET </w:instrText>
            </w:r>
            <w:r>
              <w:fldChar w:fldCharType="separate"/>
            </w:r>
            <w:r>
              <w:fldChar w:fldCharType="begin"/>
            </w:r>
            <w:r>
              <w:instrText xml:space="preserve"> INCLUDEPICTURE  "https://www.tdx.com.cn/products/helpfile/tdxw/chm/%E7%AC%AC%E5%9B%9B%E7%AB%A0  %E9%80%89%E9%A1%B9/4-16%E7%B3%BB%E7%BB%9F%E8%AE%BE%E7%BD%AE/401.png" \* MERGEFORMATINET </w:instrText>
            </w:r>
            <w:r>
              <w:fldChar w:fldCharType="separate"/>
            </w:r>
            <w:r>
              <w:fldChar w:fldCharType="begin"/>
            </w:r>
            <w:r>
              <w:instrText xml:space="preserve"> INCLUDEPICTURE  "https://www.tdx.com.cn/products/helpfile/tdxw/chm/%E7%AC%AC%E5%9B%9B%E7%AB%A0  %E9%80%89%E9%A1%B9/4-16%E7%B3%BB%E7%BB%9F%E8%AE%BE%E7%BD%AE/401.png" \* MERGEFORMATINET </w:instrText>
            </w:r>
            <w:r>
              <w:fldChar w:fldCharType="separate"/>
            </w:r>
            <w:r>
              <w:fldChar w:fldCharType="begin"/>
            </w:r>
            <w:r>
              <w:instrText xml:space="preserve"> INCLUDEPICTURE  "https://www.tdx.com.cn/products/helpfile/tdxw/chm/%E7%AC%AC%E5%9B%9B%E7%AB%A0  %E9%80%89%E9%A1%B9/4-16%E7%B3%BB%E7%BB%9F%E8%AE%BE%E7%BD%AE/401.png" \* MERGEFORMATINET </w:instrText>
            </w:r>
            <w:r>
              <w:fldChar w:fldCharType="separate"/>
            </w:r>
            <w:r>
              <w:drawing>
                <wp:inline distT="0" distB="0" distL="114300" distR="114300">
                  <wp:extent cx="4457700" cy="552450"/>
                  <wp:effectExtent l="0" t="0" r="0" b="0"/>
                  <wp:docPr id="382" name="图片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图片 382"/>
                          <pic:cNvPicPr>
                            <a:picLocks noChangeAspect="1"/>
                          </pic:cNvPicPr>
                        </pic:nvPicPr>
                        <pic:blipFill>
                          <a:blip r:embed="rId716" r:link="rId717"/>
                          <a:stretch>
                            <a:fillRect/>
                          </a:stretch>
                        </pic:blipFill>
                        <pic:spPr>
                          <a:xfrm>
                            <a:off x="0" y="0"/>
                            <a:ext cx="4457700" cy="552450"/>
                          </a:xfrm>
                          <a:prstGeom prst="rect">
                            <a:avLst/>
                          </a:prstGeom>
                          <a:noFill/>
                          <a:ln>
                            <a:noFill/>
                          </a:ln>
                        </pic:spPr>
                      </pic:pic>
                    </a:graphicData>
                  </a:graphic>
                </wp:inline>
              </w:drawing>
            </w:r>
            <w:r>
              <w:fldChar w:fldCharType="end"/>
            </w:r>
            <w:r>
              <w:fldChar w:fldCharType="end"/>
            </w:r>
            <w:r>
              <w:fldChar w:fldCharType="end"/>
            </w:r>
            <w:r>
              <w:fldChar w:fldCharType="end"/>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3375" w:type="dxa"/>
            <w:tcBorders>
              <w:top w:val="outset" w:color="auto" w:sz="6" w:space="0"/>
              <w:left w:val="outset" w:color="auto" w:sz="6" w:space="0"/>
              <w:bottom w:val="outset" w:color="auto" w:sz="6" w:space="0"/>
              <w:right w:val="outset" w:color="auto" w:sz="6" w:space="0"/>
            </w:tcBorders>
          </w:tcPr>
          <w:p>
            <w:pPr>
              <w:pStyle w:val="34"/>
            </w:pPr>
            <w:r>
              <w:rPr>
                <w:rFonts w:hint="eastAsia"/>
              </w:rPr>
              <w:t>大盘分时显示均线，隐藏[不加权线]</w:t>
            </w:r>
          </w:p>
        </w:tc>
        <w:tc>
          <w:tcPr>
            <w:tcW w:w="10260" w:type="dxa"/>
            <w:tcBorders>
              <w:top w:val="outset" w:color="auto" w:sz="6" w:space="0"/>
              <w:left w:val="outset" w:color="auto" w:sz="6" w:space="0"/>
              <w:bottom w:val="outset" w:color="auto" w:sz="6" w:space="0"/>
              <w:right w:val="outset" w:color="auto" w:sz="6" w:space="0"/>
            </w:tcBorders>
          </w:tcPr>
          <w:p>
            <w:pPr>
              <w:pStyle w:val="34"/>
            </w:pPr>
            <w:r>
              <w:rPr>
                <w:rFonts w:hint="eastAsia"/>
              </w:rPr>
              <w:t>设置大盘当天分时是否显示不加权均线，因为历史的分时大盘均线都显示的是加权的均线（勾选了显示加权均线，不勾选当日大盘显示不加权均线）</w:t>
            </w:r>
            <w:r>
              <w:fldChar w:fldCharType="begin"/>
            </w:r>
            <w:r>
              <w:instrText xml:space="preserve"> INCLUDEPICTURE  "https://www.tdx.com.cn/products/helpfile/tdxw/chm/%E7%AC%AC%E5%9B%9B%E7%AB%A0  %E9%80%89%E9%A1%B9/4-16%E7%B3%BB%E7%BB%9F%E8%AE%BE%E7%BD%AE/402.png" \* MERGEFORMATINET </w:instrText>
            </w:r>
            <w:r>
              <w:fldChar w:fldCharType="separate"/>
            </w:r>
            <w:r>
              <w:fldChar w:fldCharType="begin"/>
            </w:r>
            <w:r>
              <w:instrText xml:space="preserve"> INCLUDEPICTURE  "https://www.tdx.com.cn/products/helpfile/tdxw/chm/%E7%AC%AC%E5%9B%9B%E7%AB%A0  %E9%80%89%E9%A1%B9/4-16%E7%B3%BB%E7%BB%9F%E8%AE%BE%E7%BD%AE/402.png" \* MERGEFORMATINET </w:instrText>
            </w:r>
            <w:r>
              <w:fldChar w:fldCharType="separate"/>
            </w:r>
            <w:r>
              <w:fldChar w:fldCharType="begin"/>
            </w:r>
            <w:r>
              <w:instrText xml:space="preserve"> INCLUDEPICTURE  "https://www.tdx.com.cn/products/helpfile/tdxw/chm/%E7%AC%AC%E5%9B%9B%E7%AB%A0  %E9%80%89%E9%A1%B9/4-16%E7%B3%BB%E7%BB%9F%E8%AE%BE%E7%BD%AE/402.png" \* MERGEFORMATINET </w:instrText>
            </w:r>
            <w:r>
              <w:fldChar w:fldCharType="separate"/>
            </w:r>
            <w:r>
              <w:fldChar w:fldCharType="begin"/>
            </w:r>
            <w:r>
              <w:instrText xml:space="preserve"> INCLUDEPICTURE  "https://www.tdx.com.cn/products/helpfile/tdxw/chm/%E7%AC%AC%E5%9B%9B%E7%AB%A0  %E9%80%89%E9%A1%B9/4-16%E7%B3%BB%E7%BB%9F%E8%AE%BE%E7%BD%AE/402.png" \* MERGEFORMATINET </w:instrText>
            </w:r>
            <w:r>
              <w:fldChar w:fldCharType="separate"/>
            </w:r>
            <w:r>
              <w:drawing>
                <wp:inline distT="0" distB="0" distL="114300" distR="114300">
                  <wp:extent cx="3314700" cy="2276475"/>
                  <wp:effectExtent l="0" t="0" r="0" b="9525"/>
                  <wp:docPr id="383" name="图片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图片 383"/>
                          <pic:cNvPicPr>
                            <a:picLocks noChangeAspect="1"/>
                          </pic:cNvPicPr>
                        </pic:nvPicPr>
                        <pic:blipFill>
                          <a:blip r:embed="rId718" r:link="rId719"/>
                          <a:stretch>
                            <a:fillRect/>
                          </a:stretch>
                        </pic:blipFill>
                        <pic:spPr>
                          <a:xfrm>
                            <a:off x="0" y="0"/>
                            <a:ext cx="3314700" cy="2276475"/>
                          </a:xfrm>
                          <a:prstGeom prst="rect">
                            <a:avLst/>
                          </a:prstGeom>
                          <a:noFill/>
                          <a:ln>
                            <a:noFill/>
                          </a:ln>
                        </pic:spPr>
                      </pic:pic>
                    </a:graphicData>
                  </a:graphic>
                </wp:inline>
              </w:drawing>
            </w:r>
            <w:r>
              <w:fldChar w:fldCharType="end"/>
            </w:r>
            <w:r>
              <w:fldChar w:fldCharType="end"/>
            </w:r>
            <w:r>
              <w:fldChar w:fldCharType="end"/>
            </w:r>
            <w:r>
              <w:fldChar w:fldCharType="end"/>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3375" w:type="dxa"/>
            <w:tcBorders>
              <w:top w:val="outset" w:color="auto" w:sz="6" w:space="0"/>
              <w:left w:val="outset" w:color="auto" w:sz="6" w:space="0"/>
              <w:bottom w:val="outset" w:color="auto" w:sz="6" w:space="0"/>
              <w:right w:val="outset" w:color="auto" w:sz="6" w:space="0"/>
            </w:tcBorders>
          </w:tcPr>
          <w:p>
            <w:pPr>
              <w:pStyle w:val="34"/>
            </w:pPr>
            <w:r>
              <w:rPr>
                <w:rFonts w:hint="eastAsia"/>
              </w:rPr>
              <w:t>分时线/分析图/指标线使用粗线</w:t>
            </w:r>
          </w:p>
        </w:tc>
        <w:tc>
          <w:tcPr>
            <w:tcW w:w="10260" w:type="dxa"/>
            <w:tcBorders>
              <w:top w:val="outset" w:color="auto" w:sz="6" w:space="0"/>
              <w:left w:val="outset" w:color="auto" w:sz="6" w:space="0"/>
              <w:bottom w:val="outset" w:color="auto" w:sz="6" w:space="0"/>
              <w:right w:val="outset" w:color="auto" w:sz="6" w:space="0"/>
            </w:tcBorders>
          </w:tcPr>
          <w:p>
            <w:pPr>
              <w:pStyle w:val="34"/>
            </w:pPr>
            <w:r>
              <w:rPr>
                <w:rFonts w:hint="eastAsia"/>
              </w:rPr>
              <w:t>设置分析图k线和分时图走势线和指标线为粗线</w:t>
            </w:r>
            <w:r>
              <w:fldChar w:fldCharType="begin"/>
            </w:r>
            <w:r>
              <w:instrText xml:space="preserve"> INCLUDEPICTURE  "https://www.tdx.com.cn/products/helpfile/tdxw/chm/%E7%AC%AC%E5%9B%9B%E7%AB%A0  %E9%80%89%E9%A1%B9/4-16%E7%B3%BB%E7%BB%9F%E8%AE%BE%E7%BD%AE/403.png" \* MERGEFORMATINET </w:instrText>
            </w:r>
            <w:r>
              <w:fldChar w:fldCharType="separate"/>
            </w:r>
            <w:r>
              <w:fldChar w:fldCharType="begin"/>
            </w:r>
            <w:r>
              <w:instrText xml:space="preserve"> INCLUDEPICTURE  "https://www.tdx.com.cn/products/helpfile/tdxw/chm/%E7%AC%AC%E5%9B%9B%E7%AB%A0  %E9%80%89%E9%A1%B9/4-16%E7%B3%BB%E7%BB%9F%E8%AE%BE%E7%BD%AE/403.png" \* MERGEFORMATINET </w:instrText>
            </w:r>
            <w:r>
              <w:fldChar w:fldCharType="separate"/>
            </w:r>
            <w:r>
              <w:fldChar w:fldCharType="begin"/>
            </w:r>
            <w:r>
              <w:instrText xml:space="preserve"> INCLUDEPICTURE  "https://www.tdx.com.cn/products/helpfile/tdxw/chm/%E7%AC%AC%E5%9B%9B%E7%AB%A0  %E9%80%89%E9%A1%B9/4-16%E7%B3%BB%E7%BB%9F%E8%AE%BE%E7%BD%AE/403.png" \* MERGEFORMATINET </w:instrText>
            </w:r>
            <w:r>
              <w:fldChar w:fldCharType="separate"/>
            </w:r>
            <w:r>
              <w:fldChar w:fldCharType="begin"/>
            </w:r>
            <w:r>
              <w:instrText xml:space="preserve"> INCLUDEPICTURE  "https://www.tdx.com.cn/products/helpfile/tdxw/chm/%E7%AC%AC%E5%9B%9B%E7%AB%A0  %E9%80%89%E9%A1%B9/4-16%E7%B3%BB%E7%BB%9F%E8%AE%BE%E7%BD%AE/403.png" \* MERGEFORMATINET </w:instrText>
            </w:r>
            <w:r>
              <w:fldChar w:fldCharType="separate"/>
            </w:r>
            <w:r>
              <w:drawing>
                <wp:inline distT="0" distB="0" distL="114300" distR="114300">
                  <wp:extent cx="1571625" cy="781050"/>
                  <wp:effectExtent l="0" t="0" r="9525" b="0"/>
                  <wp:docPr id="384" name="图片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图片 384"/>
                          <pic:cNvPicPr>
                            <a:picLocks noChangeAspect="1"/>
                          </pic:cNvPicPr>
                        </pic:nvPicPr>
                        <pic:blipFill>
                          <a:blip r:embed="rId720" r:link="rId721"/>
                          <a:stretch>
                            <a:fillRect/>
                          </a:stretch>
                        </pic:blipFill>
                        <pic:spPr>
                          <a:xfrm>
                            <a:off x="0" y="0"/>
                            <a:ext cx="1571625" cy="781050"/>
                          </a:xfrm>
                          <a:prstGeom prst="rect">
                            <a:avLst/>
                          </a:prstGeom>
                          <a:noFill/>
                          <a:ln>
                            <a:noFill/>
                          </a:ln>
                        </pic:spPr>
                      </pic:pic>
                    </a:graphicData>
                  </a:graphic>
                </wp:inline>
              </w:drawing>
            </w:r>
            <w:r>
              <w:fldChar w:fldCharType="end"/>
            </w:r>
            <w:r>
              <w:fldChar w:fldCharType="end"/>
            </w:r>
            <w:r>
              <w:fldChar w:fldCharType="end"/>
            </w:r>
            <w:r>
              <w:fldChar w:fldCharType="end"/>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3375" w:type="dxa"/>
            <w:tcBorders>
              <w:top w:val="outset" w:color="auto" w:sz="6" w:space="0"/>
              <w:left w:val="outset" w:color="auto" w:sz="6" w:space="0"/>
              <w:bottom w:val="outset" w:color="auto" w:sz="6" w:space="0"/>
              <w:right w:val="outset" w:color="auto" w:sz="6" w:space="0"/>
            </w:tcBorders>
          </w:tcPr>
          <w:p>
            <w:pPr>
              <w:pStyle w:val="34"/>
            </w:pPr>
            <w:r>
              <w:rPr>
                <w:rFonts w:hint="eastAsia"/>
              </w:rPr>
              <w:t>分时图采用细致坐标轴线</w:t>
            </w:r>
          </w:p>
        </w:tc>
        <w:tc>
          <w:tcPr>
            <w:tcW w:w="10260" w:type="dxa"/>
            <w:tcBorders>
              <w:top w:val="outset" w:color="auto" w:sz="6" w:space="0"/>
              <w:left w:val="outset" w:color="auto" w:sz="6" w:space="0"/>
              <w:bottom w:val="outset" w:color="auto" w:sz="6" w:space="0"/>
              <w:right w:val="outset" w:color="auto" w:sz="6" w:space="0"/>
            </w:tcBorders>
          </w:tcPr>
          <w:p>
            <w:pPr>
              <w:pStyle w:val="34"/>
            </w:pPr>
            <w:r>
              <w:rPr>
                <w:rFonts w:hint="eastAsia"/>
              </w:rPr>
              <w:t>分时图的窗口网格更细密。</w:t>
            </w:r>
            <w:r>
              <w:fldChar w:fldCharType="begin"/>
            </w:r>
            <w:r>
              <w:instrText xml:space="preserve"> INCLUDEPICTURE  "https://www.tdx.com.cn/products/helpfile/tdxw/chm/%E7%AC%AC%E5%9B%9B%E7%AB%A0  %E9%80%89%E9%A1%B9/4-16%E7%B3%BB%E7%BB%9F%E8%AE%BE%E7%BD%AE/404.png" \* MERGEFORMATINET </w:instrText>
            </w:r>
            <w:r>
              <w:fldChar w:fldCharType="separate"/>
            </w:r>
            <w:r>
              <w:fldChar w:fldCharType="begin"/>
            </w:r>
            <w:r>
              <w:instrText xml:space="preserve"> INCLUDEPICTURE  "https://www.tdx.com.cn/products/helpfile/tdxw/chm/%E7%AC%AC%E5%9B%9B%E7%AB%A0  %E9%80%89%E9%A1%B9/4-16%E7%B3%BB%E7%BB%9F%E8%AE%BE%E7%BD%AE/404.png" \* MERGEFORMATINET </w:instrText>
            </w:r>
            <w:r>
              <w:fldChar w:fldCharType="separate"/>
            </w:r>
            <w:r>
              <w:fldChar w:fldCharType="begin"/>
            </w:r>
            <w:r>
              <w:instrText xml:space="preserve"> INCLUDEPICTURE  "https://www.tdx.com.cn/products/helpfile/tdxw/chm/%E7%AC%AC%E5%9B%9B%E7%AB%A0  %E9%80%89%E9%A1%B9/4-16%E7%B3%BB%E7%BB%9F%E8%AE%BE%E7%BD%AE/404.png" \* MERGEFORMATINET </w:instrText>
            </w:r>
            <w:r>
              <w:fldChar w:fldCharType="separate"/>
            </w:r>
            <w:r>
              <w:fldChar w:fldCharType="begin"/>
            </w:r>
            <w:r>
              <w:instrText xml:space="preserve"> INCLUDEPICTURE  "https://www.tdx.com.cn/products/helpfile/tdxw/chm/%E7%AC%AC%E5%9B%9B%E7%AB%A0  %E9%80%89%E9%A1%B9/4-16%E7%B3%BB%E7%BB%9F%E8%AE%BE%E7%BD%AE/404.png" \* MERGEFORMATINET </w:instrText>
            </w:r>
            <w:r>
              <w:fldChar w:fldCharType="separate"/>
            </w:r>
            <w:r>
              <w:drawing>
                <wp:inline distT="0" distB="0" distL="114300" distR="114300">
                  <wp:extent cx="3352800" cy="2466975"/>
                  <wp:effectExtent l="0" t="0" r="0" b="9525"/>
                  <wp:docPr id="385" name="图片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图片 385"/>
                          <pic:cNvPicPr>
                            <a:picLocks noChangeAspect="1"/>
                          </pic:cNvPicPr>
                        </pic:nvPicPr>
                        <pic:blipFill>
                          <a:blip r:embed="rId722" r:link="rId723"/>
                          <a:stretch>
                            <a:fillRect/>
                          </a:stretch>
                        </pic:blipFill>
                        <pic:spPr>
                          <a:xfrm>
                            <a:off x="0" y="0"/>
                            <a:ext cx="3352800" cy="2466975"/>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勾选与不勾选纵向会分别更多或更少的行格隔开</w:t>
            </w:r>
          </w:p>
          <w:p>
            <w:pPr>
              <w:pStyle w:val="34"/>
            </w:pPr>
            <w:r>
              <w:rPr>
                <w:rFonts w:hint="eastAsia"/>
              </w:rPr>
              <w:t>（如果在打开下方扩展区的情况下，不管此设置是否勾选这里的坐标轴线的分割都是定的）</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3375" w:type="dxa"/>
            <w:tcBorders>
              <w:top w:val="outset" w:color="auto" w:sz="6" w:space="0"/>
              <w:left w:val="outset" w:color="auto" w:sz="6" w:space="0"/>
              <w:bottom w:val="outset" w:color="auto" w:sz="6" w:space="0"/>
              <w:right w:val="outset" w:color="auto" w:sz="6" w:space="0"/>
            </w:tcBorders>
          </w:tcPr>
          <w:p>
            <w:pPr>
              <w:pStyle w:val="34"/>
            </w:pPr>
            <w:r>
              <w:rPr>
                <w:rFonts w:hint="eastAsia"/>
              </w:rPr>
              <w:t>分时图中成交量颜色区分显示</w:t>
            </w:r>
          </w:p>
        </w:tc>
        <w:tc>
          <w:tcPr>
            <w:tcW w:w="10260" w:type="dxa"/>
            <w:tcBorders>
              <w:top w:val="outset" w:color="auto" w:sz="6" w:space="0"/>
              <w:left w:val="outset" w:color="auto" w:sz="6" w:space="0"/>
              <w:bottom w:val="outset" w:color="auto" w:sz="6" w:space="0"/>
              <w:right w:val="outset" w:color="auto" w:sz="6" w:space="0"/>
            </w:tcBorders>
          </w:tcPr>
          <w:p>
            <w:pPr>
              <w:pStyle w:val="34"/>
            </w:pPr>
            <w:r>
              <w:rPr>
                <w:rFonts w:hint="eastAsia"/>
              </w:rPr>
              <w:t>勾选上后，如果此价位高于上一价位则用成交量柱红色显示，此价位低于上一价位用绿色显示，此价位等于上一价位用白色显示</w:t>
            </w:r>
            <w:r>
              <w:fldChar w:fldCharType="begin"/>
            </w:r>
            <w:r>
              <w:instrText xml:space="preserve"> INCLUDEPICTURE  "https://www.tdx.com.cn/products/helpfile/tdxw/chm/%E7%AC%AC%E5%9B%9B%E7%AB%A0  %E9%80%89%E9%A1%B9/4-16%E7%B3%BB%E7%BB%9F%E8%AE%BE%E7%BD%AE/405.png" \* MERGEFORMATINET </w:instrText>
            </w:r>
            <w:r>
              <w:fldChar w:fldCharType="separate"/>
            </w:r>
            <w:r>
              <w:fldChar w:fldCharType="begin"/>
            </w:r>
            <w:r>
              <w:instrText xml:space="preserve"> INCLUDEPICTURE  "https://www.tdx.com.cn/products/helpfile/tdxw/chm/%E7%AC%AC%E5%9B%9B%E7%AB%A0  %E9%80%89%E9%A1%B9/4-16%E7%B3%BB%E7%BB%9F%E8%AE%BE%E7%BD%AE/405.png" \* MERGEFORMATINET </w:instrText>
            </w:r>
            <w:r>
              <w:fldChar w:fldCharType="separate"/>
            </w:r>
            <w:r>
              <w:fldChar w:fldCharType="begin"/>
            </w:r>
            <w:r>
              <w:instrText xml:space="preserve"> INCLUDEPICTURE  "https://www.tdx.com.cn/products/helpfile/tdxw/chm/%E7%AC%AC%E5%9B%9B%E7%AB%A0  %E9%80%89%E9%A1%B9/4-16%E7%B3%BB%E7%BB%9F%E8%AE%BE%E7%BD%AE/405.png" \* MERGEFORMATINET </w:instrText>
            </w:r>
            <w:r>
              <w:fldChar w:fldCharType="separate"/>
            </w:r>
            <w:r>
              <w:fldChar w:fldCharType="begin"/>
            </w:r>
            <w:r>
              <w:instrText xml:space="preserve"> INCLUDEPICTURE  "https://www.tdx.com.cn/products/helpfile/tdxw/chm/%E7%AC%AC%E5%9B%9B%E7%AB%A0  %E9%80%89%E9%A1%B9/4-16%E7%B3%BB%E7%BB%9F%E8%AE%BE%E7%BD%AE/405.png" \* MERGEFORMATINET </w:instrText>
            </w:r>
            <w:r>
              <w:fldChar w:fldCharType="separate"/>
            </w:r>
            <w:r>
              <w:drawing>
                <wp:inline distT="0" distB="0" distL="114300" distR="114300">
                  <wp:extent cx="2838450" cy="1114425"/>
                  <wp:effectExtent l="0" t="0" r="0" b="9525"/>
                  <wp:docPr id="386" name="图片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图片 386"/>
                          <pic:cNvPicPr>
                            <a:picLocks noChangeAspect="1"/>
                          </pic:cNvPicPr>
                        </pic:nvPicPr>
                        <pic:blipFill>
                          <a:blip r:embed="rId724" r:link="rId725"/>
                          <a:stretch>
                            <a:fillRect/>
                          </a:stretch>
                        </pic:blipFill>
                        <pic:spPr>
                          <a:xfrm>
                            <a:off x="0" y="0"/>
                            <a:ext cx="2838450" cy="1114425"/>
                          </a:xfrm>
                          <a:prstGeom prst="rect">
                            <a:avLst/>
                          </a:prstGeom>
                          <a:noFill/>
                          <a:ln>
                            <a:noFill/>
                          </a:ln>
                        </pic:spPr>
                      </pic:pic>
                    </a:graphicData>
                  </a:graphic>
                </wp:inline>
              </w:drawing>
            </w:r>
            <w:r>
              <w:fldChar w:fldCharType="end"/>
            </w:r>
            <w:r>
              <w:fldChar w:fldCharType="end"/>
            </w:r>
            <w:r>
              <w:fldChar w:fldCharType="end"/>
            </w:r>
            <w:r>
              <w:fldChar w:fldCharType="end"/>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3375" w:type="dxa"/>
            <w:tcBorders>
              <w:top w:val="outset" w:color="auto" w:sz="6" w:space="0"/>
              <w:left w:val="outset" w:color="auto" w:sz="6" w:space="0"/>
              <w:bottom w:val="outset" w:color="auto" w:sz="6" w:space="0"/>
              <w:right w:val="outset" w:color="auto" w:sz="6" w:space="0"/>
            </w:tcBorders>
          </w:tcPr>
          <w:p>
            <w:pPr>
              <w:pStyle w:val="34"/>
            </w:pPr>
            <w:r>
              <w:rPr>
                <w:rFonts w:hint="eastAsia"/>
              </w:rPr>
              <w:t>多股同列中的分时图不显示左侧轴</w:t>
            </w:r>
          </w:p>
        </w:tc>
        <w:tc>
          <w:tcPr>
            <w:tcW w:w="10260" w:type="dxa"/>
            <w:tcBorders>
              <w:top w:val="outset" w:color="auto" w:sz="6" w:space="0"/>
              <w:left w:val="outset" w:color="auto" w:sz="6" w:space="0"/>
              <w:bottom w:val="outset" w:color="auto" w:sz="6" w:space="0"/>
              <w:right w:val="outset" w:color="auto" w:sz="6" w:space="0"/>
            </w:tcBorders>
          </w:tcPr>
          <w:p>
            <w:pPr>
              <w:pStyle w:val="34"/>
            </w:pPr>
            <w:r>
              <w:rPr>
                <w:rFonts w:hint="eastAsia"/>
              </w:rPr>
              <w:t>分时图多股同列展示，不显示左侧价格纵轴坐标</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3375" w:type="dxa"/>
            <w:tcBorders>
              <w:top w:val="outset" w:color="auto" w:sz="6" w:space="0"/>
              <w:left w:val="outset" w:color="auto" w:sz="6" w:space="0"/>
              <w:bottom w:val="outset" w:color="auto" w:sz="6" w:space="0"/>
              <w:right w:val="outset" w:color="auto" w:sz="6" w:space="0"/>
            </w:tcBorders>
          </w:tcPr>
          <w:p>
            <w:pPr>
              <w:pStyle w:val="34"/>
            </w:pPr>
            <w:r>
              <w:rPr>
                <w:rFonts w:hint="eastAsia"/>
              </w:rPr>
              <w:t>分时图显示均线</w:t>
            </w:r>
          </w:p>
        </w:tc>
        <w:tc>
          <w:tcPr>
            <w:tcW w:w="10260" w:type="dxa"/>
            <w:tcBorders>
              <w:top w:val="outset" w:color="auto" w:sz="6" w:space="0"/>
              <w:left w:val="outset" w:color="auto" w:sz="6" w:space="0"/>
              <w:bottom w:val="outset" w:color="auto" w:sz="6" w:space="0"/>
              <w:right w:val="outset" w:color="auto" w:sz="6" w:space="0"/>
            </w:tcBorders>
          </w:tcPr>
          <w:p>
            <w:pPr>
              <w:pStyle w:val="34"/>
            </w:pPr>
            <w:r>
              <w:rPr>
                <w:rFonts w:hint="eastAsia"/>
              </w:rPr>
              <w:t>分时图显示均价线（对当日分时和历史分时均有效）</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3375" w:type="dxa"/>
            <w:tcBorders>
              <w:top w:val="outset" w:color="auto" w:sz="6" w:space="0"/>
              <w:left w:val="outset" w:color="auto" w:sz="6" w:space="0"/>
              <w:bottom w:val="outset" w:color="auto" w:sz="6" w:space="0"/>
              <w:right w:val="outset" w:color="auto" w:sz="6" w:space="0"/>
            </w:tcBorders>
          </w:tcPr>
          <w:p>
            <w:pPr>
              <w:pStyle w:val="34"/>
            </w:pPr>
            <w:r>
              <w:rPr>
                <w:rFonts w:hint="eastAsia"/>
              </w:rPr>
              <w:t>大盘显示领先图</w:t>
            </w:r>
          </w:p>
        </w:tc>
        <w:tc>
          <w:tcPr>
            <w:tcW w:w="10260" w:type="dxa"/>
            <w:tcBorders>
              <w:top w:val="outset" w:color="auto" w:sz="6" w:space="0"/>
              <w:left w:val="outset" w:color="auto" w:sz="6" w:space="0"/>
              <w:bottom w:val="outset" w:color="auto" w:sz="6" w:space="0"/>
              <w:right w:val="outset" w:color="auto" w:sz="6" w:space="0"/>
            </w:tcBorders>
          </w:tcPr>
          <w:p>
            <w:pPr>
              <w:pStyle w:val="34"/>
            </w:pPr>
            <w:r>
              <w:rPr>
                <w:rFonts w:hint="eastAsia"/>
              </w:rPr>
              <w:t>设置分析图是否显示领先红绿柱图</w:t>
            </w:r>
            <w:r>
              <w:fldChar w:fldCharType="begin"/>
            </w:r>
            <w:r>
              <w:instrText xml:space="preserve"> INCLUDEPICTURE  "https://www.tdx.com.cn/products/helpfile/tdxw/chm/%E7%AC%AC%E5%9B%9B%E7%AB%A0  %E9%80%89%E9%A1%B9/4-16%E7%B3%BB%E7%BB%9F%E8%AE%BE%E7%BD%AE/410.png" \* MERGEFORMATINET </w:instrText>
            </w:r>
            <w:r>
              <w:fldChar w:fldCharType="separate"/>
            </w:r>
            <w:r>
              <w:fldChar w:fldCharType="begin"/>
            </w:r>
            <w:r>
              <w:instrText xml:space="preserve"> INCLUDEPICTURE  "https://www.tdx.com.cn/products/helpfile/tdxw/chm/%E7%AC%AC%E5%9B%9B%E7%AB%A0  %E9%80%89%E9%A1%B9/4-16%E7%B3%BB%E7%BB%9F%E8%AE%BE%E7%BD%AE/410.png" \* MERGEFORMATINET </w:instrText>
            </w:r>
            <w:r>
              <w:fldChar w:fldCharType="separate"/>
            </w:r>
            <w:r>
              <w:fldChar w:fldCharType="begin"/>
            </w:r>
            <w:r>
              <w:instrText xml:space="preserve"> INCLUDEPICTURE  "https://www.tdx.com.cn/products/helpfile/tdxw/chm/%E7%AC%AC%E5%9B%9B%E7%AB%A0  %E9%80%89%E9%A1%B9/4-16%E7%B3%BB%E7%BB%9F%E8%AE%BE%E7%BD%AE/410.png" \* MERGEFORMATINET </w:instrText>
            </w:r>
            <w:r>
              <w:fldChar w:fldCharType="separate"/>
            </w:r>
            <w:r>
              <w:fldChar w:fldCharType="begin"/>
            </w:r>
            <w:r>
              <w:instrText xml:space="preserve"> INCLUDEPICTURE  "https://www.tdx.com.cn/products/helpfile/tdxw/chm/%E7%AC%AC%E5%9B%9B%E7%AB%A0  %E9%80%89%E9%A1%B9/4-16%E7%B3%BB%E7%BB%9F%E8%AE%BE%E7%BD%AE/410.png" \* MERGEFORMATINET </w:instrText>
            </w:r>
            <w:r>
              <w:fldChar w:fldCharType="separate"/>
            </w:r>
            <w:r>
              <w:drawing>
                <wp:inline distT="0" distB="0" distL="114300" distR="114300">
                  <wp:extent cx="3086100" cy="1228725"/>
                  <wp:effectExtent l="0" t="0" r="0" b="9525"/>
                  <wp:docPr id="387" name="图片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图片 387"/>
                          <pic:cNvPicPr>
                            <a:picLocks noChangeAspect="1"/>
                          </pic:cNvPicPr>
                        </pic:nvPicPr>
                        <pic:blipFill>
                          <a:blip r:embed="rId726" r:link="rId727"/>
                          <a:stretch>
                            <a:fillRect/>
                          </a:stretch>
                        </pic:blipFill>
                        <pic:spPr>
                          <a:xfrm>
                            <a:off x="0" y="0"/>
                            <a:ext cx="3086100" cy="1228725"/>
                          </a:xfrm>
                          <a:prstGeom prst="rect">
                            <a:avLst/>
                          </a:prstGeom>
                          <a:noFill/>
                          <a:ln>
                            <a:noFill/>
                          </a:ln>
                        </pic:spPr>
                      </pic:pic>
                    </a:graphicData>
                  </a:graphic>
                </wp:inline>
              </w:drawing>
            </w:r>
            <w:r>
              <w:fldChar w:fldCharType="end"/>
            </w:r>
            <w:r>
              <w:fldChar w:fldCharType="end"/>
            </w:r>
            <w:r>
              <w:fldChar w:fldCharType="end"/>
            </w:r>
            <w:r>
              <w:fldChar w:fldCharType="end"/>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3375" w:type="dxa"/>
            <w:tcBorders>
              <w:top w:val="outset" w:color="auto" w:sz="6" w:space="0"/>
              <w:left w:val="outset" w:color="auto" w:sz="6" w:space="0"/>
              <w:bottom w:val="outset" w:color="auto" w:sz="6" w:space="0"/>
              <w:right w:val="outset" w:color="auto" w:sz="6" w:space="0"/>
            </w:tcBorders>
          </w:tcPr>
          <w:p>
            <w:pPr>
              <w:pStyle w:val="34"/>
            </w:pPr>
            <w:r>
              <w:rPr>
                <w:rFonts w:hint="eastAsia"/>
              </w:rPr>
              <w:t>使用通达信细分行业板块（重进生效</w:t>
            </w:r>
          </w:p>
        </w:tc>
        <w:tc>
          <w:tcPr>
            <w:tcW w:w="10260" w:type="dxa"/>
            <w:tcBorders>
              <w:top w:val="outset" w:color="auto" w:sz="6" w:space="0"/>
              <w:left w:val="outset" w:color="auto" w:sz="6" w:space="0"/>
              <w:bottom w:val="outset" w:color="auto" w:sz="6" w:space="0"/>
              <w:right w:val="outset" w:color="auto" w:sz="6" w:space="0"/>
            </w:tcBorders>
          </w:tcPr>
          <w:p>
            <w:pPr>
              <w:pStyle w:val="34"/>
            </w:pPr>
            <w:r>
              <w:rPr>
                <w:rFonts w:hint="eastAsia"/>
              </w:rPr>
              <w:t>设置下方的行情标签的“板块——行业板块”是显示通达信行业还是通达信细分行业，还是研究行业</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3375" w:type="dxa"/>
            <w:tcBorders>
              <w:top w:val="outset" w:color="auto" w:sz="6" w:space="0"/>
              <w:left w:val="outset" w:color="auto" w:sz="6" w:space="0"/>
              <w:bottom w:val="outset" w:color="auto" w:sz="6" w:space="0"/>
              <w:right w:val="outset" w:color="auto" w:sz="6" w:space="0"/>
            </w:tcBorders>
          </w:tcPr>
          <w:p>
            <w:pPr>
              <w:pStyle w:val="34"/>
            </w:pPr>
            <w:r>
              <w:rPr>
                <w:rFonts w:hint="eastAsia"/>
              </w:rPr>
              <w:t>显示深沪未回补跳空缺口数N</w:t>
            </w:r>
          </w:p>
        </w:tc>
        <w:tc>
          <w:tcPr>
            <w:tcW w:w="10260" w:type="dxa"/>
            <w:tcBorders>
              <w:top w:val="outset" w:color="auto" w:sz="6" w:space="0"/>
              <w:left w:val="outset" w:color="auto" w:sz="6" w:space="0"/>
              <w:bottom w:val="outset" w:color="auto" w:sz="6" w:space="0"/>
              <w:right w:val="outset" w:color="auto" w:sz="6" w:space="0"/>
            </w:tcBorders>
          </w:tcPr>
          <w:p>
            <w:pPr>
              <w:pStyle w:val="34"/>
            </w:pPr>
            <w:r>
              <w:rPr>
                <w:rFonts w:hint="eastAsia"/>
              </w:rPr>
              <w:t>设置股票显示N个历史未补全的缺口</w:t>
            </w:r>
            <w:r>
              <w:fldChar w:fldCharType="begin"/>
            </w:r>
            <w:r>
              <w:instrText xml:space="preserve"> INCLUDEPICTURE  "https://www.tdx.com.cn/products/helpfile/tdxw/chm/%E7%AC%AC%E5%9B%9B%E7%AB%A0  %E9%80%89%E9%A1%B9/4-16%E7%B3%BB%E7%BB%9F%E8%AE%BE%E7%BD%AE/420.png" \* MERGEFORMATINET </w:instrText>
            </w:r>
            <w:r>
              <w:fldChar w:fldCharType="separate"/>
            </w:r>
            <w:r>
              <w:fldChar w:fldCharType="begin"/>
            </w:r>
            <w:r>
              <w:instrText xml:space="preserve"> INCLUDEPICTURE  "https://www.tdx.com.cn/products/helpfile/tdxw/chm/%E7%AC%AC%E5%9B%9B%E7%AB%A0  %E9%80%89%E9%A1%B9/4-16%E7%B3%BB%E7%BB%9F%E8%AE%BE%E7%BD%AE/420.png" \* MERGEFORMATINET </w:instrText>
            </w:r>
            <w:r>
              <w:fldChar w:fldCharType="separate"/>
            </w:r>
            <w:r>
              <w:fldChar w:fldCharType="begin"/>
            </w:r>
            <w:r>
              <w:instrText xml:space="preserve"> INCLUDEPICTURE  "https://www.tdx.com.cn/products/helpfile/tdxw/chm/%E7%AC%AC%E5%9B%9B%E7%AB%A0  %E9%80%89%E9%A1%B9/4-16%E7%B3%BB%E7%BB%9F%E8%AE%BE%E7%BD%AE/420.png" \* MERGEFORMATINET </w:instrText>
            </w:r>
            <w:r>
              <w:fldChar w:fldCharType="separate"/>
            </w:r>
            <w:r>
              <w:fldChar w:fldCharType="begin"/>
            </w:r>
            <w:r>
              <w:instrText xml:space="preserve"> INCLUDEPICTURE  "https://www.tdx.com.cn/products/helpfile/tdxw/chm/%E7%AC%AC%E5%9B%9B%E7%AB%A0  %E9%80%89%E9%A1%B9/4-16%E7%B3%BB%E7%BB%9F%E8%AE%BE%E7%BD%AE/420.png" \* MERGEFORMATINET </w:instrText>
            </w:r>
            <w:r>
              <w:fldChar w:fldCharType="separate"/>
            </w:r>
            <w:r>
              <w:drawing>
                <wp:inline distT="0" distB="0" distL="114300" distR="114300">
                  <wp:extent cx="2047875" cy="1104900"/>
                  <wp:effectExtent l="0" t="0" r="9525" b="0"/>
                  <wp:docPr id="388" name="图片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图片 388"/>
                          <pic:cNvPicPr>
                            <a:picLocks noChangeAspect="1"/>
                          </pic:cNvPicPr>
                        </pic:nvPicPr>
                        <pic:blipFill>
                          <a:blip r:embed="rId728" r:link="rId729"/>
                          <a:stretch>
                            <a:fillRect/>
                          </a:stretch>
                        </pic:blipFill>
                        <pic:spPr>
                          <a:xfrm>
                            <a:off x="0" y="0"/>
                            <a:ext cx="2047875" cy="1104900"/>
                          </a:xfrm>
                          <a:prstGeom prst="rect">
                            <a:avLst/>
                          </a:prstGeom>
                          <a:noFill/>
                          <a:ln>
                            <a:noFill/>
                          </a:ln>
                        </pic:spPr>
                      </pic:pic>
                    </a:graphicData>
                  </a:graphic>
                </wp:inline>
              </w:drawing>
            </w:r>
            <w:r>
              <w:fldChar w:fldCharType="end"/>
            </w:r>
            <w:r>
              <w:fldChar w:fldCharType="end"/>
            </w:r>
            <w:r>
              <w:fldChar w:fldCharType="end"/>
            </w:r>
            <w:r>
              <w:fldChar w:fldCharType="end"/>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3375" w:type="dxa"/>
            <w:tcBorders>
              <w:top w:val="outset" w:color="auto" w:sz="6" w:space="0"/>
              <w:left w:val="outset" w:color="auto" w:sz="6" w:space="0"/>
              <w:bottom w:val="outset" w:color="auto" w:sz="6" w:space="0"/>
              <w:right w:val="outset" w:color="auto" w:sz="6" w:space="0"/>
            </w:tcBorders>
          </w:tcPr>
          <w:p>
            <w:pPr>
              <w:pStyle w:val="34"/>
            </w:pPr>
            <w:r>
              <w:rPr>
                <w:rFonts w:hint="eastAsia"/>
              </w:rPr>
              <w:t>锁定分析图中的初始k线数N</w:t>
            </w:r>
          </w:p>
        </w:tc>
        <w:tc>
          <w:tcPr>
            <w:tcW w:w="10260" w:type="dxa"/>
            <w:tcBorders>
              <w:top w:val="outset" w:color="auto" w:sz="6" w:space="0"/>
              <w:left w:val="outset" w:color="auto" w:sz="6" w:space="0"/>
              <w:bottom w:val="outset" w:color="auto" w:sz="6" w:space="0"/>
              <w:right w:val="outset" w:color="auto" w:sz="6" w:space="0"/>
            </w:tcBorders>
          </w:tcPr>
          <w:p>
            <w:pPr>
              <w:pStyle w:val="34"/>
            </w:pPr>
            <w:r>
              <w:rPr>
                <w:rFonts w:hint="eastAsia"/>
              </w:rPr>
              <w:t>设定进入个股分析图中的初始K线数量，最大值的确定与系统设置2中的上网环境设置有关，设置的网络环境越快，初始K线数量可以设置的数值越大。</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3375" w:type="dxa"/>
            <w:tcBorders>
              <w:top w:val="outset" w:color="auto" w:sz="6" w:space="0"/>
              <w:left w:val="outset" w:color="auto" w:sz="6" w:space="0"/>
              <w:bottom w:val="outset" w:color="auto" w:sz="6" w:space="0"/>
              <w:right w:val="outset" w:color="auto" w:sz="6" w:space="0"/>
            </w:tcBorders>
          </w:tcPr>
          <w:p>
            <w:pPr>
              <w:pStyle w:val="34"/>
            </w:pPr>
            <w:r>
              <w:rPr>
                <w:rFonts w:hint="eastAsia"/>
              </w:rPr>
              <w:t>锁定定制版面中的初始K线数N</w:t>
            </w:r>
          </w:p>
        </w:tc>
        <w:tc>
          <w:tcPr>
            <w:tcW w:w="10260" w:type="dxa"/>
            <w:tcBorders>
              <w:top w:val="outset" w:color="auto" w:sz="6" w:space="0"/>
              <w:left w:val="outset" w:color="auto" w:sz="6" w:space="0"/>
              <w:bottom w:val="outset" w:color="auto" w:sz="6" w:space="0"/>
              <w:right w:val="outset" w:color="auto" w:sz="6" w:space="0"/>
            </w:tcBorders>
          </w:tcPr>
          <w:p>
            <w:pPr>
              <w:pStyle w:val="34"/>
            </w:pPr>
            <w:r>
              <w:rPr>
                <w:rFonts w:hint="eastAsia"/>
              </w:rPr>
              <w:t>设置定制版面的k线功能界面的初始k线数。</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3375" w:type="dxa"/>
            <w:tcBorders>
              <w:top w:val="outset" w:color="auto" w:sz="6" w:space="0"/>
              <w:left w:val="outset" w:color="auto" w:sz="6" w:space="0"/>
              <w:bottom w:val="outset" w:color="auto" w:sz="6" w:space="0"/>
              <w:right w:val="outset" w:color="auto" w:sz="6" w:space="0"/>
            </w:tcBorders>
          </w:tcPr>
          <w:p>
            <w:pPr>
              <w:pStyle w:val="34"/>
            </w:pPr>
            <w:r>
              <w:rPr>
                <w:rFonts w:hint="eastAsia"/>
              </w:rPr>
              <w:t>固定分时和分析图右下角切换区</w:t>
            </w:r>
          </w:p>
        </w:tc>
        <w:tc>
          <w:tcPr>
            <w:tcW w:w="10260" w:type="dxa"/>
            <w:tcBorders>
              <w:top w:val="outset" w:color="auto" w:sz="6" w:space="0"/>
              <w:left w:val="outset" w:color="auto" w:sz="6" w:space="0"/>
              <w:bottom w:val="outset" w:color="auto" w:sz="6" w:space="0"/>
              <w:right w:val="outset" w:color="auto" w:sz="6" w:space="0"/>
            </w:tcBorders>
          </w:tcPr>
          <w:p>
            <w:pPr>
              <w:pStyle w:val="34"/>
            </w:pPr>
            <w:r>
              <w:rPr>
                <w:rFonts w:hint="eastAsia"/>
              </w:rPr>
              <w:t>不勾选则进入客户端默认显示“势” </w:t>
            </w:r>
          </w:p>
          <w:p>
            <w:pPr>
              <w:pStyle w:val="34"/>
            </w:pPr>
            <w:r>
              <w:rPr>
                <w:rFonts w:hint="eastAsia"/>
              </w:rPr>
              <w:t>勾选了则进入客户端默认显示“笔”或“细”（由分时图纵轴下方的“布局”左键设置）</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3375" w:type="dxa"/>
            <w:tcBorders>
              <w:top w:val="outset" w:color="auto" w:sz="6" w:space="0"/>
              <w:left w:val="outset" w:color="auto" w:sz="6" w:space="0"/>
              <w:bottom w:val="outset" w:color="auto" w:sz="6" w:space="0"/>
              <w:right w:val="outset" w:color="auto" w:sz="6" w:space="0"/>
            </w:tcBorders>
          </w:tcPr>
          <w:p>
            <w:pPr>
              <w:pStyle w:val="34"/>
            </w:pPr>
            <w:r>
              <w:rPr>
                <w:rFonts w:hint="eastAsia"/>
              </w:rPr>
              <w:t>成交明细中用B，S来标记主动买卖方向</w:t>
            </w:r>
          </w:p>
        </w:tc>
        <w:tc>
          <w:tcPr>
            <w:tcW w:w="10260" w:type="dxa"/>
            <w:tcBorders>
              <w:top w:val="outset" w:color="auto" w:sz="6" w:space="0"/>
              <w:left w:val="outset" w:color="auto" w:sz="6" w:space="0"/>
              <w:bottom w:val="outset" w:color="auto" w:sz="6" w:space="0"/>
              <w:right w:val="outset" w:color="auto" w:sz="6" w:space="0"/>
            </w:tcBorders>
          </w:tcPr>
          <w:p>
            <w:pPr>
              <w:pStyle w:val="34"/>
            </w:pPr>
            <w:r>
              <w:rPr>
                <w:rFonts w:hint="eastAsia"/>
              </w:rPr>
              <w:t>分时成交明细中是否显示B、S标识成交的主动买卖方向 </w:t>
            </w:r>
            <w:r>
              <w:fldChar w:fldCharType="begin"/>
            </w:r>
            <w:r>
              <w:instrText xml:space="preserve"> INCLUDEPICTURE  "https://www.tdx.com.cn/products/helpfile/tdxw/chm/%E7%AC%AC%E5%9B%9B%E7%AB%A0  %E9%80%89%E9%A1%B9/4-16%E7%B3%BB%E7%BB%9F%E8%AE%BE%E7%BD%AE/430.png" \* MERGEFORMATINET </w:instrText>
            </w:r>
            <w:r>
              <w:fldChar w:fldCharType="separate"/>
            </w:r>
            <w:r>
              <w:fldChar w:fldCharType="begin"/>
            </w:r>
            <w:r>
              <w:instrText xml:space="preserve"> INCLUDEPICTURE  "https://www.tdx.com.cn/products/helpfile/tdxw/chm/%E7%AC%AC%E5%9B%9B%E7%AB%A0  %E9%80%89%E9%A1%B9/4-16%E7%B3%BB%E7%BB%9F%E8%AE%BE%E7%BD%AE/430.png" \* MERGEFORMATINET </w:instrText>
            </w:r>
            <w:r>
              <w:fldChar w:fldCharType="separate"/>
            </w:r>
            <w:r>
              <w:fldChar w:fldCharType="begin"/>
            </w:r>
            <w:r>
              <w:instrText xml:space="preserve"> INCLUDEPICTURE  "https://www.tdx.com.cn/products/helpfile/tdxw/chm/%E7%AC%AC%E5%9B%9B%E7%AB%A0  %E9%80%89%E9%A1%B9/4-16%E7%B3%BB%E7%BB%9F%E8%AE%BE%E7%BD%AE/430.png" \* MERGEFORMATINET </w:instrText>
            </w:r>
            <w:r>
              <w:fldChar w:fldCharType="separate"/>
            </w:r>
            <w:r>
              <w:fldChar w:fldCharType="begin"/>
            </w:r>
            <w:r>
              <w:instrText xml:space="preserve"> INCLUDEPICTURE  "https://www.tdx.com.cn/products/helpfile/tdxw/chm/%E7%AC%AC%E5%9B%9B%E7%AB%A0  %E9%80%89%E9%A1%B9/4-16%E7%B3%BB%E7%BB%9F%E8%AE%BE%E7%BD%AE/430.png" \* MERGEFORMATINET </w:instrText>
            </w:r>
            <w:r>
              <w:fldChar w:fldCharType="separate"/>
            </w:r>
            <w:r>
              <w:drawing>
                <wp:inline distT="0" distB="0" distL="114300" distR="114300">
                  <wp:extent cx="2209800" cy="1190625"/>
                  <wp:effectExtent l="0" t="0" r="0" b="9525"/>
                  <wp:docPr id="389" name="图片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图片 389"/>
                          <pic:cNvPicPr>
                            <a:picLocks noChangeAspect="1"/>
                          </pic:cNvPicPr>
                        </pic:nvPicPr>
                        <pic:blipFill>
                          <a:blip r:embed="rId730" r:link="rId731"/>
                          <a:stretch>
                            <a:fillRect/>
                          </a:stretch>
                        </pic:blipFill>
                        <pic:spPr>
                          <a:xfrm>
                            <a:off x="0" y="0"/>
                            <a:ext cx="2209800" cy="1190625"/>
                          </a:xfrm>
                          <a:prstGeom prst="rect">
                            <a:avLst/>
                          </a:prstGeom>
                          <a:noFill/>
                          <a:ln>
                            <a:noFill/>
                          </a:ln>
                        </pic:spPr>
                      </pic:pic>
                    </a:graphicData>
                  </a:graphic>
                </wp:inline>
              </w:drawing>
            </w:r>
            <w:r>
              <w:fldChar w:fldCharType="end"/>
            </w:r>
            <w:r>
              <w:fldChar w:fldCharType="end"/>
            </w:r>
            <w:r>
              <w:fldChar w:fldCharType="end"/>
            </w:r>
            <w:r>
              <w:fldChar w:fldCharType="end"/>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3375" w:type="dxa"/>
            <w:tcBorders>
              <w:top w:val="outset" w:color="auto" w:sz="6" w:space="0"/>
              <w:left w:val="outset" w:color="auto" w:sz="6" w:space="0"/>
              <w:bottom w:val="outset" w:color="auto" w:sz="6" w:space="0"/>
              <w:right w:val="outset" w:color="auto" w:sz="6" w:space="0"/>
            </w:tcBorders>
          </w:tcPr>
          <w:p>
            <w:pPr>
              <w:pStyle w:val="34"/>
            </w:pPr>
            <w:r>
              <w:rPr>
                <w:rFonts w:hint="eastAsia"/>
              </w:rPr>
              <w:t>成交明细中分钟内成交显示间隔线</w:t>
            </w:r>
          </w:p>
        </w:tc>
        <w:tc>
          <w:tcPr>
            <w:tcW w:w="10260" w:type="dxa"/>
            <w:tcBorders>
              <w:top w:val="outset" w:color="auto" w:sz="6" w:space="0"/>
              <w:left w:val="outset" w:color="auto" w:sz="6" w:space="0"/>
              <w:bottom w:val="outset" w:color="auto" w:sz="6" w:space="0"/>
              <w:right w:val="outset" w:color="auto" w:sz="6" w:space="0"/>
            </w:tcBorders>
          </w:tcPr>
          <w:p>
            <w:pPr>
              <w:pStyle w:val="34"/>
            </w:pPr>
            <w:r>
              <w:rPr>
                <w:rFonts w:hint="eastAsia"/>
              </w:rPr>
              <w:t>分时成交明细每一分钟的成交用横虚线隔开 </w:t>
            </w:r>
            <w:r>
              <w:fldChar w:fldCharType="begin"/>
            </w:r>
            <w:r>
              <w:instrText xml:space="preserve"> INCLUDEPICTURE  "https://www.tdx.com.cn/products/helpfile/tdxw/chm/%E7%AC%AC%E5%9B%9B%E7%AB%A0  %E9%80%89%E9%A1%B9/4-16%E7%B3%BB%E7%BB%9F%E8%AE%BE%E7%BD%AE/440.png" \* MERGEFORMATINET </w:instrText>
            </w:r>
            <w:r>
              <w:fldChar w:fldCharType="separate"/>
            </w:r>
            <w:r>
              <w:fldChar w:fldCharType="begin"/>
            </w:r>
            <w:r>
              <w:instrText xml:space="preserve"> INCLUDEPICTURE  "https://www.tdx.com.cn/products/helpfile/tdxw/chm/%E7%AC%AC%E5%9B%9B%E7%AB%A0  %E9%80%89%E9%A1%B9/4-16%E7%B3%BB%E7%BB%9F%E8%AE%BE%E7%BD%AE/440.png" \* MERGEFORMATINET </w:instrText>
            </w:r>
            <w:r>
              <w:fldChar w:fldCharType="separate"/>
            </w:r>
            <w:r>
              <w:fldChar w:fldCharType="begin"/>
            </w:r>
            <w:r>
              <w:instrText xml:space="preserve"> INCLUDEPICTURE  "https://www.tdx.com.cn/products/helpfile/tdxw/chm/%E7%AC%AC%E5%9B%9B%E7%AB%A0  %E9%80%89%E9%A1%B9/4-16%E7%B3%BB%E7%BB%9F%E8%AE%BE%E7%BD%AE/440.png" \* MERGEFORMATINET </w:instrText>
            </w:r>
            <w:r>
              <w:fldChar w:fldCharType="separate"/>
            </w:r>
            <w:r>
              <w:fldChar w:fldCharType="begin"/>
            </w:r>
            <w:r>
              <w:instrText xml:space="preserve"> INCLUDEPICTURE  "https://www.tdx.com.cn/products/helpfile/tdxw/chm/%E7%AC%AC%E5%9B%9B%E7%AB%A0  %E9%80%89%E9%A1%B9/4-16%E7%B3%BB%E7%BB%9F%E8%AE%BE%E7%BD%AE/440.png" \* MERGEFORMATINET </w:instrText>
            </w:r>
            <w:r>
              <w:fldChar w:fldCharType="separate"/>
            </w:r>
            <w:r>
              <w:drawing>
                <wp:inline distT="0" distB="0" distL="114300" distR="114300">
                  <wp:extent cx="2752725" cy="3800475"/>
                  <wp:effectExtent l="0" t="0" r="9525" b="9525"/>
                  <wp:docPr id="390" name="图片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图片 390"/>
                          <pic:cNvPicPr>
                            <a:picLocks noChangeAspect="1"/>
                          </pic:cNvPicPr>
                        </pic:nvPicPr>
                        <pic:blipFill>
                          <a:blip r:embed="rId732" r:link="rId733"/>
                          <a:stretch>
                            <a:fillRect/>
                          </a:stretch>
                        </pic:blipFill>
                        <pic:spPr>
                          <a:xfrm>
                            <a:off x="0" y="0"/>
                            <a:ext cx="2752725" cy="3800475"/>
                          </a:xfrm>
                          <a:prstGeom prst="rect">
                            <a:avLst/>
                          </a:prstGeom>
                          <a:noFill/>
                          <a:ln>
                            <a:noFill/>
                          </a:ln>
                        </pic:spPr>
                      </pic:pic>
                    </a:graphicData>
                  </a:graphic>
                </wp:inline>
              </w:drawing>
            </w:r>
            <w:r>
              <w:fldChar w:fldCharType="end"/>
            </w:r>
            <w:r>
              <w:fldChar w:fldCharType="end"/>
            </w:r>
            <w:r>
              <w:fldChar w:fldCharType="end"/>
            </w:r>
            <w:r>
              <w:fldChar w:fldCharType="end"/>
            </w:r>
          </w:p>
        </w:tc>
      </w:tr>
    </w:tbl>
    <w:p>
      <w:pPr>
        <w:pStyle w:val="34"/>
        <w:ind w:firstLine="482"/>
        <w:rPr>
          <w:b/>
        </w:rPr>
      </w:pPr>
      <w:r>
        <w:rPr>
          <w:rFonts w:hint="eastAsia"/>
          <w:b/>
        </w:rPr>
        <w:t>周期</w:t>
      </w:r>
    </w:p>
    <w:p>
      <w:pPr>
        <w:pStyle w:val="34"/>
      </w:pPr>
      <w:r>
        <w:fldChar w:fldCharType="begin"/>
      </w:r>
      <w:r>
        <w:instrText xml:space="preserve"> INCLUDEPICTURE  "https://www.tdx.com.cn/products/helpfile/tdxw/chm/%E7%AC%AC%E5%9B%9B%E7%AB%A0  %E9%80%89%E9%A1%B9/4-16%E7%B3%BB%E7%BB%9F%E8%AE%BE%E7%BD%AE/500.png" \* MERGEFORMATINET </w:instrText>
      </w:r>
      <w:r>
        <w:fldChar w:fldCharType="separate"/>
      </w:r>
      <w:r>
        <w:fldChar w:fldCharType="begin"/>
      </w:r>
      <w:r>
        <w:instrText xml:space="preserve"> INCLUDEPICTURE  "https://www.tdx.com.cn/products/helpfile/tdxw/chm/%E7%AC%AC%E5%9B%9B%E7%AB%A0  %E9%80%89%E9%A1%B9/4-16%E7%B3%BB%E7%BB%9F%E8%AE%BE%E7%BD%AE/500.png" \* MERGEFORMATINET </w:instrText>
      </w:r>
      <w:r>
        <w:fldChar w:fldCharType="separate"/>
      </w:r>
      <w:r>
        <w:fldChar w:fldCharType="begin"/>
      </w:r>
      <w:r>
        <w:instrText xml:space="preserve"> INCLUDEPICTURE  "https://www.tdx.com.cn/products/helpfile/tdxw/chm/%E7%AC%AC%E5%9B%9B%E7%AB%A0  %E9%80%89%E9%A1%B9/4-16%E7%B3%BB%E7%BB%9F%E8%AE%BE%E7%BD%AE/500.png" \* MERGEFORMATINET </w:instrText>
      </w:r>
      <w:r>
        <w:fldChar w:fldCharType="separate"/>
      </w:r>
      <w:r>
        <w:fldChar w:fldCharType="begin"/>
      </w:r>
      <w:r>
        <w:instrText xml:space="preserve"> INCLUDEPICTURE  "https://www.tdx.com.cn/products/helpfile/tdxw/chm/%E7%AC%AC%E5%9B%9B%E7%AB%A0  %E9%80%89%E9%A1%B9/4-16%E7%B3%BB%E7%BB%9F%E8%AE%BE%E7%BD%AE/500.png" \* MERGEFORMATINET </w:instrText>
      </w:r>
      <w:r>
        <w:fldChar w:fldCharType="separate"/>
      </w:r>
      <w:r>
        <w:drawing>
          <wp:inline distT="0" distB="0" distL="114300" distR="114300">
            <wp:extent cx="6648450" cy="5305425"/>
            <wp:effectExtent l="0" t="0" r="0" b="9525"/>
            <wp:docPr id="391" name="图片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图片 391"/>
                    <pic:cNvPicPr>
                      <a:picLocks noChangeAspect="1"/>
                    </pic:cNvPicPr>
                  </pic:nvPicPr>
                  <pic:blipFill>
                    <a:blip r:embed="rId734" r:link="rId735"/>
                    <a:stretch>
                      <a:fillRect/>
                    </a:stretch>
                  </pic:blipFill>
                  <pic:spPr>
                    <a:xfrm>
                      <a:off x="0" y="0"/>
                      <a:ext cx="6648450" cy="5305425"/>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周期设置主要是用来添加自定义周期，调整周期的顺序、增减F8可以顺序调出的k线周期。</w:t>
      </w:r>
    </w:p>
    <w:p>
      <w:pPr>
        <w:pStyle w:val="34"/>
        <w:ind w:firstLine="482"/>
        <w:rPr>
          <w:b/>
        </w:rPr>
      </w:pPr>
      <w:r>
        <w:rPr>
          <w:rFonts w:hint="eastAsia"/>
          <w:b/>
        </w:rPr>
        <w:t>标签</w:t>
      </w:r>
    </w:p>
    <w:p>
      <w:pPr>
        <w:pStyle w:val="34"/>
      </w:pPr>
      <w:r>
        <w:fldChar w:fldCharType="begin"/>
      </w:r>
      <w:r>
        <w:instrText xml:space="preserve"> INCLUDEPICTURE  "https://www.tdx.com.cn/products/helpfile/tdxw/chm/%E7%AC%AC%E5%9B%9B%E7%AB%A0  %E9%80%89%E9%A1%B9/4-16%E7%B3%BB%E7%BB%9F%E8%AE%BE%E7%BD%AE/600.png" \* MERGEFORMATINET </w:instrText>
      </w:r>
      <w:r>
        <w:fldChar w:fldCharType="separate"/>
      </w:r>
      <w:r>
        <w:fldChar w:fldCharType="begin"/>
      </w:r>
      <w:r>
        <w:instrText xml:space="preserve"> INCLUDEPICTURE  "https://www.tdx.com.cn/products/helpfile/tdxw/chm/%E7%AC%AC%E5%9B%9B%E7%AB%A0  %E9%80%89%E9%A1%B9/4-16%E7%B3%BB%E7%BB%9F%E8%AE%BE%E7%BD%AE/600.png" \* MERGEFORMATINET </w:instrText>
      </w:r>
      <w:r>
        <w:fldChar w:fldCharType="separate"/>
      </w:r>
      <w:r>
        <w:fldChar w:fldCharType="begin"/>
      </w:r>
      <w:r>
        <w:instrText xml:space="preserve"> INCLUDEPICTURE  "https://www.tdx.com.cn/products/helpfile/tdxw/chm/%E7%AC%AC%E5%9B%9B%E7%AB%A0  %E9%80%89%E9%A1%B9/4-16%E7%B3%BB%E7%BB%9F%E8%AE%BE%E7%BD%AE/600.png" \* MERGEFORMATINET </w:instrText>
      </w:r>
      <w:r>
        <w:fldChar w:fldCharType="separate"/>
      </w:r>
      <w:r>
        <w:fldChar w:fldCharType="begin"/>
      </w:r>
      <w:r>
        <w:instrText xml:space="preserve"> INCLUDEPICTURE  "https://www.tdx.com.cn/products/helpfile/tdxw/chm/%E7%AC%AC%E5%9B%9B%E7%AB%A0  %E9%80%89%E9%A1%B9/4-16%E7%B3%BB%E7%BB%9F%E8%AE%BE%E7%BD%AE/600.png" \* MERGEFORMATINET </w:instrText>
      </w:r>
      <w:r>
        <w:fldChar w:fldCharType="separate"/>
      </w:r>
      <w:r>
        <w:drawing>
          <wp:inline distT="0" distB="0" distL="114300" distR="114300">
            <wp:extent cx="6648450" cy="5305425"/>
            <wp:effectExtent l="0" t="0" r="0" b="9525"/>
            <wp:docPr id="392" name="图片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图片 392"/>
                    <pic:cNvPicPr>
                      <a:picLocks noChangeAspect="1"/>
                    </pic:cNvPicPr>
                  </pic:nvPicPr>
                  <pic:blipFill>
                    <a:blip r:embed="rId736" r:link="rId737"/>
                    <a:stretch>
                      <a:fillRect/>
                    </a:stretch>
                  </pic:blipFill>
                  <pic:spPr>
                    <a:xfrm>
                      <a:off x="0" y="0"/>
                      <a:ext cx="6648450" cy="5305425"/>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fldChar w:fldCharType="begin"/>
      </w:r>
      <w:r>
        <w:instrText xml:space="preserve"> INCLUDEPICTURE  "https://www.tdx.com.cn/products/helpfile/tdxw/chm/%E7%AC%AC%E5%9B%9B%E7%AB%A0  %E9%80%89%E9%A1%B9/4-16%E7%B3%BB%E7%BB%9F%E8%AE%BE%E7%BD%AE/601.png" \* MERGEFORMATINET </w:instrText>
      </w:r>
      <w:r>
        <w:fldChar w:fldCharType="separate"/>
      </w:r>
      <w:r>
        <w:fldChar w:fldCharType="begin"/>
      </w:r>
      <w:r>
        <w:instrText xml:space="preserve"> INCLUDEPICTURE  "https://www.tdx.com.cn/products/helpfile/tdxw/chm/%E7%AC%AC%E5%9B%9B%E7%AB%A0  %E9%80%89%E9%A1%B9/4-16%E7%B3%BB%E7%BB%9F%E8%AE%BE%E7%BD%AE/601.png" \* MERGEFORMATINET </w:instrText>
      </w:r>
      <w:r>
        <w:fldChar w:fldCharType="separate"/>
      </w:r>
      <w:r>
        <w:fldChar w:fldCharType="begin"/>
      </w:r>
      <w:r>
        <w:instrText xml:space="preserve"> INCLUDEPICTURE  "https://www.tdx.com.cn/products/helpfile/tdxw/chm/%E7%AC%AC%E5%9B%9B%E7%AB%A0  %E9%80%89%E9%A1%B9/4-16%E7%B3%BB%E7%BB%9F%E8%AE%BE%E7%BD%AE/601.png" \* MERGEFORMATINET </w:instrText>
      </w:r>
      <w:r>
        <w:fldChar w:fldCharType="separate"/>
      </w:r>
      <w:r>
        <w:fldChar w:fldCharType="begin"/>
      </w:r>
      <w:r>
        <w:instrText xml:space="preserve"> INCLUDEPICTURE  "https://www.tdx.com.cn/products/helpfile/tdxw/chm/%E7%AC%AC%E5%9B%9B%E7%AB%A0  %E9%80%89%E9%A1%B9/4-16%E7%B3%BB%E7%BB%9F%E8%AE%BE%E7%BD%AE/601.png" \* MERGEFORMATINET </w:instrText>
      </w:r>
      <w:r>
        <w:fldChar w:fldCharType="separate"/>
      </w:r>
      <w:r>
        <w:drawing>
          <wp:inline distT="0" distB="0" distL="114300" distR="114300">
            <wp:extent cx="4248150" cy="247650"/>
            <wp:effectExtent l="0" t="0" r="0" b="0"/>
            <wp:docPr id="393" name="图片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图片 393"/>
                    <pic:cNvPicPr>
                      <a:picLocks noChangeAspect="1"/>
                    </pic:cNvPicPr>
                  </pic:nvPicPr>
                  <pic:blipFill>
                    <a:blip r:embed="rId738" r:link="rId739"/>
                    <a:stretch>
                      <a:fillRect/>
                    </a:stretch>
                  </pic:blipFill>
                  <pic:spPr>
                    <a:xfrm>
                      <a:off x="0" y="0"/>
                      <a:ext cx="4248150" cy="247650"/>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标签用于设定行情报表下方的标签项</w:t>
      </w:r>
    </w:p>
    <w:p>
      <w:pPr>
        <w:pStyle w:val="34"/>
      </w:pPr>
      <w:r>
        <w:rPr>
          <w:rFonts w:hint="eastAsia"/>
        </w:rPr>
        <w:t>勾选“显示扩展市场行情标签”会在设置好的标签后面显示扩展市场行情的几个标签如“港股”、“期货”等。</w:t>
      </w:r>
    </w:p>
    <w:p>
      <w:pPr>
        <w:pStyle w:val="34"/>
        <w:ind w:firstLine="482"/>
        <w:rPr>
          <w:b/>
        </w:rPr>
      </w:pPr>
      <w:r>
        <w:rPr>
          <w:rFonts w:hint="eastAsia"/>
          <w:b/>
        </w:rPr>
        <w:t>输入</w:t>
      </w:r>
    </w:p>
    <w:p>
      <w:pPr>
        <w:pStyle w:val="34"/>
      </w:pPr>
      <w:r>
        <w:fldChar w:fldCharType="begin"/>
      </w:r>
      <w:r>
        <w:instrText xml:space="preserve"> INCLUDEPICTURE  "https://www.tdx.com.cn/products/helpfile/tdxw/chm/%E7%AC%AC%E5%9B%9B%E7%AB%A0  %E9%80%89%E9%A1%B9/4-16%E7%B3%BB%E7%BB%9F%E8%AE%BE%E7%BD%AE/700.png" \* MERGEFORMATINET </w:instrText>
      </w:r>
      <w:r>
        <w:fldChar w:fldCharType="separate"/>
      </w:r>
      <w:r>
        <w:fldChar w:fldCharType="begin"/>
      </w:r>
      <w:r>
        <w:instrText xml:space="preserve"> INCLUDEPICTURE  "https://www.tdx.com.cn/products/helpfile/tdxw/chm/%E7%AC%AC%E5%9B%9B%E7%AB%A0  %E9%80%89%E9%A1%B9/4-16%E7%B3%BB%E7%BB%9F%E8%AE%BE%E7%BD%AE/700.png" \* MERGEFORMATINET </w:instrText>
      </w:r>
      <w:r>
        <w:fldChar w:fldCharType="separate"/>
      </w:r>
      <w:r>
        <w:fldChar w:fldCharType="begin"/>
      </w:r>
      <w:r>
        <w:instrText xml:space="preserve"> INCLUDEPICTURE  "https://www.tdx.com.cn/products/helpfile/tdxw/chm/%E7%AC%AC%E5%9B%9B%E7%AB%A0  %E9%80%89%E9%A1%B9/4-16%E7%B3%BB%E7%BB%9F%E8%AE%BE%E7%BD%AE/700.png" \* MERGEFORMATINET </w:instrText>
      </w:r>
      <w:r>
        <w:fldChar w:fldCharType="separate"/>
      </w:r>
      <w:r>
        <w:fldChar w:fldCharType="begin"/>
      </w:r>
      <w:r>
        <w:instrText xml:space="preserve"> INCLUDEPICTURE  "https://www.tdx.com.cn/products/helpfile/tdxw/chm/%E7%AC%AC%E5%9B%9B%E7%AB%A0  %E9%80%89%E9%A1%B9/4-16%E7%B3%BB%E7%BB%9F%E8%AE%BE%E7%BD%AE/700.png" \* MERGEFORMATINET </w:instrText>
      </w:r>
      <w:r>
        <w:fldChar w:fldCharType="separate"/>
      </w:r>
      <w:r>
        <w:drawing>
          <wp:inline distT="0" distB="0" distL="114300" distR="114300">
            <wp:extent cx="3419475" cy="2733675"/>
            <wp:effectExtent l="0" t="0" r="9525" b="9525"/>
            <wp:docPr id="394" name="图片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图片 394"/>
                    <pic:cNvPicPr>
                      <a:picLocks noChangeAspect="1"/>
                    </pic:cNvPicPr>
                  </pic:nvPicPr>
                  <pic:blipFill>
                    <a:blip r:embed="rId740" r:link="rId741"/>
                    <a:stretch>
                      <a:fillRect/>
                    </a:stretch>
                  </pic:blipFill>
                  <pic:spPr>
                    <a:xfrm>
                      <a:off x="0" y="0"/>
                      <a:ext cx="3419475" cy="2733675"/>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●输入-&gt;键盘精灵支持不同键盘精灵模式切换，键盘精灵位置可以是“主窗口右下角”、“在屏幕中间弹出”。可以在键盘精灵输入时固定在前端。</w:t>
      </w:r>
    </w:p>
    <w:p>
      <w:pPr>
        <w:pStyle w:val="34"/>
      </w:pPr>
      <w:r>
        <w:rPr>
          <w:rFonts w:hint="eastAsia"/>
        </w:rPr>
        <w:t>●输入-&gt;快速隐藏，快捷键（ALT+X），老板键设置随时隐藏客户端；</w:t>
      </w:r>
    </w:p>
    <w:p>
      <w:pPr>
        <w:pStyle w:val="34"/>
      </w:pPr>
      <w:r>
        <w:rPr>
          <w:rFonts w:hint="eastAsia"/>
        </w:rPr>
        <w:t>●输入-&gt;报价个股的自动换页间隔时间默认是8秒；</w:t>
      </w:r>
    </w:p>
    <w:p>
      <w:pPr>
        <w:pStyle w:val="34"/>
      </w:pPr>
      <w:r>
        <w:rPr>
          <w:rFonts w:hint="eastAsia"/>
        </w:rPr>
        <w:t>●输入-&gt;先在当前报价中定位键盘精灵输入的品种。如果勾选，则会先在行情报价中定位此品种。</w:t>
      </w:r>
    </w:p>
    <w:p>
      <w:pPr>
        <w:pStyle w:val="34"/>
      </w:pPr>
      <w:r>
        <w:rPr>
          <w:rFonts w:hint="eastAsia"/>
        </w:rPr>
        <w:t>●输入：可以设置VIP快捷键交易。</w:t>
      </w:r>
    </w:p>
    <w:p>
      <w:pPr>
        <w:pStyle w:val="34"/>
        <w:ind w:firstLine="482"/>
        <w:rPr>
          <w:b/>
        </w:rPr>
      </w:pPr>
      <w:r>
        <w:rPr>
          <w:rFonts w:hint="eastAsia"/>
          <w:b/>
        </w:rPr>
        <w:t>链接</w:t>
      </w:r>
    </w:p>
    <w:p>
      <w:pPr>
        <w:pStyle w:val="34"/>
      </w:pPr>
      <w:r>
        <w:fldChar w:fldCharType="begin"/>
      </w:r>
      <w:r>
        <w:instrText xml:space="preserve"> INCLUDEPICTURE  "https://www.tdx.com.cn/products/helpfile/tdxw/chm/%E7%AC%AC%E5%9B%9B%E7%AB%A0  %E9%80%89%E9%A1%B9/4-16%E7%B3%BB%E7%BB%9F%E8%AE%BE%E7%BD%AE/800.png" \* MERGEFORMATINET </w:instrText>
      </w:r>
      <w:r>
        <w:fldChar w:fldCharType="separate"/>
      </w:r>
      <w:r>
        <w:fldChar w:fldCharType="begin"/>
      </w:r>
      <w:r>
        <w:instrText xml:space="preserve"> INCLUDEPICTURE  "https://www.tdx.com.cn/products/helpfile/tdxw/chm/%E7%AC%AC%E5%9B%9B%E7%AB%A0  %E9%80%89%E9%A1%B9/4-16%E7%B3%BB%E7%BB%9F%E8%AE%BE%E7%BD%AE/800.png" \* MERGEFORMATINET </w:instrText>
      </w:r>
      <w:r>
        <w:fldChar w:fldCharType="separate"/>
      </w:r>
      <w:r>
        <w:fldChar w:fldCharType="begin"/>
      </w:r>
      <w:r>
        <w:instrText xml:space="preserve"> INCLUDEPICTURE  "https://www.tdx.com.cn/products/helpfile/tdxw/chm/%E7%AC%AC%E5%9B%9B%E7%AB%A0  %E9%80%89%E9%A1%B9/4-16%E7%B3%BB%E7%BB%9F%E8%AE%BE%E7%BD%AE/800.png" \* MERGEFORMATINET </w:instrText>
      </w:r>
      <w:r>
        <w:fldChar w:fldCharType="separate"/>
      </w:r>
      <w:r>
        <w:fldChar w:fldCharType="begin"/>
      </w:r>
      <w:r>
        <w:instrText xml:space="preserve"> INCLUDEPICTURE  "https://www.tdx.com.cn/products/helpfile/tdxw/chm/%E7%AC%AC%E5%9B%9B%E7%AB%A0  %E9%80%89%E9%A1%B9/4-16%E7%B3%BB%E7%BB%9F%E8%AE%BE%E7%BD%AE/800.png" \* MERGEFORMATINET </w:instrText>
      </w:r>
      <w:r>
        <w:fldChar w:fldCharType="separate"/>
      </w:r>
      <w:r>
        <w:drawing>
          <wp:inline distT="0" distB="0" distL="114300" distR="114300">
            <wp:extent cx="4086225" cy="3257550"/>
            <wp:effectExtent l="0" t="0" r="9525" b="0"/>
            <wp:docPr id="395" name="图片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图片 395"/>
                    <pic:cNvPicPr>
                      <a:picLocks noChangeAspect="1"/>
                    </pic:cNvPicPr>
                  </pic:nvPicPr>
                  <pic:blipFill>
                    <a:blip r:embed="rId742" r:link="rId743"/>
                    <a:stretch>
                      <a:fillRect/>
                    </a:stretch>
                  </pic:blipFill>
                  <pic:spPr>
                    <a:xfrm>
                      <a:off x="0" y="0"/>
                      <a:ext cx="4086225" cy="3257550"/>
                    </a:xfrm>
                    <a:prstGeom prst="rect">
                      <a:avLst/>
                    </a:prstGeom>
                    <a:noFill/>
                    <a:ln>
                      <a:noFill/>
                    </a:ln>
                  </pic:spPr>
                </pic:pic>
              </a:graphicData>
            </a:graphic>
          </wp:inline>
        </w:drawing>
      </w:r>
      <w:r>
        <w:fldChar w:fldCharType="end"/>
      </w:r>
      <w:r>
        <w:fldChar w:fldCharType="end"/>
      </w:r>
      <w:r>
        <w:fldChar w:fldCharType="end"/>
      </w:r>
      <w:r>
        <w:fldChar w:fldCharType="end"/>
      </w:r>
    </w:p>
    <w:p>
      <w:pPr>
        <w:pStyle w:val="34"/>
        <w:ind w:firstLine="540"/>
        <w:rPr>
          <w:sz w:val="27"/>
          <w:szCs w:val="27"/>
        </w:rPr>
      </w:pPr>
      <w:r>
        <w:rPr>
          <w:rFonts w:hint="eastAsia"/>
          <w:sz w:val="27"/>
          <w:szCs w:val="27"/>
        </w:rPr>
        <w:t> </w:t>
      </w:r>
    </w:p>
    <w:p>
      <w:pPr>
        <w:pStyle w:val="34"/>
      </w:pPr>
      <w:r>
        <w:rPr>
          <w:rFonts w:hint="eastAsia"/>
        </w:rPr>
        <w:t>添加个股相关网站链接</w:t>
      </w:r>
    </w:p>
    <w:p>
      <w:pPr>
        <w:pStyle w:val="34"/>
      </w:pPr>
      <w:r>
        <w:rPr>
          <w:rFonts w:hint="eastAsia"/>
        </w:rPr>
        <w:t>■添加个股相关网站</w:t>
      </w:r>
    </w:p>
    <w:p>
      <w:pPr>
        <w:pStyle w:val="34"/>
      </w:pPr>
      <w:r>
        <w:rPr>
          <w:rFonts w:hint="eastAsia"/>
        </w:rPr>
        <w:t>■个股相关链接的打开方式</w:t>
      </w:r>
    </w:p>
    <w:p>
      <w:pPr>
        <w:pStyle w:val="34"/>
      </w:pPr>
      <w:r>
        <w:rPr>
          <w:rFonts w:hint="eastAsia"/>
        </w:rPr>
        <w:t>可以选择外部浏览器、内部全窗口方式、内部弹出窗口方式三种浏览方式</w:t>
      </w:r>
    </w:p>
    <w:p>
      <w:pPr>
        <w:pStyle w:val="34"/>
      </w:pPr>
      <w:r>
        <w:rPr>
          <w:rFonts w:hint="eastAsia"/>
        </w:rPr>
        <w:t>外部浏览器模式：直接在电脑的默认浏览器中打开相应的网页</w:t>
      </w:r>
    </w:p>
    <w:p>
      <w:pPr>
        <w:pStyle w:val="34"/>
      </w:pPr>
      <w:r>
        <w:rPr>
          <w:rFonts w:hint="eastAsia"/>
        </w:rPr>
        <w:t>内部全窗口方式：通达信软件窗口区全部用来展示网页</w:t>
      </w:r>
    </w:p>
    <w:p>
      <w:pPr>
        <w:pStyle w:val="34"/>
      </w:pPr>
      <w:r>
        <w:rPr>
          <w:rFonts w:hint="eastAsia"/>
        </w:rPr>
        <w:t>内部弹出窗口方式：在通达信窗口的内部区域重新弹出一个窗口展示网页</w:t>
      </w:r>
    </w:p>
    <w:p>
      <w:pPr>
        <w:pStyle w:val="34"/>
      </w:pPr>
      <w:r>
        <w:rPr>
          <w:rFonts w:hint="eastAsia"/>
        </w:rPr>
        <w:t>■个股相关链接的显示位置</w:t>
      </w:r>
    </w:p>
    <w:p>
      <w:pPr>
        <w:pStyle w:val="34"/>
      </w:pPr>
      <w:r>
        <w:rPr>
          <w:rFonts w:hint="eastAsia"/>
        </w:rPr>
        <w:t>可以选择分时图左下侧空白处、个股的左侧切换标签中两种模式</w:t>
      </w:r>
    </w:p>
    <w:p>
      <w:pPr>
        <w:pStyle w:val="34"/>
      </w:pPr>
      <w:r>
        <w:rPr>
          <w:rFonts w:hint="eastAsia"/>
        </w:rPr>
        <w:t>分时图左下侧空白处：</w:t>
      </w:r>
    </w:p>
    <w:p>
      <w:pPr>
        <w:pStyle w:val="34"/>
      </w:pPr>
      <w:r>
        <w:rPr>
          <w:rFonts w:hint="eastAsia"/>
        </w:rPr>
        <w:t>个股的左侧切换标签中：</w:t>
      </w:r>
    </w:p>
    <w:p>
      <w:pPr>
        <w:pStyle w:val="34"/>
      </w:pPr>
      <w:r>
        <w:rPr>
          <w:rFonts w:hint="eastAsia"/>
        </w:rPr>
        <w:t>■个股相关链接在分时图中的显示风格</w:t>
      </w:r>
    </w:p>
    <w:p>
      <w:pPr>
        <w:pStyle w:val="34"/>
      </w:pPr>
      <w:r>
        <w:rPr>
          <w:rFonts w:hint="eastAsia"/>
        </w:rPr>
        <w:t>当个股相关链接的显示位置选择了“分时图左下侧空白处”这里就可以设置“个股相关链接在分时图中显示风格”：系统缺省、透明风格、蓝白相间、浅黄相间、钱红黄对称、黄灰相间这些风格。</w:t>
      </w:r>
    </w:p>
    <w:p>
      <w:pPr>
        <w:pStyle w:val="34"/>
      </w:pPr>
      <w:r>
        <w:rPr>
          <w:rFonts w:hint="eastAsia"/>
        </w:rPr>
        <w:t>■显示个股画面的左侧切换标签</w:t>
      </w:r>
    </w:p>
    <w:p>
      <w:pPr>
        <w:pStyle w:val="34"/>
      </w:pPr>
      <w:r>
        <w:rPr>
          <w:rFonts w:hint="eastAsia"/>
        </w:rPr>
        <w:t>当个股相关链接的显示位置选择了“个股的左侧切换标签中”这里的左侧切换标签就必须勾选，而且这个设置只对选择了此种相关链接显示位置时有效对另一种显示位置勾选无效。</w:t>
      </w:r>
    </w:p>
    <w:p>
      <w:pPr>
        <w:pStyle w:val="34"/>
      </w:pPr>
      <w:r>
        <w:rPr>
          <w:rFonts w:hint="eastAsia"/>
        </w:rPr>
        <w:t>■调整不同个股网站的排列顺序 </w:t>
      </w:r>
    </w:p>
    <w:p>
      <w:pPr>
        <w:pStyle w:val="34"/>
      </w:pPr>
      <w:r>
        <w:rPr>
          <w:rFonts w:hint="eastAsia"/>
        </w:rPr>
        <w:t>通过上移下移键可以调整先添加个股网站和已添加个股网站的顺序。</w:t>
      </w:r>
    </w:p>
    <w:p>
      <w:pPr>
        <w:pStyle w:val="34"/>
      </w:pPr>
      <w:r>
        <w:rPr>
          <w:rFonts w:hint="eastAsia"/>
        </w:rPr>
        <w:t>使用其他理财程序</w:t>
      </w:r>
    </w:p>
    <w:p>
      <w:pPr>
        <w:pStyle w:val="34"/>
      </w:pPr>
      <w:r>
        <w:rPr>
          <w:rFonts w:hint="eastAsia"/>
        </w:rPr>
        <w:t>使用通达信系统之外的理财程序。</w:t>
      </w:r>
    </w:p>
    <w:p>
      <w:pPr>
        <w:pStyle w:val="34"/>
      </w:pPr>
      <w:r>
        <w:rPr>
          <w:rFonts w:hint="eastAsia"/>
        </w:rPr>
        <w:t>功能——个人理财功能默认是通达信的个人理财功能，如果有其他地方更好的个人理财功能这里可以添加进去，替换掉通达信的个人理财功能。</w:t>
      </w:r>
    </w:p>
    <w:p>
      <w:pPr>
        <w:pStyle w:val="34"/>
      </w:pPr>
      <w:r>
        <w:rPr>
          <w:rFonts w:hint="eastAsia"/>
        </w:rPr>
        <w:t>使用外挂资讯程序</w:t>
      </w:r>
    </w:p>
    <w:p>
      <w:pPr>
        <w:pStyle w:val="34"/>
      </w:pPr>
      <w:r>
        <w:rPr>
          <w:rFonts w:hint="eastAsia"/>
        </w:rPr>
        <w:t>使用其他资讯程序。</w:t>
      </w:r>
    </w:p>
    <w:p>
      <w:pPr>
        <w:pStyle w:val="34"/>
      </w:pPr>
      <w:r>
        <w:rPr>
          <w:rFonts w:hint="eastAsia"/>
        </w:rPr>
        <w:t>选项——外部资讯没有添加之前此功能按钮是灰色，如果添加了外部资讯程序，此功能可用</w:t>
      </w:r>
    </w:p>
    <w:p>
      <w:pPr>
        <w:pStyle w:val="34"/>
        <w:ind w:firstLine="482"/>
        <w:rPr>
          <w:b/>
        </w:rPr>
      </w:pPr>
      <w:r>
        <w:rPr>
          <w:rFonts w:hint="eastAsia"/>
          <w:b/>
        </w:rPr>
        <w:t>高级</w:t>
      </w:r>
    </w:p>
    <w:p>
      <w:pPr>
        <w:pStyle w:val="34"/>
      </w:pPr>
      <w:r>
        <w:fldChar w:fldCharType="begin"/>
      </w:r>
      <w:r>
        <w:instrText xml:space="preserve"> INCLUDEPICTURE  "https://www.tdx.com.cn/products/helpfile/tdxw/chm/%E7%AC%AC%E5%9B%9B%E7%AB%A0  %E9%80%89%E9%A1%B9/4-16%E7%B3%BB%E7%BB%9F%E8%AE%BE%E7%BD%AE/900.png" \* MERGEFORMATINET </w:instrText>
      </w:r>
      <w:r>
        <w:fldChar w:fldCharType="separate"/>
      </w:r>
      <w:r>
        <w:fldChar w:fldCharType="begin"/>
      </w:r>
      <w:r>
        <w:instrText xml:space="preserve"> INCLUDEPICTURE  "https://www.tdx.com.cn/products/helpfile/tdxw/chm/%E7%AC%AC%E5%9B%9B%E7%AB%A0  %E9%80%89%E9%A1%B9/4-16%E7%B3%BB%E7%BB%9F%E8%AE%BE%E7%BD%AE/900.png" \* MERGEFORMATINET </w:instrText>
      </w:r>
      <w:r>
        <w:fldChar w:fldCharType="separate"/>
      </w:r>
      <w:r>
        <w:fldChar w:fldCharType="begin"/>
      </w:r>
      <w:r>
        <w:instrText xml:space="preserve"> INCLUDEPICTURE  "https://www.tdx.com.cn/products/helpfile/tdxw/chm/%E7%AC%AC%E5%9B%9B%E7%AB%A0  %E9%80%89%E9%A1%B9/4-16%E7%B3%BB%E7%BB%9F%E8%AE%BE%E7%BD%AE/900.png" \* MERGEFORMATINET </w:instrText>
      </w:r>
      <w:r>
        <w:fldChar w:fldCharType="separate"/>
      </w:r>
      <w:r>
        <w:fldChar w:fldCharType="begin"/>
      </w:r>
      <w:r>
        <w:instrText xml:space="preserve"> INCLUDEPICTURE  "https://www.tdx.com.cn/products/helpfile/tdxw/chm/%E7%AC%AC%E5%9B%9B%E7%AB%A0  %E9%80%89%E9%A1%B9/4-16%E7%B3%BB%E7%BB%9F%E8%AE%BE%E7%BD%AE/900.png" \* MERGEFORMATINET </w:instrText>
      </w:r>
      <w:r>
        <w:fldChar w:fldCharType="separate"/>
      </w:r>
      <w:r>
        <w:drawing>
          <wp:inline distT="0" distB="0" distL="114300" distR="114300">
            <wp:extent cx="6648450" cy="5305425"/>
            <wp:effectExtent l="0" t="0" r="0" b="9525"/>
            <wp:docPr id="396" name="图片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图片 396"/>
                    <pic:cNvPicPr>
                      <a:picLocks noChangeAspect="1"/>
                    </pic:cNvPicPr>
                  </pic:nvPicPr>
                  <pic:blipFill>
                    <a:blip r:embed="rId744" r:link="rId745"/>
                    <a:stretch>
                      <a:fillRect/>
                    </a:stretch>
                  </pic:blipFill>
                  <pic:spPr>
                    <a:xfrm>
                      <a:off x="0" y="0"/>
                      <a:ext cx="6648450" cy="5305425"/>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其中委托数量使用标记功能：则千档盘口中的队列排单,逐笔委托,买卖队列中的标记数量均会突出显示.例如,标记"10"手，则下图买卖队列及逐笔委托中10手也突出显示</w:t>
      </w:r>
    </w:p>
    <w:p>
      <w:pPr>
        <w:pStyle w:val="34"/>
      </w:pPr>
      <w:r>
        <w:rPr>
          <w:rFonts w:hint="eastAsia"/>
        </w:rPr>
        <w:t>■资金流向缺省统计天数N天：</w:t>
      </w:r>
      <w:r>
        <w:fldChar w:fldCharType="begin"/>
      </w:r>
      <w:r>
        <w:instrText xml:space="preserve"> INCLUDEPICTURE  "https://www.tdx.com.cn/products/helpfile/tdxw/chm/%E7%AC%AC%E5%9B%9B%E7%AB%A0  %E9%80%89%E9%A1%B9/4-16%E7%B3%BB%E7%BB%9F%E8%AE%BE%E7%BD%AE/901.png" \* MERGEFORMATINET </w:instrText>
      </w:r>
      <w:r>
        <w:fldChar w:fldCharType="separate"/>
      </w:r>
      <w:r>
        <w:fldChar w:fldCharType="begin"/>
      </w:r>
      <w:r>
        <w:instrText xml:space="preserve"> INCLUDEPICTURE  "https://www.tdx.com.cn/products/helpfile/tdxw/chm/%E7%AC%AC%E5%9B%9B%E7%AB%A0  %E9%80%89%E9%A1%B9/4-16%E7%B3%BB%E7%BB%9F%E8%AE%BE%E7%BD%AE/901.png" \* MERGEFORMATINET </w:instrText>
      </w:r>
      <w:r>
        <w:fldChar w:fldCharType="separate"/>
      </w:r>
      <w:r>
        <w:fldChar w:fldCharType="begin"/>
      </w:r>
      <w:r>
        <w:instrText xml:space="preserve"> INCLUDEPICTURE  "https://www.tdx.com.cn/products/helpfile/tdxw/chm/%E7%AC%AC%E5%9B%9B%E7%AB%A0  %E9%80%89%E9%A1%B9/4-16%E7%B3%BB%E7%BB%9F%E8%AE%BE%E7%BD%AE/901.png" \* MERGEFORMATINET </w:instrText>
      </w:r>
      <w:r>
        <w:fldChar w:fldCharType="separate"/>
      </w:r>
      <w:r>
        <w:fldChar w:fldCharType="begin"/>
      </w:r>
      <w:r>
        <w:instrText xml:space="preserve"> INCLUDEPICTURE  "https://www.tdx.com.cn/products/helpfile/tdxw/chm/%E7%AC%AC%E5%9B%9B%E7%AB%A0  %E9%80%89%E9%A1%B9/4-16%E7%B3%BB%E7%BB%9F%E8%AE%BE%E7%BD%AE/901.png" \* MERGEFORMATINET </w:instrText>
      </w:r>
      <w:r>
        <w:fldChar w:fldCharType="separate"/>
      </w:r>
      <w:r>
        <w:drawing>
          <wp:inline distT="0" distB="0" distL="114300" distR="114300">
            <wp:extent cx="2257425" cy="409575"/>
            <wp:effectExtent l="0" t="0" r="9525" b="9525"/>
            <wp:docPr id="397" name="图片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图片 397"/>
                    <pic:cNvPicPr>
                      <a:picLocks noChangeAspect="1"/>
                    </pic:cNvPicPr>
                  </pic:nvPicPr>
                  <pic:blipFill>
                    <a:blip r:embed="rId746" r:link="rId747"/>
                    <a:stretch>
                      <a:fillRect/>
                    </a:stretch>
                  </pic:blipFill>
                  <pic:spPr>
                    <a:xfrm>
                      <a:off x="0" y="0"/>
                      <a:ext cx="2257425" cy="409575"/>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控制行情信息区右侧的N日主力净额</w:t>
      </w:r>
    </w:p>
    <w:p>
      <w:pPr>
        <w:pStyle w:val="34"/>
      </w:pPr>
      <w:r>
        <w:rPr>
          <w:rFonts w:hint="eastAsia"/>
        </w:rPr>
        <w:t> </w:t>
      </w:r>
    </w:p>
    <w:p>
      <w:pPr>
        <w:pStyle w:val="34"/>
      </w:pPr>
      <w:r>
        <w:rPr>
          <w:rFonts w:hint="eastAsia"/>
        </w:rPr>
        <w:t>■显示设置</w:t>
      </w:r>
    </w:p>
    <w:p>
      <w:pPr>
        <w:pStyle w:val="34"/>
      </w:pPr>
      <w:r>
        <w:rPr>
          <w:rFonts w:hint="eastAsia"/>
        </w:rPr>
        <w:t>显示资金流向数据和资金模型控制是否显示右侧行情信息区的资金流统计数据以及行情报价界面下方的“主力资金”报价展示功能</w:t>
      </w:r>
    </w:p>
    <w:p>
      <w:pPr>
        <w:pStyle w:val="34"/>
      </w:pPr>
      <w:r>
        <w:rPr>
          <w:rFonts w:hint="eastAsia"/>
        </w:rPr>
        <w:t>主力资金的效果必须在</w:t>
      </w:r>
      <w:r>
        <w:rPr>
          <w:rFonts w:hint="eastAsia"/>
          <w:b/>
        </w:rPr>
        <w:t>重启客户端</w:t>
      </w:r>
      <w:r>
        <w:rPr>
          <w:rFonts w:hint="eastAsia"/>
        </w:rPr>
        <w:t>后才能体现</w:t>
      </w:r>
    </w:p>
    <w:p>
      <w:pPr>
        <w:pStyle w:val="34"/>
      </w:pPr>
      <w:r>
        <w:rPr>
          <w:rFonts w:hint="eastAsia"/>
        </w:rPr>
        <w:t>■Level2逐笔过滤</w:t>
      </w:r>
    </w:p>
    <w:p>
      <w:pPr>
        <w:pStyle w:val="34"/>
      </w:pPr>
      <w:r>
        <w:rPr>
          <w:rFonts w:hint="eastAsia"/>
        </w:rPr>
        <w:t>设置过滤显示记录的下限。</w:t>
      </w:r>
      <w:r>
        <w:fldChar w:fldCharType="begin"/>
      </w:r>
      <w:r>
        <w:instrText xml:space="preserve"> INCLUDEPICTURE  "https://www.tdx.com.cn/products/helpfile/tdxw/chm/%E7%AC%AC%E5%9B%9B%E7%AB%A0  %E9%80%89%E9%A1%B9/4-16%E7%B3%BB%E7%BB%9F%E8%AE%BE%E7%BD%AE/903.png" \* MERGEFORMATINET </w:instrText>
      </w:r>
      <w:r>
        <w:fldChar w:fldCharType="separate"/>
      </w:r>
      <w:r>
        <w:fldChar w:fldCharType="begin"/>
      </w:r>
      <w:r>
        <w:instrText xml:space="preserve"> INCLUDEPICTURE  "https://www.tdx.com.cn/products/helpfile/tdxw/chm/%E7%AC%AC%E5%9B%9B%E7%AB%A0  %E9%80%89%E9%A1%B9/4-16%E7%B3%BB%E7%BB%9F%E8%AE%BE%E7%BD%AE/903.png" \* MERGEFORMATINET </w:instrText>
      </w:r>
      <w:r>
        <w:fldChar w:fldCharType="separate"/>
      </w:r>
      <w:r>
        <w:fldChar w:fldCharType="begin"/>
      </w:r>
      <w:r>
        <w:instrText xml:space="preserve"> INCLUDEPICTURE  "https://www.tdx.com.cn/products/helpfile/tdxw/chm/%E7%AC%AC%E5%9B%9B%E7%AB%A0  %E9%80%89%E9%A1%B9/4-16%E7%B3%BB%E7%BB%9F%E8%AE%BE%E7%BD%AE/903.png" \* MERGEFORMATINET </w:instrText>
      </w:r>
      <w:r>
        <w:fldChar w:fldCharType="separate"/>
      </w:r>
      <w:r>
        <w:fldChar w:fldCharType="begin"/>
      </w:r>
      <w:r>
        <w:instrText xml:space="preserve"> INCLUDEPICTURE  "https://www.tdx.com.cn/products/helpfile/tdxw/chm/%E7%AC%AC%E5%9B%9B%E7%AB%A0  %E9%80%89%E9%A1%B9/4-16%E7%B3%BB%E7%BB%9F%E8%AE%BE%E7%BD%AE/903.png" \* MERGEFORMATINET </w:instrText>
      </w:r>
      <w:r>
        <w:fldChar w:fldCharType="separate"/>
      </w:r>
      <w:r>
        <w:drawing>
          <wp:inline distT="0" distB="0" distL="114300" distR="114300">
            <wp:extent cx="3086100" cy="1885950"/>
            <wp:effectExtent l="0" t="0" r="0" b="0"/>
            <wp:docPr id="398" name="图片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图片 398"/>
                    <pic:cNvPicPr>
                      <a:picLocks noChangeAspect="1"/>
                    </pic:cNvPicPr>
                  </pic:nvPicPr>
                  <pic:blipFill>
                    <a:blip r:embed="rId748" r:link="rId749"/>
                    <a:stretch>
                      <a:fillRect/>
                    </a:stretch>
                  </pic:blipFill>
                  <pic:spPr>
                    <a:xfrm>
                      <a:off x="0" y="0"/>
                      <a:ext cx="3086100" cy="1885950"/>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逐笔委托过滤：设置逐笔委托量不小于N的委托单或者撤单才可以显示在逐笔委托的里面。</w:t>
      </w:r>
    </w:p>
    <w:p>
      <w:pPr>
        <w:pStyle w:val="34"/>
      </w:pPr>
      <w:r>
        <w:rPr>
          <w:rFonts w:hint="eastAsia"/>
        </w:rPr>
        <w:t>逐笔成交过滤：设置逐笔成交明细量不小于N的成交单才显示在逐笔成交明细记录里面。</w:t>
      </w:r>
    </w:p>
    <w:p>
      <w:pPr>
        <w:pStyle w:val="34"/>
        <w:ind w:firstLine="482"/>
        <w:rPr>
          <w:b/>
        </w:rPr>
      </w:pPr>
      <w:r>
        <w:rPr>
          <w:rFonts w:hint="eastAsia"/>
          <w:b/>
        </w:rPr>
        <w:t>参数</w:t>
      </w:r>
    </w:p>
    <w:p>
      <w:pPr>
        <w:pStyle w:val="34"/>
      </w:pPr>
      <w:r>
        <w:fldChar w:fldCharType="begin"/>
      </w:r>
      <w:r>
        <w:instrText xml:space="preserve"> INCLUDEPICTURE  "https://www.tdx.com.cn/products/helpfile/tdxw/chm/%E7%AC%AC%E5%9B%9B%E7%AB%A0  %E9%80%89%E9%A1%B9/4-16%E7%B3%BB%E7%BB%9F%E8%AE%BE%E7%BD%AE/1000.png" \* MERGEFORMATINET </w:instrText>
      </w:r>
      <w:r>
        <w:fldChar w:fldCharType="separate"/>
      </w:r>
      <w:r>
        <w:fldChar w:fldCharType="begin"/>
      </w:r>
      <w:r>
        <w:instrText xml:space="preserve"> INCLUDEPICTURE  "https://www.tdx.com.cn/products/helpfile/tdxw/chm/%E7%AC%AC%E5%9B%9B%E7%AB%A0  %E9%80%89%E9%A1%B9/4-16%E7%B3%BB%E7%BB%9F%E8%AE%BE%E7%BD%AE/1000.png" \* MERGEFORMATINET </w:instrText>
      </w:r>
      <w:r>
        <w:fldChar w:fldCharType="separate"/>
      </w:r>
      <w:r>
        <w:fldChar w:fldCharType="begin"/>
      </w:r>
      <w:r>
        <w:instrText xml:space="preserve"> INCLUDEPICTURE  "https://www.tdx.com.cn/products/helpfile/tdxw/chm/%E7%AC%AC%E5%9B%9B%E7%AB%A0  %E9%80%89%E9%A1%B9/4-16%E7%B3%BB%E7%BB%9F%E8%AE%BE%E7%BD%AE/1000.png" \* MERGEFORMATINET </w:instrText>
      </w:r>
      <w:r>
        <w:fldChar w:fldCharType="separate"/>
      </w:r>
      <w:r>
        <w:fldChar w:fldCharType="begin"/>
      </w:r>
      <w:r>
        <w:instrText xml:space="preserve"> INCLUDEPICTURE  "https://www.tdx.com.cn/products/helpfile/tdxw/chm/%E7%AC%AC%E5%9B%9B%E7%AB%A0  %E9%80%89%E9%A1%B9/4-16%E7%B3%BB%E7%BB%9F%E8%AE%BE%E7%BD%AE/1000.png" \* MERGEFORMATINET </w:instrText>
      </w:r>
      <w:r>
        <w:fldChar w:fldCharType="separate"/>
      </w:r>
      <w:r>
        <w:drawing>
          <wp:inline distT="0" distB="0" distL="114300" distR="114300">
            <wp:extent cx="5343525" cy="4257675"/>
            <wp:effectExtent l="0" t="0" r="9525" b="9525"/>
            <wp:docPr id="399" name="图片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图片 399"/>
                    <pic:cNvPicPr>
                      <a:picLocks noChangeAspect="1"/>
                    </pic:cNvPicPr>
                  </pic:nvPicPr>
                  <pic:blipFill>
                    <a:blip r:embed="rId750" r:link="rId751"/>
                    <a:stretch>
                      <a:fillRect/>
                    </a:stretch>
                  </pic:blipFill>
                  <pic:spPr>
                    <a:xfrm>
                      <a:off x="0" y="0"/>
                      <a:ext cx="5343525" cy="4257675"/>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■套利成本区间线显示设置</w:t>
      </w:r>
    </w:p>
    <w:p>
      <w:pPr>
        <w:pStyle w:val="34"/>
      </w:pPr>
      <w:r>
        <w:rPr>
          <w:rFonts w:hint="eastAsia"/>
        </w:rPr>
        <w:t>设置了套利成本区间可以快速知道盈亏状况。</w:t>
      </w:r>
    </w:p>
    <w:p>
      <w:pPr>
        <w:pStyle w:val="3"/>
      </w:pPr>
      <w:r>
        <w:t> </w:t>
      </w:r>
      <w:bookmarkStart w:id="57" w:name="_Toc90646176"/>
      <w:r>
        <w:rPr>
          <w:rFonts w:hint="eastAsia"/>
        </w:rPr>
        <w:t>帮助菜单</w:t>
      </w:r>
      <w:bookmarkEnd w:id="57"/>
    </w:p>
    <w:p>
      <w:pPr>
        <w:pStyle w:val="34"/>
      </w:pPr>
      <w:r>
        <w:rPr>
          <w:rFonts w:hint="eastAsia"/>
        </w:rPr>
        <w:t>1.帮助说明书 </w:t>
      </w:r>
    </w:p>
    <w:p>
      <w:pPr>
        <w:pStyle w:val="34"/>
      </w:pPr>
      <w:r>
        <w:rPr>
          <w:rFonts w:hint="eastAsia"/>
        </w:rPr>
        <w:t>　显示帮助主题。 </w:t>
      </w:r>
    </w:p>
    <w:p>
      <w:pPr>
        <w:pStyle w:val="34"/>
      </w:pPr>
      <w:r>
        <w:rPr>
          <w:rFonts w:hint="eastAsia"/>
        </w:rPr>
        <w:t>　系统提供windows式超链接帮助，含有本软件特色、功能、操作及一些工具说明等，可双击打开。</w:t>
      </w:r>
    </w:p>
    <w:p>
      <w:pPr>
        <w:pStyle w:val="34"/>
      </w:pPr>
      <w:r>
        <w:rPr>
          <w:rFonts w:hint="eastAsia"/>
        </w:rPr>
        <w:t>2.快捷键和使用FAQ</w:t>
      </w:r>
    </w:p>
    <w:p>
      <w:pPr>
        <w:pStyle w:val="34"/>
      </w:pPr>
      <w:r>
        <w:rPr>
          <w:rFonts w:hint="eastAsia"/>
        </w:rPr>
        <w:t>　可以快捷方便查看快捷键及使用中遇到的常见问题解决方法:</w:t>
      </w:r>
      <w:r>
        <w:fldChar w:fldCharType="begin"/>
      </w:r>
      <w:r>
        <w:instrText xml:space="preserve"> HYPERLINK "http://www.tdx.com.cn/products/helpfile/tdxjysm/" </w:instrText>
      </w:r>
      <w:r>
        <w:fldChar w:fldCharType="separate"/>
      </w:r>
      <w:r>
        <w:rPr>
          <w:rStyle w:val="30"/>
          <w:rFonts w:hint="eastAsia" w:ascii="微软雅黑" w:hAnsi="微软雅黑" w:eastAsia="微软雅黑"/>
          <w:sz w:val="18"/>
          <w:szCs w:val="18"/>
        </w:rPr>
        <w:t>http://www.tdx.com.cn/products/helpfile/tdxjysm/</w:t>
      </w:r>
      <w:r>
        <w:rPr>
          <w:rStyle w:val="30"/>
          <w:rFonts w:hint="eastAsia" w:ascii="微软雅黑" w:hAnsi="微软雅黑" w:eastAsia="微软雅黑"/>
          <w:sz w:val="18"/>
          <w:szCs w:val="18"/>
        </w:rPr>
        <w:fldChar w:fldCharType="end"/>
      </w:r>
    </w:p>
    <w:p>
      <w:pPr>
        <w:pStyle w:val="34"/>
      </w:pPr>
      <w:r>
        <w:rPr>
          <w:rFonts w:hint="eastAsia"/>
        </w:rPr>
        <w:t>3.通达信网站</w:t>
      </w:r>
    </w:p>
    <w:p>
      <w:pPr>
        <w:pStyle w:val="34"/>
      </w:pPr>
      <w:r>
        <w:rPr>
          <w:rFonts w:hint="eastAsia"/>
        </w:rPr>
        <w:t>　点击“通达信网站”则进入通达信商城：</w:t>
      </w:r>
      <w:r>
        <w:t>vip.tdx.com.cn</w:t>
      </w:r>
    </w:p>
    <w:p>
      <w:pPr>
        <w:pStyle w:val="34"/>
      </w:pPr>
      <w:r>
        <w:rPr>
          <w:rFonts w:hint="eastAsia"/>
        </w:rPr>
        <w:t>4.系统状态</w:t>
      </w:r>
    </w:p>
    <w:p>
      <w:pPr>
        <w:pStyle w:val="34"/>
      </w:pPr>
      <w:r>
        <w:rPr>
          <w:rFonts w:hint="eastAsia"/>
        </w:rPr>
        <w:t>　可以查看系统的主站连接情况，连接地址、连接时间、连接状态等。</w:t>
      </w:r>
    </w:p>
    <w:p>
      <w:pPr>
        <w:pStyle w:val="34"/>
      </w:pPr>
      <w:r>
        <w:rPr>
          <w:rFonts w:hint="eastAsia"/>
        </w:rPr>
        <w:t>5.关于本系统</w:t>
      </w:r>
    </w:p>
    <w:p>
      <w:pPr>
        <w:pStyle w:val="34"/>
      </w:pPr>
      <w:r>
        <w:rPr>
          <w:rFonts w:hint="eastAsia"/>
        </w:rPr>
        <w:t>　指出当前版权信息、可用内存和硬盘空间等一些信息。</w:t>
      </w:r>
    </w:p>
    <w:p>
      <w:pPr>
        <w:pStyle w:val="2"/>
      </w:pPr>
      <w:r>
        <w:rPr>
          <w:rFonts w:hint="eastAsia"/>
        </w:rPr>
        <w:t>特有功能</w:t>
      </w:r>
    </w:p>
    <w:p>
      <w:pPr>
        <w:pStyle w:val="3"/>
      </w:pPr>
      <w:bookmarkStart w:id="58" w:name="_Toc90646178"/>
      <w:r>
        <w:rPr>
          <w:rFonts w:hint="eastAsia"/>
        </w:rPr>
        <w:t>数据纵览</w:t>
      </w:r>
      <w:bookmarkEnd w:id="58"/>
    </w:p>
    <w:p>
      <w:pPr>
        <w:pStyle w:val="34"/>
        <w:rPr>
          <w:kern w:val="0"/>
        </w:rPr>
      </w:pPr>
      <w:r>
        <w:rPr>
          <w:rFonts w:hint="eastAsia"/>
          <w:kern w:val="0"/>
        </w:rPr>
        <w:t>打开方式：软件主菜单——数据</w:t>
      </w:r>
      <w:r>
        <w:rPr>
          <w:kern w:val="0"/>
        </w:rPr>
        <w:fldChar w:fldCharType="begin"/>
      </w:r>
      <w:r>
        <w:rPr>
          <w:kern w:val="0"/>
        </w:rPr>
        <w:instrText xml:space="preserve"> INCLUDEPICTURE  "https://www.tdx.com.cn/products/helpfile/tdxw/chm/%E7%AC%AC%E4%BA%94%E7%AB%A0  %E6%B3%A8%E5%86%8C%E5%8F%8A%E6%B8%B8%E5%AE%A2%E7%99%BB%E9%99%86/5-1/0.5.png" \* MERGEFORMATINET </w:instrText>
      </w:r>
      <w:r>
        <w:rPr>
          <w:kern w:val="0"/>
        </w:rPr>
        <w:fldChar w:fldCharType="separate"/>
      </w:r>
      <w:r>
        <w:rPr>
          <w:kern w:val="0"/>
        </w:rPr>
        <w:fldChar w:fldCharType="begin"/>
      </w:r>
      <w:r>
        <w:rPr>
          <w:kern w:val="0"/>
        </w:rPr>
        <w:instrText xml:space="preserve"> INCLUDEPICTURE  "https://www.tdx.com.cn/products/helpfile/tdxw/chm/%E7%AC%AC%E4%BA%94%E7%AB%A0  %E6%B3%A8%E5%86%8C%E5%8F%8A%E6%B8%B8%E5%AE%A2%E7%99%BB%E9%99%86/5-1/0.5.png" \* MERGEFORMATINET </w:instrText>
      </w:r>
      <w:r>
        <w:rPr>
          <w:kern w:val="0"/>
        </w:rPr>
        <w:fldChar w:fldCharType="separate"/>
      </w:r>
      <w:r>
        <w:rPr>
          <w:kern w:val="0"/>
        </w:rPr>
        <w:fldChar w:fldCharType="begin"/>
      </w:r>
      <w:r>
        <w:rPr>
          <w:kern w:val="0"/>
        </w:rPr>
        <w:instrText xml:space="preserve"> INCLUDEPICTURE  "https://www.tdx.com.cn/products/helpfile/tdxw/chm/%E7%AC%AC%E4%BA%94%E7%AB%A0  %E6%B3%A8%E5%86%8C%E5%8F%8A%E6%B8%B8%E5%AE%A2%E7%99%BB%E9%99%86/5-1/0.5.png" \* MERGEFORMATINET </w:instrText>
      </w:r>
      <w:r>
        <w:rPr>
          <w:kern w:val="0"/>
        </w:rPr>
        <w:fldChar w:fldCharType="separate"/>
      </w:r>
      <w:r>
        <w:rPr>
          <w:kern w:val="0"/>
        </w:rPr>
        <w:fldChar w:fldCharType="begin"/>
      </w:r>
      <w:r>
        <w:rPr>
          <w:kern w:val="0"/>
        </w:rPr>
        <w:instrText xml:space="preserve"> INCLUDEPICTURE  "https://www.tdx.com.cn/products/helpfile/tdxw/chm/%E7%AC%AC%E4%BA%94%E7%AB%A0  %E6%B3%A8%E5%86%8C%E5%8F%8A%E6%B8%B8%E5%AE%A2%E7%99%BB%E9%99%86/5-1/0.5.png" \* MERGEFORMATINET </w:instrText>
      </w:r>
      <w:r>
        <w:rPr>
          <w:kern w:val="0"/>
        </w:rPr>
        <w:fldChar w:fldCharType="separate"/>
      </w:r>
      <w:r>
        <w:rPr>
          <w:kern w:val="0"/>
        </w:rPr>
        <w:drawing>
          <wp:inline distT="0" distB="0" distL="114300" distR="114300">
            <wp:extent cx="3028950" cy="247650"/>
            <wp:effectExtent l="0" t="0" r="0" b="0"/>
            <wp:docPr id="400" name="图片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图片 400"/>
                    <pic:cNvPicPr>
                      <a:picLocks noChangeAspect="1"/>
                    </pic:cNvPicPr>
                  </pic:nvPicPr>
                  <pic:blipFill>
                    <a:blip r:embed="rId752" r:link="rId753"/>
                    <a:stretch>
                      <a:fillRect/>
                    </a:stretch>
                  </pic:blipFill>
                  <pic:spPr>
                    <a:xfrm>
                      <a:off x="0" y="0"/>
                      <a:ext cx="3028950" cy="247650"/>
                    </a:xfrm>
                    <a:prstGeom prst="rect">
                      <a:avLst/>
                    </a:prstGeom>
                    <a:noFill/>
                    <a:ln>
                      <a:noFill/>
                    </a:ln>
                  </pic:spPr>
                </pic:pic>
              </a:graphicData>
            </a:graphic>
          </wp:inline>
        </w:drawing>
      </w:r>
      <w:r>
        <w:rPr>
          <w:kern w:val="0"/>
        </w:rPr>
        <w:fldChar w:fldCharType="end"/>
      </w:r>
      <w:r>
        <w:rPr>
          <w:kern w:val="0"/>
        </w:rPr>
        <w:fldChar w:fldCharType="end"/>
      </w:r>
      <w:r>
        <w:rPr>
          <w:kern w:val="0"/>
        </w:rPr>
        <w:fldChar w:fldCharType="end"/>
      </w:r>
      <w:r>
        <w:rPr>
          <w:kern w:val="0"/>
        </w:rPr>
        <w:fldChar w:fldCharType="end"/>
      </w:r>
    </w:p>
    <w:p>
      <w:pPr>
        <w:pStyle w:val="34"/>
        <w:rPr>
          <w:kern w:val="0"/>
        </w:rPr>
      </w:pPr>
      <w:r>
        <w:rPr>
          <w:rFonts w:hint="eastAsia"/>
          <w:kern w:val="0"/>
        </w:rPr>
        <w:t>通达信研究部力求为广大投资者打造专业的证券资讯，让投资者掌握一手投资信息 ，软件通过提供大量精选的资讯信息供投资者参考！ 数据主要来源于上市公司财报、交易所、统计局等公开信息。</w:t>
      </w:r>
    </w:p>
    <w:p>
      <w:pPr>
        <w:pStyle w:val="34"/>
        <w:rPr>
          <w:kern w:val="0"/>
        </w:rPr>
      </w:pPr>
      <w:r>
        <w:rPr>
          <w:rFonts w:hint="eastAsia"/>
          <w:kern w:val="0"/>
        </w:rPr>
        <w:t>通过投资日历、交易龙虎榜、大宗交易、高管持股变动、融资融券等数据，让投资者从整体上把握大势。</w:t>
      </w:r>
    </w:p>
    <w:tbl>
      <w:tblPr>
        <w:tblStyle w:val="25"/>
        <w:tblW w:w="13470" w:type="dxa"/>
        <w:tblCellSpacing w:w="0" w:type="dxa"/>
        <w:tblInd w:w="0" w:type="dxa"/>
        <w:tblBorders>
          <w:top w:val="outset" w:color="auto" w:sz="6" w:space="0"/>
          <w:left w:val="outset" w:color="auto" w:sz="6" w:space="0"/>
          <w:bottom w:val="outset" w:color="auto" w:sz="6" w:space="0"/>
          <w:right w:val="outset" w:color="auto" w:sz="6" w:space="0"/>
          <w:insideH w:val="none" w:color="auto" w:sz="0" w:space="0"/>
          <w:insideV w:val="none" w:color="auto" w:sz="0" w:space="0"/>
        </w:tblBorders>
        <w:tblLayout w:type="autofit"/>
        <w:tblCellMar>
          <w:top w:w="0" w:type="dxa"/>
          <w:left w:w="0" w:type="dxa"/>
          <w:bottom w:w="0" w:type="dxa"/>
          <w:right w:w="0" w:type="dxa"/>
        </w:tblCellMar>
      </w:tblPr>
      <w:tblGrid>
        <w:gridCol w:w="2000"/>
        <w:gridCol w:w="2693"/>
        <w:gridCol w:w="8777"/>
      </w:tblGrid>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000"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一级栏目</w:t>
            </w:r>
          </w:p>
        </w:tc>
        <w:tc>
          <w:tcPr>
            <w:tcW w:w="2693"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二级栏目</w:t>
            </w:r>
          </w:p>
        </w:tc>
        <w:tc>
          <w:tcPr>
            <w:tcW w:w="8777"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涉及内容</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000" w:type="dxa"/>
            <w:vMerge w:val="restart"/>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投资日历</w:t>
            </w:r>
          </w:p>
        </w:tc>
        <w:tc>
          <w:tcPr>
            <w:tcW w:w="2693"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股市日历</w:t>
            </w:r>
          </w:p>
        </w:tc>
        <w:tc>
          <w:tcPr>
            <w:tcW w:w="8777"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每日特别提示（首发新股、沪深停复牌、限售解禁）、分红融资（增发配股、分红转增）、股东大会、财报披露、涨跌停分析</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000" w:type="dxa"/>
            <w:vMerge w:val="continue"/>
            <w:tcBorders>
              <w:top w:val="outset" w:color="auto" w:sz="6" w:space="0"/>
              <w:left w:val="outset" w:color="auto" w:sz="6" w:space="0"/>
              <w:bottom w:val="outset" w:color="auto" w:sz="6" w:space="0"/>
              <w:right w:val="outset" w:color="auto" w:sz="6" w:space="0"/>
            </w:tcBorders>
            <w:vAlign w:val="center"/>
          </w:tcPr>
          <w:p>
            <w:pPr>
              <w:pStyle w:val="34"/>
              <w:rPr>
                <w:kern w:val="0"/>
              </w:rPr>
            </w:pPr>
          </w:p>
        </w:tc>
        <w:tc>
          <w:tcPr>
            <w:tcW w:w="2693"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财经日历</w:t>
            </w:r>
          </w:p>
        </w:tc>
        <w:tc>
          <w:tcPr>
            <w:tcW w:w="8777"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财经日历（国内财经、国际财经）、财经提示（国内财经提示、国际财经提示）</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000" w:type="dxa"/>
            <w:vMerge w:val="continue"/>
            <w:tcBorders>
              <w:top w:val="outset" w:color="auto" w:sz="6" w:space="0"/>
              <w:left w:val="outset" w:color="auto" w:sz="6" w:space="0"/>
              <w:bottom w:val="outset" w:color="auto" w:sz="6" w:space="0"/>
              <w:right w:val="outset" w:color="auto" w:sz="6" w:space="0"/>
            </w:tcBorders>
            <w:vAlign w:val="center"/>
          </w:tcPr>
          <w:p>
            <w:pPr>
              <w:pStyle w:val="34"/>
              <w:rPr>
                <w:kern w:val="0"/>
              </w:rPr>
            </w:pPr>
          </w:p>
        </w:tc>
        <w:tc>
          <w:tcPr>
            <w:tcW w:w="2693"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基金日历</w:t>
            </w:r>
          </w:p>
        </w:tc>
        <w:tc>
          <w:tcPr>
            <w:tcW w:w="8777"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基金申购赎回、基金发行、基金分红</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000" w:type="dxa"/>
            <w:vMerge w:val="continue"/>
            <w:tcBorders>
              <w:top w:val="outset" w:color="auto" w:sz="6" w:space="0"/>
              <w:left w:val="outset" w:color="auto" w:sz="6" w:space="0"/>
              <w:bottom w:val="outset" w:color="auto" w:sz="6" w:space="0"/>
              <w:right w:val="outset" w:color="auto" w:sz="6" w:space="0"/>
            </w:tcBorders>
            <w:vAlign w:val="center"/>
          </w:tcPr>
          <w:p>
            <w:pPr>
              <w:pStyle w:val="34"/>
              <w:rPr>
                <w:kern w:val="0"/>
              </w:rPr>
            </w:pPr>
          </w:p>
        </w:tc>
        <w:tc>
          <w:tcPr>
            <w:tcW w:w="2693"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期货日历</w:t>
            </w:r>
          </w:p>
        </w:tc>
        <w:tc>
          <w:tcPr>
            <w:tcW w:w="8777"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期货日历（大连期货交易所、上海期货交易所等）、期货提示（交易提示、交割提示、结算提示等）</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000" w:type="dxa"/>
            <w:vMerge w:val="restart"/>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新股中心</w:t>
            </w:r>
          </w:p>
        </w:tc>
        <w:tc>
          <w:tcPr>
            <w:tcW w:w="2693"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新股预告</w:t>
            </w:r>
          </w:p>
        </w:tc>
        <w:tc>
          <w:tcPr>
            <w:tcW w:w="8777"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新股发行与上市预告</w:t>
            </w:r>
          </w:p>
        </w:tc>
      </w:tr>
      <w:tr>
        <w:tblPrEx>
          <w:tblCellMar>
            <w:top w:w="0" w:type="dxa"/>
            <w:left w:w="0" w:type="dxa"/>
            <w:bottom w:w="0" w:type="dxa"/>
            <w:right w:w="0" w:type="dxa"/>
          </w:tblCellMar>
        </w:tblPrEx>
        <w:trPr>
          <w:tblCellSpacing w:w="0" w:type="dxa"/>
        </w:trPr>
        <w:tc>
          <w:tcPr>
            <w:tcW w:w="2000" w:type="dxa"/>
            <w:vMerge w:val="continue"/>
            <w:tcBorders>
              <w:top w:val="outset" w:color="auto" w:sz="6" w:space="0"/>
              <w:left w:val="outset" w:color="auto" w:sz="6" w:space="0"/>
              <w:bottom w:val="outset" w:color="auto" w:sz="6" w:space="0"/>
              <w:right w:val="outset" w:color="auto" w:sz="6" w:space="0"/>
            </w:tcBorders>
            <w:vAlign w:val="center"/>
          </w:tcPr>
          <w:p>
            <w:pPr>
              <w:pStyle w:val="34"/>
              <w:rPr>
                <w:kern w:val="0"/>
              </w:rPr>
            </w:pPr>
          </w:p>
        </w:tc>
        <w:tc>
          <w:tcPr>
            <w:tcW w:w="2693"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新股日历</w:t>
            </w:r>
          </w:p>
        </w:tc>
        <w:tc>
          <w:tcPr>
            <w:tcW w:w="8777"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新股申购日历</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000" w:type="dxa"/>
            <w:vMerge w:val="continue"/>
            <w:tcBorders>
              <w:top w:val="outset" w:color="auto" w:sz="6" w:space="0"/>
              <w:left w:val="outset" w:color="auto" w:sz="6" w:space="0"/>
              <w:bottom w:val="outset" w:color="auto" w:sz="6" w:space="0"/>
              <w:right w:val="outset" w:color="auto" w:sz="6" w:space="0"/>
            </w:tcBorders>
            <w:vAlign w:val="center"/>
          </w:tcPr>
          <w:p>
            <w:pPr>
              <w:pStyle w:val="34"/>
              <w:rPr>
                <w:kern w:val="0"/>
              </w:rPr>
            </w:pPr>
          </w:p>
        </w:tc>
        <w:tc>
          <w:tcPr>
            <w:tcW w:w="2693"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新股申购</w:t>
            </w:r>
          </w:p>
        </w:tc>
        <w:tc>
          <w:tcPr>
            <w:tcW w:w="8777"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新股申购与中签查询</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000" w:type="dxa"/>
            <w:vMerge w:val="continue"/>
            <w:tcBorders>
              <w:top w:val="outset" w:color="auto" w:sz="6" w:space="0"/>
              <w:left w:val="outset" w:color="auto" w:sz="6" w:space="0"/>
              <w:bottom w:val="outset" w:color="auto" w:sz="6" w:space="0"/>
              <w:right w:val="outset" w:color="auto" w:sz="6" w:space="0"/>
            </w:tcBorders>
            <w:vAlign w:val="center"/>
          </w:tcPr>
          <w:p>
            <w:pPr>
              <w:pStyle w:val="34"/>
              <w:rPr>
                <w:kern w:val="0"/>
              </w:rPr>
            </w:pPr>
          </w:p>
        </w:tc>
        <w:tc>
          <w:tcPr>
            <w:tcW w:w="2693"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新股解析</w:t>
            </w:r>
          </w:p>
        </w:tc>
        <w:tc>
          <w:tcPr>
            <w:tcW w:w="8777"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新股数据解析、相关新股一览表</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000" w:type="dxa"/>
            <w:vMerge w:val="continue"/>
            <w:tcBorders>
              <w:top w:val="outset" w:color="auto" w:sz="6" w:space="0"/>
              <w:left w:val="outset" w:color="auto" w:sz="6" w:space="0"/>
              <w:bottom w:val="outset" w:color="auto" w:sz="6" w:space="0"/>
              <w:right w:val="outset" w:color="auto" w:sz="6" w:space="0"/>
            </w:tcBorders>
            <w:vAlign w:val="center"/>
          </w:tcPr>
          <w:p>
            <w:pPr>
              <w:pStyle w:val="34"/>
              <w:rPr>
                <w:kern w:val="0"/>
              </w:rPr>
            </w:pPr>
          </w:p>
        </w:tc>
        <w:tc>
          <w:tcPr>
            <w:tcW w:w="2693"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新股募资</w:t>
            </w:r>
          </w:p>
        </w:tc>
        <w:tc>
          <w:tcPr>
            <w:tcW w:w="8777"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每周证监会核发家数与募资金额一览</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000" w:type="dxa"/>
            <w:vMerge w:val="continue"/>
            <w:tcBorders>
              <w:top w:val="outset" w:color="auto" w:sz="6" w:space="0"/>
              <w:left w:val="outset" w:color="auto" w:sz="6" w:space="0"/>
              <w:bottom w:val="outset" w:color="auto" w:sz="6" w:space="0"/>
              <w:right w:val="outset" w:color="auto" w:sz="6" w:space="0"/>
            </w:tcBorders>
            <w:vAlign w:val="center"/>
          </w:tcPr>
          <w:p>
            <w:pPr>
              <w:pStyle w:val="34"/>
              <w:rPr>
                <w:kern w:val="0"/>
              </w:rPr>
            </w:pPr>
          </w:p>
        </w:tc>
        <w:tc>
          <w:tcPr>
            <w:tcW w:w="2693"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新股收益</w:t>
            </w:r>
          </w:p>
        </w:tc>
        <w:tc>
          <w:tcPr>
            <w:tcW w:w="8777"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新股收益率一览</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000" w:type="dxa"/>
            <w:vMerge w:val="continue"/>
            <w:tcBorders>
              <w:top w:val="outset" w:color="auto" w:sz="6" w:space="0"/>
              <w:left w:val="outset" w:color="auto" w:sz="6" w:space="0"/>
              <w:bottom w:val="outset" w:color="auto" w:sz="6" w:space="0"/>
              <w:right w:val="outset" w:color="auto" w:sz="6" w:space="0"/>
            </w:tcBorders>
            <w:vAlign w:val="center"/>
          </w:tcPr>
          <w:p>
            <w:pPr>
              <w:pStyle w:val="34"/>
              <w:rPr>
                <w:kern w:val="0"/>
              </w:rPr>
            </w:pPr>
          </w:p>
        </w:tc>
        <w:tc>
          <w:tcPr>
            <w:tcW w:w="2693"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新股上会</w:t>
            </w:r>
          </w:p>
        </w:tc>
        <w:tc>
          <w:tcPr>
            <w:tcW w:w="8777"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新股上会情况筛选、新股上会情况一览表</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000" w:type="dxa"/>
            <w:vMerge w:val="continue"/>
            <w:tcBorders>
              <w:top w:val="outset" w:color="auto" w:sz="6" w:space="0"/>
              <w:left w:val="outset" w:color="auto" w:sz="6" w:space="0"/>
              <w:bottom w:val="outset" w:color="auto" w:sz="6" w:space="0"/>
              <w:right w:val="outset" w:color="auto" w:sz="6" w:space="0"/>
            </w:tcBorders>
            <w:vAlign w:val="center"/>
          </w:tcPr>
          <w:p>
            <w:pPr>
              <w:pStyle w:val="34"/>
              <w:rPr>
                <w:kern w:val="0"/>
              </w:rPr>
            </w:pPr>
          </w:p>
        </w:tc>
        <w:tc>
          <w:tcPr>
            <w:tcW w:w="2693"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IPO申报</w:t>
            </w:r>
          </w:p>
        </w:tc>
        <w:tc>
          <w:tcPr>
            <w:tcW w:w="8777"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首发申报企业信息筛选、首发申报企业信息一览表</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000" w:type="dxa"/>
            <w:vMerge w:val="continue"/>
            <w:tcBorders>
              <w:top w:val="outset" w:color="auto" w:sz="6" w:space="0"/>
              <w:left w:val="outset" w:color="auto" w:sz="6" w:space="0"/>
              <w:bottom w:val="outset" w:color="auto" w:sz="6" w:space="0"/>
              <w:right w:val="outset" w:color="auto" w:sz="6" w:space="0"/>
            </w:tcBorders>
            <w:vAlign w:val="center"/>
          </w:tcPr>
          <w:p>
            <w:pPr>
              <w:pStyle w:val="34"/>
              <w:rPr>
                <w:kern w:val="0"/>
              </w:rPr>
            </w:pPr>
          </w:p>
        </w:tc>
        <w:tc>
          <w:tcPr>
            <w:tcW w:w="2693"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可转债</w:t>
            </w:r>
          </w:p>
        </w:tc>
        <w:tc>
          <w:tcPr>
            <w:tcW w:w="8777"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可转债股票一览</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000" w:type="dxa"/>
            <w:vMerge w:val="restart"/>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龙虎榜单</w:t>
            </w:r>
          </w:p>
        </w:tc>
        <w:tc>
          <w:tcPr>
            <w:tcW w:w="2693"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龙虎榜个股</w:t>
            </w:r>
          </w:p>
        </w:tc>
        <w:tc>
          <w:tcPr>
            <w:tcW w:w="8777"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龙虎榜上榜个股明细（全部、沪市、深市、科创板、创业板）</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000" w:type="dxa"/>
            <w:vMerge w:val="continue"/>
            <w:tcBorders>
              <w:top w:val="outset" w:color="auto" w:sz="6" w:space="0"/>
              <w:left w:val="outset" w:color="auto" w:sz="6" w:space="0"/>
              <w:bottom w:val="outset" w:color="auto" w:sz="6" w:space="0"/>
              <w:right w:val="outset" w:color="auto" w:sz="6" w:space="0"/>
            </w:tcBorders>
            <w:vAlign w:val="center"/>
          </w:tcPr>
          <w:p>
            <w:pPr>
              <w:pStyle w:val="34"/>
              <w:rPr>
                <w:kern w:val="0"/>
              </w:rPr>
            </w:pPr>
          </w:p>
        </w:tc>
        <w:tc>
          <w:tcPr>
            <w:tcW w:w="2693"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席位活跃度分析</w:t>
            </w:r>
          </w:p>
        </w:tc>
        <w:tc>
          <w:tcPr>
            <w:tcW w:w="8777"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按区间（一个月、三个月、六个月、一年）统计各席位的活跃程度</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000" w:type="dxa"/>
            <w:vMerge w:val="continue"/>
            <w:tcBorders>
              <w:top w:val="outset" w:color="auto" w:sz="6" w:space="0"/>
              <w:left w:val="outset" w:color="auto" w:sz="6" w:space="0"/>
              <w:bottom w:val="outset" w:color="auto" w:sz="6" w:space="0"/>
              <w:right w:val="outset" w:color="auto" w:sz="6" w:space="0"/>
            </w:tcBorders>
            <w:vAlign w:val="center"/>
          </w:tcPr>
          <w:p>
            <w:pPr>
              <w:pStyle w:val="34"/>
              <w:rPr>
                <w:kern w:val="0"/>
              </w:rPr>
            </w:pPr>
          </w:p>
        </w:tc>
        <w:tc>
          <w:tcPr>
            <w:tcW w:w="2693"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股票活跃度分析</w:t>
            </w:r>
          </w:p>
        </w:tc>
        <w:tc>
          <w:tcPr>
            <w:tcW w:w="8777"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按区间（一个月、三个月、六个月、一年）统计各股票的上榜情况</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000" w:type="dxa"/>
            <w:vMerge w:val="continue"/>
            <w:tcBorders>
              <w:top w:val="outset" w:color="auto" w:sz="6" w:space="0"/>
              <w:left w:val="outset" w:color="auto" w:sz="6" w:space="0"/>
              <w:bottom w:val="outset" w:color="auto" w:sz="6" w:space="0"/>
              <w:right w:val="outset" w:color="auto" w:sz="6" w:space="0"/>
            </w:tcBorders>
            <w:vAlign w:val="center"/>
          </w:tcPr>
          <w:p>
            <w:pPr>
              <w:pStyle w:val="34"/>
              <w:rPr>
                <w:kern w:val="0"/>
              </w:rPr>
            </w:pPr>
          </w:p>
        </w:tc>
        <w:tc>
          <w:tcPr>
            <w:tcW w:w="2693"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机构席位追踪</w:t>
            </w:r>
          </w:p>
        </w:tc>
        <w:tc>
          <w:tcPr>
            <w:tcW w:w="8777"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按区间（一个月、三个月、六个月、一年）统计各机构席位的上榜情况</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000" w:type="dxa"/>
            <w:vMerge w:val="restart"/>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融资融券</w:t>
            </w:r>
          </w:p>
        </w:tc>
        <w:tc>
          <w:tcPr>
            <w:tcW w:w="2693"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融资融券个股</w:t>
            </w:r>
          </w:p>
        </w:tc>
        <w:tc>
          <w:tcPr>
            <w:tcW w:w="8777"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融资融券个股查询</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000" w:type="dxa"/>
            <w:vMerge w:val="continue"/>
            <w:tcBorders>
              <w:top w:val="outset" w:color="auto" w:sz="6" w:space="0"/>
              <w:left w:val="outset" w:color="auto" w:sz="6" w:space="0"/>
              <w:bottom w:val="outset" w:color="auto" w:sz="6" w:space="0"/>
              <w:right w:val="outset" w:color="auto" w:sz="6" w:space="0"/>
            </w:tcBorders>
            <w:vAlign w:val="center"/>
          </w:tcPr>
          <w:p>
            <w:pPr>
              <w:pStyle w:val="34"/>
              <w:rPr>
                <w:kern w:val="0"/>
              </w:rPr>
            </w:pPr>
          </w:p>
        </w:tc>
        <w:tc>
          <w:tcPr>
            <w:tcW w:w="2693"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融资融券行业分布</w:t>
            </w:r>
          </w:p>
        </w:tc>
        <w:tc>
          <w:tcPr>
            <w:tcW w:w="8777"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融资融券行业交易图、融资融券行业交易数据</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000" w:type="dxa"/>
            <w:vMerge w:val="continue"/>
            <w:tcBorders>
              <w:top w:val="outset" w:color="auto" w:sz="6" w:space="0"/>
              <w:left w:val="outset" w:color="auto" w:sz="6" w:space="0"/>
              <w:bottom w:val="outset" w:color="auto" w:sz="6" w:space="0"/>
              <w:right w:val="outset" w:color="auto" w:sz="6" w:space="0"/>
            </w:tcBorders>
            <w:vAlign w:val="center"/>
          </w:tcPr>
          <w:p>
            <w:pPr>
              <w:pStyle w:val="34"/>
              <w:rPr>
                <w:kern w:val="0"/>
              </w:rPr>
            </w:pPr>
          </w:p>
        </w:tc>
        <w:tc>
          <w:tcPr>
            <w:tcW w:w="2693"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融资融券市场统计</w:t>
            </w:r>
          </w:p>
        </w:tc>
        <w:tc>
          <w:tcPr>
            <w:tcW w:w="8777"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沪深融资融券市场交易统计图、沪深融资融券市场交易统计数据</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000" w:type="dxa"/>
            <w:vMerge w:val="restart"/>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增持减持</w:t>
            </w:r>
          </w:p>
        </w:tc>
        <w:tc>
          <w:tcPr>
            <w:tcW w:w="2693"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重要股东持股变动</w:t>
            </w:r>
          </w:p>
        </w:tc>
        <w:tc>
          <w:tcPr>
            <w:tcW w:w="8777"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重要股东持股变动图（按股份金额、按股份数量）、重要股东持股变动列表</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000" w:type="dxa"/>
            <w:vMerge w:val="continue"/>
            <w:tcBorders>
              <w:top w:val="outset" w:color="auto" w:sz="6" w:space="0"/>
              <w:left w:val="outset" w:color="auto" w:sz="6" w:space="0"/>
              <w:bottom w:val="outset" w:color="auto" w:sz="6" w:space="0"/>
              <w:right w:val="outset" w:color="auto" w:sz="6" w:space="0"/>
            </w:tcBorders>
            <w:vAlign w:val="center"/>
          </w:tcPr>
          <w:p>
            <w:pPr>
              <w:pStyle w:val="34"/>
              <w:rPr>
                <w:kern w:val="0"/>
              </w:rPr>
            </w:pPr>
          </w:p>
        </w:tc>
        <w:tc>
          <w:tcPr>
            <w:tcW w:w="2693"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重要股东净增持</w:t>
            </w:r>
          </w:p>
        </w:tc>
        <w:tc>
          <w:tcPr>
            <w:tcW w:w="8777"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重要股东净增持排行榜（一个月、三个月、半年、一年）、个股重要股东持股变动明细</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000" w:type="dxa"/>
            <w:vMerge w:val="continue"/>
            <w:tcBorders>
              <w:top w:val="outset" w:color="auto" w:sz="6" w:space="0"/>
              <w:left w:val="outset" w:color="auto" w:sz="6" w:space="0"/>
              <w:bottom w:val="outset" w:color="auto" w:sz="6" w:space="0"/>
              <w:right w:val="outset" w:color="auto" w:sz="6" w:space="0"/>
            </w:tcBorders>
            <w:vAlign w:val="center"/>
          </w:tcPr>
          <w:p>
            <w:pPr>
              <w:pStyle w:val="34"/>
              <w:rPr>
                <w:kern w:val="0"/>
              </w:rPr>
            </w:pPr>
          </w:p>
        </w:tc>
        <w:tc>
          <w:tcPr>
            <w:tcW w:w="2693"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重要股东净减持</w:t>
            </w:r>
          </w:p>
        </w:tc>
        <w:tc>
          <w:tcPr>
            <w:tcW w:w="8777"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重要股东净减持排行榜（一个月、三个月、半年、一年）、个股重要股东持股变动明细</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000" w:type="dxa"/>
            <w:vMerge w:val="continue"/>
            <w:tcBorders>
              <w:top w:val="outset" w:color="auto" w:sz="6" w:space="0"/>
              <w:left w:val="outset" w:color="auto" w:sz="6" w:space="0"/>
              <w:bottom w:val="outset" w:color="auto" w:sz="6" w:space="0"/>
              <w:right w:val="outset" w:color="auto" w:sz="6" w:space="0"/>
            </w:tcBorders>
            <w:vAlign w:val="center"/>
          </w:tcPr>
          <w:p>
            <w:pPr>
              <w:pStyle w:val="34"/>
              <w:rPr>
                <w:kern w:val="0"/>
              </w:rPr>
            </w:pPr>
          </w:p>
        </w:tc>
        <w:tc>
          <w:tcPr>
            <w:tcW w:w="2693"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大小非解禁个股</w:t>
            </w:r>
          </w:p>
        </w:tc>
        <w:tc>
          <w:tcPr>
            <w:tcW w:w="8777"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大小非解禁个股查询、个股解禁明细</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000" w:type="dxa"/>
            <w:vMerge w:val="continue"/>
            <w:tcBorders>
              <w:top w:val="outset" w:color="auto" w:sz="6" w:space="0"/>
              <w:left w:val="outset" w:color="auto" w:sz="6" w:space="0"/>
              <w:bottom w:val="outset" w:color="auto" w:sz="6" w:space="0"/>
              <w:right w:val="outset" w:color="auto" w:sz="6" w:space="0"/>
            </w:tcBorders>
            <w:vAlign w:val="center"/>
          </w:tcPr>
          <w:p>
            <w:pPr>
              <w:pStyle w:val="34"/>
              <w:rPr>
                <w:kern w:val="0"/>
              </w:rPr>
            </w:pPr>
          </w:p>
        </w:tc>
        <w:tc>
          <w:tcPr>
            <w:tcW w:w="2693"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大小非解禁行业</w:t>
            </w:r>
          </w:p>
        </w:tc>
        <w:tc>
          <w:tcPr>
            <w:tcW w:w="8777"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大小非解禁行业统计图、大小非解禁行业统计数据</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000" w:type="dxa"/>
            <w:vMerge w:val="continue"/>
            <w:tcBorders>
              <w:top w:val="outset" w:color="auto" w:sz="6" w:space="0"/>
              <w:left w:val="outset" w:color="auto" w:sz="6" w:space="0"/>
              <w:bottom w:val="outset" w:color="auto" w:sz="6" w:space="0"/>
              <w:right w:val="outset" w:color="auto" w:sz="6" w:space="0"/>
            </w:tcBorders>
            <w:vAlign w:val="center"/>
          </w:tcPr>
          <w:p>
            <w:pPr>
              <w:pStyle w:val="34"/>
              <w:rPr>
                <w:kern w:val="0"/>
              </w:rPr>
            </w:pPr>
          </w:p>
        </w:tc>
        <w:tc>
          <w:tcPr>
            <w:tcW w:w="2693"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大小非解禁市场</w:t>
            </w:r>
          </w:p>
        </w:tc>
        <w:tc>
          <w:tcPr>
            <w:tcW w:w="8777"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大小非解禁市场统计（沪深市场、科创板、创业板）、近两年大小非解禁明细</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000" w:type="dxa"/>
            <w:vMerge w:val="restart"/>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大宗交易</w:t>
            </w:r>
          </w:p>
        </w:tc>
        <w:tc>
          <w:tcPr>
            <w:tcW w:w="2693"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个股大宗交易</w:t>
            </w:r>
          </w:p>
        </w:tc>
        <w:tc>
          <w:tcPr>
            <w:tcW w:w="8777"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大宗交易个股查询</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000" w:type="dxa"/>
            <w:vMerge w:val="continue"/>
            <w:tcBorders>
              <w:top w:val="outset" w:color="auto" w:sz="6" w:space="0"/>
              <w:left w:val="outset" w:color="auto" w:sz="6" w:space="0"/>
              <w:bottom w:val="outset" w:color="auto" w:sz="6" w:space="0"/>
              <w:right w:val="outset" w:color="auto" w:sz="6" w:space="0"/>
            </w:tcBorders>
            <w:vAlign w:val="center"/>
          </w:tcPr>
          <w:p>
            <w:pPr>
              <w:pStyle w:val="34"/>
              <w:rPr>
                <w:kern w:val="0"/>
              </w:rPr>
            </w:pPr>
          </w:p>
        </w:tc>
        <w:tc>
          <w:tcPr>
            <w:tcW w:w="2693"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大宗交易行业分布</w:t>
            </w:r>
          </w:p>
        </w:tc>
        <w:tc>
          <w:tcPr>
            <w:tcW w:w="8777"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大宗交易行业统计图、大宗交易行业统计数据</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000" w:type="dxa"/>
            <w:vMerge w:val="continue"/>
            <w:tcBorders>
              <w:top w:val="outset" w:color="auto" w:sz="6" w:space="0"/>
              <w:left w:val="outset" w:color="auto" w:sz="6" w:space="0"/>
              <w:bottom w:val="outset" w:color="auto" w:sz="6" w:space="0"/>
              <w:right w:val="outset" w:color="auto" w:sz="6" w:space="0"/>
            </w:tcBorders>
            <w:vAlign w:val="center"/>
          </w:tcPr>
          <w:p>
            <w:pPr>
              <w:pStyle w:val="34"/>
              <w:rPr>
                <w:kern w:val="0"/>
              </w:rPr>
            </w:pPr>
          </w:p>
        </w:tc>
        <w:tc>
          <w:tcPr>
            <w:tcW w:w="2693"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大盘大宗交易统计</w:t>
            </w:r>
          </w:p>
        </w:tc>
        <w:tc>
          <w:tcPr>
            <w:tcW w:w="8777"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大宗交易近十二个月统计数据</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000" w:type="dxa"/>
            <w:vMerge w:val="restart"/>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增发送配</w:t>
            </w:r>
          </w:p>
        </w:tc>
        <w:tc>
          <w:tcPr>
            <w:tcW w:w="2693"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分红送转</w:t>
            </w:r>
          </w:p>
        </w:tc>
        <w:tc>
          <w:tcPr>
            <w:tcW w:w="8777"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各报告期送转股及派息数据一览</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000" w:type="dxa"/>
            <w:vMerge w:val="continue"/>
            <w:tcBorders>
              <w:top w:val="outset" w:color="auto" w:sz="6" w:space="0"/>
              <w:left w:val="outset" w:color="auto" w:sz="6" w:space="0"/>
              <w:bottom w:val="outset" w:color="auto" w:sz="6" w:space="0"/>
              <w:right w:val="outset" w:color="auto" w:sz="6" w:space="0"/>
            </w:tcBorders>
            <w:vAlign w:val="center"/>
          </w:tcPr>
          <w:p>
            <w:pPr>
              <w:pStyle w:val="34"/>
              <w:rPr>
                <w:kern w:val="0"/>
              </w:rPr>
            </w:pPr>
          </w:p>
        </w:tc>
        <w:tc>
          <w:tcPr>
            <w:tcW w:w="2693"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增发</w:t>
            </w:r>
          </w:p>
        </w:tc>
        <w:tc>
          <w:tcPr>
            <w:tcW w:w="8777"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公司增发一览（全部增发、定向增发、公开增发）</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000" w:type="dxa"/>
            <w:vMerge w:val="continue"/>
            <w:tcBorders>
              <w:top w:val="outset" w:color="auto" w:sz="6" w:space="0"/>
              <w:left w:val="outset" w:color="auto" w:sz="6" w:space="0"/>
              <w:bottom w:val="outset" w:color="auto" w:sz="6" w:space="0"/>
              <w:right w:val="outset" w:color="auto" w:sz="6" w:space="0"/>
            </w:tcBorders>
            <w:vAlign w:val="center"/>
          </w:tcPr>
          <w:p>
            <w:pPr>
              <w:pStyle w:val="34"/>
              <w:rPr>
                <w:kern w:val="0"/>
              </w:rPr>
            </w:pPr>
          </w:p>
        </w:tc>
        <w:tc>
          <w:tcPr>
            <w:tcW w:w="2693"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配股</w:t>
            </w:r>
          </w:p>
        </w:tc>
        <w:tc>
          <w:tcPr>
            <w:tcW w:w="8777"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公司配股一览</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000" w:type="dxa"/>
            <w:vMerge w:val="restart"/>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财报数据</w:t>
            </w:r>
          </w:p>
        </w:tc>
        <w:tc>
          <w:tcPr>
            <w:tcW w:w="2693"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业绩预告</w:t>
            </w:r>
          </w:p>
        </w:tc>
        <w:tc>
          <w:tcPr>
            <w:tcW w:w="8777"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业绩大幅上升、业绩大幅下降、业绩预增、业绩预降、业绩预盈、业绩预亏等业绩类型预告</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000" w:type="dxa"/>
            <w:vMerge w:val="continue"/>
            <w:tcBorders>
              <w:top w:val="outset" w:color="auto" w:sz="6" w:space="0"/>
              <w:left w:val="outset" w:color="auto" w:sz="6" w:space="0"/>
              <w:bottom w:val="outset" w:color="auto" w:sz="6" w:space="0"/>
              <w:right w:val="outset" w:color="auto" w:sz="6" w:space="0"/>
            </w:tcBorders>
            <w:vAlign w:val="center"/>
          </w:tcPr>
          <w:p>
            <w:pPr>
              <w:pStyle w:val="34"/>
              <w:rPr>
                <w:kern w:val="0"/>
              </w:rPr>
            </w:pPr>
          </w:p>
        </w:tc>
        <w:tc>
          <w:tcPr>
            <w:tcW w:w="2693"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业绩快报</w:t>
            </w:r>
          </w:p>
        </w:tc>
        <w:tc>
          <w:tcPr>
            <w:tcW w:w="8777"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业绩快报</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000" w:type="dxa"/>
            <w:vMerge w:val="continue"/>
            <w:tcBorders>
              <w:top w:val="outset" w:color="auto" w:sz="6" w:space="0"/>
              <w:left w:val="outset" w:color="auto" w:sz="6" w:space="0"/>
              <w:bottom w:val="outset" w:color="auto" w:sz="6" w:space="0"/>
              <w:right w:val="outset" w:color="auto" w:sz="6" w:space="0"/>
            </w:tcBorders>
            <w:vAlign w:val="center"/>
          </w:tcPr>
          <w:p>
            <w:pPr>
              <w:pStyle w:val="34"/>
              <w:rPr>
                <w:kern w:val="0"/>
              </w:rPr>
            </w:pPr>
          </w:p>
        </w:tc>
        <w:tc>
          <w:tcPr>
            <w:tcW w:w="2693"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业绩披露时间</w:t>
            </w:r>
          </w:p>
        </w:tc>
        <w:tc>
          <w:tcPr>
            <w:tcW w:w="8777"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预约披露时间表、沪市预约时间表、深市预约时间表</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000" w:type="dxa"/>
            <w:vMerge w:val="continue"/>
            <w:tcBorders>
              <w:top w:val="outset" w:color="auto" w:sz="6" w:space="0"/>
              <w:left w:val="outset" w:color="auto" w:sz="6" w:space="0"/>
              <w:bottom w:val="outset" w:color="auto" w:sz="6" w:space="0"/>
              <w:right w:val="outset" w:color="auto" w:sz="6" w:space="0"/>
            </w:tcBorders>
            <w:vAlign w:val="center"/>
          </w:tcPr>
          <w:p>
            <w:pPr>
              <w:pStyle w:val="34"/>
              <w:rPr>
                <w:kern w:val="0"/>
              </w:rPr>
            </w:pPr>
          </w:p>
        </w:tc>
        <w:tc>
          <w:tcPr>
            <w:tcW w:w="2693"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业绩报告</w:t>
            </w:r>
          </w:p>
        </w:tc>
        <w:tc>
          <w:tcPr>
            <w:tcW w:w="8777"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展示营收、净利润等基本财务数据</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000" w:type="dxa"/>
            <w:vMerge w:val="continue"/>
            <w:tcBorders>
              <w:top w:val="outset" w:color="auto" w:sz="6" w:space="0"/>
              <w:left w:val="outset" w:color="auto" w:sz="6" w:space="0"/>
              <w:bottom w:val="outset" w:color="auto" w:sz="6" w:space="0"/>
              <w:right w:val="outset" w:color="auto" w:sz="6" w:space="0"/>
            </w:tcBorders>
            <w:vAlign w:val="center"/>
          </w:tcPr>
          <w:p>
            <w:pPr>
              <w:pStyle w:val="34"/>
              <w:rPr>
                <w:kern w:val="0"/>
              </w:rPr>
            </w:pPr>
          </w:p>
        </w:tc>
        <w:tc>
          <w:tcPr>
            <w:tcW w:w="2693"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股东户数</w:t>
            </w:r>
          </w:p>
        </w:tc>
        <w:tc>
          <w:tcPr>
            <w:tcW w:w="8777"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股东户数（全部、沪市、深市、科创板、创业板）</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000" w:type="dxa"/>
            <w:vMerge w:val="restart"/>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价值分析</w:t>
            </w:r>
          </w:p>
        </w:tc>
        <w:tc>
          <w:tcPr>
            <w:tcW w:w="2693"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个股投资评级</w:t>
            </w:r>
          </w:p>
        </w:tc>
        <w:tc>
          <w:tcPr>
            <w:tcW w:w="8777"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研究分析机构对个股最近一年的评级与盈利预测明细</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000" w:type="dxa"/>
            <w:vMerge w:val="continue"/>
            <w:tcBorders>
              <w:top w:val="outset" w:color="auto" w:sz="6" w:space="0"/>
              <w:left w:val="outset" w:color="auto" w:sz="6" w:space="0"/>
              <w:bottom w:val="outset" w:color="auto" w:sz="6" w:space="0"/>
              <w:right w:val="outset" w:color="auto" w:sz="6" w:space="0"/>
            </w:tcBorders>
            <w:vAlign w:val="center"/>
          </w:tcPr>
          <w:p>
            <w:pPr>
              <w:pStyle w:val="34"/>
              <w:rPr>
                <w:kern w:val="0"/>
              </w:rPr>
            </w:pPr>
          </w:p>
        </w:tc>
        <w:tc>
          <w:tcPr>
            <w:tcW w:w="2693"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行业投资评级</w:t>
            </w:r>
          </w:p>
        </w:tc>
        <w:tc>
          <w:tcPr>
            <w:tcW w:w="8777"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研究分析机构对行业的最新评级与变动情况</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000" w:type="dxa"/>
            <w:vMerge w:val="continue"/>
            <w:tcBorders>
              <w:top w:val="outset" w:color="auto" w:sz="6" w:space="0"/>
              <w:left w:val="outset" w:color="auto" w:sz="6" w:space="0"/>
              <w:bottom w:val="outset" w:color="auto" w:sz="6" w:space="0"/>
              <w:right w:val="outset" w:color="auto" w:sz="6" w:space="0"/>
            </w:tcBorders>
            <w:vAlign w:val="center"/>
          </w:tcPr>
          <w:p>
            <w:pPr>
              <w:pStyle w:val="34"/>
              <w:rPr>
                <w:kern w:val="0"/>
              </w:rPr>
            </w:pPr>
          </w:p>
        </w:tc>
        <w:tc>
          <w:tcPr>
            <w:tcW w:w="2693"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跌破增发价</w:t>
            </w:r>
          </w:p>
        </w:tc>
        <w:tc>
          <w:tcPr>
            <w:tcW w:w="8777"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最近一年跌破增发价的个股</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000" w:type="dxa"/>
            <w:vMerge w:val="continue"/>
            <w:tcBorders>
              <w:top w:val="outset" w:color="auto" w:sz="6" w:space="0"/>
              <w:left w:val="outset" w:color="auto" w:sz="6" w:space="0"/>
              <w:bottom w:val="outset" w:color="auto" w:sz="6" w:space="0"/>
              <w:right w:val="outset" w:color="auto" w:sz="6" w:space="0"/>
            </w:tcBorders>
            <w:vAlign w:val="center"/>
          </w:tcPr>
          <w:p>
            <w:pPr>
              <w:pStyle w:val="34"/>
              <w:rPr>
                <w:kern w:val="0"/>
              </w:rPr>
            </w:pPr>
          </w:p>
        </w:tc>
        <w:tc>
          <w:tcPr>
            <w:tcW w:w="2693"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跌破净资产</w:t>
            </w:r>
          </w:p>
        </w:tc>
        <w:tc>
          <w:tcPr>
            <w:tcW w:w="8777"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最近一年跌破净资产的个股</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000" w:type="dxa"/>
            <w:vMerge w:val="continue"/>
            <w:tcBorders>
              <w:top w:val="outset" w:color="auto" w:sz="6" w:space="0"/>
              <w:left w:val="outset" w:color="auto" w:sz="6" w:space="0"/>
              <w:bottom w:val="outset" w:color="auto" w:sz="6" w:space="0"/>
              <w:right w:val="outset" w:color="auto" w:sz="6" w:space="0"/>
            </w:tcBorders>
            <w:vAlign w:val="center"/>
          </w:tcPr>
          <w:p>
            <w:pPr>
              <w:pStyle w:val="34"/>
              <w:rPr>
                <w:kern w:val="0"/>
              </w:rPr>
            </w:pPr>
          </w:p>
        </w:tc>
        <w:tc>
          <w:tcPr>
            <w:tcW w:w="2693"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高股息个股</w:t>
            </w:r>
          </w:p>
        </w:tc>
        <w:tc>
          <w:tcPr>
            <w:tcW w:w="8777"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最近一年已实施的累计派息高股息率前100名股票</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000" w:type="dxa"/>
            <w:vMerge w:val="continue"/>
            <w:tcBorders>
              <w:top w:val="outset" w:color="auto" w:sz="6" w:space="0"/>
              <w:left w:val="outset" w:color="auto" w:sz="6" w:space="0"/>
              <w:bottom w:val="outset" w:color="auto" w:sz="6" w:space="0"/>
              <w:right w:val="outset" w:color="auto" w:sz="6" w:space="0"/>
            </w:tcBorders>
            <w:vAlign w:val="center"/>
          </w:tcPr>
          <w:p>
            <w:pPr>
              <w:pStyle w:val="34"/>
              <w:rPr>
                <w:kern w:val="0"/>
              </w:rPr>
            </w:pPr>
          </w:p>
        </w:tc>
        <w:tc>
          <w:tcPr>
            <w:tcW w:w="2693"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跌破发行价</w:t>
            </w:r>
          </w:p>
        </w:tc>
        <w:tc>
          <w:tcPr>
            <w:tcW w:w="8777"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最近一年跌破发行价的个股</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000" w:type="dxa"/>
            <w:vMerge w:val="restart"/>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机构持股</w:t>
            </w:r>
          </w:p>
        </w:tc>
        <w:tc>
          <w:tcPr>
            <w:tcW w:w="2693"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全部</w:t>
            </w:r>
          </w:p>
        </w:tc>
        <w:tc>
          <w:tcPr>
            <w:tcW w:w="8777"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全部数据报表（重仓、增仓、减仓）</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000" w:type="dxa"/>
            <w:vMerge w:val="continue"/>
            <w:tcBorders>
              <w:top w:val="outset" w:color="auto" w:sz="6" w:space="0"/>
              <w:left w:val="outset" w:color="auto" w:sz="6" w:space="0"/>
              <w:bottom w:val="outset" w:color="auto" w:sz="6" w:space="0"/>
              <w:right w:val="outset" w:color="auto" w:sz="6" w:space="0"/>
            </w:tcBorders>
            <w:vAlign w:val="center"/>
          </w:tcPr>
          <w:p>
            <w:pPr>
              <w:pStyle w:val="34"/>
              <w:rPr>
                <w:kern w:val="0"/>
              </w:rPr>
            </w:pPr>
          </w:p>
        </w:tc>
        <w:tc>
          <w:tcPr>
            <w:tcW w:w="2693"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基金持股</w:t>
            </w:r>
          </w:p>
        </w:tc>
        <w:tc>
          <w:tcPr>
            <w:tcW w:w="8777"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基金重仓股数据报表（重仓、增仓、减仓）</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000" w:type="dxa"/>
            <w:vMerge w:val="continue"/>
            <w:tcBorders>
              <w:top w:val="outset" w:color="auto" w:sz="6" w:space="0"/>
              <w:left w:val="outset" w:color="auto" w:sz="6" w:space="0"/>
              <w:bottom w:val="outset" w:color="auto" w:sz="6" w:space="0"/>
              <w:right w:val="outset" w:color="auto" w:sz="6" w:space="0"/>
            </w:tcBorders>
            <w:vAlign w:val="center"/>
          </w:tcPr>
          <w:p>
            <w:pPr>
              <w:pStyle w:val="34"/>
              <w:rPr>
                <w:kern w:val="0"/>
              </w:rPr>
            </w:pPr>
          </w:p>
        </w:tc>
        <w:tc>
          <w:tcPr>
            <w:tcW w:w="2693"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保险持股</w:t>
            </w:r>
          </w:p>
        </w:tc>
        <w:tc>
          <w:tcPr>
            <w:tcW w:w="8777"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保险重仓股数据报表（重仓、增仓、减仓）</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000" w:type="dxa"/>
            <w:vMerge w:val="continue"/>
            <w:tcBorders>
              <w:top w:val="outset" w:color="auto" w:sz="6" w:space="0"/>
              <w:left w:val="outset" w:color="auto" w:sz="6" w:space="0"/>
              <w:bottom w:val="outset" w:color="auto" w:sz="6" w:space="0"/>
              <w:right w:val="outset" w:color="auto" w:sz="6" w:space="0"/>
            </w:tcBorders>
            <w:vAlign w:val="center"/>
          </w:tcPr>
          <w:p>
            <w:pPr>
              <w:pStyle w:val="34"/>
              <w:rPr>
                <w:kern w:val="0"/>
              </w:rPr>
            </w:pPr>
          </w:p>
        </w:tc>
        <w:tc>
          <w:tcPr>
            <w:tcW w:w="2693"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QFII持股</w:t>
            </w:r>
          </w:p>
        </w:tc>
        <w:tc>
          <w:tcPr>
            <w:tcW w:w="8777"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QFII重仓股数据报表（重仓、增仓、减仓）</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000" w:type="dxa"/>
            <w:vMerge w:val="continue"/>
            <w:tcBorders>
              <w:top w:val="outset" w:color="auto" w:sz="6" w:space="0"/>
              <w:left w:val="outset" w:color="auto" w:sz="6" w:space="0"/>
              <w:bottom w:val="outset" w:color="auto" w:sz="6" w:space="0"/>
              <w:right w:val="outset" w:color="auto" w:sz="6" w:space="0"/>
            </w:tcBorders>
            <w:vAlign w:val="center"/>
          </w:tcPr>
          <w:p>
            <w:pPr>
              <w:pStyle w:val="34"/>
              <w:rPr>
                <w:kern w:val="0"/>
              </w:rPr>
            </w:pPr>
          </w:p>
        </w:tc>
        <w:tc>
          <w:tcPr>
            <w:tcW w:w="2693"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社保持股</w:t>
            </w:r>
          </w:p>
        </w:tc>
        <w:tc>
          <w:tcPr>
            <w:tcW w:w="8777"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社保重仓股数据报表（重仓、增仓、减仓）</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000" w:type="dxa"/>
            <w:vMerge w:val="continue"/>
            <w:tcBorders>
              <w:top w:val="outset" w:color="auto" w:sz="6" w:space="0"/>
              <w:left w:val="outset" w:color="auto" w:sz="6" w:space="0"/>
              <w:bottom w:val="outset" w:color="auto" w:sz="6" w:space="0"/>
              <w:right w:val="outset" w:color="auto" w:sz="6" w:space="0"/>
            </w:tcBorders>
            <w:vAlign w:val="center"/>
          </w:tcPr>
          <w:p>
            <w:pPr>
              <w:pStyle w:val="34"/>
              <w:rPr>
                <w:kern w:val="0"/>
              </w:rPr>
            </w:pPr>
          </w:p>
        </w:tc>
        <w:tc>
          <w:tcPr>
            <w:tcW w:w="2693"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券商持股</w:t>
            </w:r>
          </w:p>
        </w:tc>
        <w:tc>
          <w:tcPr>
            <w:tcW w:w="8777"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券商重仓股数据报表（重仓、增仓、减仓）</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000" w:type="dxa"/>
            <w:vMerge w:val="continue"/>
            <w:tcBorders>
              <w:top w:val="outset" w:color="auto" w:sz="6" w:space="0"/>
              <w:left w:val="outset" w:color="auto" w:sz="6" w:space="0"/>
              <w:bottom w:val="outset" w:color="auto" w:sz="6" w:space="0"/>
              <w:right w:val="outset" w:color="auto" w:sz="6" w:space="0"/>
            </w:tcBorders>
            <w:vAlign w:val="center"/>
          </w:tcPr>
          <w:p>
            <w:pPr>
              <w:pStyle w:val="34"/>
              <w:rPr>
                <w:kern w:val="0"/>
              </w:rPr>
            </w:pPr>
          </w:p>
        </w:tc>
        <w:tc>
          <w:tcPr>
            <w:tcW w:w="2693"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私募持股</w:t>
            </w:r>
          </w:p>
        </w:tc>
        <w:tc>
          <w:tcPr>
            <w:tcW w:w="8777"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私募重仓股数据报表（重仓、增仓、减仓）</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000" w:type="dxa"/>
            <w:vMerge w:val="continue"/>
            <w:tcBorders>
              <w:top w:val="outset" w:color="auto" w:sz="6" w:space="0"/>
              <w:left w:val="outset" w:color="auto" w:sz="6" w:space="0"/>
              <w:bottom w:val="outset" w:color="auto" w:sz="6" w:space="0"/>
              <w:right w:val="outset" w:color="auto" w:sz="6" w:space="0"/>
            </w:tcBorders>
            <w:vAlign w:val="center"/>
          </w:tcPr>
          <w:p>
            <w:pPr>
              <w:pStyle w:val="34"/>
              <w:rPr>
                <w:kern w:val="0"/>
              </w:rPr>
            </w:pPr>
          </w:p>
        </w:tc>
        <w:tc>
          <w:tcPr>
            <w:tcW w:w="2693"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信托持股</w:t>
            </w:r>
          </w:p>
        </w:tc>
        <w:tc>
          <w:tcPr>
            <w:tcW w:w="8777"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信托重仓股数据报表（重仓、增仓、减仓）</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000" w:type="dxa"/>
            <w:vMerge w:val="continue"/>
            <w:tcBorders>
              <w:top w:val="outset" w:color="auto" w:sz="6" w:space="0"/>
              <w:left w:val="outset" w:color="auto" w:sz="6" w:space="0"/>
              <w:bottom w:val="outset" w:color="auto" w:sz="6" w:space="0"/>
              <w:right w:val="outset" w:color="auto" w:sz="6" w:space="0"/>
            </w:tcBorders>
            <w:vAlign w:val="center"/>
          </w:tcPr>
          <w:p>
            <w:pPr>
              <w:pStyle w:val="34"/>
              <w:rPr>
                <w:kern w:val="0"/>
              </w:rPr>
            </w:pPr>
          </w:p>
        </w:tc>
        <w:tc>
          <w:tcPr>
            <w:tcW w:w="2693"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财务公司持股</w:t>
            </w:r>
          </w:p>
        </w:tc>
        <w:tc>
          <w:tcPr>
            <w:tcW w:w="8777"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财务公司重仓股数据报表（重仓、增仓、减仓）</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000" w:type="dxa"/>
            <w:vMerge w:val="continue"/>
            <w:tcBorders>
              <w:top w:val="outset" w:color="auto" w:sz="6" w:space="0"/>
              <w:left w:val="outset" w:color="auto" w:sz="6" w:space="0"/>
              <w:bottom w:val="outset" w:color="auto" w:sz="6" w:space="0"/>
              <w:right w:val="outset" w:color="auto" w:sz="6" w:space="0"/>
            </w:tcBorders>
            <w:vAlign w:val="center"/>
          </w:tcPr>
          <w:p>
            <w:pPr>
              <w:pStyle w:val="34"/>
              <w:rPr>
                <w:kern w:val="0"/>
              </w:rPr>
            </w:pPr>
          </w:p>
        </w:tc>
        <w:tc>
          <w:tcPr>
            <w:tcW w:w="2693"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年金持股</w:t>
            </w:r>
          </w:p>
        </w:tc>
        <w:tc>
          <w:tcPr>
            <w:tcW w:w="8777"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年金重仓股数据报表（重仓、增仓、减仓）</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000" w:type="dxa"/>
            <w:vMerge w:val="continue"/>
            <w:tcBorders>
              <w:top w:val="outset" w:color="auto" w:sz="6" w:space="0"/>
              <w:left w:val="outset" w:color="auto" w:sz="6" w:space="0"/>
              <w:bottom w:val="outset" w:color="auto" w:sz="6" w:space="0"/>
              <w:right w:val="outset" w:color="auto" w:sz="6" w:space="0"/>
            </w:tcBorders>
            <w:vAlign w:val="center"/>
          </w:tcPr>
          <w:p>
            <w:pPr>
              <w:pStyle w:val="34"/>
              <w:rPr>
                <w:kern w:val="0"/>
              </w:rPr>
            </w:pPr>
          </w:p>
        </w:tc>
        <w:tc>
          <w:tcPr>
            <w:tcW w:w="2693"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银行持股</w:t>
            </w:r>
          </w:p>
        </w:tc>
        <w:tc>
          <w:tcPr>
            <w:tcW w:w="8777"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银行重仓股数据报表（重仓、增仓、减仓）</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000" w:type="dxa"/>
            <w:vMerge w:val="continue"/>
            <w:tcBorders>
              <w:top w:val="outset" w:color="auto" w:sz="6" w:space="0"/>
              <w:left w:val="outset" w:color="auto" w:sz="6" w:space="0"/>
              <w:bottom w:val="outset" w:color="auto" w:sz="6" w:space="0"/>
              <w:right w:val="outset" w:color="auto" w:sz="6" w:space="0"/>
            </w:tcBorders>
            <w:vAlign w:val="center"/>
          </w:tcPr>
          <w:p>
            <w:pPr>
              <w:pStyle w:val="34"/>
              <w:rPr>
                <w:kern w:val="0"/>
              </w:rPr>
            </w:pPr>
          </w:p>
        </w:tc>
        <w:tc>
          <w:tcPr>
            <w:tcW w:w="2693"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一般法人持股</w:t>
            </w:r>
          </w:p>
        </w:tc>
        <w:tc>
          <w:tcPr>
            <w:tcW w:w="8777"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一般法人重仓股数据报表（重仓、增仓、减仓）</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000" w:type="dxa"/>
            <w:vMerge w:val="restart"/>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调研互动</w:t>
            </w:r>
          </w:p>
        </w:tc>
        <w:tc>
          <w:tcPr>
            <w:tcW w:w="2693"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个股调研</w:t>
            </w:r>
          </w:p>
        </w:tc>
        <w:tc>
          <w:tcPr>
            <w:tcW w:w="8777"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研究分析机构对个股近半年被调研次数与涨跌幅的统计</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000" w:type="dxa"/>
            <w:vMerge w:val="continue"/>
            <w:tcBorders>
              <w:top w:val="outset" w:color="auto" w:sz="6" w:space="0"/>
              <w:left w:val="outset" w:color="auto" w:sz="6" w:space="0"/>
              <w:bottom w:val="outset" w:color="auto" w:sz="6" w:space="0"/>
              <w:right w:val="outset" w:color="auto" w:sz="6" w:space="0"/>
            </w:tcBorders>
            <w:vAlign w:val="center"/>
          </w:tcPr>
          <w:p>
            <w:pPr>
              <w:pStyle w:val="34"/>
              <w:rPr>
                <w:kern w:val="0"/>
              </w:rPr>
            </w:pPr>
          </w:p>
        </w:tc>
        <w:tc>
          <w:tcPr>
            <w:tcW w:w="2693"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行业调研</w:t>
            </w:r>
          </w:p>
        </w:tc>
        <w:tc>
          <w:tcPr>
            <w:tcW w:w="8777"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研究分析机构对行业近半年被调研次数与涨跌幅的统计</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000" w:type="dxa"/>
            <w:vMerge w:val="continue"/>
            <w:tcBorders>
              <w:top w:val="outset" w:color="auto" w:sz="6" w:space="0"/>
              <w:left w:val="outset" w:color="auto" w:sz="6" w:space="0"/>
              <w:bottom w:val="outset" w:color="auto" w:sz="6" w:space="0"/>
              <w:right w:val="outset" w:color="auto" w:sz="6" w:space="0"/>
            </w:tcBorders>
            <w:vAlign w:val="center"/>
          </w:tcPr>
          <w:p>
            <w:pPr>
              <w:pStyle w:val="34"/>
              <w:rPr>
                <w:kern w:val="0"/>
              </w:rPr>
            </w:pPr>
          </w:p>
        </w:tc>
        <w:tc>
          <w:tcPr>
            <w:tcW w:w="2693" w:type="dxa"/>
            <w:tcBorders>
              <w:top w:val="outset" w:color="auto" w:sz="6" w:space="0"/>
              <w:left w:val="outset" w:color="auto" w:sz="6" w:space="0"/>
              <w:bottom w:val="outset" w:color="auto" w:sz="6" w:space="0"/>
              <w:right w:val="outset" w:color="auto" w:sz="6" w:space="0"/>
            </w:tcBorders>
            <w:vAlign w:val="center"/>
          </w:tcPr>
          <w:p>
            <w:pPr>
              <w:pStyle w:val="34"/>
              <w:rPr>
                <w:kern w:val="0"/>
              </w:rPr>
            </w:pPr>
            <w:r>
              <w:rPr>
                <w:rFonts w:hint="eastAsia"/>
                <w:kern w:val="0"/>
              </w:rPr>
              <w:t>互动问答</w:t>
            </w:r>
          </w:p>
        </w:tc>
        <w:tc>
          <w:tcPr>
            <w:tcW w:w="8777"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个股近三月的互动问答统计与明细</w:t>
            </w:r>
          </w:p>
        </w:tc>
      </w:tr>
    </w:tbl>
    <w:p>
      <w:pPr>
        <w:pStyle w:val="34"/>
        <w:rPr>
          <w:vanish/>
          <w:kern w:val="0"/>
        </w:rPr>
      </w:pPr>
    </w:p>
    <w:tbl>
      <w:tblPr>
        <w:tblStyle w:val="25"/>
        <w:tblW w:w="13440" w:type="dxa"/>
        <w:tblCellSpacing w:w="0" w:type="dxa"/>
        <w:tblInd w:w="0" w:type="dxa"/>
        <w:tblBorders>
          <w:top w:val="outset" w:color="auto" w:sz="6" w:space="0"/>
          <w:left w:val="outset" w:color="auto" w:sz="6" w:space="0"/>
          <w:bottom w:val="outset" w:color="auto" w:sz="6" w:space="0"/>
          <w:right w:val="outset" w:color="auto" w:sz="6" w:space="0"/>
          <w:insideH w:val="none" w:color="auto" w:sz="0" w:space="0"/>
          <w:insideV w:val="none" w:color="auto" w:sz="0" w:space="0"/>
        </w:tblBorders>
        <w:tblLayout w:type="autofit"/>
        <w:tblCellMar>
          <w:top w:w="0" w:type="dxa"/>
          <w:left w:w="0" w:type="dxa"/>
          <w:bottom w:w="0" w:type="dxa"/>
          <w:right w:w="0" w:type="dxa"/>
        </w:tblCellMar>
      </w:tblPr>
      <w:tblGrid>
        <w:gridCol w:w="2000"/>
        <w:gridCol w:w="2410"/>
        <w:gridCol w:w="9030"/>
      </w:tblGrid>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000" w:type="dxa"/>
            <w:vMerge w:val="restart"/>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 </w:t>
            </w:r>
          </w:p>
          <w:p>
            <w:pPr>
              <w:pStyle w:val="34"/>
              <w:rPr>
                <w:kern w:val="0"/>
              </w:rPr>
            </w:pPr>
            <w:r>
              <w:rPr>
                <w:rFonts w:hint="eastAsia"/>
                <w:kern w:val="0"/>
              </w:rPr>
              <w:t>备查资料</w:t>
            </w:r>
          </w:p>
        </w:tc>
        <w:tc>
          <w:tcPr>
            <w:tcW w:w="2410"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公司更名</w:t>
            </w:r>
          </w:p>
        </w:tc>
        <w:tc>
          <w:tcPr>
            <w:tcW w:w="9030"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公司更名</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000" w:type="dxa"/>
            <w:vMerge w:val="continue"/>
            <w:tcBorders>
              <w:top w:val="outset" w:color="auto" w:sz="6" w:space="0"/>
              <w:left w:val="outset" w:color="auto" w:sz="6" w:space="0"/>
              <w:bottom w:val="outset" w:color="auto" w:sz="6" w:space="0"/>
              <w:right w:val="outset" w:color="auto" w:sz="6" w:space="0"/>
            </w:tcBorders>
            <w:vAlign w:val="center"/>
          </w:tcPr>
          <w:p>
            <w:pPr>
              <w:pStyle w:val="34"/>
              <w:rPr>
                <w:kern w:val="0"/>
              </w:rPr>
            </w:pPr>
          </w:p>
        </w:tc>
        <w:tc>
          <w:tcPr>
            <w:tcW w:w="2410"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股票更名</w:t>
            </w:r>
          </w:p>
        </w:tc>
        <w:tc>
          <w:tcPr>
            <w:tcW w:w="9030"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股票更名</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000" w:type="dxa"/>
            <w:vMerge w:val="continue"/>
            <w:tcBorders>
              <w:top w:val="outset" w:color="auto" w:sz="6" w:space="0"/>
              <w:left w:val="outset" w:color="auto" w:sz="6" w:space="0"/>
              <w:bottom w:val="outset" w:color="auto" w:sz="6" w:space="0"/>
              <w:right w:val="outset" w:color="auto" w:sz="6" w:space="0"/>
            </w:tcBorders>
            <w:vAlign w:val="center"/>
          </w:tcPr>
          <w:p>
            <w:pPr>
              <w:pStyle w:val="34"/>
              <w:rPr>
                <w:kern w:val="0"/>
              </w:rPr>
            </w:pPr>
          </w:p>
        </w:tc>
        <w:tc>
          <w:tcPr>
            <w:tcW w:w="2410"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实施ST</w:t>
            </w:r>
          </w:p>
        </w:tc>
        <w:tc>
          <w:tcPr>
            <w:tcW w:w="9030"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实施ST</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000" w:type="dxa"/>
            <w:vMerge w:val="continue"/>
            <w:tcBorders>
              <w:top w:val="outset" w:color="auto" w:sz="6" w:space="0"/>
              <w:left w:val="outset" w:color="auto" w:sz="6" w:space="0"/>
              <w:bottom w:val="outset" w:color="auto" w:sz="6" w:space="0"/>
              <w:right w:val="outset" w:color="auto" w:sz="6" w:space="0"/>
            </w:tcBorders>
            <w:vAlign w:val="center"/>
          </w:tcPr>
          <w:p>
            <w:pPr>
              <w:pStyle w:val="34"/>
              <w:rPr>
                <w:kern w:val="0"/>
              </w:rPr>
            </w:pPr>
          </w:p>
        </w:tc>
        <w:tc>
          <w:tcPr>
            <w:tcW w:w="2410"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撤销ST</w:t>
            </w:r>
          </w:p>
        </w:tc>
        <w:tc>
          <w:tcPr>
            <w:tcW w:w="9030"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撤销ST</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000" w:type="dxa"/>
            <w:vMerge w:val="continue"/>
            <w:tcBorders>
              <w:top w:val="outset" w:color="auto" w:sz="6" w:space="0"/>
              <w:left w:val="outset" w:color="auto" w:sz="6" w:space="0"/>
              <w:bottom w:val="outset" w:color="auto" w:sz="6" w:space="0"/>
              <w:right w:val="outset" w:color="auto" w:sz="6" w:space="0"/>
            </w:tcBorders>
            <w:vAlign w:val="center"/>
          </w:tcPr>
          <w:p>
            <w:pPr>
              <w:pStyle w:val="34"/>
              <w:rPr>
                <w:kern w:val="0"/>
              </w:rPr>
            </w:pPr>
          </w:p>
        </w:tc>
        <w:tc>
          <w:tcPr>
            <w:tcW w:w="2410"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重大事项</w:t>
            </w:r>
          </w:p>
        </w:tc>
        <w:tc>
          <w:tcPr>
            <w:tcW w:w="9030"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对外投资、担保、收购兼并、增发等事项简介</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000" w:type="dxa"/>
            <w:vMerge w:val="continue"/>
            <w:tcBorders>
              <w:top w:val="outset" w:color="auto" w:sz="6" w:space="0"/>
              <w:left w:val="outset" w:color="auto" w:sz="6" w:space="0"/>
              <w:bottom w:val="outset" w:color="auto" w:sz="6" w:space="0"/>
              <w:right w:val="outset" w:color="auto" w:sz="6" w:space="0"/>
            </w:tcBorders>
            <w:vAlign w:val="center"/>
          </w:tcPr>
          <w:p>
            <w:pPr>
              <w:pStyle w:val="34"/>
              <w:rPr>
                <w:kern w:val="0"/>
              </w:rPr>
            </w:pPr>
          </w:p>
        </w:tc>
        <w:tc>
          <w:tcPr>
            <w:tcW w:w="2410"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关联交易</w:t>
            </w:r>
          </w:p>
        </w:tc>
        <w:tc>
          <w:tcPr>
            <w:tcW w:w="9030"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关联交易事项简介</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000" w:type="dxa"/>
            <w:vMerge w:val="restart"/>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 </w:t>
            </w:r>
          </w:p>
          <w:p>
            <w:pPr>
              <w:pStyle w:val="34"/>
              <w:rPr>
                <w:kern w:val="0"/>
              </w:rPr>
            </w:pPr>
            <w:r>
              <w:rPr>
                <w:rFonts w:hint="eastAsia"/>
                <w:kern w:val="0"/>
              </w:rPr>
              <w:t>市场统计</w:t>
            </w:r>
          </w:p>
        </w:tc>
        <w:tc>
          <w:tcPr>
            <w:tcW w:w="2410"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市场总览</w:t>
            </w:r>
          </w:p>
        </w:tc>
        <w:tc>
          <w:tcPr>
            <w:tcW w:w="9030"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市场规模统计与发行统计（上交所、深交所）</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000" w:type="dxa"/>
            <w:vMerge w:val="continue"/>
            <w:tcBorders>
              <w:top w:val="outset" w:color="auto" w:sz="6" w:space="0"/>
              <w:left w:val="outset" w:color="auto" w:sz="6" w:space="0"/>
              <w:bottom w:val="outset" w:color="auto" w:sz="6" w:space="0"/>
              <w:right w:val="outset" w:color="auto" w:sz="6" w:space="0"/>
            </w:tcBorders>
            <w:vAlign w:val="center"/>
          </w:tcPr>
          <w:p>
            <w:pPr>
              <w:pStyle w:val="34"/>
              <w:rPr>
                <w:kern w:val="0"/>
              </w:rPr>
            </w:pPr>
          </w:p>
        </w:tc>
        <w:tc>
          <w:tcPr>
            <w:tcW w:w="2410"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市场回顾</w:t>
            </w:r>
          </w:p>
        </w:tc>
        <w:tc>
          <w:tcPr>
            <w:tcW w:w="9030"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最新交易日的重要指数涨跌、板块涨跌前十名、个股涨跌前十名</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000" w:type="dxa"/>
            <w:vMerge w:val="continue"/>
            <w:tcBorders>
              <w:top w:val="outset" w:color="auto" w:sz="6" w:space="0"/>
              <w:left w:val="outset" w:color="auto" w:sz="6" w:space="0"/>
              <w:bottom w:val="outset" w:color="auto" w:sz="6" w:space="0"/>
              <w:right w:val="outset" w:color="auto" w:sz="6" w:space="0"/>
            </w:tcBorders>
            <w:vAlign w:val="center"/>
          </w:tcPr>
          <w:p>
            <w:pPr>
              <w:pStyle w:val="34"/>
              <w:rPr>
                <w:kern w:val="0"/>
              </w:rPr>
            </w:pPr>
          </w:p>
        </w:tc>
        <w:tc>
          <w:tcPr>
            <w:tcW w:w="2410"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市场资金</w:t>
            </w:r>
          </w:p>
        </w:tc>
        <w:tc>
          <w:tcPr>
            <w:tcW w:w="9030"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融资融券、沪股通、ETF申赎与期货净持仓的资金流向统计</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000" w:type="dxa"/>
            <w:vMerge w:val="continue"/>
            <w:tcBorders>
              <w:top w:val="outset" w:color="auto" w:sz="6" w:space="0"/>
              <w:left w:val="outset" w:color="auto" w:sz="6" w:space="0"/>
              <w:bottom w:val="outset" w:color="auto" w:sz="6" w:space="0"/>
              <w:right w:val="outset" w:color="auto" w:sz="6" w:space="0"/>
            </w:tcBorders>
            <w:vAlign w:val="center"/>
          </w:tcPr>
          <w:p>
            <w:pPr>
              <w:pStyle w:val="34"/>
              <w:rPr>
                <w:kern w:val="0"/>
              </w:rPr>
            </w:pPr>
          </w:p>
        </w:tc>
        <w:tc>
          <w:tcPr>
            <w:tcW w:w="2410"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股票账户统计</w:t>
            </w:r>
          </w:p>
        </w:tc>
        <w:tc>
          <w:tcPr>
            <w:tcW w:w="9030"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各周A股投资者数量与A股账户统计</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000" w:type="dxa"/>
            <w:vMerge w:val="restart"/>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股指期货</w:t>
            </w:r>
          </w:p>
        </w:tc>
        <w:tc>
          <w:tcPr>
            <w:tcW w:w="2410"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成交持仓</w:t>
            </w:r>
          </w:p>
        </w:tc>
        <w:tc>
          <w:tcPr>
            <w:tcW w:w="9030"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合约会员成交持仓龙虎榜、成交持仓比例图</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000" w:type="dxa"/>
            <w:vMerge w:val="continue"/>
            <w:tcBorders>
              <w:top w:val="outset" w:color="auto" w:sz="6" w:space="0"/>
              <w:left w:val="outset" w:color="auto" w:sz="6" w:space="0"/>
              <w:bottom w:val="outset" w:color="auto" w:sz="6" w:space="0"/>
              <w:right w:val="outset" w:color="auto" w:sz="6" w:space="0"/>
            </w:tcBorders>
            <w:vAlign w:val="center"/>
          </w:tcPr>
          <w:p>
            <w:pPr>
              <w:pStyle w:val="34"/>
              <w:rPr>
                <w:kern w:val="0"/>
              </w:rPr>
            </w:pPr>
          </w:p>
        </w:tc>
        <w:tc>
          <w:tcPr>
            <w:tcW w:w="2410"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建仓过程</w:t>
            </w:r>
          </w:p>
        </w:tc>
        <w:tc>
          <w:tcPr>
            <w:tcW w:w="9030"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某机构在某合约上的建仓过程（图、表）</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000" w:type="dxa"/>
            <w:vMerge w:val="continue"/>
            <w:tcBorders>
              <w:top w:val="outset" w:color="auto" w:sz="6" w:space="0"/>
              <w:left w:val="outset" w:color="auto" w:sz="6" w:space="0"/>
              <w:bottom w:val="outset" w:color="auto" w:sz="6" w:space="0"/>
              <w:right w:val="outset" w:color="auto" w:sz="6" w:space="0"/>
            </w:tcBorders>
            <w:vAlign w:val="center"/>
          </w:tcPr>
          <w:p>
            <w:pPr>
              <w:pStyle w:val="34"/>
              <w:rPr>
                <w:kern w:val="0"/>
              </w:rPr>
            </w:pPr>
          </w:p>
        </w:tc>
        <w:tc>
          <w:tcPr>
            <w:tcW w:w="2410"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持仓均价</w:t>
            </w:r>
          </w:p>
        </w:tc>
        <w:tc>
          <w:tcPr>
            <w:tcW w:w="9030"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某机构在某合约上的持仓均价（图、表）</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000" w:type="dxa"/>
            <w:vMerge w:val="continue"/>
            <w:tcBorders>
              <w:top w:val="outset" w:color="auto" w:sz="6" w:space="0"/>
              <w:left w:val="outset" w:color="auto" w:sz="6" w:space="0"/>
              <w:bottom w:val="outset" w:color="auto" w:sz="6" w:space="0"/>
              <w:right w:val="outset" w:color="auto" w:sz="6" w:space="0"/>
            </w:tcBorders>
            <w:vAlign w:val="center"/>
          </w:tcPr>
          <w:p>
            <w:pPr>
              <w:pStyle w:val="34"/>
              <w:rPr>
                <w:kern w:val="0"/>
              </w:rPr>
            </w:pPr>
          </w:p>
        </w:tc>
        <w:tc>
          <w:tcPr>
            <w:tcW w:w="2410"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盈亏分析</w:t>
            </w:r>
          </w:p>
        </w:tc>
        <w:tc>
          <w:tcPr>
            <w:tcW w:w="9030"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某机构在某合约上的盈亏分析（图、表）</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000" w:type="dxa"/>
            <w:vMerge w:val="restart"/>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港股数据</w:t>
            </w:r>
          </w:p>
        </w:tc>
        <w:tc>
          <w:tcPr>
            <w:tcW w:w="2410"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IPO一览</w:t>
            </w:r>
          </w:p>
        </w:tc>
        <w:tc>
          <w:tcPr>
            <w:tcW w:w="9030"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IPO一览、IPO新闻、新股详情、新股表现</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000" w:type="dxa"/>
            <w:vMerge w:val="continue"/>
            <w:tcBorders>
              <w:top w:val="outset" w:color="auto" w:sz="6" w:space="0"/>
              <w:left w:val="outset" w:color="auto" w:sz="6" w:space="0"/>
              <w:bottom w:val="outset" w:color="auto" w:sz="6" w:space="0"/>
              <w:right w:val="outset" w:color="auto" w:sz="6" w:space="0"/>
            </w:tcBorders>
            <w:vAlign w:val="center"/>
          </w:tcPr>
          <w:p>
            <w:pPr>
              <w:pStyle w:val="34"/>
              <w:rPr>
                <w:kern w:val="0"/>
              </w:rPr>
            </w:pPr>
          </w:p>
        </w:tc>
        <w:tc>
          <w:tcPr>
            <w:tcW w:w="2410"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派息备忘</w:t>
            </w:r>
          </w:p>
        </w:tc>
        <w:tc>
          <w:tcPr>
            <w:tcW w:w="9030"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最新派息公布、一周除净备忘、一周派息备忘、派息公布搜寻</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000" w:type="dxa"/>
            <w:vMerge w:val="continue"/>
            <w:tcBorders>
              <w:top w:val="outset" w:color="auto" w:sz="6" w:space="0"/>
              <w:left w:val="outset" w:color="auto" w:sz="6" w:space="0"/>
              <w:bottom w:val="outset" w:color="auto" w:sz="6" w:space="0"/>
              <w:right w:val="outset" w:color="auto" w:sz="6" w:space="0"/>
            </w:tcBorders>
            <w:vAlign w:val="center"/>
          </w:tcPr>
          <w:p>
            <w:pPr>
              <w:pStyle w:val="34"/>
              <w:rPr>
                <w:kern w:val="0"/>
              </w:rPr>
            </w:pPr>
          </w:p>
        </w:tc>
        <w:tc>
          <w:tcPr>
            <w:tcW w:w="2410"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权益披露</w:t>
            </w:r>
          </w:p>
        </w:tc>
        <w:tc>
          <w:tcPr>
            <w:tcW w:w="9030"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董事高管持股变动情况</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000" w:type="dxa"/>
            <w:vMerge w:val="continue"/>
            <w:tcBorders>
              <w:top w:val="outset" w:color="auto" w:sz="6" w:space="0"/>
              <w:left w:val="outset" w:color="auto" w:sz="6" w:space="0"/>
              <w:bottom w:val="outset" w:color="auto" w:sz="6" w:space="0"/>
              <w:right w:val="outset" w:color="auto" w:sz="6" w:space="0"/>
            </w:tcBorders>
            <w:vAlign w:val="center"/>
          </w:tcPr>
          <w:p>
            <w:pPr>
              <w:pStyle w:val="34"/>
              <w:rPr>
                <w:kern w:val="0"/>
              </w:rPr>
            </w:pPr>
          </w:p>
        </w:tc>
        <w:tc>
          <w:tcPr>
            <w:tcW w:w="2410"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沽空记录</w:t>
            </w:r>
          </w:p>
        </w:tc>
        <w:tc>
          <w:tcPr>
            <w:tcW w:w="9030"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港股卖空记录</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000" w:type="dxa"/>
            <w:vMerge w:val="continue"/>
            <w:tcBorders>
              <w:top w:val="outset" w:color="auto" w:sz="6" w:space="0"/>
              <w:left w:val="outset" w:color="auto" w:sz="6" w:space="0"/>
              <w:bottom w:val="outset" w:color="auto" w:sz="6" w:space="0"/>
              <w:right w:val="outset" w:color="auto" w:sz="6" w:space="0"/>
            </w:tcBorders>
            <w:vAlign w:val="center"/>
          </w:tcPr>
          <w:p>
            <w:pPr>
              <w:pStyle w:val="34"/>
              <w:rPr>
                <w:kern w:val="0"/>
              </w:rPr>
            </w:pPr>
          </w:p>
        </w:tc>
        <w:tc>
          <w:tcPr>
            <w:tcW w:w="2410"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公司回购</w:t>
            </w:r>
          </w:p>
        </w:tc>
        <w:tc>
          <w:tcPr>
            <w:tcW w:w="9030"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公司回购情况一览</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000" w:type="dxa"/>
            <w:vMerge w:val="continue"/>
            <w:tcBorders>
              <w:top w:val="outset" w:color="auto" w:sz="6" w:space="0"/>
              <w:left w:val="outset" w:color="auto" w:sz="6" w:space="0"/>
              <w:bottom w:val="outset" w:color="auto" w:sz="6" w:space="0"/>
              <w:right w:val="outset" w:color="auto" w:sz="6" w:space="0"/>
            </w:tcBorders>
            <w:vAlign w:val="center"/>
          </w:tcPr>
          <w:p>
            <w:pPr>
              <w:pStyle w:val="34"/>
              <w:rPr>
                <w:kern w:val="0"/>
              </w:rPr>
            </w:pPr>
          </w:p>
        </w:tc>
        <w:tc>
          <w:tcPr>
            <w:tcW w:w="2410"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投行评级</w:t>
            </w:r>
          </w:p>
        </w:tc>
        <w:tc>
          <w:tcPr>
            <w:tcW w:w="9030"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投行评级（按个股、按投行、按评级）</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000"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美股数据</w:t>
            </w:r>
          </w:p>
        </w:tc>
        <w:tc>
          <w:tcPr>
            <w:tcW w:w="2410"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 </w:t>
            </w:r>
          </w:p>
        </w:tc>
        <w:tc>
          <w:tcPr>
            <w:tcW w:w="9030"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申请上市、即将上市、近一年上市、撤回推迟、IPO统计（定价统计、IPO募资）</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000" w:type="dxa"/>
            <w:vMerge w:val="restart"/>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基金数据</w:t>
            </w:r>
          </w:p>
        </w:tc>
        <w:tc>
          <w:tcPr>
            <w:tcW w:w="2410"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新发基金</w:t>
            </w:r>
          </w:p>
        </w:tc>
        <w:tc>
          <w:tcPr>
            <w:tcW w:w="9030"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新发基金（全部、发行中、将发行）</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000" w:type="dxa"/>
            <w:vMerge w:val="continue"/>
            <w:tcBorders>
              <w:top w:val="outset" w:color="auto" w:sz="6" w:space="0"/>
              <w:left w:val="outset" w:color="auto" w:sz="6" w:space="0"/>
              <w:bottom w:val="outset" w:color="auto" w:sz="6" w:space="0"/>
              <w:right w:val="outset" w:color="auto" w:sz="6" w:space="0"/>
            </w:tcBorders>
            <w:vAlign w:val="center"/>
          </w:tcPr>
          <w:p>
            <w:pPr>
              <w:pStyle w:val="34"/>
              <w:rPr>
                <w:kern w:val="0"/>
              </w:rPr>
            </w:pPr>
          </w:p>
        </w:tc>
        <w:tc>
          <w:tcPr>
            <w:tcW w:w="2410"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基金公告</w:t>
            </w:r>
          </w:p>
        </w:tc>
        <w:tc>
          <w:tcPr>
            <w:tcW w:w="9030"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基金公告（全部公告、定期报告、发行运作、申购赎回、分红送配、变更公告、其他公告）</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000" w:type="dxa"/>
            <w:vMerge w:val="continue"/>
            <w:tcBorders>
              <w:top w:val="outset" w:color="auto" w:sz="6" w:space="0"/>
              <w:left w:val="outset" w:color="auto" w:sz="6" w:space="0"/>
              <w:bottom w:val="outset" w:color="auto" w:sz="6" w:space="0"/>
              <w:right w:val="outset" w:color="auto" w:sz="6" w:space="0"/>
            </w:tcBorders>
            <w:vAlign w:val="center"/>
          </w:tcPr>
          <w:p>
            <w:pPr>
              <w:pStyle w:val="34"/>
              <w:rPr>
                <w:kern w:val="0"/>
              </w:rPr>
            </w:pPr>
          </w:p>
        </w:tc>
        <w:tc>
          <w:tcPr>
            <w:tcW w:w="2410"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基金管理</w:t>
            </w:r>
          </w:p>
        </w:tc>
        <w:tc>
          <w:tcPr>
            <w:tcW w:w="9030"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基金经理、基金公司、托管银行</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000" w:type="dxa"/>
            <w:vMerge w:val="continue"/>
            <w:tcBorders>
              <w:top w:val="outset" w:color="auto" w:sz="6" w:space="0"/>
              <w:left w:val="outset" w:color="auto" w:sz="6" w:space="0"/>
              <w:bottom w:val="outset" w:color="auto" w:sz="6" w:space="0"/>
              <w:right w:val="outset" w:color="auto" w:sz="6" w:space="0"/>
            </w:tcBorders>
            <w:vAlign w:val="center"/>
          </w:tcPr>
          <w:p>
            <w:pPr>
              <w:pStyle w:val="34"/>
              <w:rPr>
                <w:kern w:val="0"/>
              </w:rPr>
            </w:pPr>
          </w:p>
        </w:tc>
        <w:tc>
          <w:tcPr>
            <w:tcW w:w="2410"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基金评级</w:t>
            </w:r>
          </w:p>
        </w:tc>
        <w:tc>
          <w:tcPr>
            <w:tcW w:w="9030"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基金评级汇总、巨灵基金评级、晨星基金评级、银河证券评级、海通证券评级、上海证券评级、济安证券评级</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000" w:type="dxa"/>
            <w:vMerge w:val="continue"/>
            <w:tcBorders>
              <w:top w:val="outset" w:color="auto" w:sz="6" w:space="0"/>
              <w:left w:val="outset" w:color="auto" w:sz="6" w:space="0"/>
              <w:bottom w:val="outset" w:color="auto" w:sz="6" w:space="0"/>
              <w:right w:val="outset" w:color="auto" w:sz="6" w:space="0"/>
            </w:tcBorders>
            <w:vAlign w:val="center"/>
          </w:tcPr>
          <w:p>
            <w:pPr>
              <w:pStyle w:val="34"/>
              <w:rPr>
                <w:kern w:val="0"/>
              </w:rPr>
            </w:pPr>
          </w:p>
        </w:tc>
        <w:tc>
          <w:tcPr>
            <w:tcW w:w="2410"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基金表现</w:t>
            </w:r>
          </w:p>
        </w:tc>
        <w:tc>
          <w:tcPr>
            <w:tcW w:w="9030"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基金净值与各区间收益率</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000" w:type="dxa"/>
            <w:vMerge w:val="continue"/>
            <w:tcBorders>
              <w:top w:val="outset" w:color="auto" w:sz="6" w:space="0"/>
              <w:left w:val="outset" w:color="auto" w:sz="6" w:space="0"/>
              <w:bottom w:val="outset" w:color="auto" w:sz="6" w:space="0"/>
              <w:right w:val="outset" w:color="auto" w:sz="6" w:space="0"/>
            </w:tcBorders>
            <w:vAlign w:val="center"/>
          </w:tcPr>
          <w:p>
            <w:pPr>
              <w:pStyle w:val="34"/>
              <w:rPr>
                <w:kern w:val="0"/>
              </w:rPr>
            </w:pPr>
          </w:p>
        </w:tc>
        <w:tc>
          <w:tcPr>
            <w:tcW w:w="2410"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基金分红</w:t>
            </w:r>
          </w:p>
        </w:tc>
        <w:tc>
          <w:tcPr>
            <w:tcW w:w="9030"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基金分红、基金分拆、分红统计</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000" w:type="dxa"/>
            <w:vMerge w:val="continue"/>
            <w:tcBorders>
              <w:top w:val="outset" w:color="auto" w:sz="6" w:space="0"/>
              <w:left w:val="outset" w:color="auto" w:sz="6" w:space="0"/>
              <w:bottom w:val="outset" w:color="auto" w:sz="6" w:space="0"/>
              <w:right w:val="outset" w:color="auto" w:sz="6" w:space="0"/>
            </w:tcBorders>
            <w:vAlign w:val="center"/>
          </w:tcPr>
          <w:p>
            <w:pPr>
              <w:pStyle w:val="34"/>
              <w:rPr>
                <w:kern w:val="0"/>
              </w:rPr>
            </w:pPr>
          </w:p>
        </w:tc>
        <w:tc>
          <w:tcPr>
            <w:tcW w:w="2410"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代销机构</w:t>
            </w:r>
          </w:p>
        </w:tc>
        <w:tc>
          <w:tcPr>
            <w:tcW w:w="9030"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银行、证券公司、独立基金销售机构的简要介绍</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000" w:type="dxa"/>
            <w:vMerge w:val="continue"/>
            <w:tcBorders>
              <w:top w:val="outset" w:color="auto" w:sz="6" w:space="0"/>
              <w:left w:val="outset" w:color="auto" w:sz="6" w:space="0"/>
              <w:bottom w:val="outset" w:color="auto" w:sz="6" w:space="0"/>
              <w:right w:val="outset" w:color="auto" w:sz="6" w:space="0"/>
            </w:tcBorders>
            <w:vAlign w:val="center"/>
          </w:tcPr>
          <w:p>
            <w:pPr>
              <w:pStyle w:val="34"/>
              <w:rPr>
                <w:kern w:val="0"/>
              </w:rPr>
            </w:pPr>
          </w:p>
        </w:tc>
        <w:tc>
          <w:tcPr>
            <w:tcW w:w="2410"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基金规模</w:t>
            </w:r>
          </w:p>
        </w:tc>
        <w:tc>
          <w:tcPr>
            <w:tcW w:w="9030"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规模变动、持有人结构</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000" w:type="dxa"/>
            <w:vMerge w:val="continue"/>
            <w:tcBorders>
              <w:top w:val="outset" w:color="auto" w:sz="6" w:space="0"/>
              <w:left w:val="outset" w:color="auto" w:sz="6" w:space="0"/>
              <w:bottom w:val="outset" w:color="auto" w:sz="6" w:space="0"/>
              <w:right w:val="outset" w:color="auto" w:sz="6" w:space="0"/>
            </w:tcBorders>
            <w:vAlign w:val="center"/>
          </w:tcPr>
          <w:p>
            <w:pPr>
              <w:pStyle w:val="34"/>
              <w:rPr>
                <w:kern w:val="0"/>
              </w:rPr>
            </w:pPr>
          </w:p>
        </w:tc>
        <w:tc>
          <w:tcPr>
            <w:tcW w:w="2410"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基金配置</w:t>
            </w:r>
          </w:p>
        </w:tc>
        <w:tc>
          <w:tcPr>
            <w:tcW w:w="9030"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资产配置、行业分布、重仓持股、重大变动</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000" w:type="dxa"/>
            <w:vMerge w:val="restart"/>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宏观分析</w:t>
            </w:r>
          </w:p>
        </w:tc>
        <w:tc>
          <w:tcPr>
            <w:tcW w:w="2410"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GDP</w:t>
            </w:r>
          </w:p>
        </w:tc>
        <w:tc>
          <w:tcPr>
            <w:tcW w:w="9030"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按趋势、按结构、按行业</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000" w:type="dxa"/>
            <w:vMerge w:val="continue"/>
            <w:tcBorders>
              <w:top w:val="outset" w:color="auto" w:sz="6" w:space="0"/>
              <w:left w:val="outset" w:color="auto" w:sz="6" w:space="0"/>
              <w:bottom w:val="outset" w:color="auto" w:sz="6" w:space="0"/>
              <w:right w:val="outset" w:color="auto" w:sz="6" w:space="0"/>
            </w:tcBorders>
            <w:vAlign w:val="center"/>
          </w:tcPr>
          <w:p>
            <w:pPr>
              <w:pStyle w:val="34"/>
              <w:rPr>
                <w:kern w:val="0"/>
              </w:rPr>
            </w:pPr>
          </w:p>
        </w:tc>
        <w:tc>
          <w:tcPr>
            <w:tcW w:w="2410"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就业保障</w:t>
            </w:r>
          </w:p>
        </w:tc>
        <w:tc>
          <w:tcPr>
            <w:tcW w:w="9030"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城镇就业、累计就业、社会保险</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000" w:type="dxa"/>
            <w:vMerge w:val="continue"/>
            <w:tcBorders>
              <w:top w:val="outset" w:color="auto" w:sz="6" w:space="0"/>
              <w:left w:val="outset" w:color="auto" w:sz="6" w:space="0"/>
              <w:bottom w:val="outset" w:color="auto" w:sz="6" w:space="0"/>
              <w:right w:val="outset" w:color="auto" w:sz="6" w:space="0"/>
            </w:tcBorders>
            <w:vAlign w:val="center"/>
          </w:tcPr>
          <w:p>
            <w:pPr>
              <w:pStyle w:val="34"/>
              <w:rPr>
                <w:kern w:val="0"/>
              </w:rPr>
            </w:pPr>
          </w:p>
        </w:tc>
        <w:tc>
          <w:tcPr>
            <w:tcW w:w="2410"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居民生活</w:t>
            </w:r>
          </w:p>
        </w:tc>
        <w:tc>
          <w:tcPr>
            <w:tcW w:w="9030"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人均可支配收入、人均消费支出</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000" w:type="dxa"/>
            <w:vMerge w:val="continue"/>
            <w:tcBorders>
              <w:top w:val="outset" w:color="auto" w:sz="6" w:space="0"/>
              <w:left w:val="outset" w:color="auto" w:sz="6" w:space="0"/>
              <w:bottom w:val="outset" w:color="auto" w:sz="6" w:space="0"/>
              <w:right w:val="outset" w:color="auto" w:sz="6" w:space="0"/>
            </w:tcBorders>
            <w:vAlign w:val="center"/>
          </w:tcPr>
          <w:p>
            <w:pPr>
              <w:pStyle w:val="34"/>
              <w:rPr>
                <w:kern w:val="0"/>
              </w:rPr>
            </w:pPr>
          </w:p>
        </w:tc>
        <w:tc>
          <w:tcPr>
            <w:tcW w:w="2410"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财政收支</w:t>
            </w:r>
          </w:p>
        </w:tc>
        <w:tc>
          <w:tcPr>
            <w:tcW w:w="9030"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按项目财政预算收支、财政预算收支、财政收支总额、财政各项税收收入、公共财政收支</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000" w:type="dxa"/>
            <w:vMerge w:val="continue"/>
            <w:tcBorders>
              <w:top w:val="outset" w:color="auto" w:sz="6" w:space="0"/>
              <w:left w:val="outset" w:color="auto" w:sz="6" w:space="0"/>
              <w:bottom w:val="outset" w:color="auto" w:sz="6" w:space="0"/>
              <w:right w:val="outset" w:color="auto" w:sz="6" w:space="0"/>
            </w:tcBorders>
            <w:vAlign w:val="center"/>
          </w:tcPr>
          <w:p>
            <w:pPr>
              <w:pStyle w:val="34"/>
              <w:rPr>
                <w:kern w:val="0"/>
              </w:rPr>
            </w:pPr>
          </w:p>
        </w:tc>
        <w:tc>
          <w:tcPr>
            <w:tcW w:w="2410"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物价指数</w:t>
            </w:r>
          </w:p>
        </w:tc>
        <w:tc>
          <w:tcPr>
            <w:tcW w:w="9030"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分地区CPI、36城市CPI、商品零售、农产品集贸市场、主要农产品、农业生产资料、工业生产者价格、主要行业PPI、主要部门PPI、投资价格指数</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000" w:type="dxa"/>
            <w:vMerge w:val="continue"/>
            <w:tcBorders>
              <w:top w:val="outset" w:color="auto" w:sz="6" w:space="0"/>
              <w:left w:val="outset" w:color="auto" w:sz="6" w:space="0"/>
              <w:bottom w:val="outset" w:color="auto" w:sz="6" w:space="0"/>
              <w:right w:val="outset" w:color="auto" w:sz="6" w:space="0"/>
            </w:tcBorders>
            <w:vAlign w:val="center"/>
          </w:tcPr>
          <w:p>
            <w:pPr>
              <w:pStyle w:val="34"/>
              <w:rPr>
                <w:kern w:val="0"/>
              </w:rPr>
            </w:pPr>
          </w:p>
        </w:tc>
        <w:tc>
          <w:tcPr>
            <w:tcW w:w="2410"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工业经济</w:t>
            </w:r>
          </w:p>
        </w:tc>
        <w:tc>
          <w:tcPr>
            <w:tcW w:w="9030"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分类型增加值、分行业增加值、分地区增加值、规模企业经济指标、工业企业经济指标、分行业企业经济指标、分地区企业经济指标、分行业产品产量、分地区产品产量、产品销售库存</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000" w:type="dxa"/>
            <w:vMerge w:val="continue"/>
            <w:tcBorders>
              <w:top w:val="outset" w:color="auto" w:sz="6" w:space="0"/>
              <w:left w:val="outset" w:color="auto" w:sz="6" w:space="0"/>
              <w:bottom w:val="outset" w:color="auto" w:sz="6" w:space="0"/>
              <w:right w:val="outset" w:color="auto" w:sz="6" w:space="0"/>
            </w:tcBorders>
            <w:vAlign w:val="center"/>
          </w:tcPr>
          <w:p>
            <w:pPr>
              <w:pStyle w:val="34"/>
              <w:rPr>
                <w:kern w:val="0"/>
              </w:rPr>
            </w:pPr>
          </w:p>
        </w:tc>
        <w:tc>
          <w:tcPr>
            <w:tcW w:w="2410"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消费</w:t>
            </w:r>
          </w:p>
        </w:tc>
        <w:tc>
          <w:tcPr>
            <w:tcW w:w="9030"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消费品零售、企业商品零售、分地区消费品零售</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000" w:type="dxa"/>
            <w:vMerge w:val="continue"/>
            <w:tcBorders>
              <w:top w:val="outset" w:color="auto" w:sz="6" w:space="0"/>
              <w:left w:val="outset" w:color="auto" w:sz="6" w:space="0"/>
              <w:bottom w:val="outset" w:color="auto" w:sz="6" w:space="0"/>
              <w:right w:val="outset" w:color="auto" w:sz="6" w:space="0"/>
            </w:tcBorders>
            <w:vAlign w:val="center"/>
          </w:tcPr>
          <w:p>
            <w:pPr>
              <w:pStyle w:val="34"/>
              <w:rPr>
                <w:kern w:val="0"/>
              </w:rPr>
            </w:pPr>
          </w:p>
        </w:tc>
        <w:tc>
          <w:tcPr>
            <w:tcW w:w="2410"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投资</w:t>
            </w:r>
          </w:p>
        </w:tc>
        <w:tc>
          <w:tcPr>
            <w:tcW w:w="9030"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计划固投、完成固投、固投资金、固投分类、房屋固投、分行业固投、分地区完成固投、民间固投完成额、分行业民间固投、房开投完成额、房开投资金来源、房地产建筑与销售、建筑业生产与经营</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000" w:type="dxa"/>
            <w:vMerge w:val="continue"/>
            <w:tcBorders>
              <w:top w:val="outset" w:color="auto" w:sz="6" w:space="0"/>
              <w:left w:val="outset" w:color="auto" w:sz="6" w:space="0"/>
              <w:bottom w:val="outset" w:color="auto" w:sz="6" w:space="0"/>
              <w:right w:val="outset" w:color="auto" w:sz="6" w:space="0"/>
            </w:tcBorders>
            <w:vAlign w:val="center"/>
          </w:tcPr>
          <w:p>
            <w:pPr>
              <w:pStyle w:val="34"/>
              <w:rPr>
                <w:kern w:val="0"/>
              </w:rPr>
            </w:pPr>
          </w:p>
        </w:tc>
        <w:tc>
          <w:tcPr>
            <w:tcW w:w="2410"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对外经济</w:t>
            </w:r>
          </w:p>
        </w:tc>
        <w:tc>
          <w:tcPr>
            <w:tcW w:w="9030"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分类型外商投资、分国别外商投资、分行业外商投资、进出口贸易、商品出口、商品进口、分地区进出口</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000" w:type="dxa"/>
            <w:vMerge w:val="continue"/>
            <w:tcBorders>
              <w:top w:val="outset" w:color="auto" w:sz="6" w:space="0"/>
              <w:left w:val="outset" w:color="auto" w:sz="6" w:space="0"/>
              <w:bottom w:val="outset" w:color="auto" w:sz="6" w:space="0"/>
              <w:right w:val="outset" w:color="auto" w:sz="6" w:space="0"/>
            </w:tcBorders>
            <w:vAlign w:val="center"/>
          </w:tcPr>
          <w:p>
            <w:pPr>
              <w:pStyle w:val="34"/>
              <w:rPr>
                <w:kern w:val="0"/>
              </w:rPr>
            </w:pPr>
          </w:p>
        </w:tc>
        <w:tc>
          <w:tcPr>
            <w:tcW w:w="2410"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银行货币</w:t>
            </w:r>
          </w:p>
        </w:tc>
        <w:tc>
          <w:tcPr>
            <w:tcW w:w="9030"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金融机构信贷收支、中资银行信贷收支、金融机构存贷款、中央资产负债表、其他公司资产负债表、货币供应量、社会融资规模、汇率与外汇</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000" w:type="dxa"/>
            <w:vMerge w:val="continue"/>
            <w:tcBorders>
              <w:top w:val="outset" w:color="auto" w:sz="6" w:space="0"/>
              <w:left w:val="outset" w:color="auto" w:sz="6" w:space="0"/>
              <w:bottom w:val="outset" w:color="auto" w:sz="6" w:space="0"/>
              <w:right w:val="outset" w:color="auto" w:sz="6" w:space="0"/>
            </w:tcBorders>
            <w:vAlign w:val="center"/>
          </w:tcPr>
          <w:p>
            <w:pPr>
              <w:pStyle w:val="34"/>
              <w:rPr>
                <w:kern w:val="0"/>
              </w:rPr>
            </w:pPr>
          </w:p>
        </w:tc>
        <w:tc>
          <w:tcPr>
            <w:tcW w:w="2410"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证券保险</w:t>
            </w:r>
          </w:p>
        </w:tc>
        <w:tc>
          <w:tcPr>
            <w:tcW w:w="9030"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交易所市场、过户结算、证券登记、股票交易、期货交易、证券筹资、投资者账户、投资者开户、投资者信心、结算保证金、保险经营</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000" w:type="dxa"/>
            <w:vMerge w:val="continue"/>
            <w:tcBorders>
              <w:top w:val="outset" w:color="auto" w:sz="6" w:space="0"/>
              <w:left w:val="outset" w:color="auto" w:sz="6" w:space="0"/>
              <w:bottom w:val="outset" w:color="auto" w:sz="6" w:space="0"/>
              <w:right w:val="outset" w:color="auto" w:sz="6" w:space="0"/>
            </w:tcBorders>
            <w:vAlign w:val="center"/>
          </w:tcPr>
          <w:p>
            <w:pPr>
              <w:pStyle w:val="34"/>
              <w:rPr>
                <w:kern w:val="0"/>
              </w:rPr>
            </w:pPr>
          </w:p>
        </w:tc>
        <w:tc>
          <w:tcPr>
            <w:tcW w:w="2410"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运输邮电</w:t>
            </w:r>
          </w:p>
        </w:tc>
        <w:tc>
          <w:tcPr>
            <w:tcW w:w="9030"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客货运量、通信业用户量、通信业业务量</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000" w:type="dxa"/>
            <w:vMerge w:val="continue"/>
            <w:tcBorders>
              <w:top w:val="outset" w:color="auto" w:sz="6" w:space="0"/>
              <w:left w:val="outset" w:color="auto" w:sz="6" w:space="0"/>
              <w:bottom w:val="outset" w:color="auto" w:sz="6" w:space="0"/>
              <w:right w:val="outset" w:color="auto" w:sz="6" w:space="0"/>
            </w:tcBorders>
            <w:vAlign w:val="center"/>
          </w:tcPr>
          <w:p>
            <w:pPr>
              <w:pStyle w:val="34"/>
              <w:rPr>
                <w:kern w:val="0"/>
              </w:rPr>
            </w:pPr>
          </w:p>
        </w:tc>
        <w:tc>
          <w:tcPr>
            <w:tcW w:w="2410"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能源生产</w:t>
            </w:r>
          </w:p>
        </w:tc>
        <w:tc>
          <w:tcPr>
            <w:tcW w:w="9030"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主要能源生产</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000" w:type="dxa"/>
            <w:vMerge w:val="continue"/>
            <w:tcBorders>
              <w:top w:val="outset" w:color="auto" w:sz="6" w:space="0"/>
              <w:left w:val="outset" w:color="auto" w:sz="6" w:space="0"/>
              <w:bottom w:val="outset" w:color="auto" w:sz="6" w:space="0"/>
              <w:right w:val="outset" w:color="auto" w:sz="6" w:space="0"/>
            </w:tcBorders>
            <w:vAlign w:val="center"/>
          </w:tcPr>
          <w:p>
            <w:pPr>
              <w:pStyle w:val="34"/>
              <w:rPr>
                <w:kern w:val="0"/>
              </w:rPr>
            </w:pPr>
          </w:p>
        </w:tc>
        <w:tc>
          <w:tcPr>
            <w:tcW w:w="2410"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世界经济</w:t>
            </w:r>
          </w:p>
        </w:tc>
        <w:tc>
          <w:tcPr>
            <w:tcW w:w="9030"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三大经济体GDP、三大经济体进出口、三大经济体其他指标、其他经济体GDP、其他经济体CPI</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000" w:type="dxa"/>
            <w:vMerge w:val="continue"/>
            <w:tcBorders>
              <w:top w:val="outset" w:color="auto" w:sz="6" w:space="0"/>
              <w:left w:val="outset" w:color="auto" w:sz="6" w:space="0"/>
              <w:bottom w:val="outset" w:color="auto" w:sz="6" w:space="0"/>
              <w:right w:val="outset" w:color="auto" w:sz="6" w:space="0"/>
            </w:tcBorders>
            <w:vAlign w:val="center"/>
          </w:tcPr>
          <w:p>
            <w:pPr>
              <w:pStyle w:val="34"/>
              <w:rPr>
                <w:kern w:val="0"/>
              </w:rPr>
            </w:pPr>
          </w:p>
        </w:tc>
        <w:tc>
          <w:tcPr>
            <w:tcW w:w="2410"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初级产品</w:t>
            </w:r>
          </w:p>
        </w:tc>
        <w:tc>
          <w:tcPr>
            <w:tcW w:w="9030" w:type="dxa"/>
            <w:tcBorders>
              <w:top w:val="outset" w:color="auto" w:sz="6" w:space="0"/>
              <w:left w:val="outset" w:color="auto" w:sz="6" w:space="0"/>
              <w:bottom w:val="outset" w:color="auto" w:sz="6" w:space="0"/>
              <w:right w:val="outset" w:color="auto" w:sz="6" w:space="0"/>
            </w:tcBorders>
          </w:tcPr>
          <w:p>
            <w:pPr>
              <w:pStyle w:val="34"/>
              <w:rPr>
                <w:kern w:val="0"/>
              </w:rPr>
            </w:pPr>
            <w:r>
              <w:rPr>
                <w:rFonts w:hint="eastAsia"/>
                <w:kern w:val="0"/>
              </w:rPr>
              <w:t>国际初级产品价格、中低收入国家初级产品</w:t>
            </w:r>
          </w:p>
        </w:tc>
      </w:tr>
    </w:tbl>
    <w:p>
      <w:pPr>
        <w:pStyle w:val="34"/>
        <w:ind w:firstLine="540"/>
        <w:rPr>
          <w:kern w:val="0"/>
          <w:sz w:val="27"/>
          <w:szCs w:val="27"/>
        </w:rPr>
      </w:pPr>
      <w:r>
        <w:rPr>
          <w:kern w:val="0"/>
          <w:sz w:val="27"/>
          <w:szCs w:val="27"/>
        </w:rPr>
        <w:fldChar w:fldCharType="begin"/>
      </w:r>
      <w:r>
        <w:rPr>
          <w:kern w:val="0"/>
          <w:sz w:val="27"/>
          <w:szCs w:val="27"/>
        </w:rPr>
        <w:instrText xml:space="preserve"> INCLUDEPICTURE  "https://www.tdx.com.cn/products/helpfile/tdxw/chm/%E7%AC%AC%E4%BA%94%E7%AB%A0  %E6%B3%A8%E5%86%8C%E5%8F%8A%E6%B8%B8%E5%AE%A2%E7%99%BB%E9%99%86/5-1/1.png" \* MERGEFORMATINET </w:instrText>
      </w:r>
      <w:r>
        <w:rPr>
          <w:kern w:val="0"/>
          <w:sz w:val="27"/>
          <w:szCs w:val="27"/>
        </w:rPr>
        <w:fldChar w:fldCharType="separate"/>
      </w:r>
      <w:r>
        <w:rPr>
          <w:kern w:val="0"/>
          <w:sz w:val="27"/>
          <w:szCs w:val="27"/>
        </w:rPr>
        <w:fldChar w:fldCharType="begin"/>
      </w:r>
      <w:r>
        <w:rPr>
          <w:kern w:val="0"/>
          <w:sz w:val="27"/>
          <w:szCs w:val="27"/>
        </w:rPr>
        <w:instrText xml:space="preserve"> INCLUDEPICTURE  "https://www.tdx.com.cn/products/helpfile/tdxw/chm/%E7%AC%AC%E4%BA%94%E7%AB%A0  %E6%B3%A8%E5%86%8C%E5%8F%8A%E6%B8%B8%E5%AE%A2%E7%99%BB%E9%99%86/5-1/1.png" \* MERGEFORMATINET </w:instrText>
      </w:r>
      <w:r>
        <w:rPr>
          <w:kern w:val="0"/>
          <w:sz w:val="27"/>
          <w:szCs w:val="27"/>
        </w:rPr>
        <w:fldChar w:fldCharType="separate"/>
      </w:r>
      <w:r>
        <w:rPr>
          <w:kern w:val="0"/>
          <w:sz w:val="27"/>
          <w:szCs w:val="27"/>
        </w:rPr>
        <w:fldChar w:fldCharType="begin"/>
      </w:r>
      <w:r>
        <w:rPr>
          <w:kern w:val="0"/>
          <w:sz w:val="27"/>
          <w:szCs w:val="27"/>
        </w:rPr>
        <w:instrText xml:space="preserve"> INCLUDEPICTURE  "https://www.tdx.com.cn/products/helpfile/tdxw/chm/%E7%AC%AC%E4%BA%94%E7%AB%A0  %E6%B3%A8%E5%86%8C%E5%8F%8A%E6%B8%B8%E5%AE%A2%E7%99%BB%E9%99%86/5-1/1.png" \* MERGEFORMATINET </w:instrText>
      </w:r>
      <w:r>
        <w:rPr>
          <w:kern w:val="0"/>
          <w:sz w:val="27"/>
          <w:szCs w:val="27"/>
        </w:rPr>
        <w:fldChar w:fldCharType="separate"/>
      </w:r>
      <w:r>
        <w:rPr>
          <w:kern w:val="0"/>
          <w:sz w:val="27"/>
          <w:szCs w:val="27"/>
        </w:rPr>
        <w:fldChar w:fldCharType="begin"/>
      </w:r>
      <w:r>
        <w:rPr>
          <w:kern w:val="0"/>
          <w:sz w:val="27"/>
          <w:szCs w:val="27"/>
        </w:rPr>
        <w:instrText xml:space="preserve"> INCLUDEPICTURE  "https://www.tdx.com.cn/products/helpfile/tdxw/chm/%E7%AC%AC%E4%BA%94%E7%AB%A0  %E6%B3%A8%E5%86%8C%E5%8F%8A%E6%B8%B8%E5%AE%A2%E7%99%BB%E9%99%86/5-1/1.png" \* MERGEFORMATINET </w:instrText>
      </w:r>
      <w:r>
        <w:rPr>
          <w:kern w:val="0"/>
          <w:sz w:val="27"/>
          <w:szCs w:val="27"/>
        </w:rPr>
        <w:fldChar w:fldCharType="separate"/>
      </w:r>
      <w:r>
        <w:rPr>
          <w:kern w:val="0"/>
          <w:sz w:val="27"/>
          <w:szCs w:val="27"/>
        </w:rPr>
        <w:drawing>
          <wp:inline distT="0" distB="0" distL="114300" distR="114300">
            <wp:extent cx="7229475" cy="4505325"/>
            <wp:effectExtent l="0" t="0" r="9525" b="9525"/>
            <wp:docPr id="401" name="图片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图片 401"/>
                    <pic:cNvPicPr>
                      <a:picLocks noChangeAspect="1"/>
                    </pic:cNvPicPr>
                  </pic:nvPicPr>
                  <pic:blipFill>
                    <a:blip r:embed="rId754" r:link="rId755"/>
                    <a:stretch>
                      <a:fillRect/>
                    </a:stretch>
                  </pic:blipFill>
                  <pic:spPr>
                    <a:xfrm>
                      <a:off x="0" y="0"/>
                      <a:ext cx="7229475" cy="4505325"/>
                    </a:xfrm>
                    <a:prstGeom prst="rect">
                      <a:avLst/>
                    </a:prstGeom>
                    <a:noFill/>
                    <a:ln>
                      <a:noFill/>
                    </a:ln>
                  </pic:spPr>
                </pic:pic>
              </a:graphicData>
            </a:graphic>
          </wp:inline>
        </w:drawing>
      </w:r>
      <w:r>
        <w:rPr>
          <w:kern w:val="0"/>
          <w:sz w:val="27"/>
          <w:szCs w:val="27"/>
        </w:rPr>
        <w:fldChar w:fldCharType="end"/>
      </w:r>
      <w:r>
        <w:rPr>
          <w:kern w:val="0"/>
          <w:sz w:val="27"/>
          <w:szCs w:val="27"/>
        </w:rPr>
        <w:fldChar w:fldCharType="end"/>
      </w:r>
      <w:r>
        <w:rPr>
          <w:kern w:val="0"/>
          <w:sz w:val="27"/>
          <w:szCs w:val="27"/>
        </w:rPr>
        <w:fldChar w:fldCharType="end"/>
      </w:r>
      <w:r>
        <w:rPr>
          <w:kern w:val="0"/>
          <w:sz w:val="27"/>
          <w:szCs w:val="27"/>
        </w:rPr>
        <w:fldChar w:fldCharType="end"/>
      </w:r>
    </w:p>
    <w:p>
      <w:pPr>
        <w:pStyle w:val="34"/>
        <w:ind w:firstLine="540"/>
        <w:rPr>
          <w:kern w:val="0"/>
          <w:sz w:val="27"/>
          <w:szCs w:val="27"/>
        </w:rPr>
      </w:pPr>
      <w:r>
        <w:rPr>
          <w:kern w:val="0"/>
          <w:sz w:val="27"/>
          <w:szCs w:val="27"/>
        </w:rPr>
        <w:fldChar w:fldCharType="begin"/>
      </w:r>
      <w:r>
        <w:rPr>
          <w:kern w:val="0"/>
          <w:sz w:val="27"/>
          <w:szCs w:val="27"/>
        </w:rPr>
        <w:instrText xml:space="preserve"> INCLUDEPICTURE  "https://www.tdx.com.cn/products/helpfile/tdxw/chm/%E7%AC%AC%E4%BA%94%E7%AB%A0  %E6%B3%A8%E5%86%8C%E5%8F%8A%E6%B8%B8%E5%AE%A2%E7%99%BB%E9%99%86/5-1/2.png" \* MERGEFORMATINET </w:instrText>
      </w:r>
      <w:r>
        <w:rPr>
          <w:kern w:val="0"/>
          <w:sz w:val="27"/>
          <w:szCs w:val="27"/>
        </w:rPr>
        <w:fldChar w:fldCharType="separate"/>
      </w:r>
      <w:r>
        <w:rPr>
          <w:kern w:val="0"/>
          <w:sz w:val="27"/>
          <w:szCs w:val="27"/>
        </w:rPr>
        <w:fldChar w:fldCharType="begin"/>
      </w:r>
      <w:r>
        <w:rPr>
          <w:kern w:val="0"/>
          <w:sz w:val="27"/>
          <w:szCs w:val="27"/>
        </w:rPr>
        <w:instrText xml:space="preserve"> INCLUDEPICTURE  "https://www.tdx.com.cn/products/helpfile/tdxw/chm/%E7%AC%AC%E4%BA%94%E7%AB%A0  %E6%B3%A8%E5%86%8C%E5%8F%8A%E6%B8%B8%E5%AE%A2%E7%99%BB%E9%99%86/5-1/2.png" \* MERGEFORMATINET </w:instrText>
      </w:r>
      <w:r>
        <w:rPr>
          <w:kern w:val="0"/>
          <w:sz w:val="27"/>
          <w:szCs w:val="27"/>
        </w:rPr>
        <w:fldChar w:fldCharType="separate"/>
      </w:r>
      <w:r>
        <w:rPr>
          <w:kern w:val="0"/>
          <w:sz w:val="27"/>
          <w:szCs w:val="27"/>
        </w:rPr>
        <w:fldChar w:fldCharType="begin"/>
      </w:r>
      <w:r>
        <w:rPr>
          <w:kern w:val="0"/>
          <w:sz w:val="27"/>
          <w:szCs w:val="27"/>
        </w:rPr>
        <w:instrText xml:space="preserve"> INCLUDEPICTURE  "https://www.tdx.com.cn/products/helpfile/tdxw/chm/%E7%AC%AC%E4%BA%94%E7%AB%A0  %E6%B3%A8%E5%86%8C%E5%8F%8A%E6%B8%B8%E5%AE%A2%E7%99%BB%E9%99%86/5-1/2.png" \* MERGEFORMATINET </w:instrText>
      </w:r>
      <w:r>
        <w:rPr>
          <w:kern w:val="0"/>
          <w:sz w:val="27"/>
          <w:szCs w:val="27"/>
        </w:rPr>
        <w:fldChar w:fldCharType="separate"/>
      </w:r>
      <w:r>
        <w:rPr>
          <w:kern w:val="0"/>
          <w:sz w:val="27"/>
          <w:szCs w:val="27"/>
        </w:rPr>
        <w:fldChar w:fldCharType="begin"/>
      </w:r>
      <w:r>
        <w:rPr>
          <w:kern w:val="0"/>
          <w:sz w:val="27"/>
          <w:szCs w:val="27"/>
        </w:rPr>
        <w:instrText xml:space="preserve"> INCLUDEPICTURE  "https://www.tdx.com.cn/products/helpfile/tdxw/chm/%E7%AC%AC%E4%BA%94%E7%AB%A0  %E6%B3%A8%E5%86%8C%E5%8F%8A%E6%B8%B8%E5%AE%A2%E7%99%BB%E9%99%86/5-1/2.png" \* MERGEFORMATINET </w:instrText>
      </w:r>
      <w:r>
        <w:rPr>
          <w:kern w:val="0"/>
          <w:sz w:val="27"/>
          <w:szCs w:val="27"/>
        </w:rPr>
        <w:fldChar w:fldCharType="separate"/>
      </w:r>
      <w:r>
        <w:rPr>
          <w:kern w:val="0"/>
          <w:sz w:val="27"/>
          <w:szCs w:val="27"/>
        </w:rPr>
        <w:drawing>
          <wp:inline distT="0" distB="0" distL="114300" distR="114300">
            <wp:extent cx="8553450" cy="5314950"/>
            <wp:effectExtent l="0" t="0" r="0" b="0"/>
            <wp:docPr id="402" name="图片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图片 402"/>
                    <pic:cNvPicPr>
                      <a:picLocks noChangeAspect="1"/>
                    </pic:cNvPicPr>
                  </pic:nvPicPr>
                  <pic:blipFill>
                    <a:blip r:embed="rId756" r:link="rId757"/>
                    <a:stretch>
                      <a:fillRect/>
                    </a:stretch>
                  </pic:blipFill>
                  <pic:spPr>
                    <a:xfrm>
                      <a:off x="0" y="0"/>
                      <a:ext cx="8553450" cy="5314950"/>
                    </a:xfrm>
                    <a:prstGeom prst="rect">
                      <a:avLst/>
                    </a:prstGeom>
                    <a:noFill/>
                    <a:ln>
                      <a:noFill/>
                    </a:ln>
                  </pic:spPr>
                </pic:pic>
              </a:graphicData>
            </a:graphic>
          </wp:inline>
        </w:drawing>
      </w:r>
      <w:r>
        <w:rPr>
          <w:kern w:val="0"/>
          <w:sz w:val="27"/>
          <w:szCs w:val="27"/>
        </w:rPr>
        <w:fldChar w:fldCharType="end"/>
      </w:r>
      <w:r>
        <w:rPr>
          <w:kern w:val="0"/>
          <w:sz w:val="27"/>
          <w:szCs w:val="27"/>
        </w:rPr>
        <w:fldChar w:fldCharType="end"/>
      </w:r>
      <w:r>
        <w:rPr>
          <w:kern w:val="0"/>
          <w:sz w:val="27"/>
          <w:szCs w:val="27"/>
        </w:rPr>
        <w:fldChar w:fldCharType="end"/>
      </w:r>
      <w:r>
        <w:rPr>
          <w:kern w:val="0"/>
          <w:sz w:val="27"/>
          <w:szCs w:val="27"/>
        </w:rPr>
        <w:fldChar w:fldCharType="end"/>
      </w:r>
    </w:p>
    <w:p>
      <w:pPr>
        <w:pStyle w:val="34"/>
        <w:ind w:firstLine="540"/>
        <w:rPr>
          <w:kern w:val="0"/>
          <w:sz w:val="27"/>
          <w:szCs w:val="27"/>
        </w:rPr>
      </w:pPr>
      <w:r>
        <w:rPr>
          <w:kern w:val="0"/>
          <w:sz w:val="27"/>
          <w:szCs w:val="27"/>
        </w:rPr>
        <w:fldChar w:fldCharType="begin"/>
      </w:r>
      <w:r>
        <w:rPr>
          <w:kern w:val="0"/>
          <w:sz w:val="27"/>
          <w:szCs w:val="27"/>
        </w:rPr>
        <w:instrText xml:space="preserve"> INCLUDEPICTURE  "https://www.tdx.com.cn/products/helpfile/tdxw/chm/%E7%AC%AC%E4%BA%94%E7%AB%A0  %E6%B3%A8%E5%86%8C%E5%8F%8A%E6%B8%B8%E5%AE%A2%E7%99%BB%E9%99%86/5-1/3.png" \* MERGEFORMATINET </w:instrText>
      </w:r>
      <w:r>
        <w:rPr>
          <w:kern w:val="0"/>
          <w:sz w:val="27"/>
          <w:szCs w:val="27"/>
        </w:rPr>
        <w:fldChar w:fldCharType="separate"/>
      </w:r>
      <w:r>
        <w:rPr>
          <w:kern w:val="0"/>
          <w:sz w:val="27"/>
          <w:szCs w:val="27"/>
        </w:rPr>
        <w:fldChar w:fldCharType="begin"/>
      </w:r>
      <w:r>
        <w:rPr>
          <w:kern w:val="0"/>
          <w:sz w:val="27"/>
          <w:szCs w:val="27"/>
        </w:rPr>
        <w:instrText xml:space="preserve"> INCLUDEPICTURE  "https://www.tdx.com.cn/products/helpfile/tdxw/chm/%E7%AC%AC%E4%BA%94%E7%AB%A0  %E6%B3%A8%E5%86%8C%E5%8F%8A%E6%B8%B8%E5%AE%A2%E7%99%BB%E9%99%86/5-1/3.png" \* MERGEFORMATINET </w:instrText>
      </w:r>
      <w:r>
        <w:rPr>
          <w:kern w:val="0"/>
          <w:sz w:val="27"/>
          <w:szCs w:val="27"/>
        </w:rPr>
        <w:fldChar w:fldCharType="separate"/>
      </w:r>
      <w:r>
        <w:rPr>
          <w:kern w:val="0"/>
          <w:sz w:val="27"/>
          <w:szCs w:val="27"/>
        </w:rPr>
        <w:fldChar w:fldCharType="begin"/>
      </w:r>
      <w:r>
        <w:rPr>
          <w:kern w:val="0"/>
          <w:sz w:val="27"/>
          <w:szCs w:val="27"/>
        </w:rPr>
        <w:instrText xml:space="preserve"> INCLUDEPICTURE  "https://www.tdx.com.cn/products/helpfile/tdxw/chm/%E7%AC%AC%E4%BA%94%E7%AB%A0  %E6%B3%A8%E5%86%8C%E5%8F%8A%E6%B8%B8%E5%AE%A2%E7%99%BB%E9%99%86/5-1/3.png" \* MERGEFORMATINET </w:instrText>
      </w:r>
      <w:r>
        <w:rPr>
          <w:kern w:val="0"/>
          <w:sz w:val="27"/>
          <w:szCs w:val="27"/>
        </w:rPr>
        <w:fldChar w:fldCharType="separate"/>
      </w:r>
      <w:r>
        <w:rPr>
          <w:kern w:val="0"/>
          <w:sz w:val="27"/>
          <w:szCs w:val="27"/>
        </w:rPr>
        <w:fldChar w:fldCharType="begin"/>
      </w:r>
      <w:r>
        <w:rPr>
          <w:kern w:val="0"/>
          <w:sz w:val="27"/>
          <w:szCs w:val="27"/>
        </w:rPr>
        <w:instrText xml:space="preserve"> INCLUDEPICTURE  "https://www.tdx.com.cn/products/helpfile/tdxw/chm/%E7%AC%AC%E4%BA%94%E7%AB%A0  %E6%B3%A8%E5%86%8C%E5%8F%8A%E6%B8%B8%E5%AE%A2%E7%99%BB%E9%99%86/5-1/3.png" \* MERGEFORMATINET </w:instrText>
      </w:r>
      <w:r>
        <w:rPr>
          <w:kern w:val="0"/>
          <w:sz w:val="27"/>
          <w:szCs w:val="27"/>
        </w:rPr>
        <w:fldChar w:fldCharType="separate"/>
      </w:r>
      <w:r>
        <w:rPr>
          <w:kern w:val="0"/>
          <w:sz w:val="27"/>
          <w:szCs w:val="27"/>
        </w:rPr>
        <w:drawing>
          <wp:inline distT="0" distB="0" distL="114300" distR="114300">
            <wp:extent cx="6877050" cy="4305300"/>
            <wp:effectExtent l="0" t="0" r="0" b="0"/>
            <wp:docPr id="403" name="图片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图片 403"/>
                    <pic:cNvPicPr>
                      <a:picLocks noChangeAspect="1"/>
                    </pic:cNvPicPr>
                  </pic:nvPicPr>
                  <pic:blipFill>
                    <a:blip r:embed="rId758" r:link="rId759"/>
                    <a:stretch>
                      <a:fillRect/>
                    </a:stretch>
                  </pic:blipFill>
                  <pic:spPr>
                    <a:xfrm>
                      <a:off x="0" y="0"/>
                      <a:ext cx="6877050" cy="4305300"/>
                    </a:xfrm>
                    <a:prstGeom prst="rect">
                      <a:avLst/>
                    </a:prstGeom>
                    <a:noFill/>
                    <a:ln>
                      <a:noFill/>
                    </a:ln>
                  </pic:spPr>
                </pic:pic>
              </a:graphicData>
            </a:graphic>
          </wp:inline>
        </w:drawing>
      </w:r>
      <w:r>
        <w:rPr>
          <w:kern w:val="0"/>
          <w:sz w:val="27"/>
          <w:szCs w:val="27"/>
        </w:rPr>
        <w:fldChar w:fldCharType="end"/>
      </w:r>
      <w:r>
        <w:rPr>
          <w:kern w:val="0"/>
          <w:sz w:val="27"/>
          <w:szCs w:val="27"/>
        </w:rPr>
        <w:fldChar w:fldCharType="end"/>
      </w:r>
      <w:r>
        <w:rPr>
          <w:kern w:val="0"/>
          <w:sz w:val="27"/>
          <w:szCs w:val="27"/>
        </w:rPr>
        <w:fldChar w:fldCharType="end"/>
      </w:r>
      <w:r>
        <w:rPr>
          <w:kern w:val="0"/>
          <w:sz w:val="27"/>
          <w:szCs w:val="27"/>
        </w:rPr>
        <w:fldChar w:fldCharType="end"/>
      </w:r>
    </w:p>
    <w:p>
      <w:pPr>
        <w:pStyle w:val="34"/>
        <w:ind w:firstLine="540"/>
        <w:rPr>
          <w:kern w:val="0"/>
          <w:sz w:val="27"/>
          <w:szCs w:val="27"/>
        </w:rPr>
      </w:pPr>
      <w:r>
        <w:rPr>
          <w:kern w:val="0"/>
          <w:sz w:val="27"/>
          <w:szCs w:val="27"/>
        </w:rPr>
        <w:fldChar w:fldCharType="begin"/>
      </w:r>
      <w:r>
        <w:rPr>
          <w:kern w:val="0"/>
          <w:sz w:val="27"/>
          <w:szCs w:val="27"/>
        </w:rPr>
        <w:instrText xml:space="preserve"> INCLUDEPICTURE  "https://www.tdx.com.cn/products/helpfile/tdxw/chm/%E7%AC%AC%E4%BA%94%E7%AB%A0  %E6%B3%A8%E5%86%8C%E5%8F%8A%E6%B8%B8%E5%AE%A2%E7%99%BB%E9%99%86/5-1/4.png" \* MERGEFORMATINET </w:instrText>
      </w:r>
      <w:r>
        <w:rPr>
          <w:kern w:val="0"/>
          <w:sz w:val="27"/>
          <w:szCs w:val="27"/>
        </w:rPr>
        <w:fldChar w:fldCharType="separate"/>
      </w:r>
      <w:r>
        <w:rPr>
          <w:kern w:val="0"/>
          <w:sz w:val="27"/>
          <w:szCs w:val="27"/>
        </w:rPr>
        <w:fldChar w:fldCharType="begin"/>
      </w:r>
      <w:r>
        <w:rPr>
          <w:kern w:val="0"/>
          <w:sz w:val="27"/>
          <w:szCs w:val="27"/>
        </w:rPr>
        <w:instrText xml:space="preserve"> INCLUDEPICTURE  "https://www.tdx.com.cn/products/helpfile/tdxw/chm/%E7%AC%AC%E4%BA%94%E7%AB%A0  %E6%B3%A8%E5%86%8C%E5%8F%8A%E6%B8%B8%E5%AE%A2%E7%99%BB%E9%99%86/5-1/4.png" \* MERGEFORMATINET </w:instrText>
      </w:r>
      <w:r>
        <w:rPr>
          <w:kern w:val="0"/>
          <w:sz w:val="27"/>
          <w:szCs w:val="27"/>
        </w:rPr>
        <w:fldChar w:fldCharType="separate"/>
      </w:r>
      <w:r>
        <w:rPr>
          <w:kern w:val="0"/>
          <w:sz w:val="27"/>
          <w:szCs w:val="27"/>
        </w:rPr>
        <w:fldChar w:fldCharType="begin"/>
      </w:r>
      <w:r>
        <w:rPr>
          <w:kern w:val="0"/>
          <w:sz w:val="27"/>
          <w:szCs w:val="27"/>
        </w:rPr>
        <w:instrText xml:space="preserve"> INCLUDEPICTURE  "https://www.tdx.com.cn/products/helpfile/tdxw/chm/%E7%AC%AC%E4%BA%94%E7%AB%A0  %E6%B3%A8%E5%86%8C%E5%8F%8A%E6%B8%B8%E5%AE%A2%E7%99%BB%E9%99%86/5-1/4.png" \* MERGEFORMATINET </w:instrText>
      </w:r>
      <w:r>
        <w:rPr>
          <w:kern w:val="0"/>
          <w:sz w:val="27"/>
          <w:szCs w:val="27"/>
        </w:rPr>
        <w:fldChar w:fldCharType="separate"/>
      </w:r>
      <w:r>
        <w:rPr>
          <w:kern w:val="0"/>
          <w:sz w:val="27"/>
          <w:szCs w:val="27"/>
        </w:rPr>
        <w:fldChar w:fldCharType="begin"/>
      </w:r>
      <w:r>
        <w:rPr>
          <w:kern w:val="0"/>
          <w:sz w:val="27"/>
          <w:szCs w:val="27"/>
        </w:rPr>
        <w:instrText xml:space="preserve"> INCLUDEPICTURE  "https://www.tdx.com.cn/products/helpfile/tdxw/chm/%E7%AC%AC%E4%BA%94%E7%AB%A0  %E6%B3%A8%E5%86%8C%E5%8F%8A%E6%B8%B8%E5%AE%A2%E7%99%BB%E9%99%86/5-1/4.png" \* MERGEFORMATINET </w:instrText>
      </w:r>
      <w:r>
        <w:rPr>
          <w:kern w:val="0"/>
          <w:sz w:val="27"/>
          <w:szCs w:val="27"/>
        </w:rPr>
        <w:fldChar w:fldCharType="separate"/>
      </w:r>
      <w:r>
        <w:rPr>
          <w:kern w:val="0"/>
          <w:sz w:val="27"/>
          <w:szCs w:val="27"/>
        </w:rPr>
        <w:drawing>
          <wp:inline distT="0" distB="0" distL="114300" distR="114300">
            <wp:extent cx="7077075" cy="4619625"/>
            <wp:effectExtent l="0" t="0" r="9525" b="9525"/>
            <wp:docPr id="404" name="图片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图片 404"/>
                    <pic:cNvPicPr>
                      <a:picLocks noChangeAspect="1"/>
                    </pic:cNvPicPr>
                  </pic:nvPicPr>
                  <pic:blipFill>
                    <a:blip r:embed="rId760" r:link="rId761"/>
                    <a:stretch>
                      <a:fillRect/>
                    </a:stretch>
                  </pic:blipFill>
                  <pic:spPr>
                    <a:xfrm>
                      <a:off x="0" y="0"/>
                      <a:ext cx="7077075" cy="4619625"/>
                    </a:xfrm>
                    <a:prstGeom prst="rect">
                      <a:avLst/>
                    </a:prstGeom>
                    <a:noFill/>
                    <a:ln>
                      <a:noFill/>
                    </a:ln>
                  </pic:spPr>
                </pic:pic>
              </a:graphicData>
            </a:graphic>
          </wp:inline>
        </w:drawing>
      </w:r>
      <w:r>
        <w:rPr>
          <w:kern w:val="0"/>
          <w:sz w:val="27"/>
          <w:szCs w:val="27"/>
        </w:rPr>
        <w:fldChar w:fldCharType="end"/>
      </w:r>
      <w:r>
        <w:rPr>
          <w:kern w:val="0"/>
          <w:sz w:val="27"/>
          <w:szCs w:val="27"/>
        </w:rPr>
        <w:fldChar w:fldCharType="end"/>
      </w:r>
      <w:r>
        <w:rPr>
          <w:kern w:val="0"/>
          <w:sz w:val="27"/>
          <w:szCs w:val="27"/>
        </w:rPr>
        <w:fldChar w:fldCharType="end"/>
      </w:r>
      <w:r>
        <w:rPr>
          <w:kern w:val="0"/>
          <w:sz w:val="27"/>
          <w:szCs w:val="27"/>
        </w:rPr>
        <w:fldChar w:fldCharType="end"/>
      </w:r>
    </w:p>
    <w:p>
      <w:pPr>
        <w:pStyle w:val="34"/>
        <w:ind w:firstLine="540"/>
        <w:rPr>
          <w:kern w:val="0"/>
          <w:sz w:val="27"/>
          <w:szCs w:val="27"/>
        </w:rPr>
      </w:pPr>
      <w:r>
        <w:rPr>
          <w:kern w:val="0"/>
          <w:sz w:val="27"/>
          <w:szCs w:val="27"/>
        </w:rPr>
        <w:fldChar w:fldCharType="begin"/>
      </w:r>
      <w:r>
        <w:rPr>
          <w:kern w:val="0"/>
          <w:sz w:val="27"/>
          <w:szCs w:val="27"/>
        </w:rPr>
        <w:instrText xml:space="preserve"> INCLUDEPICTURE  "https://www.tdx.com.cn/products/helpfile/tdxw/chm/%E7%AC%AC%E4%BA%94%E7%AB%A0  %E6%B3%A8%E5%86%8C%E5%8F%8A%E6%B8%B8%E5%AE%A2%E7%99%BB%E9%99%86/5-1/5.png" \* MERGEFORMATINET </w:instrText>
      </w:r>
      <w:r>
        <w:rPr>
          <w:kern w:val="0"/>
          <w:sz w:val="27"/>
          <w:szCs w:val="27"/>
        </w:rPr>
        <w:fldChar w:fldCharType="separate"/>
      </w:r>
      <w:r>
        <w:rPr>
          <w:kern w:val="0"/>
          <w:sz w:val="27"/>
          <w:szCs w:val="27"/>
        </w:rPr>
        <w:fldChar w:fldCharType="begin"/>
      </w:r>
      <w:r>
        <w:rPr>
          <w:kern w:val="0"/>
          <w:sz w:val="27"/>
          <w:szCs w:val="27"/>
        </w:rPr>
        <w:instrText xml:space="preserve"> INCLUDEPICTURE  "https://www.tdx.com.cn/products/helpfile/tdxw/chm/%E7%AC%AC%E4%BA%94%E7%AB%A0  %E6%B3%A8%E5%86%8C%E5%8F%8A%E6%B8%B8%E5%AE%A2%E7%99%BB%E9%99%86/5-1/5.png" \* MERGEFORMATINET </w:instrText>
      </w:r>
      <w:r>
        <w:rPr>
          <w:kern w:val="0"/>
          <w:sz w:val="27"/>
          <w:szCs w:val="27"/>
        </w:rPr>
        <w:fldChar w:fldCharType="separate"/>
      </w:r>
      <w:r>
        <w:rPr>
          <w:kern w:val="0"/>
          <w:sz w:val="27"/>
          <w:szCs w:val="27"/>
        </w:rPr>
        <w:fldChar w:fldCharType="begin"/>
      </w:r>
      <w:r>
        <w:rPr>
          <w:kern w:val="0"/>
          <w:sz w:val="27"/>
          <w:szCs w:val="27"/>
        </w:rPr>
        <w:instrText xml:space="preserve"> INCLUDEPICTURE  "https://www.tdx.com.cn/products/helpfile/tdxw/chm/%E7%AC%AC%E4%BA%94%E7%AB%A0  %E6%B3%A8%E5%86%8C%E5%8F%8A%E6%B8%B8%E5%AE%A2%E7%99%BB%E9%99%86/5-1/5.png" \* MERGEFORMATINET </w:instrText>
      </w:r>
      <w:r>
        <w:rPr>
          <w:kern w:val="0"/>
          <w:sz w:val="27"/>
          <w:szCs w:val="27"/>
        </w:rPr>
        <w:fldChar w:fldCharType="separate"/>
      </w:r>
      <w:r>
        <w:rPr>
          <w:kern w:val="0"/>
          <w:sz w:val="27"/>
          <w:szCs w:val="27"/>
        </w:rPr>
        <w:fldChar w:fldCharType="begin"/>
      </w:r>
      <w:r>
        <w:rPr>
          <w:kern w:val="0"/>
          <w:sz w:val="27"/>
          <w:szCs w:val="27"/>
        </w:rPr>
        <w:instrText xml:space="preserve"> INCLUDEPICTURE  "https://www.tdx.com.cn/products/helpfile/tdxw/chm/%E7%AC%AC%E4%BA%94%E7%AB%A0  %E6%B3%A8%E5%86%8C%E5%8F%8A%E6%B8%B8%E5%AE%A2%E7%99%BB%E9%99%86/5-1/5.png" \* MERGEFORMATINET </w:instrText>
      </w:r>
      <w:r>
        <w:rPr>
          <w:kern w:val="0"/>
          <w:sz w:val="27"/>
          <w:szCs w:val="27"/>
        </w:rPr>
        <w:fldChar w:fldCharType="separate"/>
      </w:r>
      <w:r>
        <w:rPr>
          <w:kern w:val="0"/>
          <w:sz w:val="27"/>
          <w:szCs w:val="27"/>
        </w:rPr>
        <w:drawing>
          <wp:inline distT="0" distB="0" distL="114300" distR="114300">
            <wp:extent cx="8258175" cy="5105400"/>
            <wp:effectExtent l="0" t="0" r="9525" b="0"/>
            <wp:docPr id="405" name="图片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图片 405"/>
                    <pic:cNvPicPr>
                      <a:picLocks noChangeAspect="1"/>
                    </pic:cNvPicPr>
                  </pic:nvPicPr>
                  <pic:blipFill>
                    <a:blip r:embed="rId762" r:link="rId763"/>
                    <a:stretch>
                      <a:fillRect/>
                    </a:stretch>
                  </pic:blipFill>
                  <pic:spPr>
                    <a:xfrm>
                      <a:off x="0" y="0"/>
                      <a:ext cx="8258175" cy="5105400"/>
                    </a:xfrm>
                    <a:prstGeom prst="rect">
                      <a:avLst/>
                    </a:prstGeom>
                    <a:noFill/>
                    <a:ln>
                      <a:noFill/>
                    </a:ln>
                  </pic:spPr>
                </pic:pic>
              </a:graphicData>
            </a:graphic>
          </wp:inline>
        </w:drawing>
      </w:r>
      <w:r>
        <w:rPr>
          <w:kern w:val="0"/>
          <w:sz w:val="27"/>
          <w:szCs w:val="27"/>
        </w:rPr>
        <w:fldChar w:fldCharType="end"/>
      </w:r>
      <w:r>
        <w:rPr>
          <w:kern w:val="0"/>
          <w:sz w:val="27"/>
          <w:szCs w:val="27"/>
        </w:rPr>
        <w:fldChar w:fldCharType="end"/>
      </w:r>
      <w:r>
        <w:rPr>
          <w:kern w:val="0"/>
          <w:sz w:val="27"/>
          <w:szCs w:val="27"/>
        </w:rPr>
        <w:fldChar w:fldCharType="end"/>
      </w:r>
      <w:r>
        <w:rPr>
          <w:kern w:val="0"/>
          <w:sz w:val="27"/>
          <w:szCs w:val="27"/>
        </w:rPr>
        <w:fldChar w:fldCharType="end"/>
      </w:r>
    </w:p>
    <w:p>
      <w:pPr>
        <w:pStyle w:val="34"/>
        <w:ind w:firstLine="540"/>
        <w:rPr>
          <w:kern w:val="0"/>
          <w:sz w:val="27"/>
          <w:szCs w:val="27"/>
        </w:rPr>
      </w:pPr>
      <w:r>
        <w:rPr>
          <w:kern w:val="0"/>
          <w:sz w:val="27"/>
          <w:szCs w:val="27"/>
        </w:rPr>
        <w:fldChar w:fldCharType="begin"/>
      </w:r>
      <w:r>
        <w:rPr>
          <w:kern w:val="0"/>
          <w:sz w:val="27"/>
          <w:szCs w:val="27"/>
        </w:rPr>
        <w:instrText xml:space="preserve"> INCLUDEPICTURE  "https://www.tdx.com.cn/products/helpfile/tdxw/chm/%E7%AC%AC%E4%BA%94%E7%AB%A0  %E6%B3%A8%E5%86%8C%E5%8F%8A%E6%B8%B8%E5%AE%A2%E7%99%BB%E9%99%86/5-1/6.png" \* MERGEFORMATINET </w:instrText>
      </w:r>
      <w:r>
        <w:rPr>
          <w:kern w:val="0"/>
          <w:sz w:val="27"/>
          <w:szCs w:val="27"/>
        </w:rPr>
        <w:fldChar w:fldCharType="separate"/>
      </w:r>
      <w:r>
        <w:rPr>
          <w:kern w:val="0"/>
          <w:sz w:val="27"/>
          <w:szCs w:val="27"/>
        </w:rPr>
        <w:fldChar w:fldCharType="begin"/>
      </w:r>
      <w:r>
        <w:rPr>
          <w:kern w:val="0"/>
          <w:sz w:val="27"/>
          <w:szCs w:val="27"/>
        </w:rPr>
        <w:instrText xml:space="preserve"> INCLUDEPICTURE  "https://www.tdx.com.cn/products/helpfile/tdxw/chm/%E7%AC%AC%E4%BA%94%E7%AB%A0  %E6%B3%A8%E5%86%8C%E5%8F%8A%E6%B8%B8%E5%AE%A2%E7%99%BB%E9%99%86/5-1/6.png" \* MERGEFORMATINET </w:instrText>
      </w:r>
      <w:r>
        <w:rPr>
          <w:kern w:val="0"/>
          <w:sz w:val="27"/>
          <w:szCs w:val="27"/>
        </w:rPr>
        <w:fldChar w:fldCharType="separate"/>
      </w:r>
      <w:r>
        <w:rPr>
          <w:kern w:val="0"/>
          <w:sz w:val="27"/>
          <w:szCs w:val="27"/>
        </w:rPr>
        <w:fldChar w:fldCharType="begin"/>
      </w:r>
      <w:r>
        <w:rPr>
          <w:kern w:val="0"/>
          <w:sz w:val="27"/>
          <w:szCs w:val="27"/>
        </w:rPr>
        <w:instrText xml:space="preserve"> INCLUDEPICTURE  "https://www.tdx.com.cn/products/helpfile/tdxw/chm/%E7%AC%AC%E4%BA%94%E7%AB%A0  %E6%B3%A8%E5%86%8C%E5%8F%8A%E6%B8%B8%E5%AE%A2%E7%99%BB%E9%99%86/5-1/6.png" \* MERGEFORMATINET </w:instrText>
      </w:r>
      <w:r>
        <w:rPr>
          <w:kern w:val="0"/>
          <w:sz w:val="27"/>
          <w:szCs w:val="27"/>
        </w:rPr>
        <w:fldChar w:fldCharType="separate"/>
      </w:r>
      <w:r>
        <w:rPr>
          <w:kern w:val="0"/>
          <w:sz w:val="27"/>
          <w:szCs w:val="27"/>
        </w:rPr>
        <w:fldChar w:fldCharType="begin"/>
      </w:r>
      <w:r>
        <w:rPr>
          <w:kern w:val="0"/>
          <w:sz w:val="27"/>
          <w:szCs w:val="27"/>
        </w:rPr>
        <w:instrText xml:space="preserve"> INCLUDEPICTURE  "https://www.tdx.com.cn/products/helpfile/tdxw/chm/%E7%AC%AC%E4%BA%94%E7%AB%A0  %E6%B3%A8%E5%86%8C%E5%8F%8A%E6%B8%B8%E5%AE%A2%E7%99%BB%E9%99%86/5-1/6.png" \* MERGEFORMATINET </w:instrText>
      </w:r>
      <w:r>
        <w:rPr>
          <w:kern w:val="0"/>
          <w:sz w:val="27"/>
          <w:szCs w:val="27"/>
        </w:rPr>
        <w:fldChar w:fldCharType="separate"/>
      </w:r>
      <w:r>
        <w:rPr>
          <w:kern w:val="0"/>
          <w:sz w:val="27"/>
          <w:szCs w:val="27"/>
        </w:rPr>
        <w:drawing>
          <wp:inline distT="0" distB="0" distL="114300" distR="114300">
            <wp:extent cx="7000875" cy="4533900"/>
            <wp:effectExtent l="0" t="0" r="9525" b="0"/>
            <wp:docPr id="406" name="图片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图片 406"/>
                    <pic:cNvPicPr>
                      <a:picLocks noChangeAspect="1"/>
                    </pic:cNvPicPr>
                  </pic:nvPicPr>
                  <pic:blipFill>
                    <a:blip r:embed="rId764" r:link="rId765"/>
                    <a:stretch>
                      <a:fillRect/>
                    </a:stretch>
                  </pic:blipFill>
                  <pic:spPr>
                    <a:xfrm>
                      <a:off x="0" y="0"/>
                      <a:ext cx="7000875" cy="4533900"/>
                    </a:xfrm>
                    <a:prstGeom prst="rect">
                      <a:avLst/>
                    </a:prstGeom>
                    <a:noFill/>
                    <a:ln>
                      <a:noFill/>
                    </a:ln>
                  </pic:spPr>
                </pic:pic>
              </a:graphicData>
            </a:graphic>
          </wp:inline>
        </w:drawing>
      </w:r>
      <w:r>
        <w:rPr>
          <w:kern w:val="0"/>
          <w:sz w:val="27"/>
          <w:szCs w:val="27"/>
        </w:rPr>
        <w:fldChar w:fldCharType="end"/>
      </w:r>
      <w:r>
        <w:rPr>
          <w:kern w:val="0"/>
          <w:sz w:val="27"/>
          <w:szCs w:val="27"/>
        </w:rPr>
        <w:fldChar w:fldCharType="end"/>
      </w:r>
      <w:r>
        <w:rPr>
          <w:kern w:val="0"/>
          <w:sz w:val="27"/>
          <w:szCs w:val="27"/>
        </w:rPr>
        <w:fldChar w:fldCharType="end"/>
      </w:r>
      <w:r>
        <w:rPr>
          <w:kern w:val="0"/>
          <w:sz w:val="27"/>
          <w:szCs w:val="27"/>
        </w:rPr>
        <w:fldChar w:fldCharType="end"/>
      </w:r>
    </w:p>
    <w:p>
      <w:pPr>
        <w:pStyle w:val="34"/>
        <w:ind w:firstLine="540"/>
        <w:rPr>
          <w:kern w:val="0"/>
          <w:sz w:val="27"/>
          <w:szCs w:val="27"/>
        </w:rPr>
      </w:pPr>
      <w:r>
        <w:rPr>
          <w:kern w:val="0"/>
          <w:sz w:val="27"/>
          <w:szCs w:val="27"/>
        </w:rPr>
        <w:fldChar w:fldCharType="begin"/>
      </w:r>
      <w:r>
        <w:rPr>
          <w:kern w:val="0"/>
          <w:sz w:val="27"/>
          <w:szCs w:val="27"/>
        </w:rPr>
        <w:instrText xml:space="preserve"> INCLUDEPICTURE  "https://www.tdx.com.cn/products/helpfile/tdxw/chm/%E7%AC%AC%E4%BA%94%E7%AB%A0  %E6%B3%A8%E5%86%8C%E5%8F%8A%E6%B8%B8%E5%AE%A2%E7%99%BB%E9%99%86/5-1/7.png" \* MERGEFORMATINET </w:instrText>
      </w:r>
      <w:r>
        <w:rPr>
          <w:kern w:val="0"/>
          <w:sz w:val="27"/>
          <w:szCs w:val="27"/>
        </w:rPr>
        <w:fldChar w:fldCharType="separate"/>
      </w:r>
      <w:r>
        <w:rPr>
          <w:kern w:val="0"/>
          <w:sz w:val="27"/>
          <w:szCs w:val="27"/>
        </w:rPr>
        <w:fldChar w:fldCharType="begin"/>
      </w:r>
      <w:r>
        <w:rPr>
          <w:kern w:val="0"/>
          <w:sz w:val="27"/>
          <w:szCs w:val="27"/>
        </w:rPr>
        <w:instrText xml:space="preserve"> INCLUDEPICTURE  "https://www.tdx.com.cn/products/helpfile/tdxw/chm/%E7%AC%AC%E4%BA%94%E7%AB%A0  %E6%B3%A8%E5%86%8C%E5%8F%8A%E6%B8%B8%E5%AE%A2%E7%99%BB%E9%99%86/5-1/7.png" \* MERGEFORMATINET </w:instrText>
      </w:r>
      <w:r>
        <w:rPr>
          <w:kern w:val="0"/>
          <w:sz w:val="27"/>
          <w:szCs w:val="27"/>
        </w:rPr>
        <w:fldChar w:fldCharType="separate"/>
      </w:r>
      <w:r>
        <w:rPr>
          <w:kern w:val="0"/>
          <w:sz w:val="27"/>
          <w:szCs w:val="27"/>
        </w:rPr>
        <w:fldChar w:fldCharType="begin"/>
      </w:r>
      <w:r>
        <w:rPr>
          <w:kern w:val="0"/>
          <w:sz w:val="27"/>
          <w:szCs w:val="27"/>
        </w:rPr>
        <w:instrText xml:space="preserve"> INCLUDEPICTURE  "https://www.tdx.com.cn/products/helpfile/tdxw/chm/%E7%AC%AC%E4%BA%94%E7%AB%A0  %E6%B3%A8%E5%86%8C%E5%8F%8A%E6%B8%B8%E5%AE%A2%E7%99%BB%E9%99%86/5-1/7.png" \* MERGEFORMATINET </w:instrText>
      </w:r>
      <w:r>
        <w:rPr>
          <w:kern w:val="0"/>
          <w:sz w:val="27"/>
          <w:szCs w:val="27"/>
        </w:rPr>
        <w:fldChar w:fldCharType="separate"/>
      </w:r>
      <w:r>
        <w:rPr>
          <w:kern w:val="0"/>
          <w:sz w:val="27"/>
          <w:szCs w:val="27"/>
        </w:rPr>
        <w:fldChar w:fldCharType="begin"/>
      </w:r>
      <w:r>
        <w:rPr>
          <w:kern w:val="0"/>
          <w:sz w:val="27"/>
          <w:szCs w:val="27"/>
        </w:rPr>
        <w:instrText xml:space="preserve"> INCLUDEPICTURE  "https://www.tdx.com.cn/products/helpfile/tdxw/chm/%E7%AC%AC%E4%BA%94%E7%AB%A0  %E6%B3%A8%E5%86%8C%E5%8F%8A%E6%B8%B8%E5%AE%A2%E7%99%BB%E9%99%86/5-1/7.png" \* MERGEFORMATINET </w:instrText>
      </w:r>
      <w:r>
        <w:rPr>
          <w:kern w:val="0"/>
          <w:sz w:val="27"/>
          <w:szCs w:val="27"/>
        </w:rPr>
        <w:fldChar w:fldCharType="separate"/>
      </w:r>
      <w:r>
        <w:rPr>
          <w:kern w:val="0"/>
          <w:sz w:val="27"/>
          <w:szCs w:val="27"/>
        </w:rPr>
        <w:drawing>
          <wp:inline distT="0" distB="0" distL="114300" distR="114300">
            <wp:extent cx="7724775" cy="4772025"/>
            <wp:effectExtent l="0" t="0" r="9525" b="9525"/>
            <wp:docPr id="407" name="图片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图片 407"/>
                    <pic:cNvPicPr>
                      <a:picLocks noChangeAspect="1"/>
                    </pic:cNvPicPr>
                  </pic:nvPicPr>
                  <pic:blipFill>
                    <a:blip r:embed="rId766" r:link="rId767"/>
                    <a:stretch>
                      <a:fillRect/>
                    </a:stretch>
                  </pic:blipFill>
                  <pic:spPr>
                    <a:xfrm>
                      <a:off x="0" y="0"/>
                      <a:ext cx="7724775" cy="4772025"/>
                    </a:xfrm>
                    <a:prstGeom prst="rect">
                      <a:avLst/>
                    </a:prstGeom>
                    <a:noFill/>
                    <a:ln>
                      <a:noFill/>
                    </a:ln>
                  </pic:spPr>
                </pic:pic>
              </a:graphicData>
            </a:graphic>
          </wp:inline>
        </w:drawing>
      </w:r>
      <w:r>
        <w:rPr>
          <w:kern w:val="0"/>
          <w:sz w:val="27"/>
          <w:szCs w:val="27"/>
        </w:rPr>
        <w:fldChar w:fldCharType="end"/>
      </w:r>
      <w:r>
        <w:rPr>
          <w:kern w:val="0"/>
          <w:sz w:val="27"/>
          <w:szCs w:val="27"/>
        </w:rPr>
        <w:fldChar w:fldCharType="end"/>
      </w:r>
      <w:r>
        <w:rPr>
          <w:kern w:val="0"/>
          <w:sz w:val="27"/>
          <w:szCs w:val="27"/>
        </w:rPr>
        <w:fldChar w:fldCharType="end"/>
      </w:r>
      <w:r>
        <w:rPr>
          <w:kern w:val="0"/>
          <w:sz w:val="27"/>
          <w:szCs w:val="27"/>
        </w:rPr>
        <w:fldChar w:fldCharType="end"/>
      </w:r>
    </w:p>
    <w:p>
      <w:pPr>
        <w:pStyle w:val="34"/>
        <w:ind w:firstLine="540"/>
        <w:rPr>
          <w:kern w:val="0"/>
          <w:sz w:val="27"/>
          <w:szCs w:val="27"/>
        </w:rPr>
      </w:pPr>
      <w:r>
        <w:rPr>
          <w:kern w:val="0"/>
          <w:sz w:val="27"/>
          <w:szCs w:val="27"/>
        </w:rPr>
        <w:fldChar w:fldCharType="begin"/>
      </w:r>
      <w:r>
        <w:rPr>
          <w:kern w:val="0"/>
          <w:sz w:val="27"/>
          <w:szCs w:val="27"/>
        </w:rPr>
        <w:instrText xml:space="preserve"> INCLUDEPICTURE  "https://www.tdx.com.cn/products/helpfile/tdxw/chm/%E7%AC%AC%E4%BA%94%E7%AB%A0  %E6%B3%A8%E5%86%8C%E5%8F%8A%E6%B8%B8%E5%AE%A2%E7%99%BB%E9%99%86/5-1/8.png" \* MERGEFORMATINET </w:instrText>
      </w:r>
      <w:r>
        <w:rPr>
          <w:kern w:val="0"/>
          <w:sz w:val="27"/>
          <w:szCs w:val="27"/>
        </w:rPr>
        <w:fldChar w:fldCharType="separate"/>
      </w:r>
      <w:r>
        <w:rPr>
          <w:kern w:val="0"/>
          <w:sz w:val="27"/>
          <w:szCs w:val="27"/>
        </w:rPr>
        <w:fldChar w:fldCharType="begin"/>
      </w:r>
      <w:r>
        <w:rPr>
          <w:kern w:val="0"/>
          <w:sz w:val="27"/>
          <w:szCs w:val="27"/>
        </w:rPr>
        <w:instrText xml:space="preserve"> INCLUDEPICTURE  "https://www.tdx.com.cn/products/helpfile/tdxw/chm/%E7%AC%AC%E4%BA%94%E7%AB%A0  %E6%B3%A8%E5%86%8C%E5%8F%8A%E6%B8%B8%E5%AE%A2%E7%99%BB%E9%99%86/5-1/8.png" \* MERGEFORMATINET </w:instrText>
      </w:r>
      <w:r>
        <w:rPr>
          <w:kern w:val="0"/>
          <w:sz w:val="27"/>
          <w:szCs w:val="27"/>
        </w:rPr>
        <w:fldChar w:fldCharType="separate"/>
      </w:r>
      <w:r>
        <w:rPr>
          <w:kern w:val="0"/>
          <w:sz w:val="27"/>
          <w:szCs w:val="27"/>
        </w:rPr>
        <w:fldChar w:fldCharType="begin"/>
      </w:r>
      <w:r>
        <w:rPr>
          <w:kern w:val="0"/>
          <w:sz w:val="27"/>
          <w:szCs w:val="27"/>
        </w:rPr>
        <w:instrText xml:space="preserve"> INCLUDEPICTURE  "https://www.tdx.com.cn/products/helpfile/tdxw/chm/%E7%AC%AC%E4%BA%94%E7%AB%A0  %E6%B3%A8%E5%86%8C%E5%8F%8A%E6%B8%B8%E5%AE%A2%E7%99%BB%E9%99%86/5-1/8.png" \* MERGEFORMATINET </w:instrText>
      </w:r>
      <w:r>
        <w:rPr>
          <w:kern w:val="0"/>
          <w:sz w:val="27"/>
          <w:szCs w:val="27"/>
        </w:rPr>
        <w:fldChar w:fldCharType="separate"/>
      </w:r>
      <w:r>
        <w:rPr>
          <w:kern w:val="0"/>
          <w:sz w:val="27"/>
          <w:szCs w:val="27"/>
        </w:rPr>
        <w:fldChar w:fldCharType="begin"/>
      </w:r>
      <w:r>
        <w:rPr>
          <w:kern w:val="0"/>
          <w:sz w:val="27"/>
          <w:szCs w:val="27"/>
        </w:rPr>
        <w:instrText xml:space="preserve"> INCLUDEPICTURE  "https://www.tdx.com.cn/products/helpfile/tdxw/chm/%E7%AC%AC%E4%BA%94%E7%AB%A0  %E6%B3%A8%E5%86%8C%E5%8F%8A%E6%B8%B8%E5%AE%A2%E7%99%BB%E9%99%86/5-1/8.png" \* MERGEFORMATINET </w:instrText>
      </w:r>
      <w:r>
        <w:rPr>
          <w:kern w:val="0"/>
          <w:sz w:val="27"/>
          <w:szCs w:val="27"/>
        </w:rPr>
        <w:fldChar w:fldCharType="separate"/>
      </w:r>
      <w:r>
        <w:rPr>
          <w:kern w:val="0"/>
          <w:sz w:val="27"/>
          <w:szCs w:val="27"/>
        </w:rPr>
        <w:drawing>
          <wp:inline distT="0" distB="0" distL="114300" distR="114300">
            <wp:extent cx="7381875" cy="4810125"/>
            <wp:effectExtent l="0" t="0" r="9525" b="9525"/>
            <wp:docPr id="408" name="图片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图片 408"/>
                    <pic:cNvPicPr>
                      <a:picLocks noChangeAspect="1"/>
                    </pic:cNvPicPr>
                  </pic:nvPicPr>
                  <pic:blipFill>
                    <a:blip r:embed="rId768" r:link="rId769"/>
                    <a:stretch>
                      <a:fillRect/>
                    </a:stretch>
                  </pic:blipFill>
                  <pic:spPr>
                    <a:xfrm>
                      <a:off x="0" y="0"/>
                      <a:ext cx="7381875" cy="4810125"/>
                    </a:xfrm>
                    <a:prstGeom prst="rect">
                      <a:avLst/>
                    </a:prstGeom>
                    <a:noFill/>
                    <a:ln>
                      <a:noFill/>
                    </a:ln>
                  </pic:spPr>
                </pic:pic>
              </a:graphicData>
            </a:graphic>
          </wp:inline>
        </w:drawing>
      </w:r>
      <w:r>
        <w:rPr>
          <w:kern w:val="0"/>
          <w:sz w:val="27"/>
          <w:szCs w:val="27"/>
        </w:rPr>
        <w:fldChar w:fldCharType="end"/>
      </w:r>
      <w:r>
        <w:rPr>
          <w:kern w:val="0"/>
          <w:sz w:val="27"/>
          <w:szCs w:val="27"/>
        </w:rPr>
        <w:fldChar w:fldCharType="end"/>
      </w:r>
      <w:r>
        <w:rPr>
          <w:kern w:val="0"/>
          <w:sz w:val="27"/>
          <w:szCs w:val="27"/>
        </w:rPr>
        <w:fldChar w:fldCharType="end"/>
      </w:r>
      <w:r>
        <w:rPr>
          <w:kern w:val="0"/>
          <w:sz w:val="27"/>
          <w:szCs w:val="27"/>
        </w:rPr>
        <w:fldChar w:fldCharType="end"/>
      </w:r>
    </w:p>
    <w:p>
      <w:pPr>
        <w:pStyle w:val="34"/>
        <w:ind w:firstLine="540"/>
        <w:rPr>
          <w:kern w:val="0"/>
          <w:sz w:val="27"/>
          <w:szCs w:val="27"/>
        </w:rPr>
      </w:pPr>
      <w:r>
        <w:rPr>
          <w:kern w:val="0"/>
          <w:sz w:val="27"/>
          <w:szCs w:val="27"/>
        </w:rPr>
        <w:fldChar w:fldCharType="begin"/>
      </w:r>
      <w:r>
        <w:rPr>
          <w:kern w:val="0"/>
          <w:sz w:val="27"/>
          <w:szCs w:val="27"/>
        </w:rPr>
        <w:instrText xml:space="preserve"> INCLUDEPICTURE  "https://www.tdx.com.cn/products/helpfile/tdxw/chm/%E7%AC%AC%E4%BA%94%E7%AB%A0  %E6%B3%A8%E5%86%8C%E5%8F%8A%E6%B8%B8%E5%AE%A2%E7%99%BB%E9%99%86/5-1/9.png" \* MERGEFORMATINET </w:instrText>
      </w:r>
      <w:r>
        <w:rPr>
          <w:kern w:val="0"/>
          <w:sz w:val="27"/>
          <w:szCs w:val="27"/>
        </w:rPr>
        <w:fldChar w:fldCharType="separate"/>
      </w:r>
      <w:r>
        <w:rPr>
          <w:kern w:val="0"/>
          <w:sz w:val="27"/>
          <w:szCs w:val="27"/>
        </w:rPr>
        <w:fldChar w:fldCharType="begin"/>
      </w:r>
      <w:r>
        <w:rPr>
          <w:kern w:val="0"/>
          <w:sz w:val="27"/>
          <w:szCs w:val="27"/>
        </w:rPr>
        <w:instrText xml:space="preserve"> INCLUDEPICTURE  "https://www.tdx.com.cn/products/helpfile/tdxw/chm/%E7%AC%AC%E4%BA%94%E7%AB%A0  %E6%B3%A8%E5%86%8C%E5%8F%8A%E6%B8%B8%E5%AE%A2%E7%99%BB%E9%99%86/5-1/9.png" \* MERGEFORMATINET </w:instrText>
      </w:r>
      <w:r>
        <w:rPr>
          <w:kern w:val="0"/>
          <w:sz w:val="27"/>
          <w:szCs w:val="27"/>
        </w:rPr>
        <w:fldChar w:fldCharType="separate"/>
      </w:r>
      <w:r>
        <w:rPr>
          <w:kern w:val="0"/>
          <w:sz w:val="27"/>
          <w:szCs w:val="27"/>
        </w:rPr>
        <w:fldChar w:fldCharType="begin"/>
      </w:r>
      <w:r>
        <w:rPr>
          <w:kern w:val="0"/>
          <w:sz w:val="27"/>
          <w:szCs w:val="27"/>
        </w:rPr>
        <w:instrText xml:space="preserve"> INCLUDEPICTURE  "https://www.tdx.com.cn/products/helpfile/tdxw/chm/%E7%AC%AC%E4%BA%94%E7%AB%A0  %E6%B3%A8%E5%86%8C%E5%8F%8A%E6%B8%B8%E5%AE%A2%E7%99%BB%E9%99%86/5-1/9.png" \* MERGEFORMATINET </w:instrText>
      </w:r>
      <w:r>
        <w:rPr>
          <w:kern w:val="0"/>
          <w:sz w:val="27"/>
          <w:szCs w:val="27"/>
        </w:rPr>
        <w:fldChar w:fldCharType="separate"/>
      </w:r>
      <w:r>
        <w:rPr>
          <w:kern w:val="0"/>
          <w:sz w:val="27"/>
          <w:szCs w:val="27"/>
        </w:rPr>
        <w:fldChar w:fldCharType="begin"/>
      </w:r>
      <w:r>
        <w:rPr>
          <w:kern w:val="0"/>
          <w:sz w:val="27"/>
          <w:szCs w:val="27"/>
        </w:rPr>
        <w:instrText xml:space="preserve"> INCLUDEPICTURE  "https://www.tdx.com.cn/products/helpfile/tdxw/chm/%E7%AC%AC%E4%BA%94%E7%AB%A0  %E6%B3%A8%E5%86%8C%E5%8F%8A%E6%B8%B8%E5%AE%A2%E7%99%BB%E9%99%86/5-1/9.png" \* MERGEFORMATINET </w:instrText>
      </w:r>
      <w:r>
        <w:rPr>
          <w:kern w:val="0"/>
          <w:sz w:val="27"/>
          <w:szCs w:val="27"/>
        </w:rPr>
        <w:fldChar w:fldCharType="separate"/>
      </w:r>
      <w:r>
        <w:rPr>
          <w:kern w:val="0"/>
          <w:sz w:val="27"/>
          <w:szCs w:val="27"/>
        </w:rPr>
        <w:drawing>
          <wp:inline distT="0" distB="0" distL="114300" distR="114300">
            <wp:extent cx="6477000" cy="4229100"/>
            <wp:effectExtent l="0" t="0" r="0" b="0"/>
            <wp:docPr id="409" name="图片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图片 409"/>
                    <pic:cNvPicPr>
                      <a:picLocks noChangeAspect="1"/>
                    </pic:cNvPicPr>
                  </pic:nvPicPr>
                  <pic:blipFill>
                    <a:blip r:embed="rId770" r:link="rId771"/>
                    <a:stretch>
                      <a:fillRect/>
                    </a:stretch>
                  </pic:blipFill>
                  <pic:spPr>
                    <a:xfrm>
                      <a:off x="0" y="0"/>
                      <a:ext cx="6477000" cy="4229100"/>
                    </a:xfrm>
                    <a:prstGeom prst="rect">
                      <a:avLst/>
                    </a:prstGeom>
                    <a:noFill/>
                    <a:ln>
                      <a:noFill/>
                    </a:ln>
                  </pic:spPr>
                </pic:pic>
              </a:graphicData>
            </a:graphic>
          </wp:inline>
        </w:drawing>
      </w:r>
      <w:r>
        <w:rPr>
          <w:kern w:val="0"/>
          <w:sz w:val="27"/>
          <w:szCs w:val="27"/>
        </w:rPr>
        <w:fldChar w:fldCharType="end"/>
      </w:r>
      <w:r>
        <w:rPr>
          <w:kern w:val="0"/>
          <w:sz w:val="27"/>
          <w:szCs w:val="27"/>
        </w:rPr>
        <w:fldChar w:fldCharType="end"/>
      </w:r>
      <w:r>
        <w:rPr>
          <w:kern w:val="0"/>
          <w:sz w:val="27"/>
          <w:szCs w:val="27"/>
        </w:rPr>
        <w:fldChar w:fldCharType="end"/>
      </w:r>
      <w:r>
        <w:rPr>
          <w:kern w:val="0"/>
          <w:sz w:val="27"/>
          <w:szCs w:val="27"/>
        </w:rPr>
        <w:fldChar w:fldCharType="end"/>
      </w:r>
    </w:p>
    <w:p>
      <w:pPr>
        <w:pStyle w:val="34"/>
        <w:ind w:firstLine="540"/>
        <w:rPr>
          <w:kern w:val="0"/>
          <w:sz w:val="27"/>
          <w:szCs w:val="27"/>
        </w:rPr>
      </w:pPr>
      <w:r>
        <w:rPr>
          <w:kern w:val="0"/>
          <w:sz w:val="27"/>
          <w:szCs w:val="27"/>
        </w:rPr>
        <w:fldChar w:fldCharType="begin"/>
      </w:r>
      <w:r>
        <w:rPr>
          <w:kern w:val="0"/>
          <w:sz w:val="27"/>
          <w:szCs w:val="27"/>
        </w:rPr>
        <w:instrText xml:space="preserve"> INCLUDEPICTURE  "https://www.tdx.com.cn/products/helpfile/tdxw/chm/%E7%AC%AC%E4%BA%94%E7%AB%A0  %E6%B3%A8%E5%86%8C%E5%8F%8A%E6%B8%B8%E5%AE%A2%E7%99%BB%E9%99%86/5-1/10.png" \* MERGEFORMATINET </w:instrText>
      </w:r>
      <w:r>
        <w:rPr>
          <w:kern w:val="0"/>
          <w:sz w:val="27"/>
          <w:szCs w:val="27"/>
        </w:rPr>
        <w:fldChar w:fldCharType="separate"/>
      </w:r>
      <w:r>
        <w:rPr>
          <w:kern w:val="0"/>
          <w:sz w:val="27"/>
          <w:szCs w:val="27"/>
        </w:rPr>
        <w:fldChar w:fldCharType="begin"/>
      </w:r>
      <w:r>
        <w:rPr>
          <w:kern w:val="0"/>
          <w:sz w:val="27"/>
          <w:szCs w:val="27"/>
        </w:rPr>
        <w:instrText xml:space="preserve"> INCLUDEPICTURE  "https://www.tdx.com.cn/products/helpfile/tdxw/chm/%E7%AC%AC%E4%BA%94%E7%AB%A0  %E6%B3%A8%E5%86%8C%E5%8F%8A%E6%B8%B8%E5%AE%A2%E7%99%BB%E9%99%86/5-1/10.png" \* MERGEFORMATINET </w:instrText>
      </w:r>
      <w:r>
        <w:rPr>
          <w:kern w:val="0"/>
          <w:sz w:val="27"/>
          <w:szCs w:val="27"/>
        </w:rPr>
        <w:fldChar w:fldCharType="separate"/>
      </w:r>
      <w:r>
        <w:rPr>
          <w:kern w:val="0"/>
          <w:sz w:val="27"/>
          <w:szCs w:val="27"/>
        </w:rPr>
        <w:fldChar w:fldCharType="begin"/>
      </w:r>
      <w:r>
        <w:rPr>
          <w:kern w:val="0"/>
          <w:sz w:val="27"/>
          <w:szCs w:val="27"/>
        </w:rPr>
        <w:instrText xml:space="preserve"> INCLUDEPICTURE  "https://www.tdx.com.cn/products/helpfile/tdxw/chm/%E7%AC%AC%E4%BA%94%E7%AB%A0  %E6%B3%A8%E5%86%8C%E5%8F%8A%E6%B8%B8%E5%AE%A2%E7%99%BB%E9%99%86/5-1/10.png" \* MERGEFORMATINET </w:instrText>
      </w:r>
      <w:r>
        <w:rPr>
          <w:kern w:val="0"/>
          <w:sz w:val="27"/>
          <w:szCs w:val="27"/>
        </w:rPr>
        <w:fldChar w:fldCharType="separate"/>
      </w:r>
      <w:r>
        <w:rPr>
          <w:kern w:val="0"/>
          <w:sz w:val="27"/>
          <w:szCs w:val="27"/>
        </w:rPr>
        <w:fldChar w:fldCharType="begin"/>
      </w:r>
      <w:r>
        <w:rPr>
          <w:kern w:val="0"/>
          <w:sz w:val="27"/>
          <w:szCs w:val="27"/>
        </w:rPr>
        <w:instrText xml:space="preserve"> INCLUDEPICTURE  "https://www.tdx.com.cn/products/helpfile/tdxw/chm/%E7%AC%AC%E4%BA%94%E7%AB%A0  %E6%B3%A8%E5%86%8C%E5%8F%8A%E6%B8%B8%E5%AE%A2%E7%99%BB%E9%99%86/5-1/10.png" \* MERGEFORMATINET </w:instrText>
      </w:r>
      <w:r>
        <w:rPr>
          <w:kern w:val="0"/>
          <w:sz w:val="27"/>
          <w:szCs w:val="27"/>
        </w:rPr>
        <w:fldChar w:fldCharType="separate"/>
      </w:r>
      <w:r>
        <w:rPr>
          <w:kern w:val="0"/>
          <w:sz w:val="27"/>
          <w:szCs w:val="27"/>
        </w:rPr>
        <w:drawing>
          <wp:inline distT="0" distB="0" distL="114300" distR="114300">
            <wp:extent cx="7124700" cy="4619625"/>
            <wp:effectExtent l="0" t="0" r="0" b="9525"/>
            <wp:docPr id="410" name="图片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图片 410"/>
                    <pic:cNvPicPr>
                      <a:picLocks noChangeAspect="1"/>
                    </pic:cNvPicPr>
                  </pic:nvPicPr>
                  <pic:blipFill>
                    <a:blip r:embed="rId772" r:link="rId773"/>
                    <a:stretch>
                      <a:fillRect/>
                    </a:stretch>
                  </pic:blipFill>
                  <pic:spPr>
                    <a:xfrm>
                      <a:off x="0" y="0"/>
                      <a:ext cx="7124700" cy="4619625"/>
                    </a:xfrm>
                    <a:prstGeom prst="rect">
                      <a:avLst/>
                    </a:prstGeom>
                    <a:noFill/>
                    <a:ln>
                      <a:noFill/>
                    </a:ln>
                  </pic:spPr>
                </pic:pic>
              </a:graphicData>
            </a:graphic>
          </wp:inline>
        </w:drawing>
      </w:r>
      <w:r>
        <w:rPr>
          <w:kern w:val="0"/>
          <w:sz w:val="27"/>
          <w:szCs w:val="27"/>
        </w:rPr>
        <w:fldChar w:fldCharType="end"/>
      </w:r>
      <w:r>
        <w:rPr>
          <w:kern w:val="0"/>
          <w:sz w:val="27"/>
          <w:szCs w:val="27"/>
        </w:rPr>
        <w:fldChar w:fldCharType="end"/>
      </w:r>
      <w:r>
        <w:rPr>
          <w:kern w:val="0"/>
          <w:sz w:val="27"/>
          <w:szCs w:val="27"/>
        </w:rPr>
        <w:fldChar w:fldCharType="end"/>
      </w:r>
      <w:r>
        <w:rPr>
          <w:kern w:val="0"/>
          <w:sz w:val="27"/>
          <w:szCs w:val="27"/>
        </w:rPr>
        <w:fldChar w:fldCharType="end"/>
      </w:r>
    </w:p>
    <w:p>
      <w:pPr>
        <w:pStyle w:val="34"/>
        <w:ind w:firstLine="540"/>
        <w:rPr>
          <w:kern w:val="0"/>
          <w:sz w:val="27"/>
          <w:szCs w:val="27"/>
        </w:rPr>
      </w:pPr>
      <w:r>
        <w:rPr>
          <w:kern w:val="0"/>
          <w:sz w:val="27"/>
          <w:szCs w:val="27"/>
        </w:rPr>
        <w:fldChar w:fldCharType="begin"/>
      </w:r>
      <w:r>
        <w:rPr>
          <w:kern w:val="0"/>
          <w:sz w:val="27"/>
          <w:szCs w:val="27"/>
        </w:rPr>
        <w:instrText xml:space="preserve"> INCLUDEPICTURE  "https://www.tdx.com.cn/products/helpfile/tdxw/chm/%E7%AC%AC%E4%BA%94%E7%AB%A0  %E6%B3%A8%E5%86%8C%E5%8F%8A%E6%B8%B8%E5%AE%A2%E7%99%BB%E9%99%86/5-1/11.png" \* MERGEFORMATINET </w:instrText>
      </w:r>
      <w:r>
        <w:rPr>
          <w:kern w:val="0"/>
          <w:sz w:val="27"/>
          <w:szCs w:val="27"/>
        </w:rPr>
        <w:fldChar w:fldCharType="separate"/>
      </w:r>
      <w:r>
        <w:rPr>
          <w:kern w:val="0"/>
          <w:sz w:val="27"/>
          <w:szCs w:val="27"/>
        </w:rPr>
        <w:fldChar w:fldCharType="begin"/>
      </w:r>
      <w:r>
        <w:rPr>
          <w:kern w:val="0"/>
          <w:sz w:val="27"/>
          <w:szCs w:val="27"/>
        </w:rPr>
        <w:instrText xml:space="preserve"> INCLUDEPICTURE  "https://www.tdx.com.cn/products/helpfile/tdxw/chm/%E7%AC%AC%E4%BA%94%E7%AB%A0  %E6%B3%A8%E5%86%8C%E5%8F%8A%E6%B8%B8%E5%AE%A2%E7%99%BB%E9%99%86/5-1/11.png" \* MERGEFORMATINET </w:instrText>
      </w:r>
      <w:r>
        <w:rPr>
          <w:kern w:val="0"/>
          <w:sz w:val="27"/>
          <w:szCs w:val="27"/>
        </w:rPr>
        <w:fldChar w:fldCharType="separate"/>
      </w:r>
      <w:r>
        <w:rPr>
          <w:kern w:val="0"/>
          <w:sz w:val="27"/>
          <w:szCs w:val="27"/>
        </w:rPr>
        <w:fldChar w:fldCharType="begin"/>
      </w:r>
      <w:r>
        <w:rPr>
          <w:kern w:val="0"/>
          <w:sz w:val="27"/>
          <w:szCs w:val="27"/>
        </w:rPr>
        <w:instrText xml:space="preserve"> INCLUDEPICTURE  "https://www.tdx.com.cn/products/helpfile/tdxw/chm/%E7%AC%AC%E4%BA%94%E7%AB%A0  %E6%B3%A8%E5%86%8C%E5%8F%8A%E6%B8%B8%E5%AE%A2%E7%99%BB%E9%99%86/5-1/11.png" \* MERGEFORMATINET </w:instrText>
      </w:r>
      <w:r>
        <w:rPr>
          <w:kern w:val="0"/>
          <w:sz w:val="27"/>
          <w:szCs w:val="27"/>
        </w:rPr>
        <w:fldChar w:fldCharType="separate"/>
      </w:r>
      <w:r>
        <w:rPr>
          <w:kern w:val="0"/>
          <w:sz w:val="27"/>
          <w:szCs w:val="27"/>
        </w:rPr>
        <w:fldChar w:fldCharType="begin"/>
      </w:r>
      <w:r>
        <w:rPr>
          <w:kern w:val="0"/>
          <w:sz w:val="27"/>
          <w:szCs w:val="27"/>
        </w:rPr>
        <w:instrText xml:space="preserve"> INCLUDEPICTURE  "https://www.tdx.com.cn/products/helpfile/tdxw/chm/%E7%AC%AC%E4%BA%94%E7%AB%A0  %E6%B3%A8%E5%86%8C%E5%8F%8A%E6%B8%B8%E5%AE%A2%E7%99%BB%E9%99%86/5-1/11.png" \* MERGEFORMATINET </w:instrText>
      </w:r>
      <w:r>
        <w:rPr>
          <w:kern w:val="0"/>
          <w:sz w:val="27"/>
          <w:szCs w:val="27"/>
        </w:rPr>
        <w:fldChar w:fldCharType="separate"/>
      </w:r>
      <w:r>
        <w:rPr>
          <w:kern w:val="0"/>
          <w:sz w:val="27"/>
          <w:szCs w:val="27"/>
        </w:rPr>
        <w:drawing>
          <wp:inline distT="0" distB="0" distL="114300" distR="114300">
            <wp:extent cx="8134350" cy="5334000"/>
            <wp:effectExtent l="0" t="0" r="0" b="0"/>
            <wp:docPr id="411" name="图片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图片 411"/>
                    <pic:cNvPicPr>
                      <a:picLocks noChangeAspect="1"/>
                    </pic:cNvPicPr>
                  </pic:nvPicPr>
                  <pic:blipFill>
                    <a:blip r:embed="rId774" r:link="rId775"/>
                    <a:stretch>
                      <a:fillRect/>
                    </a:stretch>
                  </pic:blipFill>
                  <pic:spPr>
                    <a:xfrm>
                      <a:off x="0" y="0"/>
                      <a:ext cx="8134350" cy="5334000"/>
                    </a:xfrm>
                    <a:prstGeom prst="rect">
                      <a:avLst/>
                    </a:prstGeom>
                    <a:noFill/>
                    <a:ln>
                      <a:noFill/>
                    </a:ln>
                  </pic:spPr>
                </pic:pic>
              </a:graphicData>
            </a:graphic>
          </wp:inline>
        </w:drawing>
      </w:r>
      <w:r>
        <w:rPr>
          <w:kern w:val="0"/>
          <w:sz w:val="27"/>
          <w:szCs w:val="27"/>
        </w:rPr>
        <w:fldChar w:fldCharType="end"/>
      </w:r>
      <w:r>
        <w:rPr>
          <w:kern w:val="0"/>
          <w:sz w:val="27"/>
          <w:szCs w:val="27"/>
        </w:rPr>
        <w:fldChar w:fldCharType="end"/>
      </w:r>
      <w:r>
        <w:rPr>
          <w:kern w:val="0"/>
          <w:sz w:val="27"/>
          <w:szCs w:val="27"/>
        </w:rPr>
        <w:fldChar w:fldCharType="end"/>
      </w:r>
      <w:r>
        <w:rPr>
          <w:kern w:val="0"/>
          <w:sz w:val="27"/>
          <w:szCs w:val="27"/>
        </w:rPr>
        <w:fldChar w:fldCharType="end"/>
      </w:r>
    </w:p>
    <w:p>
      <w:pPr>
        <w:pStyle w:val="34"/>
        <w:ind w:firstLine="540"/>
        <w:rPr>
          <w:kern w:val="0"/>
          <w:sz w:val="27"/>
          <w:szCs w:val="27"/>
        </w:rPr>
      </w:pPr>
      <w:r>
        <w:rPr>
          <w:kern w:val="0"/>
          <w:sz w:val="27"/>
          <w:szCs w:val="27"/>
        </w:rPr>
        <w:fldChar w:fldCharType="begin"/>
      </w:r>
      <w:r>
        <w:rPr>
          <w:kern w:val="0"/>
          <w:sz w:val="27"/>
          <w:szCs w:val="27"/>
        </w:rPr>
        <w:instrText xml:space="preserve"> INCLUDEPICTURE  "https://www.tdx.com.cn/products/helpfile/tdxw/chm/%E7%AC%AC%E4%BA%94%E7%AB%A0  %E6%B3%A8%E5%86%8C%E5%8F%8A%E6%B8%B8%E5%AE%A2%E7%99%BB%E9%99%86/5-1/12.png" \* MERGEFORMATINET </w:instrText>
      </w:r>
      <w:r>
        <w:rPr>
          <w:kern w:val="0"/>
          <w:sz w:val="27"/>
          <w:szCs w:val="27"/>
        </w:rPr>
        <w:fldChar w:fldCharType="separate"/>
      </w:r>
      <w:r>
        <w:rPr>
          <w:kern w:val="0"/>
          <w:sz w:val="27"/>
          <w:szCs w:val="27"/>
        </w:rPr>
        <w:fldChar w:fldCharType="begin"/>
      </w:r>
      <w:r>
        <w:rPr>
          <w:kern w:val="0"/>
          <w:sz w:val="27"/>
          <w:szCs w:val="27"/>
        </w:rPr>
        <w:instrText xml:space="preserve"> INCLUDEPICTURE  "https://www.tdx.com.cn/products/helpfile/tdxw/chm/%E7%AC%AC%E4%BA%94%E7%AB%A0  %E6%B3%A8%E5%86%8C%E5%8F%8A%E6%B8%B8%E5%AE%A2%E7%99%BB%E9%99%86/5-1/12.png" \* MERGEFORMATINET </w:instrText>
      </w:r>
      <w:r>
        <w:rPr>
          <w:kern w:val="0"/>
          <w:sz w:val="27"/>
          <w:szCs w:val="27"/>
        </w:rPr>
        <w:fldChar w:fldCharType="separate"/>
      </w:r>
      <w:r>
        <w:rPr>
          <w:kern w:val="0"/>
          <w:sz w:val="27"/>
          <w:szCs w:val="27"/>
        </w:rPr>
        <w:fldChar w:fldCharType="begin"/>
      </w:r>
      <w:r>
        <w:rPr>
          <w:kern w:val="0"/>
          <w:sz w:val="27"/>
          <w:szCs w:val="27"/>
        </w:rPr>
        <w:instrText xml:space="preserve"> INCLUDEPICTURE  "https://www.tdx.com.cn/products/helpfile/tdxw/chm/%E7%AC%AC%E4%BA%94%E7%AB%A0  %E6%B3%A8%E5%86%8C%E5%8F%8A%E6%B8%B8%E5%AE%A2%E7%99%BB%E9%99%86/5-1/12.png" \* MERGEFORMATINET </w:instrText>
      </w:r>
      <w:r>
        <w:rPr>
          <w:kern w:val="0"/>
          <w:sz w:val="27"/>
          <w:szCs w:val="27"/>
        </w:rPr>
        <w:fldChar w:fldCharType="separate"/>
      </w:r>
      <w:r>
        <w:rPr>
          <w:kern w:val="0"/>
          <w:sz w:val="27"/>
          <w:szCs w:val="27"/>
        </w:rPr>
        <w:fldChar w:fldCharType="begin"/>
      </w:r>
      <w:r>
        <w:rPr>
          <w:kern w:val="0"/>
          <w:sz w:val="27"/>
          <w:szCs w:val="27"/>
        </w:rPr>
        <w:instrText xml:space="preserve"> INCLUDEPICTURE  "https://www.tdx.com.cn/products/helpfile/tdxw/chm/%E7%AC%AC%E4%BA%94%E7%AB%A0  %E6%B3%A8%E5%86%8C%E5%8F%8A%E6%B8%B8%E5%AE%A2%E7%99%BB%E9%99%86/5-1/12.png" \* MERGEFORMATINET </w:instrText>
      </w:r>
      <w:r>
        <w:rPr>
          <w:kern w:val="0"/>
          <w:sz w:val="27"/>
          <w:szCs w:val="27"/>
        </w:rPr>
        <w:fldChar w:fldCharType="separate"/>
      </w:r>
      <w:r>
        <w:rPr>
          <w:kern w:val="0"/>
          <w:sz w:val="27"/>
          <w:szCs w:val="27"/>
        </w:rPr>
        <w:drawing>
          <wp:inline distT="0" distB="0" distL="114300" distR="114300">
            <wp:extent cx="7058025" cy="4600575"/>
            <wp:effectExtent l="0" t="0" r="9525" b="9525"/>
            <wp:docPr id="412" name="图片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图片 412"/>
                    <pic:cNvPicPr>
                      <a:picLocks noChangeAspect="1"/>
                    </pic:cNvPicPr>
                  </pic:nvPicPr>
                  <pic:blipFill>
                    <a:blip r:embed="rId776" r:link="rId777"/>
                    <a:stretch>
                      <a:fillRect/>
                    </a:stretch>
                  </pic:blipFill>
                  <pic:spPr>
                    <a:xfrm>
                      <a:off x="0" y="0"/>
                      <a:ext cx="7058025" cy="4600575"/>
                    </a:xfrm>
                    <a:prstGeom prst="rect">
                      <a:avLst/>
                    </a:prstGeom>
                    <a:noFill/>
                    <a:ln>
                      <a:noFill/>
                    </a:ln>
                  </pic:spPr>
                </pic:pic>
              </a:graphicData>
            </a:graphic>
          </wp:inline>
        </w:drawing>
      </w:r>
      <w:r>
        <w:rPr>
          <w:kern w:val="0"/>
          <w:sz w:val="27"/>
          <w:szCs w:val="27"/>
        </w:rPr>
        <w:fldChar w:fldCharType="end"/>
      </w:r>
      <w:r>
        <w:rPr>
          <w:kern w:val="0"/>
          <w:sz w:val="27"/>
          <w:szCs w:val="27"/>
        </w:rPr>
        <w:fldChar w:fldCharType="end"/>
      </w:r>
      <w:r>
        <w:rPr>
          <w:kern w:val="0"/>
          <w:sz w:val="27"/>
          <w:szCs w:val="27"/>
        </w:rPr>
        <w:fldChar w:fldCharType="end"/>
      </w:r>
      <w:r>
        <w:rPr>
          <w:kern w:val="0"/>
          <w:sz w:val="27"/>
          <w:szCs w:val="27"/>
        </w:rPr>
        <w:fldChar w:fldCharType="end"/>
      </w:r>
    </w:p>
    <w:p>
      <w:pPr>
        <w:pStyle w:val="34"/>
        <w:ind w:firstLine="540"/>
        <w:rPr>
          <w:kern w:val="0"/>
          <w:sz w:val="27"/>
          <w:szCs w:val="27"/>
        </w:rPr>
      </w:pPr>
      <w:r>
        <w:rPr>
          <w:kern w:val="0"/>
          <w:sz w:val="27"/>
          <w:szCs w:val="27"/>
        </w:rPr>
        <w:fldChar w:fldCharType="begin"/>
      </w:r>
      <w:r>
        <w:rPr>
          <w:kern w:val="0"/>
          <w:sz w:val="27"/>
          <w:szCs w:val="27"/>
        </w:rPr>
        <w:instrText xml:space="preserve"> INCLUDEPICTURE  "https://www.tdx.com.cn/products/helpfile/tdxw/chm/%E7%AC%AC%E4%BA%94%E7%AB%A0  %E6%B3%A8%E5%86%8C%E5%8F%8A%E6%B8%B8%E5%AE%A2%E7%99%BB%E9%99%86/5-1/13.png" \* MERGEFORMATINET </w:instrText>
      </w:r>
      <w:r>
        <w:rPr>
          <w:kern w:val="0"/>
          <w:sz w:val="27"/>
          <w:szCs w:val="27"/>
        </w:rPr>
        <w:fldChar w:fldCharType="separate"/>
      </w:r>
      <w:r>
        <w:rPr>
          <w:kern w:val="0"/>
          <w:sz w:val="27"/>
          <w:szCs w:val="27"/>
        </w:rPr>
        <w:fldChar w:fldCharType="begin"/>
      </w:r>
      <w:r>
        <w:rPr>
          <w:kern w:val="0"/>
          <w:sz w:val="27"/>
          <w:szCs w:val="27"/>
        </w:rPr>
        <w:instrText xml:space="preserve"> INCLUDEPICTURE  "https://www.tdx.com.cn/products/helpfile/tdxw/chm/%E7%AC%AC%E4%BA%94%E7%AB%A0  %E6%B3%A8%E5%86%8C%E5%8F%8A%E6%B8%B8%E5%AE%A2%E7%99%BB%E9%99%86/5-1/13.png" \* MERGEFORMATINET </w:instrText>
      </w:r>
      <w:r>
        <w:rPr>
          <w:kern w:val="0"/>
          <w:sz w:val="27"/>
          <w:szCs w:val="27"/>
        </w:rPr>
        <w:fldChar w:fldCharType="separate"/>
      </w:r>
      <w:r>
        <w:rPr>
          <w:kern w:val="0"/>
          <w:sz w:val="27"/>
          <w:szCs w:val="27"/>
        </w:rPr>
        <w:fldChar w:fldCharType="begin"/>
      </w:r>
      <w:r>
        <w:rPr>
          <w:kern w:val="0"/>
          <w:sz w:val="27"/>
          <w:szCs w:val="27"/>
        </w:rPr>
        <w:instrText xml:space="preserve"> INCLUDEPICTURE  "https://www.tdx.com.cn/products/helpfile/tdxw/chm/%E7%AC%AC%E4%BA%94%E7%AB%A0  %E6%B3%A8%E5%86%8C%E5%8F%8A%E6%B8%B8%E5%AE%A2%E7%99%BB%E9%99%86/5-1/13.png" \* MERGEFORMATINET </w:instrText>
      </w:r>
      <w:r>
        <w:rPr>
          <w:kern w:val="0"/>
          <w:sz w:val="27"/>
          <w:szCs w:val="27"/>
        </w:rPr>
        <w:fldChar w:fldCharType="separate"/>
      </w:r>
      <w:r>
        <w:rPr>
          <w:kern w:val="0"/>
          <w:sz w:val="27"/>
          <w:szCs w:val="27"/>
        </w:rPr>
        <w:fldChar w:fldCharType="begin"/>
      </w:r>
      <w:r>
        <w:rPr>
          <w:kern w:val="0"/>
          <w:sz w:val="27"/>
          <w:szCs w:val="27"/>
        </w:rPr>
        <w:instrText xml:space="preserve"> INCLUDEPICTURE  "https://www.tdx.com.cn/products/helpfile/tdxw/chm/%E7%AC%AC%E4%BA%94%E7%AB%A0  %E6%B3%A8%E5%86%8C%E5%8F%8A%E6%B8%B8%E5%AE%A2%E7%99%BB%E9%99%86/5-1/13.png" \* MERGEFORMATINET </w:instrText>
      </w:r>
      <w:r>
        <w:rPr>
          <w:kern w:val="0"/>
          <w:sz w:val="27"/>
          <w:szCs w:val="27"/>
        </w:rPr>
        <w:fldChar w:fldCharType="separate"/>
      </w:r>
      <w:r>
        <w:rPr>
          <w:kern w:val="0"/>
          <w:sz w:val="27"/>
          <w:szCs w:val="27"/>
        </w:rPr>
        <w:drawing>
          <wp:inline distT="0" distB="0" distL="114300" distR="114300">
            <wp:extent cx="7810500" cy="5095875"/>
            <wp:effectExtent l="0" t="0" r="0" b="9525"/>
            <wp:docPr id="413" name="图片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图片 413"/>
                    <pic:cNvPicPr>
                      <a:picLocks noChangeAspect="1"/>
                    </pic:cNvPicPr>
                  </pic:nvPicPr>
                  <pic:blipFill>
                    <a:blip r:embed="rId778" r:link="rId779"/>
                    <a:stretch>
                      <a:fillRect/>
                    </a:stretch>
                  </pic:blipFill>
                  <pic:spPr>
                    <a:xfrm>
                      <a:off x="0" y="0"/>
                      <a:ext cx="7810500" cy="5095875"/>
                    </a:xfrm>
                    <a:prstGeom prst="rect">
                      <a:avLst/>
                    </a:prstGeom>
                    <a:noFill/>
                    <a:ln>
                      <a:noFill/>
                    </a:ln>
                  </pic:spPr>
                </pic:pic>
              </a:graphicData>
            </a:graphic>
          </wp:inline>
        </w:drawing>
      </w:r>
      <w:r>
        <w:rPr>
          <w:kern w:val="0"/>
          <w:sz w:val="27"/>
          <w:szCs w:val="27"/>
        </w:rPr>
        <w:fldChar w:fldCharType="end"/>
      </w:r>
      <w:r>
        <w:rPr>
          <w:kern w:val="0"/>
          <w:sz w:val="27"/>
          <w:szCs w:val="27"/>
        </w:rPr>
        <w:fldChar w:fldCharType="end"/>
      </w:r>
      <w:r>
        <w:rPr>
          <w:kern w:val="0"/>
          <w:sz w:val="27"/>
          <w:szCs w:val="27"/>
        </w:rPr>
        <w:fldChar w:fldCharType="end"/>
      </w:r>
      <w:r>
        <w:rPr>
          <w:kern w:val="0"/>
          <w:sz w:val="27"/>
          <w:szCs w:val="27"/>
        </w:rPr>
        <w:fldChar w:fldCharType="end"/>
      </w:r>
    </w:p>
    <w:p>
      <w:pPr>
        <w:pStyle w:val="34"/>
        <w:ind w:firstLine="540"/>
        <w:rPr>
          <w:kern w:val="0"/>
          <w:sz w:val="27"/>
          <w:szCs w:val="27"/>
        </w:rPr>
      </w:pPr>
      <w:r>
        <w:rPr>
          <w:kern w:val="0"/>
          <w:sz w:val="27"/>
          <w:szCs w:val="27"/>
        </w:rPr>
        <w:fldChar w:fldCharType="begin"/>
      </w:r>
      <w:r>
        <w:rPr>
          <w:kern w:val="0"/>
          <w:sz w:val="27"/>
          <w:szCs w:val="27"/>
        </w:rPr>
        <w:instrText xml:space="preserve"> INCLUDEPICTURE  "https://www.tdx.com.cn/products/helpfile/tdxw/chm/%E7%AC%AC%E4%BA%94%E7%AB%A0  %E6%B3%A8%E5%86%8C%E5%8F%8A%E6%B8%B8%E5%AE%A2%E7%99%BB%E9%99%86/5-1/14.png" \* MERGEFORMATINET </w:instrText>
      </w:r>
      <w:r>
        <w:rPr>
          <w:kern w:val="0"/>
          <w:sz w:val="27"/>
          <w:szCs w:val="27"/>
        </w:rPr>
        <w:fldChar w:fldCharType="separate"/>
      </w:r>
      <w:r>
        <w:rPr>
          <w:kern w:val="0"/>
          <w:sz w:val="27"/>
          <w:szCs w:val="27"/>
        </w:rPr>
        <w:fldChar w:fldCharType="begin"/>
      </w:r>
      <w:r>
        <w:rPr>
          <w:kern w:val="0"/>
          <w:sz w:val="27"/>
          <w:szCs w:val="27"/>
        </w:rPr>
        <w:instrText xml:space="preserve"> INCLUDEPICTURE  "https://www.tdx.com.cn/products/helpfile/tdxw/chm/%E7%AC%AC%E4%BA%94%E7%AB%A0  %E6%B3%A8%E5%86%8C%E5%8F%8A%E6%B8%B8%E5%AE%A2%E7%99%BB%E9%99%86/5-1/14.png" \* MERGEFORMATINET </w:instrText>
      </w:r>
      <w:r>
        <w:rPr>
          <w:kern w:val="0"/>
          <w:sz w:val="27"/>
          <w:szCs w:val="27"/>
        </w:rPr>
        <w:fldChar w:fldCharType="separate"/>
      </w:r>
      <w:r>
        <w:rPr>
          <w:kern w:val="0"/>
          <w:sz w:val="27"/>
          <w:szCs w:val="27"/>
        </w:rPr>
        <w:fldChar w:fldCharType="begin"/>
      </w:r>
      <w:r>
        <w:rPr>
          <w:kern w:val="0"/>
          <w:sz w:val="27"/>
          <w:szCs w:val="27"/>
        </w:rPr>
        <w:instrText xml:space="preserve"> INCLUDEPICTURE  "https://www.tdx.com.cn/products/helpfile/tdxw/chm/%E7%AC%AC%E4%BA%94%E7%AB%A0  %E6%B3%A8%E5%86%8C%E5%8F%8A%E6%B8%B8%E5%AE%A2%E7%99%BB%E9%99%86/5-1/14.png" \* MERGEFORMATINET </w:instrText>
      </w:r>
      <w:r>
        <w:rPr>
          <w:kern w:val="0"/>
          <w:sz w:val="27"/>
          <w:szCs w:val="27"/>
        </w:rPr>
        <w:fldChar w:fldCharType="separate"/>
      </w:r>
      <w:r>
        <w:rPr>
          <w:kern w:val="0"/>
          <w:sz w:val="27"/>
          <w:szCs w:val="27"/>
        </w:rPr>
        <w:fldChar w:fldCharType="begin"/>
      </w:r>
      <w:r>
        <w:rPr>
          <w:kern w:val="0"/>
          <w:sz w:val="27"/>
          <w:szCs w:val="27"/>
        </w:rPr>
        <w:instrText xml:space="preserve"> INCLUDEPICTURE  "https://www.tdx.com.cn/products/helpfile/tdxw/chm/%E7%AC%AC%E4%BA%94%E7%AB%A0  %E6%B3%A8%E5%86%8C%E5%8F%8A%E6%B8%B8%E5%AE%A2%E7%99%BB%E9%99%86/5-1/14.png" \* MERGEFORMATINET </w:instrText>
      </w:r>
      <w:r>
        <w:rPr>
          <w:kern w:val="0"/>
          <w:sz w:val="27"/>
          <w:szCs w:val="27"/>
        </w:rPr>
        <w:fldChar w:fldCharType="separate"/>
      </w:r>
      <w:r>
        <w:rPr>
          <w:kern w:val="0"/>
          <w:sz w:val="27"/>
          <w:szCs w:val="27"/>
        </w:rPr>
        <w:drawing>
          <wp:inline distT="0" distB="0" distL="114300" distR="114300">
            <wp:extent cx="7429500" cy="4886325"/>
            <wp:effectExtent l="0" t="0" r="0" b="9525"/>
            <wp:docPr id="414" name="图片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图片 414"/>
                    <pic:cNvPicPr>
                      <a:picLocks noChangeAspect="1"/>
                    </pic:cNvPicPr>
                  </pic:nvPicPr>
                  <pic:blipFill>
                    <a:blip r:embed="rId780" r:link="rId781"/>
                    <a:stretch>
                      <a:fillRect/>
                    </a:stretch>
                  </pic:blipFill>
                  <pic:spPr>
                    <a:xfrm>
                      <a:off x="0" y="0"/>
                      <a:ext cx="7429500" cy="4886325"/>
                    </a:xfrm>
                    <a:prstGeom prst="rect">
                      <a:avLst/>
                    </a:prstGeom>
                    <a:noFill/>
                    <a:ln>
                      <a:noFill/>
                    </a:ln>
                  </pic:spPr>
                </pic:pic>
              </a:graphicData>
            </a:graphic>
          </wp:inline>
        </w:drawing>
      </w:r>
      <w:r>
        <w:rPr>
          <w:kern w:val="0"/>
          <w:sz w:val="27"/>
          <w:szCs w:val="27"/>
        </w:rPr>
        <w:fldChar w:fldCharType="end"/>
      </w:r>
      <w:r>
        <w:rPr>
          <w:kern w:val="0"/>
          <w:sz w:val="27"/>
          <w:szCs w:val="27"/>
        </w:rPr>
        <w:fldChar w:fldCharType="end"/>
      </w:r>
      <w:r>
        <w:rPr>
          <w:kern w:val="0"/>
          <w:sz w:val="27"/>
          <w:szCs w:val="27"/>
        </w:rPr>
        <w:fldChar w:fldCharType="end"/>
      </w:r>
      <w:r>
        <w:rPr>
          <w:kern w:val="0"/>
          <w:sz w:val="27"/>
          <w:szCs w:val="27"/>
        </w:rPr>
        <w:fldChar w:fldCharType="end"/>
      </w:r>
    </w:p>
    <w:p>
      <w:pPr>
        <w:pStyle w:val="34"/>
        <w:ind w:firstLine="540"/>
        <w:rPr>
          <w:kern w:val="0"/>
          <w:sz w:val="27"/>
          <w:szCs w:val="27"/>
        </w:rPr>
      </w:pPr>
      <w:r>
        <w:rPr>
          <w:kern w:val="0"/>
          <w:sz w:val="27"/>
          <w:szCs w:val="27"/>
        </w:rPr>
        <w:fldChar w:fldCharType="begin"/>
      </w:r>
      <w:r>
        <w:rPr>
          <w:kern w:val="0"/>
          <w:sz w:val="27"/>
          <w:szCs w:val="27"/>
        </w:rPr>
        <w:instrText xml:space="preserve"> INCLUDEPICTURE  "https://www.tdx.com.cn/products/helpfile/tdxw/chm/%E7%AC%AC%E4%BA%94%E7%AB%A0  %E6%B3%A8%E5%86%8C%E5%8F%8A%E6%B8%B8%E5%AE%A2%E7%99%BB%E9%99%86/5-1/15.png" \* MERGEFORMATINET </w:instrText>
      </w:r>
      <w:r>
        <w:rPr>
          <w:kern w:val="0"/>
          <w:sz w:val="27"/>
          <w:szCs w:val="27"/>
        </w:rPr>
        <w:fldChar w:fldCharType="separate"/>
      </w:r>
      <w:r>
        <w:rPr>
          <w:kern w:val="0"/>
          <w:sz w:val="27"/>
          <w:szCs w:val="27"/>
        </w:rPr>
        <w:fldChar w:fldCharType="begin"/>
      </w:r>
      <w:r>
        <w:rPr>
          <w:kern w:val="0"/>
          <w:sz w:val="27"/>
          <w:szCs w:val="27"/>
        </w:rPr>
        <w:instrText xml:space="preserve"> INCLUDEPICTURE  "https://www.tdx.com.cn/products/helpfile/tdxw/chm/%E7%AC%AC%E4%BA%94%E7%AB%A0  %E6%B3%A8%E5%86%8C%E5%8F%8A%E6%B8%B8%E5%AE%A2%E7%99%BB%E9%99%86/5-1/15.png" \* MERGEFORMATINET </w:instrText>
      </w:r>
      <w:r>
        <w:rPr>
          <w:kern w:val="0"/>
          <w:sz w:val="27"/>
          <w:szCs w:val="27"/>
        </w:rPr>
        <w:fldChar w:fldCharType="separate"/>
      </w:r>
      <w:r>
        <w:rPr>
          <w:kern w:val="0"/>
          <w:sz w:val="27"/>
          <w:szCs w:val="27"/>
        </w:rPr>
        <w:fldChar w:fldCharType="begin"/>
      </w:r>
      <w:r>
        <w:rPr>
          <w:kern w:val="0"/>
          <w:sz w:val="27"/>
          <w:szCs w:val="27"/>
        </w:rPr>
        <w:instrText xml:space="preserve"> INCLUDEPICTURE  "https://www.tdx.com.cn/products/helpfile/tdxw/chm/%E7%AC%AC%E4%BA%94%E7%AB%A0  %E6%B3%A8%E5%86%8C%E5%8F%8A%E6%B8%B8%E5%AE%A2%E7%99%BB%E9%99%86/5-1/15.png" \* MERGEFORMATINET </w:instrText>
      </w:r>
      <w:r>
        <w:rPr>
          <w:kern w:val="0"/>
          <w:sz w:val="27"/>
          <w:szCs w:val="27"/>
        </w:rPr>
        <w:fldChar w:fldCharType="separate"/>
      </w:r>
      <w:r>
        <w:rPr>
          <w:kern w:val="0"/>
          <w:sz w:val="27"/>
          <w:szCs w:val="27"/>
        </w:rPr>
        <w:fldChar w:fldCharType="begin"/>
      </w:r>
      <w:r>
        <w:rPr>
          <w:kern w:val="0"/>
          <w:sz w:val="27"/>
          <w:szCs w:val="27"/>
        </w:rPr>
        <w:instrText xml:space="preserve"> INCLUDEPICTURE  "https://www.tdx.com.cn/products/helpfile/tdxw/chm/%E7%AC%AC%E4%BA%94%E7%AB%A0  %E6%B3%A8%E5%86%8C%E5%8F%8A%E6%B8%B8%E5%AE%A2%E7%99%BB%E9%99%86/5-1/15.png" \* MERGEFORMATINET </w:instrText>
      </w:r>
      <w:r>
        <w:rPr>
          <w:kern w:val="0"/>
          <w:sz w:val="27"/>
          <w:szCs w:val="27"/>
        </w:rPr>
        <w:fldChar w:fldCharType="separate"/>
      </w:r>
      <w:r>
        <w:rPr>
          <w:kern w:val="0"/>
          <w:sz w:val="27"/>
          <w:szCs w:val="27"/>
        </w:rPr>
        <w:drawing>
          <wp:inline distT="0" distB="0" distL="114300" distR="114300">
            <wp:extent cx="8620125" cy="5619750"/>
            <wp:effectExtent l="0" t="0" r="9525" b="0"/>
            <wp:docPr id="415" name="图片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图片 415"/>
                    <pic:cNvPicPr>
                      <a:picLocks noChangeAspect="1"/>
                    </pic:cNvPicPr>
                  </pic:nvPicPr>
                  <pic:blipFill>
                    <a:blip r:embed="rId782" r:link="rId783"/>
                    <a:stretch>
                      <a:fillRect/>
                    </a:stretch>
                  </pic:blipFill>
                  <pic:spPr>
                    <a:xfrm>
                      <a:off x="0" y="0"/>
                      <a:ext cx="8620125" cy="5619750"/>
                    </a:xfrm>
                    <a:prstGeom prst="rect">
                      <a:avLst/>
                    </a:prstGeom>
                    <a:noFill/>
                    <a:ln>
                      <a:noFill/>
                    </a:ln>
                  </pic:spPr>
                </pic:pic>
              </a:graphicData>
            </a:graphic>
          </wp:inline>
        </w:drawing>
      </w:r>
      <w:r>
        <w:rPr>
          <w:kern w:val="0"/>
          <w:sz w:val="27"/>
          <w:szCs w:val="27"/>
        </w:rPr>
        <w:fldChar w:fldCharType="end"/>
      </w:r>
      <w:r>
        <w:rPr>
          <w:kern w:val="0"/>
          <w:sz w:val="27"/>
          <w:szCs w:val="27"/>
        </w:rPr>
        <w:fldChar w:fldCharType="end"/>
      </w:r>
      <w:r>
        <w:rPr>
          <w:kern w:val="0"/>
          <w:sz w:val="27"/>
          <w:szCs w:val="27"/>
        </w:rPr>
        <w:fldChar w:fldCharType="end"/>
      </w:r>
      <w:r>
        <w:rPr>
          <w:kern w:val="0"/>
          <w:sz w:val="27"/>
          <w:szCs w:val="27"/>
        </w:rPr>
        <w:fldChar w:fldCharType="end"/>
      </w:r>
    </w:p>
    <w:p>
      <w:pPr>
        <w:pStyle w:val="34"/>
        <w:ind w:firstLine="540"/>
        <w:rPr>
          <w:kern w:val="0"/>
          <w:sz w:val="27"/>
          <w:szCs w:val="27"/>
        </w:rPr>
      </w:pPr>
      <w:r>
        <w:rPr>
          <w:kern w:val="0"/>
          <w:sz w:val="27"/>
          <w:szCs w:val="27"/>
        </w:rPr>
        <w:fldChar w:fldCharType="begin"/>
      </w:r>
      <w:r>
        <w:rPr>
          <w:kern w:val="0"/>
          <w:sz w:val="27"/>
          <w:szCs w:val="27"/>
        </w:rPr>
        <w:instrText xml:space="preserve"> INCLUDEPICTURE  "https://www.tdx.com.cn/products/helpfile/tdxw/chm/%E7%AC%AC%E4%BA%94%E7%AB%A0  %E6%B3%A8%E5%86%8C%E5%8F%8A%E6%B8%B8%E5%AE%A2%E7%99%BB%E9%99%86/5-1/16.png" \* MERGEFORMATINET </w:instrText>
      </w:r>
      <w:r>
        <w:rPr>
          <w:kern w:val="0"/>
          <w:sz w:val="27"/>
          <w:szCs w:val="27"/>
        </w:rPr>
        <w:fldChar w:fldCharType="separate"/>
      </w:r>
      <w:r>
        <w:rPr>
          <w:kern w:val="0"/>
          <w:sz w:val="27"/>
          <w:szCs w:val="27"/>
        </w:rPr>
        <w:fldChar w:fldCharType="begin"/>
      </w:r>
      <w:r>
        <w:rPr>
          <w:kern w:val="0"/>
          <w:sz w:val="27"/>
          <w:szCs w:val="27"/>
        </w:rPr>
        <w:instrText xml:space="preserve"> INCLUDEPICTURE  "https://www.tdx.com.cn/products/helpfile/tdxw/chm/%E7%AC%AC%E4%BA%94%E7%AB%A0  %E6%B3%A8%E5%86%8C%E5%8F%8A%E6%B8%B8%E5%AE%A2%E7%99%BB%E9%99%86/5-1/16.png" \* MERGEFORMATINET </w:instrText>
      </w:r>
      <w:r>
        <w:rPr>
          <w:kern w:val="0"/>
          <w:sz w:val="27"/>
          <w:szCs w:val="27"/>
        </w:rPr>
        <w:fldChar w:fldCharType="separate"/>
      </w:r>
      <w:r>
        <w:rPr>
          <w:kern w:val="0"/>
          <w:sz w:val="27"/>
          <w:szCs w:val="27"/>
        </w:rPr>
        <w:fldChar w:fldCharType="begin"/>
      </w:r>
      <w:r>
        <w:rPr>
          <w:kern w:val="0"/>
          <w:sz w:val="27"/>
          <w:szCs w:val="27"/>
        </w:rPr>
        <w:instrText xml:space="preserve"> INCLUDEPICTURE  "https://www.tdx.com.cn/products/helpfile/tdxw/chm/%E7%AC%AC%E4%BA%94%E7%AB%A0  %E6%B3%A8%E5%86%8C%E5%8F%8A%E6%B8%B8%E5%AE%A2%E7%99%BB%E9%99%86/5-1/16.png" \* MERGEFORMATINET </w:instrText>
      </w:r>
      <w:r>
        <w:rPr>
          <w:kern w:val="0"/>
          <w:sz w:val="27"/>
          <w:szCs w:val="27"/>
        </w:rPr>
        <w:fldChar w:fldCharType="separate"/>
      </w:r>
      <w:r>
        <w:rPr>
          <w:kern w:val="0"/>
          <w:sz w:val="27"/>
          <w:szCs w:val="27"/>
        </w:rPr>
        <w:fldChar w:fldCharType="begin"/>
      </w:r>
      <w:r>
        <w:rPr>
          <w:kern w:val="0"/>
          <w:sz w:val="27"/>
          <w:szCs w:val="27"/>
        </w:rPr>
        <w:instrText xml:space="preserve"> INCLUDEPICTURE  "https://www.tdx.com.cn/products/helpfile/tdxw/chm/%E7%AC%AC%E4%BA%94%E7%AB%A0  %E6%B3%A8%E5%86%8C%E5%8F%8A%E6%B8%B8%E5%AE%A2%E7%99%BB%E9%99%86/5-1/16.png" \* MERGEFORMATINET </w:instrText>
      </w:r>
      <w:r>
        <w:rPr>
          <w:kern w:val="0"/>
          <w:sz w:val="27"/>
          <w:szCs w:val="27"/>
        </w:rPr>
        <w:fldChar w:fldCharType="separate"/>
      </w:r>
      <w:r>
        <w:rPr>
          <w:kern w:val="0"/>
          <w:sz w:val="27"/>
          <w:szCs w:val="27"/>
        </w:rPr>
        <w:drawing>
          <wp:inline distT="0" distB="0" distL="114300" distR="114300">
            <wp:extent cx="8048625" cy="5276850"/>
            <wp:effectExtent l="0" t="0" r="9525" b="0"/>
            <wp:docPr id="416" name="图片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图片 416"/>
                    <pic:cNvPicPr>
                      <a:picLocks noChangeAspect="1"/>
                    </pic:cNvPicPr>
                  </pic:nvPicPr>
                  <pic:blipFill>
                    <a:blip r:embed="rId784" r:link="rId785"/>
                    <a:stretch>
                      <a:fillRect/>
                    </a:stretch>
                  </pic:blipFill>
                  <pic:spPr>
                    <a:xfrm>
                      <a:off x="0" y="0"/>
                      <a:ext cx="8048625" cy="5276850"/>
                    </a:xfrm>
                    <a:prstGeom prst="rect">
                      <a:avLst/>
                    </a:prstGeom>
                    <a:noFill/>
                    <a:ln>
                      <a:noFill/>
                    </a:ln>
                  </pic:spPr>
                </pic:pic>
              </a:graphicData>
            </a:graphic>
          </wp:inline>
        </w:drawing>
      </w:r>
      <w:r>
        <w:rPr>
          <w:kern w:val="0"/>
          <w:sz w:val="27"/>
          <w:szCs w:val="27"/>
        </w:rPr>
        <w:fldChar w:fldCharType="end"/>
      </w:r>
      <w:r>
        <w:rPr>
          <w:kern w:val="0"/>
          <w:sz w:val="27"/>
          <w:szCs w:val="27"/>
        </w:rPr>
        <w:fldChar w:fldCharType="end"/>
      </w:r>
      <w:r>
        <w:rPr>
          <w:kern w:val="0"/>
          <w:sz w:val="27"/>
          <w:szCs w:val="27"/>
        </w:rPr>
        <w:fldChar w:fldCharType="end"/>
      </w:r>
      <w:r>
        <w:rPr>
          <w:kern w:val="0"/>
          <w:sz w:val="27"/>
          <w:szCs w:val="27"/>
        </w:rPr>
        <w:fldChar w:fldCharType="end"/>
      </w:r>
    </w:p>
    <w:p>
      <w:pPr>
        <w:pStyle w:val="34"/>
        <w:ind w:firstLine="540"/>
        <w:rPr>
          <w:kern w:val="0"/>
          <w:sz w:val="27"/>
          <w:szCs w:val="27"/>
        </w:rPr>
      </w:pPr>
      <w:r>
        <w:rPr>
          <w:kern w:val="0"/>
          <w:sz w:val="27"/>
          <w:szCs w:val="27"/>
        </w:rPr>
        <w:fldChar w:fldCharType="begin"/>
      </w:r>
      <w:r>
        <w:rPr>
          <w:kern w:val="0"/>
          <w:sz w:val="27"/>
          <w:szCs w:val="27"/>
        </w:rPr>
        <w:instrText xml:space="preserve"> INCLUDEPICTURE  "https://www.tdx.com.cn/products/helpfile/tdxw/chm/%E7%AC%AC%E4%BA%94%E7%AB%A0  %E6%B3%A8%E5%86%8C%E5%8F%8A%E6%B8%B8%E5%AE%A2%E7%99%BB%E9%99%86/5-1/17.png" \* MERGEFORMATINET </w:instrText>
      </w:r>
      <w:r>
        <w:rPr>
          <w:kern w:val="0"/>
          <w:sz w:val="27"/>
          <w:szCs w:val="27"/>
        </w:rPr>
        <w:fldChar w:fldCharType="separate"/>
      </w:r>
      <w:r>
        <w:rPr>
          <w:kern w:val="0"/>
          <w:sz w:val="27"/>
          <w:szCs w:val="27"/>
        </w:rPr>
        <w:fldChar w:fldCharType="begin"/>
      </w:r>
      <w:r>
        <w:rPr>
          <w:kern w:val="0"/>
          <w:sz w:val="27"/>
          <w:szCs w:val="27"/>
        </w:rPr>
        <w:instrText xml:space="preserve"> INCLUDEPICTURE  "https://www.tdx.com.cn/products/helpfile/tdxw/chm/%E7%AC%AC%E4%BA%94%E7%AB%A0  %E6%B3%A8%E5%86%8C%E5%8F%8A%E6%B8%B8%E5%AE%A2%E7%99%BB%E9%99%86/5-1/17.png" \* MERGEFORMATINET </w:instrText>
      </w:r>
      <w:r>
        <w:rPr>
          <w:kern w:val="0"/>
          <w:sz w:val="27"/>
          <w:szCs w:val="27"/>
        </w:rPr>
        <w:fldChar w:fldCharType="separate"/>
      </w:r>
      <w:r>
        <w:rPr>
          <w:kern w:val="0"/>
          <w:sz w:val="27"/>
          <w:szCs w:val="27"/>
        </w:rPr>
        <w:fldChar w:fldCharType="begin"/>
      </w:r>
      <w:r>
        <w:rPr>
          <w:kern w:val="0"/>
          <w:sz w:val="27"/>
          <w:szCs w:val="27"/>
        </w:rPr>
        <w:instrText xml:space="preserve"> INCLUDEPICTURE  "https://www.tdx.com.cn/products/helpfile/tdxw/chm/%E7%AC%AC%E4%BA%94%E7%AB%A0  %E6%B3%A8%E5%86%8C%E5%8F%8A%E6%B8%B8%E5%AE%A2%E7%99%BB%E9%99%86/5-1/17.png" \* MERGEFORMATINET </w:instrText>
      </w:r>
      <w:r>
        <w:rPr>
          <w:kern w:val="0"/>
          <w:sz w:val="27"/>
          <w:szCs w:val="27"/>
        </w:rPr>
        <w:fldChar w:fldCharType="separate"/>
      </w:r>
      <w:r>
        <w:rPr>
          <w:kern w:val="0"/>
          <w:sz w:val="27"/>
          <w:szCs w:val="27"/>
        </w:rPr>
        <w:fldChar w:fldCharType="begin"/>
      </w:r>
      <w:r>
        <w:rPr>
          <w:kern w:val="0"/>
          <w:sz w:val="27"/>
          <w:szCs w:val="27"/>
        </w:rPr>
        <w:instrText xml:space="preserve"> INCLUDEPICTURE  "https://www.tdx.com.cn/products/helpfile/tdxw/chm/%E7%AC%AC%E4%BA%94%E7%AB%A0  %E6%B3%A8%E5%86%8C%E5%8F%8A%E6%B8%B8%E5%AE%A2%E7%99%BB%E9%99%86/5-1/17.png" \* MERGEFORMATINET </w:instrText>
      </w:r>
      <w:r>
        <w:rPr>
          <w:kern w:val="0"/>
          <w:sz w:val="27"/>
          <w:szCs w:val="27"/>
        </w:rPr>
        <w:fldChar w:fldCharType="separate"/>
      </w:r>
      <w:r>
        <w:rPr>
          <w:kern w:val="0"/>
          <w:sz w:val="27"/>
          <w:szCs w:val="27"/>
        </w:rPr>
        <w:drawing>
          <wp:inline distT="0" distB="0" distL="114300" distR="114300">
            <wp:extent cx="9201150" cy="5972175"/>
            <wp:effectExtent l="0" t="0" r="0" b="9525"/>
            <wp:docPr id="417" name="图片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图片 417"/>
                    <pic:cNvPicPr>
                      <a:picLocks noChangeAspect="1"/>
                    </pic:cNvPicPr>
                  </pic:nvPicPr>
                  <pic:blipFill>
                    <a:blip r:embed="rId786" r:link="rId787"/>
                    <a:stretch>
                      <a:fillRect/>
                    </a:stretch>
                  </pic:blipFill>
                  <pic:spPr>
                    <a:xfrm>
                      <a:off x="0" y="0"/>
                      <a:ext cx="9201150" cy="5972175"/>
                    </a:xfrm>
                    <a:prstGeom prst="rect">
                      <a:avLst/>
                    </a:prstGeom>
                    <a:noFill/>
                    <a:ln>
                      <a:noFill/>
                    </a:ln>
                  </pic:spPr>
                </pic:pic>
              </a:graphicData>
            </a:graphic>
          </wp:inline>
        </w:drawing>
      </w:r>
      <w:r>
        <w:rPr>
          <w:kern w:val="0"/>
          <w:sz w:val="27"/>
          <w:szCs w:val="27"/>
        </w:rPr>
        <w:fldChar w:fldCharType="end"/>
      </w:r>
      <w:r>
        <w:rPr>
          <w:kern w:val="0"/>
          <w:sz w:val="27"/>
          <w:szCs w:val="27"/>
        </w:rPr>
        <w:fldChar w:fldCharType="end"/>
      </w:r>
      <w:r>
        <w:rPr>
          <w:kern w:val="0"/>
          <w:sz w:val="27"/>
          <w:szCs w:val="27"/>
        </w:rPr>
        <w:fldChar w:fldCharType="end"/>
      </w:r>
      <w:r>
        <w:rPr>
          <w:kern w:val="0"/>
          <w:sz w:val="27"/>
          <w:szCs w:val="27"/>
        </w:rPr>
        <w:fldChar w:fldCharType="end"/>
      </w:r>
    </w:p>
    <w:p>
      <w:pPr>
        <w:pStyle w:val="34"/>
        <w:ind w:firstLine="540"/>
        <w:rPr>
          <w:kern w:val="0"/>
          <w:sz w:val="27"/>
          <w:szCs w:val="27"/>
        </w:rPr>
      </w:pPr>
      <w:r>
        <w:rPr>
          <w:kern w:val="0"/>
          <w:sz w:val="27"/>
          <w:szCs w:val="27"/>
        </w:rPr>
        <w:fldChar w:fldCharType="begin"/>
      </w:r>
      <w:r>
        <w:rPr>
          <w:kern w:val="0"/>
          <w:sz w:val="27"/>
          <w:szCs w:val="27"/>
        </w:rPr>
        <w:instrText xml:space="preserve"> INCLUDEPICTURE  "https://www.tdx.com.cn/products/helpfile/tdxw/chm/%E7%AC%AC%E4%BA%94%E7%AB%A0  %E6%B3%A8%E5%86%8C%E5%8F%8A%E6%B8%B8%E5%AE%A2%E7%99%BB%E9%99%86/5-1/18.png" \* MERGEFORMATINET </w:instrText>
      </w:r>
      <w:r>
        <w:rPr>
          <w:kern w:val="0"/>
          <w:sz w:val="27"/>
          <w:szCs w:val="27"/>
        </w:rPr>
        <w:fldChar w:fldCharType="separate"/>
      </w:r>
      <w:r>
        <w:rPr>
          <w:kern w:val="0"/>
          <w:sz w:val="27"/>
          <w:szCs w:val="27"/>
        </w:rPr>
        <w:fldChar w:fldCharType="begin"/>
      </w:r>
      <w:r>
        <w:rPr>
          <w:kern w:val="0"/>
          <w:sz w:val="27"/>
          <w:szCs w:val="27"/>
        </w:rPr>
        <w:instrText xml:space="preserve"> INCLUDEPICTURE  "https://www.tdx.com.cn/products/helpfile/tdxw/chm/%E7%AC%AC%E4%BA%94%E7%AB%A0  %E6%B3%A8%E5%86%8C%E5%8F%8A%E6%B8%B8%E5%AE%A2%E7%99%BB%E9%99%86/5-1/18.png" \* MERGEFORMATINET </w:instrText>
      </w:r>
      <w:r>
        <w:rPr>
          <w:kern w:val="0"/>
          <w:sz w:val="27"/>
          <w:szCs w:val="27"/>
        </w:rPr>
        <w:fldChar w:fldCharType="separate"/>
      </w:r>
      <w:r>
        <w:rPr>
          <w:kern w:val="0"/>
          <w:sz w:val="27"/>
          <w:szCs w:val="27"/>
        </w:rPr>
        <w:fldChar w:fldCharType="begin"/>
      </w:r>
      <w:r>
        <w:rPr>
          <w:kern w:val="0"/>
          <w:sz w:val="27"/>
          <w:szCs w:val="27"/>
        </w:rPr>
        <w:instrText xml:space="preserve"> INCLUDEPICTURE  "https://www.tdx.com.cn/products/helpfile/tdxw/chm/%E7%AC%AC%E4%BA%94%E7%AB%A0  %E6%B3%A8%E5%86%8C%E5%8F%8A%E6%B8%B8%E5%AE%A2%E7%99%BB%E9%99%86/5-1/18.png" \* MERGEFORMATINET </w:instrText>
      </w:r>
      <w:r>
        <w:rPr>
          <w:kern w:val="0"/>
          <w:sz w:val="27"/>
          <w:szCs w:val="27"/>
        </w:rPr>
        <w:fldChar w:fldCharType="separate"/>
      </w:r>
      <w:r>
        <w:rPr>
          <w:kern w:val="0"/>
          <w:sz w:val="27"/>
          <w:szCs w:val="27"/>
        </w:rPr>
        <w:fldChar w:fldCharType="begin"/>
      </w:r>
      <w:r>
        <w:rPr>
          <w:kern w:val="0"/>
          <w:sz w:val="27"/>
          <w:szCs w:val="27"/>
        </w:rPr>
        <w:instrText xml:space="preserve"> INCLUDEPICTURE  "https://www.tdx.com.cn/products/helpfile/tdxw/chm/%E7%AC%AC%E4%BA%94%E7%AB%A0  %E6%B3%A8%E5%86%8C%E5%8F%8A%E6%B8%B8%E5%AE%A2%E7%99%BB%E9%99%86/5-1/18.png" \* MERGEFORMATINET </w:instrText>
      </w:r>
      <w:r>
        <w:rPr>
          <w:kern w:val="0"/>
          <w:sz w:val="27"/>
          <w:szCs w:val="27"/>
        </w:rPr>
        <w:fldChar w:fldCharType="separate"/>
      </w:r>
      <w:r>
        <w:rPr>
          <w:kern w:val="0"/>
          <w:sz w:val="27"/>
          <w:szCs w:val="27"/>
        </w:rPr>
        <w:drawing>
          <wp:inline distT="0" distB="0" distL="114300" distR="114300">
            <wp:extent cx="8543925" cy="5600700"/>
            <wp:effectExtent l="0" t="0" r="9525" b="0"/>
            <wp:docPr id="418" name="图片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图片 418"/>
                    <pic:cNvPicPr>
                      <a:picLocks noChangeAspect="1"/>
                    </pic:cNvPicPr>
                  </pic:nvPicPr>
                  <pic:blipFill>
                    <a:blip r:embed="rId788" r:link="rId789"/>
                    <a:stretch>
                      <a:fillRect/>
                    </a:stretch>
                  </pic:blipFill>
                  <pic:spPr>
                    <a:xfrm>
                      <a:off x="0" y="0"/>
                      <a:ext cx="8543925" cy="5600700"/>
                    </a:xfrm>
                    <a:prstGeom prst="rect">
                      <a:avLst/>
                    </a:prstGeom>
                    <a:noFill/>
                    <a:ln>
                      <a:noFill/>
                    </a:ln>
                  </pic:spPr>
                </pic:pic>
              </a:graphicData>
            </a:graphic>
          </wp:inline>
        </w:drawing>
      </w:r>
      <w:r>
        <w:rPr>
          <w:kern w:val="0"/>
          <w:sz w:val="27"/>
          <w:szCs w:val="27"/>
        </w:rPr>
        <w:fldChar w:fldCharType="end"/>
      </w:r>
      <w:r>
        <w:rPr>
          <w:kern w:val="0"/>
          <w:sz w:val="27"/>
          <w:szCs w:val="27"/>
        </w:rPr>
        <w:fldChar w:fldCharType="end"/>
      </w:r>
      <w:r>
        <w:rPr>
          <w:kern w:val="0"/>
          <w:sz w:val="27"/>
          <w:szCs w:val="27"/>
        </w:rPr>
        <w:fldChar w:fldCharType="end"/>
      </w:r>
      <w:r>
        <w:rPr>
          <w:kern w:val="0"/>
          <w:sz w:val="27"/>
          <w:szCs w:val="27"/>
        </w:rPr>
        <w:fldChar w:fldCharType="end"/>
      </w:r>
    </w:p>
    <w:p>
      <w:pPr>
        <w:pStyle w:val="3"/>
      </w:pPr>
      <w:bookmarkStart w:id="59" w:name="_Toc90646179"/>
      <w:r>
        <w:rPr>
          <w:rFonts w:hint="eastAsia"/>
        </w:rPr>
        <w:t>图文F10</w:t>
      </w:r>
      <w:bookmarkEnd w:id="59"/>
    </w:p>
    <w:p>
      <w:pPr>
        <w:pStyle w:val="34"/>
      </w:pPr>
      <w:r>
        <w:rPr>
          <w:rStyle w:val="51"/>
          <w:rFonts w:hint="eastAsia"/>
          <w:szCs w:val="18"/>
        </w:rPr>
        <w:t>快捷方式： 热键 F11；分时图点图文F10功能按纽</w:t>
      </w:r>
      <w:r>
        <w:fldChar w:fldCharType="begin"/>
      </w:r>
      <w:r>
        <w:instrText xml:space="preserve"> INCLUDEPICTURE  "https://www.tdx.com.cn/products/helpfile/tdxw/chm/%E7%AC%AC%E4%BA%94%E7%AB%A0  %E6%B3%A8%E5%86%8C%E5%8F%8A%E6%B8%B8%E5%AE%A2%E7%99%BB%E9%99%86/5-2/0.5.png" \* MERGEFORMATINET </w:instrText>
      </w:r>
      <w:r>
        <w:fldChar w:fldCharType="separate"/>
      </w:r>
      <w:r>
        <w:rPr>
          <w:szCs w:val="18"/>
        </w:rPr>
        <w:fldChar w:fldCharType="begin"/>
      </w:r>
      <w:r>
        <w:rPr>
          <w:szCs w:val="18"/>
        </w:rPr>
        <w:instrText xml:space="preserve"> INCLUDEPICTURE  "https://www.tdx.com.cn/products/helpfile/tdxw/chm/%E7%AC%AC%E4%BA%94%E7%AB%A0  %E6%B3%A8%E5%86%8C%E5%8F%8A%E6%B8%B8%E5%AE%A2%E7%99%BB%E9%99%86/5-2/0.5.png" \* MERGEFORMATINET </w:instrText>
      </w:r>
      <w:r>
        <w:rPr>
          <w:szCs w:val="18"/>
        </w:rPr>
        <w:fldChar w:fldCharType="separate"/>
      </w:r>
      <w:r>
        <w:rPr>
          <w:szCs w:val="18"/>
        </w:rPr>
        <w:fldChar w:fldCharType="begin"/>
      </w:r>
      <w:r>
        <w:rPr>
          <w:szCs w:val="18"/>
        </w:rPr>
        <w:instrText xml:space="preserve"> INCLUDEPICTURE  "https://www.tdx.com.cn/products/helpfile/tdxw/chm/%E7%AC%AC%E4%BA%94%E7%AB%A0  %E6%B3%A8%E5%86%8C%E5%8F%8A%E6%B8%B8%E5%AE%A2%E7%99%BB%E9%99%86/5-2/0.5.png" \* MERGEFORMATINET </w:instrText>
      </w:r>
      <w:r>
        <w:rPr>
          <w:szCs w:val="18"/>
        </w:rPr>
        <w:fldChar w:fldCharType="separate"/>
      </w:r>
      <w:r>
        <w:rPr>
          <w:szCs w:val="18"/>
        </w:rPr>
        <w:fldChar w:fldCharType="begin"/>
      </w:r>
      <w:r>
        <w:rPr>
          <w:szCs w:val="18"/>
        </w:rPr>
        <w:instrText xml:space="preserve"> INCLUDEPICTURE  "https://www.tdx.com.cn/products/helpfile/tdxw/chm/%E7%AC%AC%E4%BA%94%E7%AB%A0  %E6%B3%A8%E5%86%8C%E5%8F%8A%E6%B8%B8%E5%AE%A2%E7%99%BB%E9%99%86/5-2/0.5.png" \* MERGEFORMATINET </w:instrText>
      </w:r>
      <w:r>
        <w:rPr>
          <w:szCs w:val="18"/>
        </w:rPr>
        <w:fldChar w:fldCharType="separate"/>
      </w:r>
      <w:r>
        <w:rPr>
          <w:szCs w:val="18"/>
        </w:rPr>
        <w:drawing>
          <wp:inline distT="0" distB="0" distL="114300" distR="114300">
            <wp:extent cx="4257675" cy="333375"/>
            <wp:effectExtent l="0" t="0" r="9525" b="9525"/>
            <wp:docPr id="419" name="图片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图片 419"/>
                    <pic:cNvPicPr>
                      <a:picLocks noChangeAspect="1"/>
                    </pic:cNvPicPr>
                  </pic:nvPicPr>
                  <pic:blipFill>
                    <a:blip r:embed="rId790" r:link="rId791"/>
                    <a:stretch>
                      <a:fillRect/>
                    </a:stretch>
                  </pic:blipFill>
                  <pic:spPr>
                    <a:xfrm>
                      <a:off x="0" y="0"/>
                      <a:ext cx="4257675" cy="333375"/>
                    </a:xfrm>
                    <a:prstGeom prst="rect">
                      <a:avLst/>
                    </a:prstGeom>
                    <a:noFill/>
                    <a:ln>
                      <a:noFill/>
                    </a:ln>
                  </pic:spPr>
                </pic:pic>
              </a:graphicData>
            </a:graphic>
          </wp:inline>
        </w:drawing>
      </w:r>
      <w:r>
        <w:rPr>
          <w:szCs w:val="18"/>
        </w:rPr>
        <w:fldChar w:fldCharType="end"/>
      </w:r>
      <w:r>
        <w:rPr>
          <w:szCs w:val="18"/>
        </w:rPr>
        <w:fldChar w:fldCharType="end"/>
      </w:r>
      <w:r>
        <w:rPr>
          <w:szCs w:val="18"/>
        </w:rPr>
        <w:fldChar w:fldCharType="end"/>
      </w:r>
      <w:r>
        <w:fldChar w:fldCharType="end"/>
      </w:r>
    </w:p>
    <w:p>
      <w:pPr>
        <w:pStyle w:val="34"/>
        <w:rPr>
          <w:szCs w:val="18"/>
        </w:rPr>
      </w:pPr>
      <w:r>
        <w:rPr>
          <w:rFonts w:hint="eastAsia"/>
          <w:szCs w:val="18"/>
        </w:rPr>
        <w:t>图文F10功能中图形、数据联动、色彩关联性的变化，操作界面展示内容丰富却整洁有序，具有很强的规律操作起来实用且简单。</w:t>
      </w:r>
    </w:p>
    <w:p>
      <w:pPr>
        <w:pStyle w:val="34"/>
        <w:rPr>
          <w:szCs w:val="18"/>
        </w:rPr>
      </w:pPr>
      <w:r>
        <w:rPr>
          <w:rFonts w:hint="eastAsia"/>
          <w:szCs w:val="18"/>
        </w:rPr>
        <w:t>操作要点</w:t>
      </w:r>
    </w:p>
    <w:p>
      <w:pPr>
        <w:pStyle w:val="34"/>
        <w:rPr>
          <w:szCs w:val="18"/>
        </w:rPr>
      </w:pPr>
      <w:r>
        <w:rPr>
          <w:rFonts w:hint="eastAsia"/>
          <w:szCs w:val="18"/>
        </w:rPr>
        <w:t>右键操作同数据纵览。</w:t>
      </w:r>
    </w:p>
    <w:p>
      <w:pPr>
        <w:pStyle w:val="34"/>
        <w:rPr>
          <w:szCs w:val="18"/>
        </w:rPr>
      </w:pPr>
      <w:r>
        <w:rPr>
          <w:rFonts w:hint="eastAsia"/>
          <w:szCs w:val="18"/>
        </w:rPr>
        <w:t>展示方式：</w:t>
      </w:r>
    </w:p>
    <w:p>
      <w:pPr>
        <w:pStyle w:val="34"/>
        <w:rPr>
          <w:szCs w:val="18"/>
        </w:rPr>
      </w:pPr>
      <w:r>
        <w:rPr>
          <w:rFonts w:hint="eastAsia"/>
          <w:szCs w:val="18"/>
        </w:rPr>
        <w:t>不同期数据展示模式有柱状图、线状图、点状图三种。</w:t>
      </w:r>
    </w:p>
    <w:p>
      <w:pPr>
        <w:pStyle w:val="34"/>
        <w:rPr>
          <w:szCs w:val="18"/>
        </w:rPr>
      </w:pPr>
      <w:r>
        <w:rPr>
          <w:rFonts w:hint="eastAsia"/>
          <w:szCs w:val="18"/>
        </w:rPr>
        <w:t>数据选择模式分为按报告期、按同季度、按年度、按单季度四种。</w:t>
      </w:r>
    </w:p>
    <w:p>
      <w:pPr>
        <w:pStyle w:val="34"/>
        <w:rPr>
          <w:szCs w:val="18"/>
        </w:rPr>
      </w:pPr>
      <w:r>
        <w:rPr>
          <w:rFonts w:hint="eastAsia"/>
          <w:szCs w:val="18"/>
        </w:rPr>
        <w:t>Tip：一般数据中有颜色区别的地方都是可以点击变动操作的地方。</w:t>
      </w:r>
    </w:p>
    <w:p>
      <w:pPr>
        <w:pStyle w:val="34"/>
        <w:rPr>
          <w:szCs w:val="18"/>
        </w:rPr>
      </w:pPr>
      <w:r>
        <w:rPr>
          <w:rFonts w:hint="eastAsia"/>
          <w:szCs w:val="18"/>
        </w:rPr>
        <w:t>最新提示</w:t>
      </w:r>
    </w:p>
    <w:p>
      <w:pPr>
        <w:pStyle w:val="34"/>
        <w:rPr>
          <w:szCs w:val="18"/>
        </w:rPr>
      </w:pPr>
      <w:r>
        <w:rPr>
          <w:rFonts w:hint="eastAsia"/>
          <w:szCs w:val="18"/>
        </w:rPr>
        <w:t>揭示公司最新的主要指标、公司大事，资讯概览，机构调研，互动问答等。</w:t>
      </w:r>
    </w:p>
    <w:p>
      <w:pPr>
        <w:pStyle w:val="34"/>
        <w:rPr>
          <w:szCs w:val="18"/>
        </w:rPr>
      </w:pPr>
      <w:r>
        <w:rPr>
          <w:szCs w:val="18"/>
        </w:rPr>
        <w:fldChar w:fldCharType="begin"/>
      </w:r>
      <w:r>
        <w:rPr>
          <w:szCs w:val="18"/>
        </w:rPr>
        <w:instrText xml:space="preserve"> INCLUDEPICTURE  "https://www.tdx.com.cn/products/helpfile/tdxw/chm/%E7%AC%AC%E4%BA%94%E7%AB%A0  %E6%B3%A8%E5%86%8C%E5%8F%8A%E6%B8%B8%E5%AE%A2%E7%99%BB%E9%99%86/5-2/1.png" \* MERGEFORMATINET </w:instrText>
      </w:r>
      <w:r>
        <w:rPr>
          <w:szCs w:val="18"/>
        </w:rPr>
        <w:fldChar w:fldCharType="separate"/>
      </w:r>
      <w:r>
        <w:rPr>
          <w:szCs w:val="18"/>
        </w:rPr>
        <w:fldChar w:fldCharType="begin"/>
      </w:r>
      <w:r>
        <w:rPr>
          <w:szCs w:val="18"/>
        </w:rPr>
        <w:instrText xml:space="preserve"> INCLUDEPICTURE  "https://www.tdx.com.cn/products/helpfile/tdxw/chm/%E7%AC%AC%E4%BA%94%E7%AB%A0  %E6%B3%A8%E5%86%8C%E5%8F%8A%E6%B8%B8%E5%AE%A2%E7%99%BB%E9%99%86/5-2/1.png" \* MERGEFORMATINET </w:instrText>
      </w:r>
      <w:r>
        <w:rPr>
          <w:szCs w:val="18"/>
        </w:rPr>
        <w:fldChar w:fldCharType="separate"/>
      </w:r>
      <w:r>
        <w:rPr>
          <w:szCs w:val="18"/>
        </w:rPr>
        <w:fldChar w:fldCharType="begin"/>
      </w:r>
      <w:r>
        <w:rPr>
          <w:szCs w:val="18"/>
        </w:rPr>
        <w:instrText xml:space="preserve"> INCLUDEPICTURE  "https://www.tdx.com.cn/products/helpfile/tdxw/chm/%E7%AC%AC%E4%BA%94%E7%AB%A0  %E6%B3%A8%E5%86%8C%E5%8F%8A%E6%B8%B8%E5%AE%A2%E7%99%BB%E9%99%86/5-2/1.png" \* MERGEFORMATINET </w:instrText>
      </w:r>
      <w:r>
        <w:rPr>
          <w:szCs w:val="18"/>
        </w:rPr>
        <w:fldChar w:fldCharType="separate"/>
      </w:r>
      <w:r>
        <w:rPr>
          <w:szCs w:val="18"/>
        </w:rPr>
        <w:fldChar w:fldCharType="begin"/>
      </w:r>
      <w:r>
        <w:rPr>
          <w:szCs w:val="18"/>
        </w:rPr>
        <w:instrText xml:space="preserve"> INCLUDEPICTURE  "https://www.tdx.com.cn/products/helpfile/tdxw/chm/%E7%AC%AC%E4%BA%94%E7%AB%A0  %E6%B3%A8%E5%86%8C%E5%8F%8A%E6%B8%B8%E5%AE%A2%E7%99%BB%E9%99%86/5-2/1.png" \* MERGEFORMATINET </w:instrText>
      </w:r>
      <w:r>
        <w:rPr>
          <w:szCs w:val="18"/>
        </w:rPr>
        <w:fldChar w:fldCharType="separate"/>
      </w:r>
      <w:r>
        <w:rPr>
          <w:szCs w:val="18"/>
        </w:rPr>
        <w:drawing>
          <wp:inline distT="0" distB="0" distL="114300" distR="114300">
            <wp:extent cx="7600950" cy="4848225"/>
            <wp:effectExtent l="0" t="0" r="0" b="9525"/>
            <wp:docPr id="420" name="图片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图片 420"/>
                    <pic:cNvPicPr>
                      <a:picLocks noChangeAspect="1"/>
                    </pic:cNvPicPr>
                  </pic:nvPicPr>
                  <pic:blipFill>
                    <a:blip r:embed="rId792" r:link="rId793"/>
                    <a:stretch>
                      <a:fillRect/>
                    </a:stretch>
                  </pic:blipFill>
                  <pic:spPr>
                    <a:xfrm>
                      <a:off x="0" y="0"/>
                      <a:ext cx="7600950" cy="4848225"/>
                    </a:xfrm>
                    <a:prstGeom prst="rect">
                      <a:avLst/>
                    </a:prstGeom>
                    <a:noFill/>
                    <a:ln>
                      <a:noFill/>
                    </a:ln>
                  </pic:spPr>
                </pic:pic>
              </a:graphicData>
            </a:graphic>
          </wp:inline>
        </w:drawing>
      </w:r>
      <w:r>
        <w:rPr>
          <w:szCs w:val="18"/>
        </w:rPr>
        <w:fldChar w:fldCharType="end"/>
      </w:r>
      <w:r>
        <w:rPr>
          <w:szCs w:val="18"/>
        </w:rPr>
        <w:fldChar w:fldCharType="end"/>
      </w:r>
      <w:r>
        <w:rPr>
          <w:szCs w:val="18"/>
        </w:rPr>
        <w:fldChar w:fldCharType="end"/>
      </w:r>
      <w:r>
        <w:rPr>
          <w:szCs w:val="18"/>
        </w:rPr>
        <w:fldChar w:fldCharType="end"/>
      </w:r>
    </w:p>
    <w:p>
      <w:pPr>
        <w:pStyle w:val="34"/>
        <w:rPr>
          <w:szCs w:val="18"/>
        </w:rPr>
      </w:pPr>
      <w:r>
        <w:rPr>
          <w:rFonts w:hint="eastAsia"/>
          <w:szCs w:val="18"/>
        </w:rPr>
        <w:t>资金动向</w:t>
      </w:r>
    </w:p>
    <w:p>
      <w:pPr>
        <w:pStyle w:val="34"/>
        <w:rPr>
          <w:szCs w:val="18"/>
        </w:rPr>
      </w:pPr>
      <w:r>
        <w:rPr>
          <w:rFonts w:hint="eastAsia"/>
          <w:szCs w:val="18"/>
        </w:rPr>
        <w:t>展示公司交易龙虎榜、大宗交易、融资融券，涨跌停分析等重要数据。</w:t>
      </w:r>
    </w:p>
    <w:p>
      <w:pPr>
        <w:pStyle w:val="34"/>
        <w:rPr>
          <w:szCs w:val="18"/>
        </w:rPr>
      </w:pPr>
      <w:r>
        <w:rPr>
          <w:szCs w:val="18"/>
        </w:rPr>
        <w:fldChar w:fldCharType="begin"/>
      </w:r>
      <w:r>
        <w:rPr>
          <w:szCs w:val="18"/>
        </w:rPr>
        <w:instrText xml:space="preserve"> INCLUDEPICTURE  "https://www.tdx.com.cn/products/helpfile/tdxw/chm/%E7%AC%AC%E4%BA%94%E7%AB%A0  %E6%B3%A8%E5%86%8C%E5%8F%8A%E6%B8%B8%E5%AE%A2%E7%99%BB%E9%99%86/5-2/2.png" \* MERGEFORMATINET </w:instrText>
      </w:r>
      <w:r>
        <w:rPr>
          <w:szCs w:val="18"/>
        </w:rPr>
        <w:fldChar w:fldCharType="separate"/>
      </w:r>
      <w:r>
        <w:rPr>
          <w:szCs w:val="18"/>
        </w:rPr>
        <w:fldChar w:fldCharType="begin"/>
      </w:r>
      <w:r>
        <w:rPr>
          <w:szCs w:val="18"/>
        </w:rPr>
        <w:instrText xml:space="preserve"> INCLUDEPICTURE  "https://www.tdx.com.cn/products/helpfile/tdxw/chm/%E7%AC%AC%E4%BA%94%E7%AB%A0  %E6%B3%A8%E5%86%8C%E5%8F%8A%E6%B8%B8%E5%AE%A2%E7%99%BB%E9%99%86/5-2/2.png" \* MERGEFORMATINET </w:instrText>
      </w:r>
      <w:r>
        <w:rPr>
          <w:szCs w:val="18"/>
        </w:rPr>
        <w:fldChar w:fldCharType="separate"/>
      </w:r>
      <w:r>
        <w:rPr>
          <w:szCs w:val="18"/>
        </w:rPr>
        <w:fldChar w:fldCharType="begin"/>
      </w:r>
      <w:r>
        <w:rPr>
          <w:szCs w:val="18"/>
        </w:rPr>
        <w:instrText xml:space="preserve"> INCLUDEPICTURE  "https://www.tdx.com.cn/products/helpfile/tdxw/chm/%E7%AC%AC%E4%BA%94%E7%AB%A0  %E6%B3%A8%E5%86%8C%E5%8F%8A%E6%B8%B8%E5%AE%A2%E7%99%BB%E9%99%86/5-2/2.png" \* MERGEFORMATINET </w:instrText>
      </w:r>
      <w:r>
        <w:rPr>
          <w:szCs w:val="18"/>
        </w:rPr>
        <w:fldChar w:fldCharType="separate"/>
      </w:r>
      <w:r>
        <w:rPr>
          <w:szCs w:val="18"/>
        </w:rPr>
        <w:fldChar w:fldCharType="begin"/>
      </w:r>
      <w:r>
        <w:rPr>
          <w:szCs w:val="18"/>
        </w:rPr>
        <w:instrText xml:space="preserve"> INCLUDEPICTURE  "https://www.tdx.com.cn/products/helpfile/tdxw/chm/%E7%AC%AC%E4%BA%94%E7%AB%A0  %E6%B3%A8%E5%86%8C%E5%8F%8A%E6%B8%B8%E5%AE%A2%E7%99%BB%E9%99%86/5-2/2.png" \* MERGEFORMATINET </w:instrText>
      </w:r>
      <w:r>
        <w:rPr>
          <w:szCs w:val="18"/>
        </w:rPr>
        <w:fldChar w:fldCharType="separate"/>
      </w:r>
      <w:r>
        <w:rPr>
          <w:szCs w:val="18"/>
        </w:rPr>
        <w:drawing>
          <wp:inline distT="0" distB="0" distL="114300" distR="114300">
            <wp:extent cx="7219950" cy="4600575"/>
            <wp:effectExtent l="0" t="0" r="0" b="9525"/>
            <wp:docPr id="421" name="图片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图片 421"/>
                    <pic:cNvPicPr>
                      <a:picLocks noChangeAspect="1"/>
                    </pic:cNvPicPr>
                  </pic:nvPicPr>
                  <pic:blipFill>
                    <a:blip r:embed="rId794" r:link="rId795"/>
                    <a:stretch>
                      <a:fillRect/>
                    </a:stretch>
                  </pic:blipFill>
                  <pic:spPr>
                    <a:xfrm>
                      <a:off x="0" y="0"/>
                      <a:ext cx="7219950" cy="4600575"/>
                    </a:xfrm>
                    <a:prstGeom prst="rect">
                      <a:avLst/>
                    </a:prstGeom>
                    <a:noFill/>
                    <a:ln>
                      <a:noFill/>
                    </a:ln>
                  </pic:spPr>
                </pic:pic>
              </a:graphicData>
            </a:graphic>
          </wp:inline>
        </w:drawing>
      </w:r>
      <w:r>
        <w:rPr>
          <w:szCs w:val="18"/>
        </w:rPr>
        <w:fldChar w:fldCharType="end"/>
      </w:r>
      <w:r>
        <w:rPr>
          <w:szCs w:val="18"/>
        </w:rPr>
        <w:fldChar w:fldCharType="end"/>
      </w:r>
      <w:r>
        <w:rPr>
          <w:szCs w:val="18"/>
        </w:rPr>
        <w:fldChar w:fldCharType="end"/>
      </w:r>
      <w:r>
        <w:rPr>
          <w:szCs w:val="18"/>
        </w:rPr>
        <w:fldChar w:fldCharType="end"/>
      </w:r>
    </w:p>
    <w:p>
      <w:pPr>
        <w:pStyle w:val="34"/>
        <w:rPr>
          <w:szCs w:val="18"/>
        </w:rPr>
      </w:pPr>
      <w:r>
        <w:rPr>
          <w:rFonts w:hint="eastAsia"/>
          <w:szCs w:val="18"/>
        </w:rPr>
        <w:t>公司概况</w:t>
      </w:r>
    </w:p>
    <w:p>
      <w:pPr>
        <w:pStyle w:val="34"/>
        <w:rPr>
          <w:szCs w:val="18"/>
        </w:rPr>
      </w:pPr>
      <w:r>
        <w:rPr>
          <w:rFonts w:hint="eastAsia"/>
          <w:szCs w:val="18"/>
        </w:rPr>
        <w:t>公司概况帮助客户第一时间快速了解公司的基本信息，包括公司行业、公司简单介绍，公司注册经营信息，以及公司发行基本信息。</w:t>
      </w:r>
    </w:p>
    <w:p>
      <w:pPr>
        <w:pStyle w:val="34"/>
        <w:rPr>
          <w:szCs w:val="18"/>
        </w:rPr>
      </w:pPr>
      <w:r>
        <w:rPr>
          <w:szCs w:val="18"/>
        </w:rPr>
        <w:fldChar w:fldCharType="begin"/>
      </w:r>
      <w:r>
        <w:rPr>
          <w:szCs w:val="18"/>
        </w:rPr>
        <w:instrText xml:space="preserve"> INCLUDEPICTURE  "https://www.tdx.com.cn/products/helpfile/tdxw/chm/%E7%AC%AC%E4%BA%94%E7%AB%A0  %E6%B3%A8%E5%86%8C%E5%8F%8A%E6%B8%B8%E5%AE%A2%E7%99%BB%E9%99%86/5-2/3.png" \* MERGEFORMATINET </w:instrText>
      </w:r>
      <w:r>
        <w:rPr>
          <w:szCs w:val="18"/>
        </w:rPr>
        <w:fldChar w:fldCharType="separate"/>
      </w:r>
      <w:r>
        <w:rPr>
          <w:szCs w:val="18"/>
        </w:rPr>
        <w:fldChar w:fldCharType="begin"/>
      </w:r>
      <w:r>
        <w:rPr>
          <w:szCs w:val="18"/>
        </w:rPr>
        <w:instrText xml:space="preserve"> INCLUDEPICTURE  "https://www.tdx.com.cn/products/helpfile/tdxw/chm/%E7%AC%AC%E4%BA%94%E7%AB%A0  %E6%B3%A8%E5%86%8C%E5%8F%8A%E6%B8%B8%E5%AE%A2%E7%99%BB%E9%99%86/5-2/3.png" \* MERGEFORMATINET </w:instrText>
      </w:r>
      <w:r>
        <w:rPr>
          <w:szCs w:val="18"/>
        </w:rPr>
        <w:fldChar w:fldCharType="separate"/>
      </w:r>
      <w:r>
        <w:rPr>
          <w:szCs w:val="18"/>
        </w:rPr>
        <w:fldChar w:fldCharType="begin"/>
      </w:r>
      <w:r>
        <w:rPr>
          <w:szCs w:val="18"/>
        </w:rPr>
        <w:instrText xml:space="preserve"> INCLUDEPICTURE  "https://www.tdx.com.cn/products/helpfile/tdxw/chm/%E7%AC%AC%E4%BA%94%E7%AB%A0  %E6%B3%A8%E5%86%8C%E5%8F%8A%E6%B8%B8%E5%AE%A2%E7%99%BB%E9%99%86/5-2/3.png" \* MERGEFORMATINET </w:instrText>
      </w:r>
      <w:r>
        <w:rPr>
          <w:szCs w:val="18"/>
        </w:rPr>
        <w:fldChar w:fldCharType="separate"/>
      </w:r>
      <w:r>
        <w:rPr>
          <w:szCs w:val="18"/>
        </w:rPr>
        <w:fldChar w:fldCharType="begin"/>
      </w:r>
      <w:r>
        <w:rPr>
          <w:szCs w:val="18"/>
        </w:rPr>
        <w:instrText xml:space="preserve"> INCLUDEPICTURE  "https://www.tdx.com.cn/products/helpfile/tdxw/chm/%E7%AC%AC%E4%BA%94%E7%AB%A0  %E6%B3%A8%E5%86%8C%E5%8F%8A%E6%B8%B8%E5%AE%A2%E7%99%BB%E9%99%86/5-2/3.png" \* MERGEFORMATINET </w:instrText>
      </w:r>
      <w:r>
        <w:rPr>
          <w:szCs w:val="18"/>
        </w:rPr>
        <w:fldChar w:fldCharType="separate"/>
      </w:r>
      <w:r>
        <w:rPr>
          <w:szCs w:val="18"/>
        </w:rPr>
        <w:drawing>
          <wp:inline distT="0" distB="0" distL="114300" distR="114300">
            <wp:extent cx="6858000" cy="4391025"/>
            <wp:effectExtent l="0" t="0" r="0" b="9525"/>
            <wp:docPr id="422" name="图片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图片 422"/>
                    <pic:cNvPicPr>
                      <a:picLocks noChangeAspect="1"/>
                    </pic:cNvPicPr>
                  </pic:nvPicPr>
                  <pic:blipFill>
                    <a:blip r:embed="rId796" r:link="rId797"/>
                    <a:stretch>
                      <a:fillRect/>
                    </a:stretch>
                  </pic:blipFill>
                  <pic:spPr>
                    <a:xfrm>
                      <a:off x="0" y="0"/>
                      <a:ext cx="6858000" cy="4391025"/>
                    </a:xfrm>
                    <a:prstGeom prst="rect">
                      <a:avLst/>
                    </a:prstGeom>
                    <a:noFill/>
                    <a:ln>
                      <a:noFill/>
                    </a:ln>
                  </pic:spPr>
                </pic:pic>
              </a:graphicData>
            </a:graphic>
          </wp:inline>
        </w:drawing>
      </w:r>
      <w:r>
        <w:rPr>
          <w:szCs w:val="18"/>
        </w:rPr>
        <w:fldChar w:fldCharType="end"/>
      </w:r>
      <w:r>
        <w:rPr>
          <w:szCs w:val="18"/>
        </w:rPr>
        <w:fldChar w:fldCharType="end"/>
      </w:r>
      <w:r>
        <w:rPr>
          <w:szCs w:val="18"/>
        </w:rPr>
        <w:fldChar w:fldCharType="end"/>
      </w:r>
      <w:r>
        <w:rPr>
          <w:szCs w:val="18"/>
        </w:rPr>
        <w:fldChar w:fldCharType="end"/>
      </w:r>
    </w:p>
    <w:p>
      <w:pPr>
        <w:pStyle w:val="34"/>
        <w:rPr>
          <w:szCs w:val="18"/>
        </w:rPr>
      </w:pPr>
      <w:r>
        <w:rPr>
          <w:rFonts w:hint="eastAsia"/>
          <w:szCs w:val="18"/>
        </w:rPr>
        <w:t>股本结构</w:t>
      </w:r>
    </w:p>
    <w:p>
      <w:pPr>
        <w:pStyle w:val="34"/>
        <w:rPr>
          <w:szCs w:val="18"/>
        </w:rPr>
      </w:pPr>
      <w:r>
        <w:rPr>
          <w:rFonts w:hint="eastAsia"/>
          <w:szCs w:val="18"/>
        </w:rPr>
        <w:t>股本结构展示公司股本变动数据。包括已流通股本和受限流通股本的股本结构、股本变动情况、限售股流通情况。</w:t>
      </w:r>
    </w:p>
    <w:p>
      <w:pPr>
        <w:pStyle w:val="34"/>
        <w:rPr>
          <w:szCs w:val="18"/>
        </w:rPr>
      </w:pPr>
      <w:r>
        <w:rPr>
          <w:szCs w:val="18"/>
        </w:rPr>
        <w:fldChar w:fldCharType="begin"/>
      </w:r>
      <w:r>
        <w:rPr>
          <w:szCs w:val="18"/>
        </w:rPr>
        <w:instrText xml:space="preserve"> INCLUDEPICTURE  "https://www.tdx.com.cn/products/helpfile/tdxw/chm/%E7%AC%AC%E4%BA%94%E7%AB%A0  %E6%B3%A8%E5%86%8C%E5%8F%8A%E6%B8%B8%E5%AE%A2%E7%99%BB%E9%99%86/5-2/4.png" \* MERGEFORMATINET </w:instrText>
      </w:r>
      <w:r>
        <w:rPr>
          <w:szCs w:val="18"/>
        </w:rPr>
        <w:fldChar w:fldCharType="separate"/>
      </w:r>
      <w:r>
        <w:rPr>
          <w:szCs w:val="18"/>
        </w:rPr>
        <w:fldChar w:fldCharType="begin"/>
      </w:r>
      <w:r>
        <w:rPr>
          <w:szCs w:val="18"/>
        </w:rPr>
        <w:instrText xml:space="preserve"> INCLUDEPICTURE  "https://www.tdx.com.cn/products/helpfile/tdxw/chm/%E7%AC%AC%E4%BA%94%E7%AB%A0  %E6%B3%A8%E5%86%8C%E5%8F%8A%E6%B8%B8%E5%AE%A2%E7%99%BB%E9%99%86/5-2/4.png" \* MERGEFORMATINET </w:instrText>
      </w:r>
      <w:r>
        <w:rPr>
          <w:szCs w:val="18"/>
        </w:rPr>
        <w:fldChar w:fldCharType="separate"/>
      </w:r>
      <w:r>
        <w:rPr>
          <w:szCs w:val="18"/>
        </w:rPr>
        <w:fldChar w:fldCharType="begin"/>
      </w:r>
      <w:r>
        <w:rPr>
          <w:szCs w:val="18"/>
        </w:rPr>
        <w:instrText xml:space="preserve"> INCLUDEPICTURE  "https://www.tdx.com.cn/products/helpfile/tdxw/chm/%E7%AC%AC%E4%BA%94%E7%AB%A0  %E6%B3%A8%E5%86%8C%E5%8F%8A%E6%B8%B8%E5%AE%A2%E7%99%BB%E9%99%86/5-2/4.png" \* MERGEFORMATINET </w:instrText>
      </w:r>
      <w:r>
        <w:rPr>
          <w:szCs w:val="18"/>
        </w:rPr>
        <w:fldChar w:fldCharType="separate"/>
      </w:r>
      <w:r>
        <w:rPr>
          <w:szCs w:val="18"/>
        </w:rPr>
        <w:fldChar w:fldCharType="begin"/>
      </w:r>
      <w:r>
        <w:rPr>
          <w:szCs w:val="18"/>
        </w:rPr>
        <w:instrText xml:space="preserve"> INCLUDEPICTURE  "https://www.tdx.com.cn/products/helpfile/tdxw/chm/%E7%AC%AC%E4%BA%94%E7%AB%A0  %E6%B3%A8%E5%86%8C%E5%8F%8A%E6%B8%B8%E5%AE%A2%E7%99%BB%E9%99%86/5-2/4.png" \* MERGEFORMATINET </w:instrText>
      </w:r>
      <w:r>
        <w:rPr>
          <w:szCs w:val="18"/>
        </w:rPr>
        <w:fldChar w:fldCharType="separate"/>
      </w:r>
      <w:r>
        <w:rPr>
          <w:szCs w:val="18"/>
        </w:rPr>
        <w:drawing>
          <wp:inline distT="0" distB="0" distL="114300" distR="114300">
            <wp:extent cx="7029450" cy="4505325"/>
            <wp:effectExtent l="0" t="0" r="0" b="9525"/>
            <wp:docPr id="423" name="图片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图片 423"/>
                    <pic:cNvPicPr>
                      <a:picLocks noChangeAspect="1"/>
                    </pic:cNvPicPr>
                  </pic:nvPicPr>
                  <pic:blipFill>
                    <a:blip r:embed="rId798" r:link="rId799"/>
                    <a:stretch>
                      <a:fillRect/>
                    </a:stretch>
                  </pic:blipFill>
                  <pic:spPr>
                    <a:xfrm>
                      <a:off x="0" y="0"/>
                      <a:ext cx="7029450" cy="4505325"/>
                    </a:xfrm>
                    <a:prstGeom prst="rect">
                      <a:avLst/>
                    </a:prstGeom>
                    <a:noFill/>
                    <a:ln>
                      <a:noFill/>
                    </a:ln>
                  </pic:spPr>
                </pic:pic>
              </a:graphicData>
            </a:graphic>
          </wp:inline>
        </w:drawing>
      </w:r>
      <w:r>
        <w:rPr>
          <w:szCs w:val="18"/>
        </w:rPr>
        <w:fldChar w:fldCharType="end"/>
      </w:r>
      <w:r>
        <w:rPr>
          <w:szCs w:val="18"/>
        </w:rPr>
        <w:fldChar w:fldCharType="end"/>
      </w:r>
      <w:r>
        <w:rPr>
          <w:szCs w:val="18"/>
        </w:rPr>
        <w:fldChar w:fldCharType="end"/>
      </w:r>
      <w:r>
        <w:rPr>
          <w:szCs w:val="18"/>
        </w:rPr>
        <w:fldChar w:fldCharType="end"/>
      </w:r>
    </w:p>
    <w:p>
      <w:pPr>
        <w:pStyle w:val="34"/>
        <w:rPr>
          <w:szCs w:val="18"/>
        </w:rPr>
      </w:pPr>
      <w:r>
        <w:rPr>
          <w:rFonts w:hint="eastAsia"/>
          <w:szCs w:val="18"/>
        </w:rPr>
        <w:t>股东研究</w:t>
      </w:r>
    </w:p>
    <w:p>
      <w:pPr>
        <w:pStyle w:val="34"/>
        <w:rPr>
          <w:szCs w:val="18"/>
        </w:rPr>
      </w:pPr>
      <w:r>
        <w:rPr>
          <w:rFonts w:hint="eastAsia"/>
          <w:szCs w:val="18"/>
        </w:rPr>
        <w:t>股东研究揭示个股公司控股股东和实际控制人信息、股东人数以及股东人数变化情况、十大流通股东以及持股情况，机构持股汇总图表，以及各机构持股明细数据信息培等。</w:t>
      </w:r>
    </w:p>
    <w:p>
      <w:pPr>
        <w:pStyle w:val="34"/>
        <w:rPr>
          <w:szCs w:val="18"/>
        </w:rPr>
      </w:pPr>
    </w:p>
    <w:p>
      <w:pPr>
        <w:pStyle w:val="34"/>
        <w:rPr>
          <w:szCs w:val="18"/>
        </w:rPr>
      </w:pPr>
      <w:r>
        <w:rPr>
          <w:szCs w:val="18"/>
        </w:rPr>
        <w:fldChar w:fldCharType="begin"/>
      </w:r>
      <w:r>
        <w:rPr>
          <w:szCs w:val="18"/>
        </w:rPr>
        <w:instrText xml:space="preserve"> INCLUDEPICTURE  "https://www.tdx.com.cn/products/helpfile/tdxw/chm/%E7%AC%AC%E4%BA%94%E7%AB%A0  %E6%B3%A8%E5%86%8C%E5%8F%8A%E6%B8%B8%E5%AE%A2%E7%99%BB%E9%99%86/5-2/5.png" \* MERGEFORMATINET </w:instrText>
      </w:r>
      <w:r>
        <w:rPr>
          <w:szCs w:val="18"/>
        </w:rPr>
        <w:fldChar w:fldCharType="separate"/>
      </w:r>
      <w:r>
        <w:rPr>
          <w:szCs w:val="18"/>
        </w:rPr>
        <w:fldChar w:fldCharType="begin"/>
      </w:r>
      <w:r>
        <w:rPr>
          <w:szCs w:val="18"/>
        </w:rPr>
        <w:instrText xml:space="preserve"> INCLUDEPICTURE  "https://www.tdx.com.cn/products/helpfile/tdxw/chm/%E7%AC%AC%E4%BA%94%E7%AB%A0  %E6%B3%A8%E5%86%8C%E5%8F%8A%E6%B8%B8%E5%AE%A2%E7%99%BB%E9%99%86/5-2/5.png" \* MERGEFORMATINET </w:instrText>
      </w:r>
      <w:r>
        <w:rPr>
          <w:szCs w:val="18"/>
        </w:rPr>
        <w:fldChar w:fldCharType="separate"/>
      </w:r>
      <w:r>
        <w:rPr>
          <w:szCs w:val="18"/>
        </w:rPr>
        <w:fldChar w:fldCharType="begin"/>
      </w:r>
      <w:r>
        <w:rPr>
          <w:szCs w:val="18"/>
        </w:rPr>
        <w:instrText xml:space="preserve"> INCLUDEPICTURE  "https://www.tdx.com.cn/products/helpfile/tdxw/chm/%E7%AC%AC%E4%BA%94%E7%AB%A0  %E6%B3%A8%E5%86%8C%E5%8F%8A%E6%B8%B8%E5%AE%A2%E7%99%BB%E9%99%86/5-2/5.png" \* MERGEFORMATINET </w:instrText>
      </w:r>
      <w:r>
        <w:rPr>
          <w:szCs w:val="18"/>
        </w:rPr>
        <w:fldChar w:fldCharType="separate"/>
      </w:r>
      <w:r>
        <w:rPr>
          <w:szCs w:val="18"/>
        </w:rPr>
        <w:fldChar w:fldCharType="begin"/>
      </w:r>
      <w:r>
        <w:rPr>
          <w:szCs w:val="18"/>
        </w:rPr>
        <w:instrText xml:space="preserve"> INCLUDEPICTURE  "https://www.tdx.com.cn/products/helpfile/tdxw/chm/%E7%AC%AC%E4%BA%94%E7%AB%A0  %E6%B3%A8%E5%86%8C%E5%8F%8A%E6%B8%B8%E5%AE%A2%E7%99%BB%E9%99%86/5-2/5.png" \* MERGEFORMATINET </w:instrText>
      </w:r>
      <w:r>
        <w:rPr>
          <w:szCs w:val="18"/>
        </w:rPr>
        <w:fldChar w:fldCharType="separate"/>
      </w:r>
      <w:r>
        <w:rPr>
          <w:szCs w:val="18"/>
        </w:rPr>
        <w:drawing>
          <wp:inline distT="0" distB="0" distL="114300" distR="114300">
            <wp:extent cx="6496050" cy="4162425"/>
            <wp:effectExtent l="0" t="0" r="0" b="9525"/>
            <wp:docPr id="424" name="图片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图片 424"/>
                    <pic:cNvPicPr>
                      <a:picLocks noChangeAspect="1"/>
                    </pic:cNvPicPr>
                  </pic:nvPicPr>
                  <pic:blipFill>
                    <a:blip r:embed="rId800" r:link="rId801"/>
                    <a:stretch>
                      <a:fillRect/>
                    </a:stretch>
                  </pic:blipFill>
                  <pic:spPr>
                    <a:xfrm>
                      <a:off x="0" y="0"/>
                      <a:ext cx="6496050" cy="4162425"/>
                    </a:xfrm>
                    <a:prstGeom prst="rect">
                      <a:avLst/>
                    </a:prstGeom>
                    <a:noFill/>
                    <a:ln>
                      <a:noFill/>
                    </a:ln>
                  </pic:spPr>
                </pic:pic>
              </a:graphicData>
            </a:graphic>
          </wp:inline>
        </w:drawing>
      </w:r>
      <w:r>
        <w:rPr>
          <w:szCs w:val="18"/>
        </w:rPr>
        <w:fldChar w:fldCharType="end"/>
      </w:r>
      <w:r>
        <w:rPr>
          <w:szCs w:val="18"/>
        </w:rPr>
        <w:fldChar w:fldCharType="end"/>
      </w:r>
      <w:r>
        <w:rPr>
          <w:szCs w:val="18"/>
        </w:rPr>
        <w:fldChar w:fldCharType="end"/>
      </w:r>
      <w:r>
        <w:rPr>
          <w:szCs w:val="18"/>
        </w:rPr>
        <w:fldChar w:fldCharType="end"/>
      </w:r>
    </w:p>
    <w:p>
      <w:pPr>
        <w:pStyle w:val="34"/>
        <w:rPr>
          <w:szCs w:val="18"/>
        </w:rPr>
      </w:pPr>
      <w:r>
        <w:rPr>
          <w:rFonts w:hint="eastAsia"/>
          <w:szCs w:val="18"/>
        </w:rPr>
        <w:t>高管治理</w:t>
      </w:r>
    </w:p>
    <w:p>
      <w:pPr>
        <w:pStyle w:val="34"/>
        <w:rPr>
          <w:szCs w:val="18"/>
        </w:rPr>
      </w:pPr>
      <w:r>
        <w:rPr>
          <w:rFonts w:hint="eastAsia"/>
          <w:szCs w:val="18"/>
        </w:rPr>
        <w:t>高管治理介绍高管持股，以及高管兼职其他公司的情况。点击“姓名”列可以查看此人的详细介绍。</w:t>
      </w:r>
    </w:p>
    <w:p>
      <w:pPr>
        <w:pStyle w:val="34"/>
        <w:rPr>
          <w:szCs w:val="18"/>
        </w:rPr>
      </w:pPr>
      <w:r>
        <w:rPr>
          <w:szCs w:val="18"/>
        </w:rPr>
        <w:fldChar w:fldCharType="begin"/>
      </w:r>
      <w:r>
        <w:rPr>
          <w:szCs w:val="18"/>
        </w:rPr>
        <w:instrText xml:space="preserve"> INCLUDEPICTURE  "https://www.tdx.com.cn/products/helpfile/tdxw/chm/%E7%AC%AC%E4%BA%94%E7%AB%A0  %E6%B3%A8%E5%86%8C%E5%8F%8A%E6%B8%B8%E5%AE%A2%E7%99%BB%E9%99%86/5-2/6.png" \* MERGEFORMATINET </w:instrText>
      </w:r>
      <w:r>
        <w:rPr>
          <w:szCs w:val="18"/>
        </w:rPr>
        <w:fldChar w:fldCharType="separate"/>
      </w:r>
      <w:r>
        <w:rPr>
          <w:szCs w:val="18"/>
        </w:rPr>
        <w:fldChar w:fldCharType="begin"/>
      </w:r>
      <w:r>
        <w:rPr>
          <w:szCs w:val="18"/>
        </w:rPr>
        <w:instrText xml:space="preserve"> INCLUDEPICTURE  "https://www.tdx.com.cn/products/helpfile/tdxw/chm/%E7%AC%AC%E4%BA%94%E7%AB%A0  %E6%B3%A8%E5%86%8C%E5%8F%8A%E6%B8%B8%E5%AE%A2%E7%99%BB%E9%99%86/5-2/6.png" \* MERGEFORMATINET </w:instrText>
      </w:r>
      <w:r>
        <w:rPr>
          <w:szCs w:val="18"/>
        </w:rPr>
        <w:fldChar w:fldCharType="separate"/>
      </w:r>
      <w:r>
        <w:rPr>
          <w:szCs w:val="18"/>
        </w:rPr>
        <w:fldChar w:fldCharType="begin"/>
      </w:r>
      <w:r>
        <w:rPr>
          <w:szCs w:val="18"/>
        </w:rPr>
        <w:instrText xml:space="preserve"> INCLUDEPICTURE  "https://www.tdx.com.cn/products/helpfile/tdxw/chm/%E7%AC%AC%E4%BA%94%E7%AB%A0  %E6%B3%A8%E5%86%8C%E5%8F%8A%E6%B8%B8%E5%AE%A2%E7%99%BB%E9%99%86/5-2/6.png" \* MERGEFORMATINET </w:instrText>
      </w:r>
      <w:r>
        <w:rPr>
          <w:szCs w:val="18"/>
        </w:rPr>
        <w:fldChar w:fldCharType="separate"/>
      </w:r>
      <w:r>
        <w:rPr>
          <w:szCs w:val="18"/>
        </w:rPr>
        <w:fldChar w:fldCharType="begin"/>
      </w:r>
      <w:r>
        <w:rPr>
          <w:szCs w:val="18"/>
        </w:rPr>
        <w:instrText xml:space="preserve"> INCLUDEPICTURE  "https://www.tdx.com.cn/products/helpfile/tdxw/chm/%E7%AC%AC%E4%BA%94%E7%AB%A0  %E6%B3%A8%E5%86%8C%E5%8F%8A%E6%B8%B8%E5%AE%A2%E7%99%BB%E9%99%86/5-2/6.png" \* MERGEFORMATINET </w:instrText>
      </w:r>
      <w:r>
        <w:rPr>
          <w:szCs w:val="18"/>
        </w:rPr>
        <w:fldChar w:fldCharType="separate"/>
      </w:r>
      <w:r>
        <w:rPr>
          <w:szCs w:val="18"/>
        </w:rPr>
        <w:drawing>
          <wp:inline distT="0" distB="0" distL="114300" distR="114300">
            <wp:extent cx="6543675" cy="4171950"/>
            <wp:effectExtent l="0" t="0" r="9525" b="0"/>
            <wp:docPr id="425" name="图片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图片 425"/>
                    <pic:cNvPicPr>
                      <a:picLocks noChangeAspect="1"/>
                    </pic:cNvPicPr>
                  </pic:nvPicPr>
                  <pic:blipFill>
                    <a:blip r:embed="rId802" r:link="rId803"/>
                    <a:stretch>
                      <a:fillRect/>
                    </a:stretch>
                  </pic:blipFill>
                  <pic:spPr>
                    <a:xfrm>
                      <a:off x="0" y="0"/>
                      <a:ext cx="6543675" cy="4171950"/>
                    </a:xfrm>
                    <a:prstGeom prst="rect">
                      <a:avLst/>
                    </a:prstGeom>
                    <a:noFill/>
                    <a:ln>
                      <a:noFill/>
                    </a:ln>
                  </pic:spPr>
                </pic:pic>
              </a:graphicData>
            </a:graphic>
          </wp:inline>
        </w:drawing>
      </w:r>
      <w:r>
        <w:rPr>
          <w:szCs w:val="18"/>
        </w:rPr>
        <w:fldChar w:fldCharType="end"/>
      </w:r>
      <w:r>
        <w:rPr>
          <w:szCs w:val="18"/>
        </w:rPr>
        <w:fldChar w:fldCharType="end"/>
      </w:r>
      <w:r>
        <w:rPr>
          <w:szCs w:val="18"/>
        </w:rPr>
        <w:fldChar w:fldCharType="end"/>
      </w:r>
      <w:r>
        <w:rPr>
          <w:szCs w:val="18"/>
        </w:rPr>
        <w:fldChar w:fldCharType="end"/>
      </w:r>
    </w:p>
    <w:p>
      <w:pPr>
        <w:pStyle w:val="34"/>
        <w:rPr>
          <w:szCs w:val="18"/>
        </w:rPr>
      </w:pPr>
      <w:r>
        <w:rPr>
          <w:rFonts w:hint="eastAsia"/>
          <w:szCs w:val="18"/>
        </w:rPr>
        <w:t>分红融资</w:t>
      </w:r>
    </w:p>
    <w:p>
      <w:pPr>
        <w:pStyle w:val="34"/>
        <w:rPr>
          <w:szCs w:val="18"/>
        </w:rPr>
      </w:pPr>
      <w:r>
        <w:rPr>
          <w:rFonts w:hint="eastAsia"/>
          <w:szCs w:val="18"/>
        </w:rPr>
        <w:t>分红融资展示公司的派现和募资以及历年的分红派现募资情况以及历次分红（分红方案）、配发（配发价格配发比例）、增发方案的明细数据。</w:t>
      </w:r>
    </w:p>
    <w:p>
      <w:pPr>
        <w:pStyle w:val="34"/>
        <w:rPr>
          <w:szCs w:val="18"/>
        </w:rPr>
      </w:pPr>
      <w:r>
        <w:rPr>
          <w:szCs w:val="18"/>
        </w:rPr>
        <w:fldChar w:fldCharType="begin"/>
      </w:r>
      <w:r>
        <w:rPr>
          <w:szCs w:val="18"/>
        </w:rPr>
        <w:instrText xml:space="preserve"> INCLUDEPICTURE  "https://www.tdx.com.cn/products/helpfile/tdxw/chm/%E7%AC%AC%E4%BA%94%E7%AB%A0  %E6%B3%A8%E5%86%8C%E5%8F%8A%E6%B8%B8%E5%AE%A2%E7%99%BB%E9%99%86/5-2/7.png" \* MERGEFORMATINET </w:instrText>
      </w:r>
      <w:r>
        <w:rPr>
          <w:szCs w:val="18"/>
        </w:rPr>
        <w:fldChar w:fldCharType="separate"/>
      </w:r>
      <w:r>
        <w:rPr>
          <w:szCs w:val="18"/>
        </w:rPr>
        <w:fldChar w:fldCharType="begin"/>
      </w:r>
      <w:r>
        <w:rPr>
          <w:szCs w:val="18"/>
        </w:rPr>
        <w:instrText xml:space="preserve"> INCLUDEPICTURE  "https://www.tdx.com.cn/products/helpfile/tdxw/chm/%E7%AC%AC%E4%BA%94%E7%AB%A0  %E6%B3%A8%E5%86%8C%E5%8F%8A%E6%B8%B8%E5%AE%A2%E7%99%BB%E9%99%86/5-2/7.png" \* MERGEFORMATINET </w:instrText>
      </w:r>
      <w:r>
        <w:rPr>
          <w:szCs w:val="18"/>
        </w:rPr>
        <w:fldChar w:fldCharType="separate"/>
      </w:r>
      <w:r>
        <w:rPr>
          <w:szCs w:val="18"/>
        </w:rPr>
        <w:fldChar w:fldCharType="begin"/>
      </w:r>
      <w:r>
        <w:rPr>
          <w:szCs w:val="18"/>
        </w:rPr>
        <w:instrText xml:space="preserve"> INCLUDEPICTURE  "https://www.tdx.com.cn/products/helpfile/tdxw/chm/%E7%AC%AC%E4%BA%94%E7%AB%A0  %E6%B3%A8%E5%86%8C%E5%8F%8A%E6%B8%B8%E5%AE%A2%E7%99%BB%E9%99%86/5-2/7.png" \* MERGEFORMATINET </w:instrText>
      </w:r>
      <w:r>
        <w:rPr>
          <w:szCs w:val="18"/>
        </w:rPr>
        <w:fldChar w:fldCharType="separate"/>
      </w:r>
      <w:r>
        <w:rPr>
          <w:szCs w:val="18"/>
        </w:rPr>
        <w:fldChar w:fldCharType="begin"/>
      </w:r>
      <w:r>
        <w:rPr>
          <w:szCs w:val="18"/>
        </w:rPr>
        <w:instrText xml:space="preserve"> INCLUDEPICTURE  "https://www.tdx.com.cn/products/helpfile/tdxw/chm/%E7%AC%AC%E4%BA%94%E7%AB%A0  %E6%B3%A8%E5%86%8C%E5%8F%8A%E6%B8%B8%E5%AE%A2%E7%99%BB%E9%99%86/5-2/7.png" \* MERGEFORMATINET </w:instrText>
      </w:r>
      <w:r>
        <w:rPr>
          <w:szCs w:val="18"/>
        </w:rPr>
        <w:fldChar w:fldCharType="separate"/>
      </w:r>
      <w:r>
        <w:rPr>
          <w:szCs w:val="18"/>
        </w:rPr>
        <w:drawing>
          <wp:inline distT="0" distB="0" distL="114300" distR="114300">
            <wp:extent cx="7362825" cy="4714875"/>
            <wp:effectExtent l="0" t="0" r="9525" b="9525"/>
            <wp:docPr id="426" name="图片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图片 426"/>
                    <pic:cNvPicPr>
                      <a:picLocks noChangeAspect="1"/>
                    </pic:cNvPicPr>
                  </pic:nvPicPr>
                  <pic:blipFill>
                    <a:blip r:embed="rId804" r:link="rId805"/>
                    <a:stretch>
                      <a:fillRect/>
                    </a:stretch>
                  </pic:blipFill>
                  <pic:spPr>
                    <a:xfrm>
                      <a:off x="0" y="0"/>
                      <a:ext cx="7362825" cy="4714875"/>
                    </a:xfrm>
                    <a:prstGeom prst="rect">
                      <a:avLst/>
                    </a:prstGeom>
                    <a:noFill/>
                    <a:ln>
                      <a:noFill/>
                    </a:ln>
                  </pic:spPr>
                </pic:pic>
              </a:graphicData>
            </a:graphic>
          </wp:inline>
        </w:drawing>
      </w:r>
      <w:r>
        <w:rPr>
          <w:szCs w:val="18"/>
        </w:rPr>
        <w:fldChar w:fldCharType="end"/>
      </w:r>
      <w:r>
        <w:rPr>
          <w:szCs w:val="18"/>
        </w:rPr>
        <w:fldChar w:fldCharType="end"/>
      </w:r>
      <w:r>
        <w:rPr>
          <w:szCs w:val="18"/>
        </w:rPr>
        <w:fldChar w:fldCharType="end"/>
      </w:r>
      <w:r>
        <w:rPr>
          <w:szCs w:val="18"/>
        </w:rPr>
        <w:fldChar w:fldCharType="end"/>
      </w:r>
    </w:p>
    <w:p>
      <w:pPr>
        <w:pStyle w:val="34"/>
        <w:rPr>
          <w:szCs w:val="18"/>
        </w:rPr>
      </w:pPr>
      <w:r>
        <w:rPr>
          <w:rFonts w:hint="eastAsia"/>
          <w:szCs w:val="18"/>
        </w:rPr>
        <w:t>财务分析：</w:t>
      </w:r>
    </w:p>
    <w:p>
      <w:pPr>
        <w:pStyle w:val="34"/>
        <w:rPr>
          <w:szCs w:val="18"/>
        </w:rPr>
      </w:pPr>
      <w:r>
        <w:rPr>
          <w:rFonts w:hint="eastAsia"/>
          <w:szCs w:val="18"/>
        </w:rPr>
        <w:t>财务分析由多个方面组成：财务指标；指标变动说明；资产负债说明；综合分析；杜邦分析。。</w:t>
      </w:r>
    </w:p>
    <w:p>
      <w:pPr>
        <w:pStyle w:val="34"/>
        <w:rPr>
          <w:szCs w:val="18"/>
        </w:rPr>
      </w:pPr>
      <w:r>
        <w:rPr>
          <w:rFonts w:hint="eastAsia"/>
          <w:szCs w:val="18"/>
        </w:rPr>
        <w:t>财务指标从主要指标，利润表、现金流量表、资产负债表多个大方面揭示公司经营状况。主要指标分按报告期、按同季度、按年度、按单季度四种模式显示如基本每股收益、摊薄每股收益、每股净资产、每股现金流量、每股未分配利润、销售毛利率(%)、净利润同比增长率(%) 等重要指标数据，数据丰富涉及近10年的个季度财务数据。点击下方的各指标数据，上面可以实现此指标各时期数据的柱状图、线状图、点状图；利润表揭示主营业务收入、主营业务利润、营业利润、净利润或者净亏损等四个方面等到最终的利润状况；现金流量表从经营活动现金流、投资活动现金流、募资活动现金流三个大方面揭示公司的现金流入流出情况。点击下方的数据行，上方随着显示此行数据对应的柱状图、线状图、点状图；资产负债表用来揭示总资产、股东权益、负债三部分展示公司的经营状况。</w:t>
      </w:r>
    </w:p>
    <w:p>
      <w:pPr>
        <w:pStyle w:val="34"/>
        <w:rPr>
          <w:szCs w:val="18"/>
        </w:rPr>
      </w:pPr>
      <w:r>
        <w:rPr>
          <w:szCs w:val="18"/>
        </w:rPr>
        <w:fldChar w:fldCharType="begin"/>
      </w:r>
      <w:r>
        <w:rPr>
          <w:szCs w:val="18"/>
        </w:rPr>
        <w:instrText xml:space="preserve"> INCLUDEPICTURE  "https://www.tdx.com.cn/products/helpfile/tdxw/chm/%E7%AC%AC%E4%BA%94%E7%AB%A0  %E6%B3%A8%E5%86%8C%E5%8F%8A%E6%B8%B8%E5%AE%A2%E7%99%BB%E9%99%86/5-2/8.1.png" \* MERGEFORMATINET </w:instrText>
      </w:r>
      <w:r>
        <w:rPr>
          <w:szCs w:val="18"/>
        </w:rPr>
        <w:fldChar w:fldCharType="separate"/>
      </w:r>
      <w:r>
        <w:rPr>
          <w:szCs w:val="18"/>
        </w:rPr>
        <w:fldChar w:fldCharType="begin"/>
      </w:r>
      <w:r>
        <w:rPr>
          <w:szCs w:val="18"/>
        </w:rPr>
        <w:instrText xml:space="preserve"> INCLUDEPICTURE  "https://www.tdx.com.cn/products/helpfile/tdxw/chm/%E7%AC%AC%E4%BA%94%E7%AB%A0  %E6%B3%A8%E5%86%8C%E5%8F%8A%E6%B8%B8%E5%AE%A2%E7%99%BB%E9%99%86/5-2/8.1.png" \* MERGEFORMATINET </w:instrText>
      </w:r>
      <w:r>
        <w:rPr>
          <w:szCs w:val="18"/>
        </w:rPr>
        <w:fldChar w:fldCharType="separate"/>
      </w:r>
      <w:r>
        <w:rPr>
          <w:szCs w:val="18"/>
        </w:rPr>
        <w:fldChar w:fldCharType="begin"/>
      </w:r>
      <w:r>
        <w:rPr>
          <w:szCs w:val="18"/>
        </w:rPr>
        <w:instrText xml:space="preserve"> INCLUDEPICTURE  "https://www.tdx.com.cn/products/helpfile/tdxw/chm/%E7%AC%AC%E4%BA%94%E7%AB%A0  %E6%B3%A8%E5%86%8C%E5%8F%8A%E6%B8%B8%E5%AE%A2%E7%99%BB%E9%99%86/5-2/8.1.png" \* MERGEFORMATINET </w:instrText>
      </w:r>
      <w:r>
        <w:rPr>
          <w:szCs w:val="18"/>
        </w:rPr>
        <w:fldChar w:fldCharType="separate"/>
      </w:r>
      <w:r>
        <w:rPr>
          <w:szCs w:val="18"/>
        </w:rPr>
        <w:fldChar w:fldCharType="begin"/>
      </w:r>
      <w:r>
        <w:rPr>
          <w:szCs w:val="18"/>
        </w:rPr>
        <w:instrText xml:space="preserve"> INCLUDEPICTURE  "https://www.tdx.com.cn/products/helpfile/tdxw/chm/%E7%AC%AC%E4%BA%94%E7%AB%A0  %E6%B3%A8%E5%86%8C%E5%8F%8A%E6%B8%B8%E5%AE%A2%E7%99%BB%E9%99%86/5-2/8.1.png" \* MERGEFORMATINET </w:instrText>
      </w:r>
      <w:r>
        <w:rPr>
          <w:szCs w:val="18"/>
        </w:rPr>
        <w:fldChar w:fldCharType="separate"/>
      </w:r>
      <w:r>
        <w:rPr>
          <w:szCs w:val="18"/>
        </w:rPr>
        <w:drawing>
          <wp:inline distT="0" distB="0" distL="114300" distR="114300">
            <wp:extent cx="7458075" cy="4800600"/>
            <wp:effectExtent l="0" t="0" r="9525" b="0"/>
            <wp:docPr id="427" name="图片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图片 427"/>
                    <pic:cNvPicPr>
                      <a:picLocks noChangeAspect="1"/>
                    </pic:cNvPicPr>
                  </pic:nvPicPr>
                  <pic:blipFill>
                    <a:blip r:embed="rId806" r:link="rId807"/>
                    <a:stretch>
                      <a:fillRect/>
                    </a:stretch>
                  </pic:blipFill>
                  <pic:spPr>
                    <a:xfrm>
                      <a:off x="0" y="0"/>
                      <a:ext cx="7458075" cy="4800600"/>
                    </a:xfrm>
                    <a:prstGeom prst="rect">
                      <a:avLst/>
                    </a:prstGeom>
                    <a:noFill/>
                    <a:ln>
                      <a:noFill/>
                    </a:ln>
                  </pic:spPr>
                </pic:pic>
              </a:graphicData>
            </a:graphic>
          </wp:inline>
        </w:drawing>
      </w:r>
      <w:r>
        <w:rPr>
          <w:szCs w:val="18"/>
        </w:rPr>
        <w:fldChar w:fldCharType="end"/>
      </w:r>
      <w:r>
        <w:rPr>
          <w:szCs w:val="18"/>
        </w:rPr>
        <w:fldChar w:fldCharType="end"/>
      </w:r>
      <w:r>
        <w:rPr>
          <w:szCs w:val="18"/>
        </w:rPr>
        <w:fldChar w:fldCharType="end"/>
      </w:r>
      <w:r>
        <w:rPr>
          <w:szCs w:val="18"/>
        </w:rPr>
        <w:fldChar w:fldCharType="end"/>
      </w:r>
    </w:p>
    <w:p>
      <w:pPr>
        <w:pStyle w:val="34"/>
        <w:rPr>
          <w:szCs w:val="18"/>
        </w:rPr>
      </w:pPr>
      <w:r>
        <w:rPr>
          <w:rFonts w:hint="eastAsia"/>
          <w:szCs w:val="18"/>
        </w:rPr>
        <w:t>财务诊断：</w:t>
      </w:r>
    </w:p>
    <w:p>
      <w:pPr>
        <w:pStyle w:val="34"/>
        <w:rPr>
          <w:szCs w:val="18"/>
        </w:rPr>
      </w:pPr>
      <w:r>
        <w:rPr>
          <w:szCs w:val="18"/>
        </w:rPr>
        <w:fldChar w:fldCharType="begin"/>
      </w:r>
      <w:r>
        <w:rPr>
          <w:szCs w:val="18"/>
        </w:rPr>
        <w:instrText xml:space="preserve"> INCLUDEPICTURE  "https://www.tdx.com.cn/products/helpfile/tdxw/chm/%E7%AC%AC%E4%BA%94%E7%AB%A0  %E6%B3%A8%E5%86%8C%E5%8F%8A%E6%B8%B8%E5%AE%A2%E7%99%BB%E9%99%86/5-2/8.15.png" \* MERGEFORMATINET </w:instrText>
      </w:r>
      <w:r>
        <w:rPr>
          <w:szCs w:val="18"/>
        </w:rPr>
        <w:fldChar w:fldCharType="separate"/>
      </w:r>
      <w:r>
        <w:rPr>
          <w:szCs w:val="18"/>
        </w:rPr>
        <w:fldChar w:fldCharType="begin"/>
      </w:r>
      <w:r>
        <w:rPr>
          <w:szCs w:val="18"/>
        </w:rPr>
        <w:instrText xml:space="preserve"> INCLUDEPICTURE  "https://www.tdx.com.cn/products/helpfile/tdxw/chm/%E7%AC%AC%E4%BA%94%E7%AB%A0  %E6%B3%A8%E5%86%8C%E5%8F%8A%E6%B8%B8%E5%AE%A2%E7%99%BB%E9%99%86/5-2/8.15.png" \* MERGEFORMATINET </w:instrText>
      </w:r>
      <w:r>
        <w:rPr>
          <w:szCs w:val="18"/>
        </w:rPr>
        <w:fldChar w:fldCharType="separate"/>
      </w:r>
      <w:r>
        <w:rPr>
          <w:szCs w:val="18"/>
        </w:rPr>
        <w:fldChar w:fldCharType="begin"/>
      </w:r>
      <w:r>
        <w:rPr>
          <w:szCs w:val="18"/>
        </w:rPr>
        <w:instrText xml:space="preserve"> INCLUDEPICTURE  "https://www.tdx.com.cn/products/helpfile/tdxw/chm/%E7%AC%AC%E4%BA%94%E7%AB%A0  %E6%B3%A8%E5%86%8C%E5%8F%8A%E6%B8%B8%E5%AE%A2%E7%99%BB%E9%99%86/5-2/8.15.png" \* MERGEFORMATINET </w:instrText>
      </w:r>
      <w:r>
        <w:rPr>
          <w:szCs w:val="18"/>
        </w:rPr>
        <w:fldChar w:fldCharType="separate"/>
      </w:r>
      <w:r>
        <w:rPr>
          <w:szCs w:val="18"/>
        </w:rPr>
        <w:fldChar w:fldCharType="begin"/>
      </w:r>
      <w:r>
        <w:rPr>
          <w:szCs w:val="18"/>
        </w:rPr>
        <w:instrText xml:space="preserve"> INCLUDEPICTURE  "https://www.tdx.com.cn/products/helpfile/tdxw/chm/%E7%AC%AC%E4%BA%94%E7%AB%A0  %E6%B3%A8%E5%86%8C%E5%8F%8A%E6%B8%B8%E5%AE%A2%E7%99%BB%E9%99%86/5-2/8.15.png" \* MERGEFORMATINET </w:instrText>
      </w:r>
      <w:r>
        <w:rPr>
          <w:szCs w:val="18"/>
        </w:rPr>
        <w:fldChar w:fldCharType="separate"/>
      </w:r>
      <w:r>
        <w:rPr>
          <w:szCs w:val="18"/>
        </w:rPr>
        <w:drawing>
          <wp:inline distT="0" distB="0" distL="114300" distR="114300">
            <wp:extent cx="7896225" cy="5038725"/>
            <wp:effectExtent l="0" t="0" r="9525" b="9525"/>
            <wp:docPr id="428" name="图片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图片 428"/>
                    <pic:cNvPicPr>
                      <a:picLocks noChangeAspect="1"/>
                    </pic:cNvPicPr>
                  </pic:nvPicPr>
                  <pic:blipFill>
                    <a:blip r:embed="rId808" r:link="rId809"/>
                    <a:stretch>
                      <a:fillRect/>
                    </a:stretch>
                  </pic:blipFill>
                  <pic:spPr>
                    <a:xfrm>
                      <a:off x="0" y="0"/>
                      <a:ext cx="7896225" cy="5038725"/>
                    </a:xfrm>
                    <a:prstGeom prst="rect">
                      <a:avLst/>
                    </a:prstGeom>
                    <a:noFill/>
                    <a:ln>
                      <a:noFill/>
                    </a:ln>
                  </pic:spPr>
                </pic:pic>
              </a:graphicData>
            </a:graphic>
          </wp:inline>
        </w:drawing>
      </w:r>
      <w:r>
        <w:rPr>
          <w:szCs w:val="18"/>
        </w:rPr>
        <w:fldChar w:fldCharType="end"/>
      </w:r>
      <w:r>
        <w:rPr>
          <w:szCs w:val="18"/>
        </w:rPr>
        <w:fldChar w:fldCharType="end"/>
      </w:r>
      <w:r>
        <w:rPr>
          <w:szCs w:val="18"/>
        </w:rPr>
        <w:fldChar w:fldCharType="end"/>
      </w:r>
      <w:r>
        <w:rPr>
          <w:szCs w:val="18"/>
        </w:rPr>
        <w:fldChar w:fldCharType="end"/>
      </w:r>
    </w:p>
    <w:p>
      <w:pPr>
        <w:pStyle w:val="34"/>
        <w:rPr>
          <w:szCs w:val="18"/>
        </w:rPr>
      </w:pPr>
      <w:r>
        <w:rPr>
          <w:rFonts w:hint="eastAsia"/>
          <w:szCs w:val="18"/>
        </w:rPr>
        <w:t>指标变动展示不同期财务报表之间（本期和上期的变动对比）因为某些原因变动的数据项，以及数据变动原因。</w:t>
      </w:r>
    </w:p>
    <w:p>
      <w:pPr>
        <w:pStyle w:val="34"/>
        <w:rPr>
          <w:szCs w:val="18"/>
        </w:rPr>
      </w:pPr>
      <w:r>
        <w:rPr>
          <w:szCs w:val="18"/>
        </w:rPr>
        <w:fldChar w:fldCharType="begin"/>
      </w:r>
      <w:r>
        <w:rPr>
          <w:szCs w:val="18"/>
        </w:rPr>
        <w:instrText xml:space="preserve"> INCLUDEPICTURE  "https://www.tdx.com.cn/products/helpfile/tdxw/chm/%E7%AC%AC%E4%BA%94%E7%AB%A0  %E6%B3%A8%E5%86%8C%E5%8F%8A%E6%B8%B8%E5%AE%A2%E7%99%BB%E9%99%86/5-2/8.2.png" \* MERGEFORMATINET </w:instrText>
      </w:r>
      <w:r>
        <w:rPr>
          <w:szCs w:val="18"/>
        </w:rPr>
        <w:fldChar w:fldCharType="separate"/>
      </w:r>
      <w:r>
        <w:rPr>
          <w:szCs w:val="18"/>
        </w:rPr>
        <w:fldChar w:fldCharType="begin"/>
      </w:r>
      <w:r>
        <w:rPr>
          <w:szCs w:val="18"/>
        </w:rPr>
        <w:instrText xml:space="preserve"> INCLUDEPICTURE  "https://www.tdx.com.cn/products/helpfile/tdxw/chm/%E7%AC%AC%E4%BA%94%E7%AB%A0  %E6%B3%A8%E5%86%8C%E5%8F%8A%E6%B8%B8%E5%AE%A2%E7%99%BB%E9%99%86/5-2/8.2.png" \* MERGEFORMATINET </w:instrText>
      </w:r>
      <w:r>
        <w:rPr>
          <w:szCs w:val="18"/>
        </w:rPr>
        <w:fldChar w:fldCharType="separate"/>
      </w:r>
      <w:r>
        <w:rPr>
          <w:szCs w:val="18"/>
        </w:rPr>
        <w:fldChar w:fldCharType="begin"/>
      </w:r>
      <w:r>
        <w:rPr>
          <w:szCs w:val="18"/>
        </w:rPr>
        <w:instrText xml:space="preserve"> INCLUDEPICTURE  "https://www.tdx.com.cn/products/helpfile/tdxw/chm/%E7%AC%AC%E4%BA%94%E7%AB%A0  %E6%B3%A8%E5%86%8C%E5%8F%8A%E6%B8%B8%E5%AE%A2%E7%99%BB%E9%99%86/5-2/8.2.png" \* MERGEFORMATINET </w:instrText>
      </w:r>
      <w:r>
        <w:rPr>
          <w:szCs w:val="18"/>
        </w:rPr>
        <w:fldChar w:fldCharType="separate"/>
      </w:r>
      <w:r>
        <w:rPr>
          <w:szCs w:val="18"/>
        </w:rPr>
        <w:fldChar w:fldCharType="begin"/>
      </w:r>
      <w:r>
        <w:rPr>
          <w:szCs w:val="18"/>
        </w:rPr>
        <w:instrText xml:space="preserve"> INCLUDEPICTURE  "https://www.tdx.com.cn/products/helpfile/tdxw/chm/%E7%AC%AC%E4%BA%94%E7%AB%A0  %E6%B3%A8%E5%86%8C%E5%8F%8A%E6%B8%B8%E5%AE%A2%E7%99%BB%E9%99%86/5-2/8.2.png" \* MERGEFORMATINET </w:instrText>
      </w:r>
      <w:r>
        <w:rPr>
          <w:szCs w:val="18"/>
        </w:rPr>
        <w:fldChar w:fldCharType="separate"/>
      </w:r>
      <w:r>
        <w:rPr>
          <w:szCs w:val="18"/>
        </w:rPr>
        <w:drawing>
          <wp:inline distT="0" distB="0" distL="114300" distR="114300">
            <wp:extent cx="6962775" cy="4448175"/>
            <wp:effectExtent l="0" t="0" r="9525" b="9525"/>
            <wp:docPr id="429" name="图片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图片 429"/>
                    <pic:cNvPicPr>
                      <a:picLocks noChangeAspect="1"/>
                    </pic:cNvPicPr>
                  </pic:nvPicPr>
                  <pic:blipFill>
                    <a:blip r:embed="rId810" r:link="rId811"/>
                    <a:stretch>
                      <a:fillRect/>
                    </a:stretch>
                  </pic:blipFill>
                  <pic:spPr>
                    <a:xfrm>
                      <a:off x="0" y="0"/>
                      <a:ext cx="6962775" cy="4448175"/>
                    </a:xfrm>
                    <a:prstGeom prst="rect">
                      <a:avLst/>
                    </a:prstGeom>
                    <a:noFill/>
                    <a:ln>
                      <a:noFill/>
                    </a:ln>
                  </pic:spPr>
                </pic:pic>
              </a:graphicData>
            </a:graphic>
          </wp:inline>
        </w:drawing>
      </w:r>
      <w:r>
        <w:rPr>
          <w:szCs w:val="18"/>
        </w:rPr>
        <w:fldChar w:fldCharType="end"/>
      </w:r>
      <w:r>
        <w:rPr>
          <w:szCs w:val="18"/>
        </w:rPr>
        <w:fldChar w:fldCharType="end"/>
      </w:r>
      <w:r>
        <w:rPr>
          <w:szCs w:val="18"/>
        </w:rPr>
        <w:fldChar w:fldCharType="end"/>
      </w:r>
      <w:r>
        <w:rPr>
          <w:szCs w:val="18"/>
        </w:rPr>
        <w:fldChar w:fldCharType="end"/>
      </w:r>
    </w:p>
    <w:p>
      <w:pPr>
        <w:pStyle w:val="34"/>
        <w:rPr>
          <w:szCs w:val="18"/>
        </w:rPr>
      </w:pPr>
      <w:r>
        <w:rPr>
          <w:rFonts w:hint="eastAsia"/>
          <w:szCs w:val="18"/>
        </w:rPr>
        <w:t>资产负债说明是通过资产、负债揭示财务构成。</w:t>
      </w:r>
    </w:p>
    <w:p>
      <w:pPr>
        <w:pStyle w:val="34"/>
        <w:rPr>
          <w:szCs w:val="18"/>
        </w:rPr>
      </w:pPr>
      <w:r>
        <w:rPr>
          <w:szCs w:val="18"/>
        </w:rPr>
        <w:fldChar w:fldCharType="begin"/>
      </w:r>
      <w:r>
        <w:rPr>
          <w:szCs w:val="18"/>
        </w:rPr>
        <w:instrText xml:space="preserve"> INCLUDEPICTURE  "https://www.tdx.com.cn/products/helpfile/tdxw/chm/%E7%AC%AC%E4%BA%94%E7%AB%A0  %E6%B3%A8%E5%86%8C%E5%8F%8A%E6%B8%B8%E5%AE%A2%E7%99%BB%E9%99%86/5-2/8.3.png" \* MERGEFORMATINET </w:instrText>
      </w:r>
      <w:r>
        <w:rPr>
          <w:szCs w:val="18"/>
        </w:rPr>
        <w:fldChar w:fldCharType="separate"/>
      </w:r>
      <w:r>
        <w:rPr>
          <w:szCs w:val="18"/>
        </w:rPr>
        <w:fldChar w:fldCharType="begin"/>
      </w:r>
      <w:r>
        <w:rPr>
          <w:szCs w:val="18"/>
        </w:rPr>
        <w:instrText xml:space="preserve"> INCLUDEPICTURE  "https://www.tdx.com.cn/products/helpfile/tdxw/chm/%E7%AC%AC%E4%BA%94%E7%AB%A0  %E6%B3%A8%E5%86%8C%E5%8F%8A%E6%B8%B8%E5%AE%A2%E7%99%BB%E9%99%86/5-2/8.3.png" \* MERGEFORMATINET </w:instrText>
      </w:r>
      <w:r>
        <w:rPr>
          <w:szCs w:val="18"/>
        </w:rPr>
        <w:fldChar w:fldCharType="separate"/>
      </w:r>
      <w:r>
        <w:rPr>
          <w:szCs w:val="18"/>
        </w:rPr>
        <w:fldChar w:fldCharType="begin"/>
      </w:r>
      <w:r>
        <w:rPr>
          <w:szCs w:val="18"/>
        </w:rPr>
        <w:instrText xml:space="preserve"> INCLUDEPICTURE  "https://www.tdx.com.cn/products/helpfile/tdxw/chm/%E7%AC%AC%E4%BA%94%E7%AB%A0  %E6%B3%A8%E5%86%8C%E5%8F%8A%E6%B8%B8%E5%AE%A2%E7%99%BB%E9%99%86/5-2/8.3.png" \* MERGEFORMATINET </w:instrText>
      </w:r>
      <w:r>
        <w:rPr>
          <w:szCs w:val="18"/>
        </w:rPr>
        <w:fldChar w:fldCharType="separate"/>
      </w:r>
      <w:r>
        <w:rPr>
          <w:szCs w:val="18"/>
        </w:rPr>
        <w:fldChar w:fldCharType="begin"/>
      </w:r>
      <w:r>
        <w:rPr>
          <w:szCs w:val="18"/>
        </w:rPr>
        <w:instrText xml:space="preserve"> INCLUDEPICTURE  "https://www.tdx.com.cn/products/helpfile/tdxw/chm/%E7%AC%AC%E4%BA%94%E7%AB%A0  %E6%B3%A8%E5%86%8C%E5%8F%8A%E6%B8%B8%E5%AE%A2%E7%99%BB%E9%99%86/5-2/8.3.png" \* MERGEFORMATINET </w:instrText>
      </w:r>
      <w:r>
        <w:rPr>
          <w:szCs w:val="18"/>
        </w:rPr>
        <w:fldChar w:fldCharType="separate"/>
      </w:r>
      <w:r>
        <w:rPr>
          <w:szCs w:val="18"/>
        </w:rPr>
        <w:drawing>
          <wp:inline distT="0" distB="0" distL="114300" distR="114300">
            <wp:extent cx="6276975" cy="4019550"/>
            <wp:effectExtent l="0" t="0" r="9525" b="0"/>
            <wp:docPr id="430" name="图片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图片 430"/>
                    <pic:cNvPicPr>
                      <a:picLocks noChangeAspect="1"/>
                    </pic:cNvPicPr>
                  </pic:nvPicPr>
                  <pic:blipFill>
                    <a:blip r:embed="rId812" r:link="rId813"/>
                    <a:stretch>
                      <a:fillRect/>
                    </a:stretch>
                  </pic:blipFill>
                  <pic:spPr>
                    <a:xfrm>
                      <a:off x="0" y="0"/>
                      <a:ext cx="6276975" cy="4019550"/>
                    </a:xfrm>
                    <a:prstGeom prst="rect">
                      <a:avLst/>
                    </a:prstGeom>
                    <a:noFill/>
                    <a:ln>
                      <a:noFill/>
                    </a:ln>
                  </pic:spPr>
                </pic:pic>
              </a:graphicData>
            </a:graphic>
          </wp:inline>
        </w:drawing>
      </w:r>
      <w:r>
        <w:rPr>
          <w:szCs w:val="18"/>
        </w:rPr>
        <w:fldChar w:fldCharType="end"/>
      </w:r>
      <w:r>
        <w:rPr>
          <w:szCs w:val="18"/>
        </w:rPr>
        <w:fldChar w:fldCharType="end"/>
      </w:r>
      <w:r>
        <w:rPr>
          <w:szCs w:val="18"/>
        </w:rPr>
        <w:fldChar w:fldCharType="end"/>
      </w:r>
      <w:r>
        <w:rPr>
          <w:szCs w:val="18"/>
        </w:rPr>
        <w:fldChar w:fldCharType="end"/>
      </w:r>
    </w:p>
    <w:p>
      <w:pPr>
        <w:pStyle w:val="34"/>
        <w:rPr>
          <w:szCs w:val="18"/>
        </w:rPr>
      </w:pPr>
      <w:r>
        <w:rPr>
          <w:rFonts w:hint="eastAsia"/>
          <w:szCs w:val="18"/>
        </w:rPr>
        <w:t>综合分析：</w:t>
      </w:r>
    </w:p>
    <w:p>
      <w:pPr>
        <w:pStyle w:val="34"/>
        <w:rPr>
          <w:szCs w:val="18"/>
        </w:rPr>
      </w:pPr>
      <w:r>
        <w:rPr>
          <w:szCs w:val="18"/>
        </w:rPr>
        <w:fldChar w:fldCharType="begin"/>
      </w:r>
      <w:r>
        <w:rPr>
          <w:szCs w:val="18"/>
        </w:rPr>
        <w:instrText xml:space="preserve"> INCLUDEPICTURE  "https://www.tdx.com.cn/products/helpfile/tdxw/chm/%E7%AC%AC%E4%BA%94%E7%AB%A0  %E6%B3%A8%E5%86%8C%E5%8F%8A%E6%B8%B8%E5%AE%A2%E7%99%BB%E9%99%86/5-2/8.4.png" \* MERGEFORMATINET </w:instrText>
      </w:r>
      <w:r>
        <w:rPr>
          <w:szCs w:val="18"/>
        </w:rPr>
        <w:fldChar w:fldCharType="separate"/>
      </w:r>
      <w:r>
        <w:rPr>
          <w:szCs w:val="18"/>
        </w:rPr>
        <w:fldChar w:fldCharType="begin"/>
      </w:r>
      <w:r>
        <w:rPr>
          <w:szCs w:val="18"/>
        </w:rPr>
        <w:instrText xml:space="preserve"> INCLUDEPICTURE  "https://www.tdx.com.cn/products/helpfile/tdxw/chm/%E7%AC%AC%E4%BA%94%E7%AB%A0  %E6%B3%A8%E5%86%8C%E5%8F%8A%E6%B8%B8%E5%AE%A2%E7%99%BB%E9%99%86/5-2/8.4.png" \* MERGEFORMATINET </w:instrText>
      </w:r>
      <w:r>
        <w:rPr>
          <w:szCs w:val="18"/>
        </w:rPr>
        <w:fldChar w:fldCharType="separate"/>
      </w:r>
      <w:r>
        <w:rPr>
          <w:szCs w:val="18"/>
        </w:rPr>
        <w:fldChar w:fldCharType="begin"/>
      </w:r>
      <w:r>
        <w:rPr>
          <w:szCs w:val="18"/>
        </w:rPr>
        <w:instrText xml:space="preserve"> INCLUDEPICTURE  "https://www.tdx.com.cn/products/helpfile/tdxw/chm/%E7%AC%AC%E4%BA%94%E7%AB%A0  %E6%B3%A8%E5%86%8C%E5%8F%8A%E6%B8%B8%E5%AE%A2%E7%99%BB%E9%99%86/5-2/8.4.png" \* MERGEFORMATINET </w:instrText>
      </w:r>
      <w:r>
        <w:rPr>
          <w:szCs w:val="18"/>
        </w:rPr>
        <w:fldChar w:fldCharType="separate"/>
      </w:r>
      <w:r>
        <w:rPr>
          <w:szCs w:val="18"/>
        </w:rPr>
        <w:fldChar w:fldCharType="begin"/>
      </w:r>
      <w:r>
        <w:rPr>
          <w:szCs w:val="18"/>
        </w:rPr>
        <w:instrText xml:space="preserve"> INCLUDEPICTURE  "https://www.tdx.com.cn/products/helpfile/tdxw/chm/%E7%AC%AC%E4%BA%94%E7%AB%A0  %E6%B3%A8%E5%86%8C%E5%8F%8A%E6%B8%B8%E5%AE%A2%E7%99%BB%E9%99%86/5-2/8.4.png" \* MERGEFORMATINET </w:instrText>
      </w:r>
      <w:r>
        <w:rPr>
          <w:szCs w:val="18"/>
        </w:rPr>
        <w:fldChar w:fldCharType="separate"/>
      </w:r>
      <w:r>
        <w:rPr>
          <w:szCs w:val="18"/>
        </w:rPr>
        <w:drawing>
          <wp:inline distT="0" distB="0" distL="114300" distR="114300">
            <wp:extent cx="7553325" cy="4819650"/>
            <wp:effectExtent l="0" t="0" r="9525" b="0"/>
            <wp:docPr id="431" name="图片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图片 431"/>
                    <pic:cNvPicPr>
                      <a:picLocks noChangeAspect="1"/>
                    </pic:cNvPicPr>
                  </pic:nvPicPr>
                  <pic:blipFill>
                    <a:blip r:embed="rId814" r:link="rId815"/>
                    <a:stretch>
                      <a:fillRect/>
                    </a:stretch>
                  </pic:blipFill>
                  <pic:spPr>
                    <a:xfrm>
                      <a:off x="0" y="0"/>
                      <a:ext cx="7553325" cy="4819650"/>
                    </a:xfrm>
                    <a:prstGeom prst="rect">
                      <a:avLst/>
                    </a:prstGeom>
                    <a:noFill/>
                    <a:ln>
                      <a:noFill/>
                    </a:ln>
                  </pic:spPr>
                </pic:pic>
              </a:graphicData>
            </a:graphic>
          </wp:inline>
        </w:drawing>
      </w:r>
      <w:r>
        <w:rPr>
          <w:szCs w:val="18"/>
        </w:rPr>
        <w:fldChar w:fldCharType="end"/>
      </w:r>
      <w:r>
        <w:rPr>
          <w:szCs w:val="18"/>
        </w:rPr>
        <w:fldChar w:fldCharType="end"/>
      </w:r>
      <w:r>
        <w:rPr>
          <w:szCs w:val="18"/>
        </w:rPr>
        <w:fldChar w:fldCharType="end"/>
      </w:r>
      <w:r>
        <w:rPr>
          <w:szCs w:val="18"/>
        </w:rPr>
        <w:fldChar w:fldCharType="end"/>
      </w:r>
    </w:p>
    <w:p>
      <w:pPr>
        <w:pStyle w:val="34"/>
        <w:rPr>
          <w:szCs w:val="18"/>
        </w:rPr>
      </w:pPr>
      <w:r>
        <w:rPr>
          <w:rFonts w:hint="eastAsia"/>
          <w:szCs w:val="18"/>
        </w:rPr>
        <w:t>杜邦分析：</w:t>
      </w:r>
    </w:p>
    <w:p>
      <w:pPr>
        <w:pStyle w:val="34"/>
        <w:rPr>
          <w:szCs w:val="18"/>
        </w:rPr>
      </w:pPr>
      <w:r>
        <w:rPr>
          <w:rFonts w:hint="eastAsia"/>
          <w:szCs w:val="18"/>
        </w:rPr>
        <w:t>杜邦分析是将净资产收益率分解为三部分进行分析的方式名称：利润率，总资产周转率和财务杠杆。这种方式也被称作“杜邦分析法”。其中利润率衡量盈利能力、资产周转率衡量营运能力、权益乘数衡量财务杠杆。</w:t>
      </w:r>
    </w:p>
    <w:p>
      <w:pPr>
        <w:pStyle w:val="34"/>
        <w:rPr>
          <w:szCs w:val="18"/>
        </w:rPr>
      </w:pPr>
      <w:r>
        <w:rPr>
          <w:rFonts w:hint="eastAsia"/>
          <w:szCs w:val="18"/>
        </w:rPr>
        <w:t>杜邦分析的净资产收益率=利润率（净利润/销售收入）*资产周转率（销售收入/总资产）*权益乘数（总资产/权益）——————&gt;&gt;&gt;</w:t>
      </w:r>
    </w:p>
    <w:p>
      <w:pPr>
        <w:pStyle w:val="34"/>
        <w:rPr>
          <w:szCs w:val="18"/>
        </w:rPr>
      </w:pPr>
      <w:r>
        <w:rPr>
          <w:rFonts w:hint="eastAsia"/>
          <w:szCs w:val="18"/>
        </w:rPr>
        <w:t>杜邦分析的净资产收益率=（净利润/销售收入）*（销售收入/总资产）*[总资产/（总资产-负债总额）] ——————&gt;&gt;&gt;</w:t>
      </w:r>
    </w:p>
    <w:p>
      <w:pPr>
        <w:pStyle w:val="34"/>
        <w:rPr>
          <w:szCs w:val="18"/>
        </w:rPr>
      </w:pPr>
      <w:r>
        <w:rPr>
          <w:rFonts w:hint="eastAsia"/>
          <w:szCs w:val="18"/>
        </w:rPr>
        <w:t>杜邦分析的净资产收益率=（净利润/销售收入）*（销售收入/总资产）*[1/(1-负债总额/总资产)]</w:t>
      </w:r>
    </w:p>
    <w:p>
      <w:pPr>
        <w:pStyle w:val="34"/>
        <w:rPr>
          <w:szCs w:val="18"/>
        </w:rPr>
      </w:pPr>
      <w:r>
        <w:rPr>
          <w:szCs w:val="18"/>
        </w:rPr>
        <w:fldChar w:fldCharType="begin"/>
      </w:r>
      <w:r>
        <w:rPr>
          <w:szCs w:val="18"/>
        </w:rPr>
        <w:instrText xml:space="preserve"> INCLUDEPICTURE  "https://www.tdx.com.cn/products/helpfile/tdxw/chm/%E7%AC%AC%E4%BA%94%E7%AB%A0  %E6%B3%A8%E5%86%8C%E5%8F%8A%E6%B8%B8%E5%AE%A2%E7%99%BB%E9%99%86/5-2/8.5.png" \* MERGEFORMATINET </w:instrText>
      </w:r>
      <w:r>
        <w:rPr>
          <w:szCs w:val="18"/>
        </w:rPr>
        <w:fldChar w:fldCharType="separate"/>
      </w:r>
      <w:r>
        <w:rPr>
          <w:szCs w:val="18"/>
        </w:rPr>
        <w:fldChar w:fldCharType="begin"/>
      </w:r>
      <w:r>
        <w:rPr>
          <w:szCs w:val="18"/>
        </w:rPr>
        <w:instrText xml:space="preserve"> INCLUDEPICTURE  "https://www.tdx.com.cn/products/helpfile/tdxw/chm/%E7%AC%AC%E4%BA%94%E7%AB%A0  %E6%B3%A8%E5%86%8C%E5%8F%8A%E6%B8%B8%E5%AE%A2%E7%99%BB%E9%99%86/5-2/8.5.png" \* MERGEFORMATINET </w:instrText>
      </w:r>
      <w:r>
        <w:rPr>
          <w:szCs w:val="18"/>
        </w:rPr>
        <w:fldChar w:fldCharType="separate"/>
      </w:r>
      <w:r>
        <w:rPr>
          <w:szCs w:val="18"/>
        </w:rPr>
        <w:fldChar w:fldCharType="begin"/>
      </w:r>
      <w:r>
        <w:rPr>
          <w:szCs w:val="18"/>
        </w:rPr>
        <w:instrText xml:space="preserve"> INCLUDEPICTURE  "https://www.tdx.com.cn/products/helpfile/tdxw/chm/%E7%AC%AC%E4%BA%94%E7%AB%A0  %E6%B3%A8%E5%86%8C%E5%8F%8A%E6%B8%B8%E5%AE%A2%E7%99%BB%E9%99%86/5-2/8.5.png" \* MERGEFORMATINET </w:instrText>
      </w:r>
      <w:r>
        <w:rPr>
          <w:szCs w:val="18"/>
        </w:rPr>
        <w:fldChar w:fldCharType="separate"/>
      </w:r>
      <w:r>
        <w:rPr>
          <w:szCs w:val="18"/>
        </w:rPr>
        <w:fldChar w:fldCharType="begin"/>
      </w:r>
      <w:r>
        <w:rPr>
          <w:szCs w:val="18"/>
        </w:rPr>
        <w:instrText xml:space="preserve"> INCLUDEPICTURE  "https://www.tdx.com.cn/products/helpfile/tdxw/chm/%E7%AC%AC%E4%BA%94%E7%AB%A0  %E6%B3%A8%E5%86%8C%E5%8F%8A%E6%B8%B8%E5%AE%A2%E7%99%BB%E9%99%86/5-2/8.5.png" \* MERGEFORMATINET </w:instrText>
      </w:r>
      <w:r>
        <w:rPr>
          <w:szCs w:val="18"/>
        </w:rPr>
        <w:fldChar w:fldCharType="separate"/>
      </w:r>
      <w:r>
        <w:rPr>
          <w:szCs w:val="18"/>
        </w:rPr>
        <w:drawing>
          <wp:inline distT="0" distB="0" distL="114300" distR="114300">
            <wp:extent cx="7248525" cy="4619625"/>
            <wp:effectExtent l="0" t="0" r="9525" b="9525"/>
            <wp:docPr id="432" name="图片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图片 432"/>
                    <pic:cNvPicPr>
                      <a:picLocks noChangeAspect="1"/>
                    </pic:cNvPicPr>
                  </pic:nvPicPr>
                  <pic:blipFill>
                    <a:blip r:embed="rId816" r:link="rId817"/>
                    <a:stretch>
                      <a:fillRect/>
                    </a:stretch>
                  </pic:blipFill>
                  <pic:spPr>
                    <a:xfrm>
                      <a:off x="0" y="0"/>
                      <a:ext cx="7248525" cy="4619625"/>
                    </a:xfrm>
                    <a:prstGeom prst="rect">
                      <a:avLst/>
                    </a:prstGeom>
                    <a:noFill/>
                    <a:ln>
                      <a:noFill/>
                    </a:ln>
                  </pic:spPr>
                </pic:pic>
              </a:graphicData>
            </a:graphic>
          </wp:inline>
        </w:drawing>
      </w:r>
      <w:r>
        <w:rPr>
          <w:szCs w:val="18"/>
        </w:rPr>
        <w:fldChar w:fldCharType="end"/>
      </w:r>
      <w:r>
        <w:rPr>
          <w:szCs w:val="18"/>
        </w:rPr>
        <w:fldChar w:fldCharType="end"/>
      </w:r>
      <w:r>
        <w:rPr>
          <w:szCs w:val="18"/>
        </w:rPr>
        <w:fldChar w:fldCharType="end"/>
      </w:r>
      <w:r>
        <w:rPr>
          <w:szCs w:val="18"/>
        </w:rPr>
        <w:fldChar w:fldCharType="end"/>
      </w:r>
    </w:p>
    <w:p>
      <w:pPr>
        <w:pStyle w:val="34"/>
        <w:rPr>
          <w:szCs w:val="18"/>
        </w:rPr>
      </w:pPr>
      <w:r>
        <w:rPr>
          <w:rFonts w:hint="eastAsia"/>
          <w:szCs w:val="18"/>
        </w:rPr>
        <w:t> </w:t>
      </w:r>
    </w:p>
    <w:p>
      <w:pPr>
        <w:pStyle w:val="34"/>
        <w:rPr>
          <w:szCs w:val="18"/>
        </w:rPr>
      </w:pPr>
      <w:r>
        <w:rPr>
          <w:rFonts w:hint="eastAsia"/>
          <w:szCs w:val="18"/>
        </w:rPr>
        <w:t>经营分析</w:t>
      </w:r>
    </w:p>
    <w:p>
      <w:pPr>
        <w:pStyle w:val="34"/>
        <w:rPr>
          <w:szCs w:val="18"/>
        </w:rPr>
      </w:pPr>
      <w:r>
        <w:rPr>
          <w:rFonts w:hint="eastAsia"/>
          <w:szCs w:val="18"/>
        </w:rPr>
        <w:t>经营分析介绍公司主营业务、主营构成分析（按行业、产品、地区）、经营情况评述（发展回顾、发展展望、财务指标大幅变动说明），此项功能的财务指标大幅变动说明主要是针对财务分析—指标变动里面的变动数据的说明信息。</w:t>
      </w:r>
    </w:p>
    <w:p>
      <w:pPr>
        <w:pStyle w:val="34"/>
        <w:rPr>
          <w:szCs w:val="18"/>
        </w:rPr>
      </w:pPr>
      <w:r>
        <w:rPr>
          <w:szCs w:val="18"/>
        </w:rPr>
        <w:fldChar w:fldCharType="begin"/>
      </w:r>
      <w:r>
        <w:rPr>
          <w:szCs w:val="18"/>
        </w:rPr>
        <w:instrText xml:space="preserve"> INCLUDEPICTURE  "https://www.tdx.com.cn/products/helpfile/tdxw/chm/%E7%AC%AC%E4%BA%94%E7%AB%A0  %E6%B3%A8%E5%86%8C%E5%8F%8A%E6%B8%B8%E5%AE%A2%E7%99%BB%E9%99%86/5-2/9.png" \* MERGEFORMATINET </w:instrText>
      </w:r>
      <w:r>
        <w:rPr>
          <w:szCs w:val="18"/>
        </w:rPr>
        <w:fldChar w:fldCharType="separate"/>
      </w:r>
      <w:r>
        <w:rPr>
          <w:szCs w:val="18"/>
        </w:rPr>
        <w:fldChar w:fldCharType="begin"/>
      </w:r>
      <w:r>
        <w:rPr>
          <w:szCs w:val="18"/>
        </w:rPr>
        <w:instrText xml:space="preserve"> INCLUDEPICTURE  "https://www.tdx.com.cn/products/helpfile/tdxw/chm/%E7%AC%AC%E4%BA%94%E7%AB%A0  %E6%B3%A8%E5%86%8C%E5%8F%8A%E6%B8%B8%E5%AE%A2%E7%99%BB%E9%99%86/5-2/9.png" \* MERGEFORMATINET </w:instrText>
      </w:r>
      <w:r>
        <w:rPr>
          <w:szCs w:val="18"/>
        </w:rPr>
        <w:fldChar w:fldCharType="separate"/>
      </w:r>
      <w:r>
        <w:rPr>
          <w:szCs w:val="18"/>
        </w:rPr>
        <w:fldChar w:fldCharType="begin"/>
      </w:r>
      <w:r>
        <w:rPr>
          <w:szCs w:val="18"/>
        </w:rPr>
        <w:instrText xml:space="preserve"> INCLUDEPICTURE  "https://www.tdx.com.cn/products/helpfile/tdxw/chm/%E7%AC%AC%E4%BA%94%E7%AB%A0  %E6%B3%A8%E5%86%8C%E5%8F%8A%E6%B8%B8%E5%AE%A2%E7%99%BB%E9%99%86/5-2/9.png" \* MERGEFORMATINET </w:instrText>
      </w:r>
      <w:r>
        <w:rPr>
          <w:szCs w:val="18"/>
        </w:rPr>
        <w:fldChar w:fldCharType="separate"/>
      </w:r>
      <w:r>
        <w:rPr>
          <w:szCs w:val="18"/>
        </w:rPr>
        <w:fldChar w:fldCharType="begin"/>
      </w:r>
      <w:r>
        <w:rPr>
          <w:szCs w:val="18"/>
        </w:rPr>
        <w:instrText xml:space="preserve"> INCLUDEPICTURE  "https://www.tdx.com.cn/products/helpfile/tdxw/chm/%E7%AC%AC%E4%BA%94%E7%AB%A0  %E6%B3%A8%E5%86%8C%E5%8F%8A%E6%B8%B8%E5%AE%A2%E7%99%BB%E9%99%86/5-2/9.png" \* MERGEFORMATINET </w:instrText>
      </w:r>
      <w:r>
        <w:rPr>
          <w:szCs w:val="18"/>
        </w:rPr>
        <w:fldChar w:fldCharType="separate"/>
      </w:r>
      <w:r>
        <w:rPr>
          <w:szCs w:val="18"/>
        </w:rPr>
        <w:drawing>
          <wp:inline distT="0" distB="0" distL="114300" distR="114300">
            <wp:extent cx="7400925" cy="4724400"/>
            <wp:effectExtent l="0" t="0" r="9525" b="0"/>
            <wp:docPr id="433" name="图片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图片 433"/>
                    <pic:cNvPicPr>
                      <a:picLocks noChangeAspect="1"/>
                    </pic:cNvPicPr>
                  </pic:nvPicPr>
                  <pic:blipFill>
                    <a:blip r:embed="rId818" r:link="rId819"/>
                    <a:stretch>
                      <a:fillRect/>
                    </a:stretch>
                  </pic:blipFill>
                  <pic:spPr>
                    <a:xfrm>
                      <a:off x="0" y="0"/>
                      <a:ext cx="7400925" cy="4724400"/>
                    </a:xfrm>
                    <a:prstGeom prst="rect">
                      <a:avLst/>
                    </a:prstGeom>
                    <a:noFill/>
                    <a:ln>
                      <a:noFill/>
                    </a:ln>
                  </pic:spPr>
                </pic:pic>
              </a:graphicData>
            </a:graphic>
          </wp:inline>
        </w:drawing>
      </w:r>
      <w:r>
        <w:rPr>
          <w:szCs w:val="18"/>
        </w:rPr>
        <w:fldChar w:fldCharType="end"/>
      </w:r>
      <w:r>
        <w:rPr>
          <w:szCs w:val="18"/>
        </w:rPr>
        <w:fldChar w:fldCharType="end"/>
      </w:r>
      <w:r>
        <w:rPr>
          <w:szCs w:val="18"/>
        </w:rPr>
        <w:fldChar w:fldCharType="end"/>
      </w:r>
      <w:r>
        <w:rPr>
          <w:szCs w:val="18"/>
        </w:rPr>
        <w:fldChar w:fldCharType="end"/>
      </w:r>
    </w:p>
    <w:p>
      <w:pPr>
        <w:pStyle w:val="34"/>
        <w:rPr>
          <w:szCs w:val="18"/>
        </w:rPr>
      </w:pPr>
      <w:r>
        <w:rPr>
          <w:rStyle w:val="28"/>
          <w:rFonts w:hint="eastAsia"/>
          <w:b w:val="0"/>
          <w:bCs w:val="0"/>
          <w:szCs w:val="18"/>
        </w:rPr>
        <w:t>资本运作</w:t>
      </w:r>
    </w:p>
    <w:p>
      <w:pPr>
        <w:pStyle w:val="34"/>
        <w:rPr>
          <w:szCs w:val="18"/>
        </w:rPr>
      </w:pPr>
      <w:r>
        <w:rPr>
          <w:szCs w:val="18"/>
        </w:rPr>
        <w:fldChar w:fldCharType="begin"/>
      </w:r>
      <w:r>
        <w:rPr>
          <w:szCs w:val="18"/>
        </w:rPr>
        <w:instrText xml:space="preserve"> INCLUDEPICTURE  "https://www.tdx.com.cn/products/helpfile/tdxw/chm/%E7%AC%AC%E4%BA%94%E7%AB%A0  %E6%B3%A8%E5%86%8C%E5%8F%8A%E6%B8%B8%E5%AE%A2%E7%99%BB%E9%99%86/5-2/10.png" \* MERGEFORMATINET </w:instrText>
      </w:r>
      <w:r>
        <w:rPr>
          <w:szCs w:val="18"/>
        </w:rPr>
        <w:fldChar w:fldCharType="separate"/>
      </w:r>
      <w:r>
        <w:rPr>
          <w:szCs w:val="18"/>
        </w:rPr>
        <w:fldChar w:fldCharType="begin"/>
      </w:r>
      <w:r>
        <w:rPr>
          <w:szCs w:val="18"/>
        </w:rPr>
        <w:instrText xml:space="preserve"> INCLUDEPICTURE  "https://www.tdx.com.cn/products/helpfile/tdxw/chm/%E7%AC%AC%E4%BA%94%E7%AB%A0  %E6%B3%A8%E5%86%8C%E5%8F%8A%E6%B8%B8%E5%AE%A2%E7%99%BB%E9%99%86/5-2/10.png" \* MERGEFORMATINET </w:instrText>
      </w:r>
      <w:r>
        <w:rPr>
          <w:szCs w:val="18"/>
        </w:rPr>
        <w:fldChar w:fldCharType="separate"/>
      </w:r>
      <w:r>
        <w:rPr>
          <w:szCs w:val="18"/>
        </w:rPr>
        <w:fldChar w:fldCharType="begin"/>
      </w:r>
      <w:r>
        <w:rPr>
          <w:szCs w:val="18"/>
        </w:rPr>
        <w:instrText xml:space="preserve"> INCLUDEPICTURE  "https://www.tdx.com.cn/products/helpfile/tdxw/chm/%E7%AC%AC%E4%BA%94%E7%AB%A0  %E6%B3%A8%E5%86%8C%E5%8F%8A%E6%B8%B8%E5%AE%A2%E7%99%BB%E9%99%86/5-2/10.png" \* MERGEFORMATINET </w:instrText>
      </w:r>
      <w:r>
        <w:rPr>
          <w:szCs w:val="18"/>
        </w:rPr>
        <w:fldChar w:fldCharType="separate"/>
      </w:r>
      <w:r>
        <w:rPr>
          <w:szCs w:val="18"/>
        </w:rPr>
        <w:fldChar w:fldCharType="begin"/>
      </w:r>
      <w:r>
        <w:rPr>
          <w:szCs w:val="18"/>
        </w:rPr>
        <w:instrText xml:space="preserve"> INCLUDEPICTURE  "https://www.tdx.com.cn/products/helpfile/tdxw/chm/%E7%AC%AC%E4%BA%94%E7%AB%A0  %E6%B3%A8%E5%86%8C%E5%8F%8A%E6%B8%B8%E5%AE%A2%E7%99%BB%E9%99%86/5-2/10.png" \* MERGEFORMATINET </w:instrText>
      </w:r>
      <w:r>
        <w:rPr>
          <w:szCs w:val="18"/>
        </w:rPr>
        <w:fldChar w:fldCharType="separate"/>
      </w:r>
      <w:r>
        <w:rPr>
          <w:szCs w:val="18"/>
        </w:rPr>
        <w:drawing>
          <wp:inline distT="0" distB="0" distL="114300" distR="114300">
            <wp:extent cx="8096250" cy="5181600"/>
            <wp:effectExtent l="0" t="0" r="0" b="0"/>
            <wp:docPr id="434" name="图片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图片 434"/>
                    <pic:cNvPicPr>
                      <a:picLocks noChangeAspect="1"/>
                    </pic:cNvPicPr>
                  </pic:nvPicPr>
                  <pic:blipFill>
                    <a:blip r:embed="rId820" r:link="rId821"/>
                    <a:stretch>
                      <a:fillRect/>
                    </a:stretch>
                  </pic:blipFill>
                  <pic:spPr>
                    <a:xfrm>
                      <a:off x="0" y="0"/>
                      <a:ext cx="8096250" cy="5181600"/>
                    </a:xfrm>
                    <a:prstGeom prst="rect">
                      <a:avLst/>
                    </a:prstGeom>
                    <a:noFill/>
                    <a:ln>
                      <a:noFill/>
                    </a:ln>
                  </pic:spPr>
                </pic:pic>
              </a:graphicData>
            </a:graphic>
          </wp:inline>
        </w:drawing>
      </w:r>
      <w:r>
        <w:rPr>
          <w:szCs w:val="18"/>
        </w:rPr>
        <w:fldChar w:fldCharType="end"/>
      </w:r>
      <w:r>
        <w:rPr>
          <w:szCs w:val="18"/>
        </w:rPr>
        <w:fldChar w:fldCharType="end"/>
      </w:r>
      <w:r>
        <w:rPr>
          <w:szCs w:val="18"/>
        </w:rPr>
        <w:fldChar w:fldCharType="end"/>
      </w:r>
      <w:r>
        <w:rPr>
          <w:szCs w:val="18"/>
        </w:rPr>
        <w:fldChar w:fldCharType="end"/>
      </w:r>
    </w:p>
    <w:p>
      <w:pPr>
        <w:pStyle w:val="34"/>
        <w:rPr>
          <w:szCs w:val="18"/>
        </w:rPr>
      </w:pPr>
      <w:r>
        <w:rPr>
          <w:rStyle w:val="28"/>
          <w:rFonts w:hint="eastAsia"/>
          <w:b w:val="0"/>
          <w:bCs w:val="0"/>
          <w:szCs w:val="18"/>
        </w:rPr>
        <w:t>行业分析</w:t>
      </w:r>
    </w:p>
    <w:p>
      <w:pPr>
        <w:pStyle w:val="34"/>
        <w:rPr>
          <w:szCs w:val="18"/>
        </w:rPr>
      </w:pPr>
      <w:r>
        <w:rPr>
          <w:rFonts w:hint="eastAsia"/>
          <w:szCs w:val="18"/>
        </w:rPr>
        <w:t>行业分析分析同行业中个股的市场表现排名（昨日涨跌幅）、公司规模排名（A股总市值）、估值水平排名（最新收盘价）、财务状况排名（每股收益）情况。</w:t>
      </w:r>
    </w:p>
    <w:p>
      <w:pPr>
        <w:pStyle w:val="34"/>
        <w:rPr>
          <w:szCs w:val="18"/>
        </w:rPr>
      </w:pPr>
      <w:r>
        <w:rPr>
          <w:rFonts w:hint="eastAsia"/>
          <w:szCs w:val="18"/>
        </w:rPr>
        <w:t>点击列表头按照当前列升或降序排列同时数据上方图形也按照数据排序展示；点击数据行，上方图形对应的柱子被选中变色。</w:t>
      </w:r>
    </w:p>
    <w:p>
      <w:pPr>
        <w:pStyle w:val="34"/>
        <w:rPr>
          <w:szCs w:val="18"/>
        </w:rPr>
      </w:pPr>
      <w:r>
        <w:rPr>
          <w:szCs w:val="18"/>
        </w:rPr>
        <w:fldChar w:fldCharType="begin"/>
      </w:r>
      <w:r>
        <w:rPr>
          <w:szCs w:val="18"/>
        </w:rPr>
        <w:instrText xml:space="preserve"> INCLUDEPICTURE  "https://www.tdx.com.cn/products/helpfile/tdxw/chm/%E7%AC%AC%E4%BA%94%E7%AB%A0  %E6%B3%A8%E5%86%8C%E5%8F%8A%E6%B8%B8%E5%AE%A2%E7%99%BB%E9%99%86/5-2/11.png" \* MERGEFORMATINET </w:instrText>
      </w:r>
      <w:r>
        <w:rPr>
          <w:szCs w:val="18"/>
        </w:rPr>
        <w:fldChar w:fldCharType="separate"/>
      </w:r>
      <w:r>
        <w:rPr>
          <w:szCs w:val="18"/>
        </w:rPr>
        <w:fldChar w:fldCharType="begin"/>
      </w:r>
      <w:r>
        <w:rPr>
          <w:szCs w:val="18"/>
        </w:rPr>
        <w:instrText xml:space="preserve"> INCLUDEPICTURE  "https://www.tdx.com.cn/products/helpfile/tdxw/chm/%E7%AC%AC%E4%BA%94%E7%AB%A0  %E6%B3%A8%E5%86%8C%E5%8F%8A%E6%B8%B8%E5%AE%A2%E7%99%BB%E9%99%86/5-2/11.png" \* MERGEFORMATINET </w:instrText>
      </w:r>
      <w:r>
        <w:rPr>
          <w:szCs w:val="18"/>
        </w:rPr>
        <w:fldChar w:fldCharType="separate"/>
      </w:r>
      <w:r>
        <w:rPr>
          <w:szCs w:val="18"/>
        </w:rPr>
        <w:fldChar w:fldCharType="begin"/>
      </w:r>
      <w:r>
        <w:rPr>
          <w:szCs w:val="18"/>
        </w:rPr>
        <w:instrText xml:space="preserve"> INCLUDEPICTURE  "https://www.tdx.com.cn/products/helpfile/tdxw/chm/%E7%AC%AC%E4%BA%94%E7%AB%A0  %E6%B3%A8%E5%86%8C%E5%8F%8A%E6%B8%B8%E5%AE%A2%E7%99%BB%E9%99%86/5-2/11.png" \* MERGEFORMATINET </w:instrText>
      </w:r>
      <w:r>
        <w:rPr>
          <w:szCs w:val="18"/>
        </w:rPr>
        <w:fldChar w:fldCharType="separate"/>
      </w:r>
      <w:r>
        <w:rPr>
          <w:szCs w:val="18"/>
        </w:rPr>
        <w:fldChar w:fldCharType="begin"/>
      </w:r>
      <w:r>
        <w:rPr>
          <w:szCs w:val="18"/>
        </w:rPr>
        <w:instrText xml:space="preserve"> INCLUDEPICTURE  "https://www.tdx.com.cn/products/helpfile/tdxw/chm/%E7%AC%AC%E4%BA%94%E7%AB%A0  %E6%B3%A8%E5%86%8C%E5%8F%8A%E6%B8%B8%E5%AE%A2%E7%99%BB%E9%99%86/5-2/11.png" \* MERGEFORMATINET </w:instrText>
      </w:r>
      <w:r>
        <w:rPr>
          <w:szCs w:val="18"/>
        </w:rPr>
        <w:fldChar w:fldCharType="separate"/>
      </w:r>
      <w:r>
        <w:rPr>
          <w:szCs w:val="18"/>
        </w:rPr>
        <w:drawing>
          <wp:inline distT="0" distB="0" distL="114300" distR="114300">
            <wp:extent cx="6038850" cy="3857625"/>
            <wp:effectExtent l="0" t="0" r="0" b="9525"/>
            <wp:docPr id="435" name="图片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图片 435"/>
                    <pic:cNvPicPr>
                      <a:picLocks noChangeAspect="1"/>
                    </pic:cNvPicPr>
                  </pic:nvPicPr>
                  <pic:blipFill>
                    <a:blip r:embed="rId822" r:link="rId823"/>
                    <a:stretch>
                      <a:fillRect/>
                    </a:stretch>
                  </pic:blipFill>
                  <pic:spPr>
                    <a:xfrm>
                      <a:off x="0" y="0"/>
                      <a:ext cx="6038850" cy="3857625"/>
                    </a:xfrm>
                    <a:prstGeom prst="rect">
                      <a:avLst/>
                    </a:prstGeom>
                    <a:noFill/>
                    <a:ln>
                      <a:noFill/>
                    </a:ln>
                  </pic:spPr>
                </pic:pic>
              </a:graphicData>
            </a:graphic>
          </wp:inline>
        </w:drawing>
      </w:r>
      <w:r>
        <w:rPr>
          <w:szCs w:val="18"/>
        </w:rPr>
        <w:fldChar w:fldCharType="end"/>
      </w:r>
      <w:r>
        <w:rPr>
          <w:szCs w:val="18"/>
        </w:rPr>
        <w:fldChar w:fldCharType="end"/>
      </w:r>
      <w:r>
        <w:rPr>
          <w:szCs w:val="18"/>
        </w:rPr>
        <w:fldChar w:fldCharType="end"/>
      </w:r>
      <w:r>
        <w:rPr>
          <w:szCs w:val="18"/>
        </w:rPr>
        <w:fldChar w:fldCharType="end"/>
      </w:r>
    </w:p>
    <w:p>
      <w:pPr>
        <w:pStyle w:val="34"/>
        <w:rPr>
          <w:szCs w:val="18"/>
        </w:rPr>
      </w:pPr>
      <w:r>
        <w:rPr>
          <w:rFonts w:hint="eastAsia"/>
          <w:szCs w:val="18"/>
        </w:rPr>
        <w:t>研报评级</w:t>
      </w:r>
    </w:p>
    <w:p>
      <w:pPr>
        <w:pStyle w:val="34"/>
        <w:rPr>
          <w:szCs w:val="18"/>
        </w:rPr>
      </w:pPr>
      <w:r>
        <w:rPr>
          <w:rFonts w:hint="eastAsia"/>
          <w:szCs w:val="18"/>
        </w:rPr>
        <w:t>研报评级展示研究机构对个股的评级以及盈利预测信息，以及预测简单说明。包括投资评级统计、盈利预测统计、盈利预测明细、投资评级及研究报告。</w:t>
      </w:r>
    </w:p>
    <w:p>
      <w:pPr>
        <w:pStyle w:val="34"/>
        <w:rPr>
          <w:szCs w:val="18"/>
        </w:rPr>
      </w:pPr>
      <w:r>
        <w:rPr>
          <w:rFonts w:hint="eastAsia"/>
          <w:szCs w:val="18"/>
        </w:rPr>
        <w:t>评级说明：</w:t>
      </w:r>
    </w:p>
    <w:p>
      <w:pPr>
        <w:pStyle w:val="34"/>
        <w:rPr>
          <w:szCs w:val="18"/>
        </w:rPr>
      </w:pPr>
      <w:r>
        <w:rPr>
          <w:rFonts w:hint="eastAsia"/>
          <w:szCs w:val="18"/>
        </w:rPr>
        <w:t>评级系数       1=卖出   2=减持  3=中性  4=增持  5=买入</w:t>
      </w:r>
    </w:p>
    <w:p>
      <w:pPr>
        <w:pStyle w:val="34"/>
        <w:rPr>
          <w:szCs w:val="18"/>
        </w:rPr>
      </w:pPr>
      <w:r>
        <w:rPr>
          <w:rFonts w:hint="eastAsia"/>
          <w:szCs w:val="18"/>
        </w:rPr>
        <w:t>综合评级       [1.00-1.5)=卖出  [1.5-2.5)=减持  [2.5-3.5)=中性 [3.5-4.5)=增持 [4.5-5]=买入</w:t>
      </w:r>
    </w:p>
    <w:p>
      <w:pPr>
        <w:pStyle w:val="34"/>
        <w:rPr>
          <w:szCs w:val="18"/>
        </w:rPr>
      </w:pPr>
      <w:r>
        <w:rPr>
          <w:szCs w:val="18"/>
        </w:rPr>
        <w:fldChar w:fldCharType="begin"/>
      </w:r>
      <w:r>
        <w:rPr>
          <w:szCs w:val="18"/>
        </w:rPr>
        <w:instrText xml:space="preserve"> INCLUDEPICTURE  "https://www.tdx.com.cn/products/helpfile/tdxw/chm/%E7%AC%AC%E4%BA%94%E7%AB%A0  %E6%B3%A8%E5%86%8C%E5%8F%8A%E6%B8%B8%E5%AE%A2%E7%99%BB%E9%99%86/5-2/12.png" \* MERGEFORMATINET </w:instrText>
      </w:r>
      <w:r>
        <w:rPr>
          <w:szCs w:val="18"/>
        </w:rPr>
        <w:fldChar w:fldCharType="separate"/>
      </w:r>
      <w:r>
        <w:rPr>
          <w:szCs w:val="18"/>
        </w:rPr>
        <w:fldChar w:fldCharType="begin"/>
      </w:r>
      <w:r>
        <w:rPr>
          <w:szCs w:val="18"/>
        </w:rPr>
        <w:instrText xml:space="preserve"> INCLUDEPICTURE  "https://www.tdx.com.cn/products/helpfile/tdxw/chm/%E7%AC%AC%E4%BA%94%E7%AB%A0  %E6%B3%A8%E5%86%8C%E5%8F%8A%E6%B8%B8%E5%AE%A2%E7%99%BB%E9%99%86/5-2/12.png" \* MERGEFORMATINET </w:instrText>
      </w:r>
      <w:r>
        <w:rPr>
          <w:szCs w:val="18"/>
        </w:rPr>
        <w:fldChar w:fldCharType="separate"/>
      </w:r>
      <w:r>
        <w:rPr>
          <w:szCs w:val="18"/>
        </w:rPr>
        <w:fldChar w:fldCharType="begin"/>
      </w:r>
      <w:r>
        <w:rPr>
          <w:szCs w:val="18"/>
        </w:rPr>
        <w:instrText xml:space="preserve"> INCLUDEPICTURE  "https://www.tdx.com.cn/products/helpfile/tdxw/chm/%E7%AC%AC%E4%BA%94%E7%AB%A0  %E6%B3%A8%E5%86%8C%E5%8F%8A%E6%B8%B8%E5%AE%A2%E7%99%BB%E9%99%86/5-2/12.png" \* MERGEFORMATINET </w:instrText>
      </w:r>
      <w:r>
        <w:rPr>
          <w:szCs w:val="18"/>
        </w:rPr>
        <w:fldChar w:fldCharType="separate"/>
      </w:r>
      <w:r>
        <w:rPr>
          <w:szCs w:val="18"/>
        </w:rPr>
        <w:fldChar w:fldCharType="begin"/>
      </w:r>
      <w:r>
        <w:rPr>
          <w:szCs w:val="18"/>
        </w:rPr>
        <w:instrText xml:space="preserve"> INCLUDEPICTURE  "https://www.tdx.com.cn/products/helpfile/tdxw/chm/%E7%AC%AC%E4%BA%94%E7%AB%A0  %E6%B3%A8%E5%86%8C%E5%8F%8A%E6%B8%B8%E5%AE%A2%E7%99%BB%E9%99%86/5-2/12.png" \* MERGEFORMATINET </w:instrText>
      </w:r>
      <w:r>
        <w:rPr>
          <w:szCs w:val="18"/>
        </w:rPr>
        <w:fldChar w:fldCharType="separate"/>
      </w:r>
      <w:r>
        <w:rPr>
          <w:szCs w:val="18"/>
        </w:rPr>
        <w:drawing>
          <wp:inline distT="0" distB="0" distL="114300" distR="114300">
            <wp:extent cx="6943725" cy="4429125"/>
            <wp:effectExtent l="0" t="0" r="9525" b="9525"/>
            <wp:docPr id="436" name="图片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图片 436"/>
                    <pic:cNvPicPr>
                      <a:picLocks noChangeAspect="1"/>
                    </pic:cNvPicPr>
                  </pic:nvPicPr>
                  <pic:blipFill>
                    <a:blip r:embed="rId824" r:link="rId825"/>
                    <a:stretch>
                      <a:fillRect/>
                    </a:stretch>
                  </pic:blipFill>
                  <pic:spPr>
                    <a:xfrm>
                      <a:off x="0" y="0"/>
                      <a:ext cx="6943725" cy="4429125"/>
                    </a:xfrm>
                    <a:prstGeom prst="rect">
                      <a:avLst/>
                    </a:prstGeom>
                    <a:noFill/>
                    <a:ln>
                      <a:noFill/>
                    </a:ln>
                  </pic:spPr>
                </pic:pic>
              </a:graphicData>
            </a:graphic>
          </wp:inline>
        </w:drawing>
      </w:r>
      <w:r>
        <w:rPr>
          <w:szCs w:val="18"/>
        </w:rPr>
        <w:fldChar w:fldCharType="end"/>
      </w:r>
      <w:r>
        <w:rPr>
          <w:szCs w:val="18"/>
        </w:rPr>
        <w:fldChar w:fldCharType="end"/>
      </w:r>
      <w:r>
        <w:rPr>
          <w:szCs w:val="18"/>
        </w:rPr>
        <w:fldChar w:fldCharType="end"/>
      </w:r>
      <w:r>
        <w:rPr>
          <w:szCs w:val="18"/>
        </w:rPr>
        <w:fldChar w:fldCharType="end"/>
      </w:r>
    </w:p>
    <w:p>
      <w:pPr>
        <w:pStyle w:val="34"/>
        <w:rPr>
          <w:szCs w:val="18"/>
        </w:rPr>
      </w:pPr>
      <w:r>
        <w:rPr>
          <w:rFonts w:hint="eastAsia"/>
          <w:szCs w:val="18"/>
        </w:rPr>
        <w:t>热点题材</w:t>
      </w:r>
    </w:p>
    <w:p>
      <w:pPr>
        <w:pStyle w:val="34"/>
        <w:rPr>
          <w:szCs w:val="18"/>
        </w:rPr>
      </w:pPr>
      <w:r>
        <w:rPr>
          <w:rFonts w:hint="eastAsia"/>
          <w:szCs w:val="18"/>
        </w:rPr>
        <w:t>热点题材展示此个股相关的主题投资、时间驱动、信息面面观等信息。</w:t>
      </w:r>
    </w:p>
    <w:p>
      <w:pPr>
        <w:pStyle w:val="34"/>
        <w:rPr>
          <w:szCs w:val="18"/>
        </w:rPr>
      </w:pPr>
      <w:r>
        <w:rPr>
          <w:szCs w:val="18"/>
        </w:rPr>
        <w:fldChar w:fldCharType="begin"/>
      </w:r>
      <w:r>
        <w:rPr>
          <w:szCs w:val="18"/>
        </w:rPr>
        <w:instrText xml:space="preserve"> INCLUDEPICTURE  "https://www.tdx.com.cn/products/helpfile/tdxw/chm/%E7%AC%AC%E4%BA%94%E7%AB%A0  %E6%B3%A8%E5%86%8C%E5%8F%8A%E6%B8%B8%E5%AE%A2%E7%99%BB%E9%99%86/5-2/13.png" \* MERGEFORMATINET </w:instrText>
      </w:r>
      <w:r>
        <w:rPr>
          <w:szCs w:val="18"/>
        </w:rPr>
        <w:fldChar w:fldCharType="separate"/>
      </w:r>
      <w:r>
        <w:rPr>
          <w:szCs w:val="18"/>
        </w:rPr>
        <w:fldChar w:fldCharType="begin"/>
      </w:r>
      <w:r>
        <w:rPr>
          <w:szCs w:val="18"/>
        </w:rPr>
        <w:instrText xml:space="preserve"> INCLUDEPICTURE  "https://www.tdx.com.cn/products/helpfile/tdxw/chm/%E7%AC%AC%E4%BA%94%E7%AB%A0  %E6%B3%A8%E5%86%8C%E5%8F%8A%E6%B8%B8%E5%AE%A2%E7%99%BB%E9%99%86/5-2/13.png" \* MERGEFORMATINET </w:instrText>
      </w:r>
      <w:r>
        <w:rPr>
          <w:szCs w:val="18"/>
        </w:rPr>
        <w:fldChar w:fldCharType="separate"/>
      </w:r>
      <w:r>
        <w:rPr>
          <w:szCs w:val="18"/>
        </w:rPr>
        <w:fldChar w:fldCharType="begin"/>
      </w:r>
      <w:r>
        <w:rPr>
          <w:szCs w:val="18"/>
        </w:rPr>
        <w:instrText xml:space="preserve"> INCLUDEPICTURE  "https://www.tdx.com.cn/products/helpfile/tdxw/chm/%E7%AC%AC%E4%BA%94%E7%AB%A0  %E6%B3%A8%E5%86%8C%E5%8F%8A%E6%B8%B8%E5%AE%A2%E7%99%BB%E9%99%86/5-2/13.png" \* MERGEFORMATINET </w:instrText>
      </w:r>
      <w:r>
        <w:rPr>
          <w:szCs w:val="18"/>
        </w:rPr>
        <w:fldChar w:fldCharType="separate"/>
      </w:r>
      <w:r>
        <w:rPr>
          <w:szCs w:val="18"/>
        </w:rPr>
        <w:fldChar w:fldCharType="begin"/>
      </w:r>
      <w:r>
        <w:rPr>
          <w:szCs w:val="18"/>
        </w:rPr>
        <w:instrText xml:space="preserve"> INCLUDEPICTURE  "https://www.tdx.com.cn/products/helpfile/tdxw/chm/%E7%AC%AC%E4%BA%94%E7%AB%A0  %E6%B3%A8%E5%86%8C%E5%8F%8A%E6%B8%B8%E5%AE%A2%E7%99%BB%E9%99%86/5-2/13.png" \* MERGEFORMATINET </w:instrText>
      </w:r>
      <w:r>
        <w:rPr>
          <w:szCs w:val="18"/>
        </w:rPr>
        <w:fldChar w:fldCharType="separate"/>
      </w:r>
      <w:r>
        <w:rPr>
          <w:szCs w:val="18"/>
        </w:rPr>
        <w:drawing>
          <wp:inline distT="0" distB="0" distL="114300" distR="114300">
            <wp:extent cx="6334125" cy="4048125"/>
            <wp:effectExtent l="0" t="0" r="9525" b="9525"/>
            <wp:docPr id="437" name="图片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图片 437"/>
                    <pic:cNvPicPr>
                      <a:picLocks noChangeAspect="1"/>
                    </pic:cNvPicPr>
                  </pic:nvPicPr>
                  <pic:blipFill>
                    <a:blip r:embed="rId826" r:link="rId827"/>
                    <a:stretch>
                      <a:fillRect/>
                    </a:stretch>
                  </pic:blipFill>
                  <pic:spPr>
                    <a:xfrm>
                      <a:off x="0" y="0"/>
                      <a:ext cx="6334125" cy="4048125"/>
                    </a:xfrm>
                    <a:prstGeom prst="rect">
                      <a:avLst/>
                    </a:prstGeom>
                    <a:noFill/>
                    <a:ln>
                      <a:noFill/>
                    </a:ln>
                  </pic:spPr>
                </pic:pic>
              </a:graphicData>
            </a:graphic>
          </wp:inline>
        </w:drawing>
      </w:r>
      <w:r>
        <w:rPr>
          <w:szCs w:val="18"/>
        </w:rPr>
        <w:fldChar w:fldCharType="end"/>
      </w:r>
      <w:r>
        <w:rPr>
          <w:szCs w:val="18"/>
        </w:rPr>
        <w:fldChar w:fldCharType="end"/>
      </w:r>
      <w:r>
        <w:rPr>
          <w:szCs w:val="18"/>
        </w:rPr>
        <w:fldChar w:fldCharType="end"/>
      </w:r>
      <w:r>
        <w:rPr>
          <w:szCs w:val="18"/>
        </w:rPr>
        <w:fldChar w:fldCharType="end"/>
      </w:r>
    </w:p>
    <w:p>
      <w:pPr>
        <w:pStyle w:val="34"/>
        <w:rPr>
          <w:szCs w:val="18"/>
        </w:rPr>
      </w:pPr>
      <w:r>
        <w:rPr>
          <w:rFonts w:hint="eastAsia"/>
          <w:szCs w:val="18"/>
        </w:rPr>
        <w:t>公司资讯</w:t>
      </w:r>
    </w:p>
    <w:p>
      <w:pPr>
        <w:pStyle w:val="34"/>
        <w:rPr>
          <w:szCs w:val="18"/>
        </w:rPr>
      </w:pPr>
      <w:r>
        <w:rPr>
          <w:rFonts w:hint="eastAsia"/>
          <w:szCs w:val="18"/>
        </w:rPr>
        <w:t>公司资讯包括公司新闻、公司公告、公司研究。此处公司资讯内容都是查看股票自己的相关信息，和数据纵览里面的公司资讯是一个内容，指数数据纵览中是整体公司资讯信息。</w:t>
      </w:r>
    </w:p>
    <w:p>
      <w:pPr>
        <w:pStyle w:val="34"/>
        <w:rPr>
          <w:szCs w:val="18"/>
        </w:rPr>
      </w:pPr>
      <w:r>
        <w:rPr>
          <w:szCs w:val="27"/>
        </w:rPr>
        <w:fldChar w:fldCharType="begin"/>
      </w:r>
      <w:r>
        <w:rPr>
          <w:szCs w:val="27"/>
        </w:rPr>
        <w:instrText xml:space="preserve"> INCLUDEPICTURE  "https://www.tdx.com.cn/products/helpfile/tdxw/chm/%E7%AC%AC%E4%BA%94%E7%AB%A0  %E6%B3%A8%E5%86%8C%E5%8F%8A%E6%B8%B8%E5%AE%A2%E7%99%BB%E9%99%86/5-2/14.png" \* MERGEFORMATINET </w:instrText>
      </w:r>
      <w:r>
        <w:rPr>
          <w:szCs w:val="27"/>
        </w:rPr>
        <w:fldChar w:fldCharType="separate"/>
      </w:r>
      <w:r>
        <w:rPr>
          <w:szCs w:val="27"/>
        </w:rPr>
        <w:fldChar w:fldCharType="begin"/>
      </w:r>
      <w:r>
        <w:rPr>
          <w:szCs w:val="27"/>
        </w:rPr>
        <w:instrText xml:space="preserve"> INCLUDEPICTURE  "https://www.tdx.com.cn/products/helpfile/tdxw/chm/%E7%AC%AC%E4%BA%94%E7%AB%A0  %E6%B3%A8%E5%86%8C%E5%8F%8A%E6%B8%B8%E5%AE%A2%E7%99%BB%E9%99%86/5-2/14.png" \* MERGEFORMATINET </w:instrText>
      </w:r>
      <w:r>
        <w:rPr>
          <w:szCs w:val="27"/>
        </w:rPr>
        <w:fldChar w:fldCharType="separate"/>
      </w:r>
      <w:r>
        <w:rPr>
          <w:szCs w:val="27"/>
        </w:rPr>
        <w:fldChar w:fldCharType="begin"/>
      </w:r>
      <w:r>
        <w:rPr>
          <w:szCs w:val="27"/>
        </w:rPr>
        <w:instrText xml:space="preserve"> INCLUDEPICTURE  "https://www.tdx.com.cn/products/helpfile/tdxw/chm/%E7%AC%AC%E4%BA%94%E7%AB%A0  %E6%B3%A8%E5%86%8C%E5%8F%8A%E6%B8%B8%E5%AE%A2%E7%99%BB%E9%99%86/5-2/14.png" \* MERGEFORMATINET </w:instrText>
      </w:r>
      <w:r>
        <w:rPr>
          <w:szCs w:val="27"/>
        </w:rPr>
        <w:fldChar w:fldCharType="separate"/>
      </w:r>
      <w:r>
        <w:rPr>
          <w:szCs w:val="27"/>
        </w:rPr>
        <w:fldChar w:fldCharType="begin"/>
      </w:r>
      <w:r>
        <w:rPr>
          <w:szCs w:val="27"/>
        </w:rPr>
        <w:instrText xml:space="preserve"> INCLUDEPICTURE  "https://www.tdx.com.cn/products/helpfile/tdxw/chm/%E7%AC%AC%E4%BA%94%E7%AB%A0  %E6%B3%A8%E5%86%8C%E5%8F%8A%E6%B8%B8%E5%AE%A2%E7%99%BB%E9%99%86/5-2/14.png" \* MERGEFORMATINET </w:instrText>
      </w:r>
      <w:r>
        <w:rPr>
          <w:szCs w:val="27"/>
        </w:rPr>
        <w:fldChar w:fldCharType="separate"/>
      </w:r>
      <w:r>
        <w:rPr>
          <w:szCs w:val="27"/>
        </w:rPr>
        <w:drawing>
          <wp:inline distT="0" distB="0" distL="114300" distR="114300">
            <wp:extent cx="5534025" cy="3533775"/>
            <wp:effectExtent l="0" t="0" r="9525" b="9525"/>
            <wp:docPr id="438" name="图片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图片 438"/>
                    <pic:cNvPicPr>
                      <a:picLocks noChangeAspect="1"/>
                    </pic:cNvPicPr>
                  </pic:nvPicPr>
                  <pic:blipFill>
                    <a:blip r:embed="rId828" r:link="rId829"/>
                    <a:stretch>
                      <a:fillRect/>
                    </a:stretch>
                  </pic:blipFill>
                  <pic:spPr>
                    <a:xfrm>
                      <a:off x="0" y="0"/>
                      <a:ext cx="5534025" cy="3533775"/>
                    </a:xfrm>
                    <a:prstGeom prst="rect">
                      <a:avLst/>
                    </a:prstGeom>
                    <a:noFill/>
                    <a:ln>
                      <a:noFill/>
                    </a:ln>
                  </pic:spPr>
                </pic:pic>
              </a:graphicData>
            </a:graphic>
          </wp:inline>
        </w:drawing>
      </w:r>
      <w:r>
        <w:rPr>
          <w:szCs w:val="27"/>
        </w:rPr>
        <w:fldChar w:fldCharType="end"/>
      </w:r>
      <w:r>
        <w:rPr>
          <w:szCs w:val="27"/>
        </w:rPr>
        <w:fldChar w:fldCharType="end"/>
      </w:r>
      <w:r>
        <w:rPr>
          <w:szCs w:val="27"/>
        </w:rPr>
        <w:fldChar w:fldCharType="end"/>
      </w:r>
      <w:r>
        <w:rPr>
          <w:szCs w:val="27"/>
        </w:rPr>
        <w:fldChar w:fldCharType="end"/>
      </w:r>
    </w:p>
    <w:p>
      <w:pPr>
        <w:pStyle w:val="3"/>
      </w:pPr>
      <w:bookmarkStart w:id="60" w:name="_Toc90646180"/>
      <w:r>
        <w:rPr>
          <w:rFonts w:hint="eastAsia"/>
        </w:rPr>
        <w:t>侧边栏财务简况</w:t>
      </w:r>
      <w:bookmarkEnd w:id="60"/>
    </w:p>
    <w:p>
      <w:pPr>
        <w:pStyle w:val="34"/>
      </w:pPr>
      <w:r>
        <w:rPr>
          <w:rFonts w:hint="eastAsia"/>
        </w:rPr>
        <w:t>打开方式：K线图及分时图点击“侧边栏”，点击可打开和关闭侧边栏。</w:t>
      </w:r>
      <w:r>
        <w:fldChar w:fldCharType="begin"/>
      </w:r>
      <w:r>
        <w:instrText xml:space="preserve"> INCLUDEPICTURE  "https://www.tdx.com.cn/products/helpfile/tdxw/chm/%E7%AC%AC%E4%BA%94%E7%AB%A0  %E6%B3%A8%E5%86%8C%E5%8F%8A%E6%B8%B8%E5%AE%A2%E7%99%BB%E9%99%86/5-3/1.png" \* MERGEFORMATINET </w:instrText>
      </w:r>
      <w:r>
        <w:fldChar w:fldCharType="separate"/>
      </w:r>
      <w:r>
        <w:fldChar w:fldCharType="begin"/>
      </w:r>
      <w:r>
        <w:instrText xml:space="preserve"> INCLUDEPICTURE  "https://www.tdx.com.cn/products/helpfile/tdxw/chm/%E7%AC%AC%E4%BA%94%E7%AB%A0  %E6%B3%A8%E5%86%8C%E5%8F%8A%E6%B8%B8%E5%AE%A2%E7%99%BB%E9%99%86/5-3/1.png" \* MERGEFORMATINET </w:instrText>
      </w:r>
      <w:r>
        <w:fldChar w:fldCharType="separate"/>
      </w:r>
      <w:r>
        <w:fldChar w:fldCharType="begin"/>
      </w:r>
      <w:r>
        <w:instrText xml:space="preserve"> INCLUDEPICTURE  "https://www.tdx.com.cn/products/helpfile/tdxw/chm/%E7%AC%AC%E4%BA%94%E7%AB%A0  %E6%B3%A8%E5%86%8C%E5%8F%8A%E6%B8%B8%E5%AE%A2%E7%99%BB%E9%99%86/5-3/1.png" \* MERGEFORMATINET </w:instrText>
      </w:r>
      <w:r>
        <w:fldChar w:fldCharType="separate"/>
      </w:r>
      <w:r>
        <w:fldChar w:fldCharType="begin"/>
      </w:r>
      <w:r>
        <w:instrText xml:space="preserve"> INCLUDEPICTURE  "https://www.tdx.com.cn/products/helpfile/tdxw/chm/%E7%AC%AC%E4%BA%94%E7%AB%A0  %E6%B3%A8%E5%86%8C%E5%8F%8A%E6%B8%B8%E5%AE%A2%E7%99%BB%E9%99%86/5-3/1.png" \* MERGEFORMATINET </w:instrText>
      </w:r>
      <w:r>
        <w:fldChar w:fldCharType="separate"/>
      </w:r>
      <w:r>
        <w:drawing>
          <wp:inline distT="0" distB="0" distL="114300" distR="114300">
            <wp:extent cx="4629150" cy="1143000"/>
            <wp:effectExtent l="0" t="0" r="0" b="0"/>
            <wp:docPr id="439" name="图片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图片 439"/>
                    <pic:cNvPicPr>
                      <a:picLocks noChangeAspect="1"/>
                    </pic:cNvPicPr>
                  </pic:nvPicPr>
                  <pic:blipFill>
                    <a:blip r:embed="rId830" r:link="rId831"/>
                    <a:stretch>
                      <a:fillRect/>
                    </a:stretch>
                  </pic:blipFill>
                  <pic:spPr>
                    <a:xfrm>
                      <a:off x="0" y="0"/>
                      <a:ext cx="4629150" cy="1143000"/>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在K线图和分时图界面，个股行情右侧增加了侧边栏财务简况，包含丰富的个股资讯信息，让客户以更直观、更清晰化的结构展示公司基本资料数据，支持各研究机构对个股的预测评级。部分财报类数据，点击箭头所指地方可收起红框。</w:t>
      </w:r>
    </w:p>
    <w:p>
      <w:pPr>
        <w:pStyle w:val="50"/>
        <w:rPr>
          <w:rFonts w:ascii="微软雅黑" w:hAnsi="微软雅黑" w:eastAsia="微软雅黑"/>
          <w:color w:val="000000"/>
          <w:sz w:val="18"/>
          <w:szCs w:val="18"/>
        </w:rPr>
      </w:pPr>
      <w:r>
        <w:rPr>
          <w:rFonts w:ascii="微软雅黑" w:hAnsi="微软雅黑" w:eastAsia="微软雅黑"/>
          <w:color w:val="000000"/>
          <w:sz w:val="18"/>
          <w:szCs w:val="18"/>
        </w:rPr>
        <w:fldChar w:fldCharType="begin"/>
      </w:r>
      <w:r>
        <w:rPr>
          <w:rFonts w:ascii="微软雅黑" w:hAnsi="微软雅黑" w:eastAsia="微软雅黑"/>
          <w:color w:val="000000"/>
          <w:sz w:val="18"/>
          <w:szCs w:val="18"/>
        </w:rPr>
        <w:instrText xml:space="preserve"> INCLUDEPICTURE  "https://www.tdx.com.cn/products/helpfile/tdxw/chm/%E7%AC%AC%E4%BA%94%E7%AB%A0  %E6%B3%A8%E5%86%8C%E5%8F%8A%E6%B8%B8%E5%AE%A2%E7%99%BB%E9%99%86/5-3/2.png" \* MERGEFORMATINET </w:instrText>
      </w:r>
      <w:r>
        <w:rPr>
          <w:rFonts w:ascii="微软雅黑" w:hAnsi="微软雅黑" w:eastAsia="微软雅黑"/>
          <w:color w:val="000000"/>
          <w:sz w:val="18"/>
          <w:szCs w:val="18"/>
        </w:rPr>
        <w:fldChar w:fldCharType="separate"/>
      </w:r>
      <w:r>
        <w:rPr>
          <w:rFonts w:ascii="微软雅黑" w:hAnsi="微软雅黑" w:eastAsia="微软雅黑"/>
          <w:color w:val="000000"/>
          <w:sz w:val="18"/>
          <w:szCs w:val="18"/>
        </w:rPr>
        <w:fldChar w:fldCharType="begin"/>
      </w:r>
      <w:r>
        <w:rPr>
          <w:rFonts w:ascii="微软雅黑" w:hAnsi="微软雅黑" w:eastAsia="微软雅黑"/>
          <w:color w:val="000000"/>
          <w:sz w:val="18"/>
          <w:szCs w:val="18"/>
        </w:rPr>
        <w:instrText xml:space="preserve"> INCLUDEPICTURE  "https://www.tdx.com.cn/products/helpfile/tdxw/chm/%E7%AC%AC%E4%BA%94%E7%AB%A0  %E6%B3%A8%E5%86%8C%E5%8F%8A%E6%B8%B8%E5%AE%A2%E7%99%BB%E9%99%86/5-3/2.png" \* MERGEFORMATINET </w:instrText>
      </w:r>
      <w:r>
        <w:rPr>
          <w:rFonts w:ascii="微软雅黑" w:hAnsi="微软雅黑" w:eastAsia="微软雅黑"/>
          <w:color w:val="000000"/>
          <w:sz w:val="18"/>
          <w:szCs w:val="18"/>
        </w:rPr>
        <w:fldChar w:fldCharType="separate"/>
      </w:r>
      <w:r>
        <w:rPr>
          <w:rFonts w:ascii="微软雅黑" w:hAnsi="微软雅黑" w:eastAsia="微软雅黑"/>
          <w:color w:val="000000"/>
          <w:sz w:val="18"/>
          <w:szCs w:val="18"/>
        </w:rPr>
        <w:fldChar w:fldCharType="begin"/>
      </w:r>
      <w:r>
        <w:rPr>
          <w:rFonts w:ascii="微软雅黑" w:hAnsi="微软雅黑" w:eastAsia="微软雅黑"/>
          <w:color w:val="000000"/>
          <w:sz w:val="18"/>
          <w:szCs w:val="18"/>
        </w:rPr>
        <w:instrText xml:space="preserve"> INCLUDEPICTURE  "https://www.tdx.com.cn/products/helpfile/tdxw/chm/%E7%AC%AC%E4%BA%94%E7%AB%A0  %E6%B3%A8%E5%86%8C%E5%8F%8A%E6%B8%B8%E5%AE%A2%E7%99%BB%E9%99%86/5-3/2.png" \* MERGEFORMATINET </w:instrText>
      </w:r>
      <w:r>
        <w:rPr>
          <w:rFonts w:ascii="微软雅黑" w:hAnsi="微软雅黑" w:eastAsia="微软雅黑"/>
          <w:color w:val="000000"/>
          <w:sz w:val="18"/>
          <w:szCs w:val="18"/>
        </w:rPr>
        <w:fldChar w:fldCharType="separate"/>
      </w:r>
      <w:r>
        <w:rPr>
          <w:rFonts w:ascii="微软雅黑" w:hAnsi="微软雅黑" w:eastAsia="微软雅黑"/>
          <w:color w:val="000000"/>
          <w:sz w:val="18"/>
          <w:szCs w:val="18"/>
        </w:rPr>
        <w:fldChar w:fldCharType="begin"/>
      </w:r>
      <w:r>
        <w:rPr>
          <w:rFonts w:ascii="微软雅黑" w:hAnsi="微软雅黑" w:eastAsia="微软雅黑"/>
          <w:color w:val="000000"/>
          <w:sz w:val="18"/>
          <w:szCs w:val="18"/>
        </w:rPr>
        <w:instrText xml:space="preserve"> INCLUDEPICTURE  "https://www.tdx.com.cn/products/helpfile/tdxw/chm/%E7%AC%AC%E4%BA%94%E7%AB%A0  %E6%B3%A8%E5%86%8C%E5%8F%8A%E6%B8%B8%E5%AE%A2%E7%99%BB%E9%99%86/5-3/2.png" \* MERGEFORMATINET </w:instrText>
      </w:r>
      <w:r>
        <w:rPr>
          <w:rFonts w:ascii="微软雅黑" w:hAnsi="微软雅黑" w:eastAsia="微软雅黑"/>
          <w:color w:val="000000"/>
          <w:sz w:val="18"/>
          <w:szCs w:val="18"/>
        </w:rPr>
        <w:fldChar w:fldCharType="separate"/>
      </w:r>
      <w:r>
        <w:rPr>
          <w:rFonts w:ascii="微软雅黑" w:hAnsi="微软雅黑" w:eastAsia="微软雅黑"/>
          <w:color w:val="000000"/>
          <w:sz w:val="18"/>
          <w:szCs w:val="18"/>
        </w:rPr>
        <w:drawing>
          <wp:inline distT="0" distB="0" distL="114300" distR="114300">
            <wp:extent cx="7515225" cy="4800600"/>
            <wp:effectExtent l="0" t="0" r="9525" b="0"/>
            <wp:docPr id="440" name="图片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图片 440"/>
                    <pic:cNvPicPr>
                      <a:picLocks noChangeAspect="1"/>
                    </pic:cNvPicPr>
                  </pic:nvPicPr>
                  <pic:blipFill>
                    <a:blip r:embed="rId832" r:link="rId833"/>
                    <a:stretch>
                      <a:fillRect/>
                    </a:stretch>
                  </pic:blipFill>
                  <pic:spPr>
                    <a:xfrm>
                      <a:off x="0" y="0"/>
                      <a:ext cx="7515225" cy="4800600"/>
                    </a:xfrm>
                    <a:prstGeom prst="rect">
                      <a:avLst/>
                    </a:prstGeom>
                    <a:noFill/>
                    <a:ln>
                      <a:noFill/>
                    </a:ln>
                  </pic:spPr>
                </pic:pic>
              </a:graphicData>
            </a:graphic>
          </wp:inline>
        </w:drawing>
      </w:r>
      <w:r>
        <w:rPr>
          <w:rFonts w:ascii="微软雅黑" w:hAnsi="微软雅黑" w:eastAsia="微软雅黑"/>
          <w:color w:val="000000"/>
          <w:sz w:val="18"/>
          <w:szCs w:val="18"/>
        </w:rPr>
        <w:fldChar w:fldCharType="end"/>
      </w:r>
      <w:r>
        <w:rPr>
          <w:rFonts w:ascii="微软雅黑" w:hAnsi="微软雅黑" w:eastAsia="微软雅黑"/>
          <w:color w:val="000000"/>
          <w:sz w:val="18"/>
          <w:szCs w:val="18"/>
        </w:rPr>
        <w:fldChar w:fldCharType="end"/>
      </w:r>
      <w:r>
        <w:rPr>
          <w:rFonts w:ascii="微软雅黑" w:hAnsi="微软雅黑" w:eastAsia="微软雅黑"/>
          <w:color w:val="000000"/>
          <w:sz w:val="18"/>
          <w:szCs w:val="18"/>
        </w:rPr>
        <w:fldChar w:fldCharType="end"/>
      </w:r>
      <w:r>
        <w:rPr>
          <w:rFonts w:ascii="微软雅黑" w:hAnsi="微软雅黑" w:eastAsia="微软雅黑"/>
          <w:color w:val="000000"/>
          <w:sz w:val="18"/>
          <w:szCs w:val="18"/>
        </w:rPr>
        <w:fldChar w:fldCharType="end"/>
      </w:r>
    </w:p>
    <w:p>
      <w:pPr>
        <w:pStyle w:val="50"/>
        <w:rPr>
          <w:rFonts w:ascii="微软雅黑" w:hAnsi="微软雅黑" w:eastAsia="微软雅黑"/>
          <w:color w:val="000000"/>
          <w:sz w:val="18"/>
          <w:szCs w:val="18"/>
        </w:rPr>
      </w:pPr>
      <w:r>
        <w:rPr>
          <w:rFonts w:ascii="微软雅黑" w:hAnsi="微软雅黑" w:eastAsia="微软雅黑"/>
          <w:color w:val="000000"/>
          <w:sz w:val="18"/>
          <w:szCs w:val="18"/>
        </w:rPr>
        <w:fldChar w:fldCharType="begin"/>
      </w:r>
      <w:r>
        <w:rPr>
          <w:rFonts w:ascii="微软雅黑" w:hAnsi="微软雅黑" w:eastAsia="微软雅黑"/>
          <w:color w:val="000000"/>
          <w:sz w:val="18"/>
          <w:szCs w:val="18"/>
        </w:rPr>
        <w:instrText xml:space="preserve"> INCLUDEPICTURE  "https://www.tdx.com.cn/products/helpfile/tdxw/chm/%E7%AC%AC%E4%BA%94%E7%AB%A0  %E6%B3%A8%E5%86%8C%E5%8F%8A%E6%B8%B8%E5%AE%A2%E7%99%BB%E9%99%86/5-3/3.png" \* MERGEFORMATINET </w:instrText>
      </w:r>
      <w:r>
        <w:rPr>
          <w:rFonts w:ascii="微软雅黑" w:hAnsi="微软雅黑" w:eastAsia="微软雅黑"/>
          <w:color w:val="000000"/>
          <w:sz w:val="18"/>
          <w:szCs w:val="18"/>
        </w:rPr>
        <w:fldChar w:fldCharType="separate"/>
      </w:r>
      <w:r>
        <w:rPr>
          <w:rFonts w:ascii="微软雅黑" w:hAnsi="微软雅黑" w:eastAsia="微软雅黑"/>
          <w:color w:val="000000"/>
          <w:sz w:val="18"/>
          <w:szCs w:val="18"/>
        </w:rPr>
        <w:fldChar w:fldCharType="begin"/>
      </w:r>
      <w:r>
        <w:rPr>
          <w:rFonts w:ascii="微软雅黑" w:hAnsi="微软雅黑" w:eastAsia="微软雅黑"/>
          <w:color w:val="000000"/>
          <w:sz w:val="18"/>
          <w:szCs w:val="18"/>
        </w:rPr>
        <w:instrText xml:space="preserve"> INCLUDEPICTURE  "https://www.tdx.com.cn/products/helpfile/tdxw/chm/%E7%AC%AC%E4%BA%94%E7%AB%A0  %E6%B3%A8%E5%86%8C%E5%8F%8A%E6%B8%B8%E5%AE%A2%E7%99%BB%E9%99%86/5-3/3.png" \* MERGEFORMATINET </w:instrText>
      </w:r>
      <w:r>
        <w:rPr>
          <w:rFonts w:ascii="微软雅黑" w:hAnsi="微软雅黑" w:eastAsia="微软雅黑"/>
          <w:color w:val="000000"/>
          <w:sz w:val="18"/>
          <w:szCs w:val="18"/>
        </w:rPr>
        <w:fldChar w:fldCharType="separate"/>
      </w:r>
      <w:r>
        <w:rPr>
          <w:rFonts w:ascii="微软雅黑" w:hAnsi="微软雅黑" w:eastAsia="微软雅黑"/>
          <w:color w:val="000000"/>
          <w:sz w:val="18"/>
          <w:szCs w:val="18"/>
        </w:rPr>
        <w:fldChar w:fldCharType="begin"/>
      </w:r>
      <w:r>
        <w:rPr>
          <w:rFonts w:ascii="微软雅黑" w:hAnsi="微软雅黑" w:eastAsia="微软雅黑"/>
          <w:color w:val="000000"/>
          <w:sz w:val="18"/>
          <w:szCs w:val="18"/>
        </w:rPr>
        <w:instrText xml:space="preserve"> INCLUDEPICTURE  "https://www.tdx.com.cn/products/helpfile/tdxw/chm/%E7%AC%AC%E4%BA%94%E7%AB%A0  %E6%B3%A8%E5%86%8C%E5%8F%8A%E6%B8%B8%E5%AE%A2%E7%99%BB%E9%99%86/5-3/3.png" \* MERGEFORMATINET </w:instrText>
      </w:r>
      <w:r>
        <w:rPr>
          <w:rFonts w:ascii="微软雅黑" w:hAnsi="微软雅黑" w:eastAsia="微软雅黑"/>
          <w:color w:val="000000"/>
          <w:sz w:val="18"/>
          <w:szCs w:val="18"/>
        </w:rPr>
        <w:fldChar w:fldCharType="separate"/>
      </w:r>
      <w:r>
        <w:rPr>
          <w:rFonts w:ascii="微软雅黑" w:hAnsi="微软雅黑" w:eastAsia="微软雅黑"/>
          <w:color w:val="000000"/>
          <w:sz w:val="18"/>
          <w:szCs w:val="18"/>
        </w:rPr>
        <w:fldChar w:fldCharType="begin"/>
      </w:r>
      <w:r>
        <w:rPr>
          <w:rFonts w:ascii="微软雅黑" w:hAnsi="微软雅黑" w:eastAsia="微软雅黑"/>
          <w:color w:val="000000"/>
          <w:sz w:val="18"/>
          <w:szCs w:val="18"/>
        </w:rPr>
        <w:instrText xml:space="preserve"> INCLUDEPICTURE  "https://www.tdx.com.cn/products/helpfile/tdxw/chm/%E7%AC%AC%E4%BA%94%E7%AB%A0  %E6%B3%A8%E5%86%8C%E5%8F%8A%E6%B8%B8%E5%AE%A2%E7%99%BB%E9%99%86/5-3/3.png" \* MERGEFORMATINET </w:instrText>
      </w:r>
      <w:r>
        <w:rPr>
          <w:rFonts w:ascii="微软雅黑" w:hAnsi="微软雅黑" w:eastAsia="微软雅黑"/>
          <w:color w:val="000000"/>
          <w:sz w:val="18"/>
          <w:szCs w:val="18"/>
        </w:rPr>
        <w:fldChar w:fldCharType="separate"/>
      </w:r>
      <w:r>
        <w:rPr>
          <w:rFonts w:ascii="微软雅黑" w:hAnsi="微软雅黑" w:eastAsia="微软雅黑"/>
          <w:color w:val="000000"/>
          <w:sz w:val="18"/>
          <w:szCs w:val="18"/>
        </w:rPr>
        <w:drawing>
          <wp:inline distT="0" distB="0" distL="114300" distR="114300">
            <wp:extent cx="2066925" cy="2571750"/>
            <wp:effectExtent l="0" t="0" r="9525" b="0"/>
            <wp:docPr id="441" name="图片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图片 441"/>
                    <pic:cNvPicPr>
                      <a:picLocks noChangeAspect="1"/>
                    </pic:cNvPicPr>
                  </pic:nvPicPr>
                  <pic:blipFill>
                    <a:blip r:embed="rId834" r:link="rId835"/>
                    <a:stretch>
                      <a:fillRect/>
                    </a:stretch>
                  </pic:blipFill>
                  <pic:spPr>
                    <a:xfrm>
                      <a:off x="0" y="0"/>
                      <a:ext cx="2066925" cy="2571750"/>
                    </a:xfrm>
                    <a:prstGeom prst="rect">
                      <a:avLst/>
                    </a:prstGeom>
                    <a:noFill/>
                    <a:ln>
                      <a:noFill/>
                    </a:ln>
                  </pic:spPr>
                </pic:pic>
              </a:graphicData>
            </a:graphic>
          </wp:inline>
        </w:drawing>
      </w:r>
      <w:r>
        <w:rPr>
          <w:rFonts w:ascii="微软雅黑" w:hAnsi="微软雅黑" w:eastAsia="微软雅黑"/>
          <w:color w:val="000000"/>
          <w:sz w:val="18"/>
          <w:szCs w:val="18"/>
        </w:rPr>
        <w:fldChar w:fldCharType="end"/>
      </w:r>
      <w:r>
        <w:rPr>
          <w:rFonts w:ascii="微软雅黑" w:hAnsi="微软雅黑" w:eastAsia="微软雅黑"/>
          <w:color w:val="000000"/>
          <w:sz w:val="18"/>
          <w:szCs w:val="18"/>
        </w:rPr>
        <w:fldChar w:fldCharType="end"/>
      </w:r>
      <w:r>
        <w:rPr>
          <w:rFonts w:ascii="微软雅黑" w:hAnsi="微软雅黑" w:eastAsia="微软雅黑"/>
          <w:color w:val="000000"/>
          <w:sz w:val="18"/>
          <w:szCs w:val="18"/>
        </w:rPr>
        <w:fldChar w:fldCharType="end"/>
      </w:r>
      <w:r>
        <w:rPr>
          <w:rFonts w:ascii="微软雅黑" w:hAnsi="微软雅黑" w:eastAsia="微软雅黑"/>
          <w:color w:val="000000"/>
          <w:sz w:val="18"/>
          <w:szCs w:val="18"/>
        </w:rPr>
        <w:fldChar w:fldCharType="end"/>
      </w:r>
      <w:r>
        <w:rPr>
          <w:rFonts w:ascii="微软雅黑" w:hAnsi="微软雅黑" w:eastAsia="微软雅黑"/>
          <w:color w:val="000000"/>
          <w:sz w:val="18"/>
          <w:szCs w:val="18"/>
        </w:rPr>
        <w:fldChar w:fldCharType="begin"/>
      </w:r>
      <w:r>
        <w:rPr>
          <w:rFonts w:ascii="微软雅黑" w:hAnsi="微软雅黑" w:eastAsia="微软雅黑"/>
          <w:color w:val="000000"/>
          <w:sz w:val="18"/>
          <w:szCs w:val="18"/>
        </w:rPr>
        <w:instrText xml:space="preserve"> INCLUDEPICTURE  "https://www.tdx.com.cn/products/helpfile/tdxw/chm/%E7%AC%AC%E4%BA%94%E7%AB%A0  %E6%B3%A8%E5%86%8C%E5%8F%8A%E6%B8%B8%E5%AE%A2%E7%99%BB%E9%99%86/5-3/4.png" \* MERGEFORMATINET </w:instrText>
      </w:r>
      <w:r>
        <w:rPr>
          <w:rFonts w:ascii="微软雅黑" w:hAnsi="微软雅黑" w:eastAsia="微软雅黑"/>
          <w:color w:val="000000"/>
          <w:sz w:val="18"/>
          <w:szCs w:val="18"/>
        </w:rPr>
        <w:fldChar w:fldCharType="separate"/>
      </w:r>
      <w:r>
        <w:rPr>
          <w:rFonts w:ascii="微软雅黑" w:hAnsi="微软雅黑" w:eastAsia="微软雅黑"/>
          <w:color w:val="000000"/>
          <w:sz w:val="18"/>
          <w:szCs w:val="18"/>
        </w:rPr>
        <w:fldChar w:fldCharType="begin"/>
      </w:r>
      <w:r>
        <w:rPr>
          <w:rFonts w:ascii="微软雅黑" w:hAnsi="微软雅黑" w:eastAsia="微软雅黑"/>
          <w:color w:val="000000"/>
          <w:sz w:val="18"/>
          <w:szCs w:val="18"/>
        </w:rPr>
        <w:instrText xml:space="preserve"> INCLUDEPICTURE  "https://www.tdx.com.cn/products/helpfile/tdxw/chm/%E7%AC%AC%E4%BA%94%E7%AB%A0  %E6%B3%A8%E5%86%8C%E5%8F%8A%E6%B8%B8%E5%AE%A2%E7%99%BB%E9%99%86/5-3/4.png" \* MERGEFORMATINET </w:instrText>
      </w:r>
      <w:r>
        <w:rPr>
          <w:rFonts w:ascii="微软雅黑" w:hAnsi="微软雅黑" w:eastAsia="微软雅黑"/>
          <w:color w:val="000000"/>
          <w:sz w:val="18"/>
          <w:szCs w:val="18"/>
        </w:rPr>
        <w:fldChar w:fldCharType="separate"/>
      </w:r>
      <w:r>
        <w:rPr>
          <w:rFonts w:ascii="微软雅黑" w:hAnsi="微软雅黑" w:eastAsia="微软雅黑"/>
          <w:color w:val="000000"/>
          <w:sz w:val="18"/>
          <w:szCs w:val="18"/>
        </w:rPr>
        <w:fldChar w:fldCharType="begin"/>
      </w:r>
      <w:r>
        <w:rPr>
          <w:rFonts w:ascii="微软雅黑" w:hAnsi="微软雅黑" w:eastAsia="微软雅黑"/>
          <w:color w:val="000000"/>
          <w:sz w:val="18"/>
          <w:szCs w:val="18"/>
        </w:rPr>
        <w:instrText xml:space="preserve"> INCLUDEPICTURE  "https://www.tdx.com.cn/products/helpfile/tdxw/chm/%E7%AC%AC%E4%BA%94%E7%AB%A0  %E6%B3%A8%E5%86%8C%E5%8F%8A%E6%B8%B8%E5%AE%A2%E7%99%BB%E9%99%86/5-3/4.png" \* MERGEFORMATINET </w:instrText>
      </w:r>
      <w:r>
        <w:rPr>
          <w:rFonts w:ascii="微软雅黑" w:hAnsi="微软雅黑" w:eastAsia="微软雅黑"/>
          <w:color w:val="000000"/>
          <w:sz w:val="18"/>
          <w:szCs w:val="18"/>
        </w:rPr>
        <w:fldChar w:fldCharType="separate"/>
      </w:r>
      <w:r>
        <w:rPr>
          <w:rFonts w:ascii="微软雅黑" w:hAnsi="微软雅黑" w:eastAsia="微软雅黑"/>
          <w:color w:val="000000"/>
          <w:sz w:val="18"/>
          <w:szCs w:val="18"/>
        </w:rPr>
        <w:fldChar w:fldCharType="begin"/>
      </w:r>
      <w:r>
        <w:rPr>
          <w:rFonts w:ascii="微软雅黑" w:hAnsi="微软雅黑" w:eastAsia="微软雅黑"/>
          <w:color w:val="000000"/>
          <w:sz w:val="18"/>
          <w:szCs w:val="18"/>
        </w:rPr>
        <w:instrText xml:space="preserve"> INCLUDEPICTURE  "https://www.tdx.com.cn/products/helpfile/tdxw/chm/%E7%AC%AC%E4%BA%94%E7%AB%A0  %E6%B3%A8%E5%86%8C%E5%8F%8A%E6%B8%B8%E5%AE%A2%E7%99%BB%E9%99%86/5-3/4.png" \* MERGEFORMATINET </w:instrText>
      </w:r>
      <w:r>
        <w:rPr>
          <w:rFonts w:ascii="微软雅黑" w:hAnsi="微软雅黑" w:eastAsia="微软雅黑"/>
          <w:color w:val="000000"/>
          <w:sz w:val="18"/>
          <w:szCs w:val="18"/>
        </w:rPr>
        <w:fldChar w:fldCharType="separate"/>
      </w:r>
      <w:r>
        <w:rPr>
          <w:rFonts w:ascii="微软雅黑" w:hAnsi="微软雅黑" w:eastAsia="微软雅黑"/>
          <w:color w:val="000000"/>
          <w:sz w:val="18"/>
          <w:szCs w:val="18"/>
        </w:rPr>
        <w:drawing>
          <wp:inline distT="0" distB="0" distL="114300" distR="114300">
            <wp:extent cx="2047875" cy="3219450"/>
            <wp:effectExtent l="0" t="0" r="9525" b="0"/>
            <wp:docPr id="442" name="图片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图片 442"/>
                    <pic:cNvPicPr>
                      <a:picLocks noChangeAspect="1"/>
                    </pic:cNvPicPr>
                  </pic:nvPicPr>
                  <pic:blipFill>
                    <a:blip r:embed="rId836" r:link="rId837"/>
                    <a:stretch>
                      <a:fillRect/>
                    </a:stretch>
                  </pic:blipFill>
                  <pic:spPr>
                    <a:xfrm>
                      <a:off x="0" y="0"/>
                      <a:ext cx="2047875" cy="3219450"/>
                    </a:xfrm>
                    <a:prstGeom prst="rect">
                      <a:avLst/>
                    </a:prstGeom>
                    <a:noFill/>
                    <a:ln>
                      <a:noFill/>
                    </a:ln>
                  </pic:spPr>
                </pic:pic>
              </a:graphicData>
            </a:graphic>
          </wp:inline>
        </w:drawing>
      </w:r>
      <w:r>
        <w:rPr>
          <w:rFonts w:ascii="微软雅黑" w:hAnsi="微软雅黑" w:eastAsia="微软雅黑"/>
          <w:color w:val="000000"/>
          <w:sz w:val="18"/>
          <w:szCs w:val="18"/>
        </w:rPr>
        <w:fldChar w:fldCharType="end"/>
      </w:r>
      <w:r>
        <w:rPr>
          <w:rFonts w:ascii="微软雅黑" w:hAnsi="微软雅黑" w:eastAsia="微软雅黑"/>
          <w:color w:val="000000"/>
          <w:sz w:val="18"/>
          <w:szCs w:val="18"/>
        </w:rPr>
        <w:fldChar w:fldCharType="end"/>
      </w:r>
      <w:r>
        <w:rPr>
          <w:rFonts w:ascii="微软雅黑" w:hAnsi="微软雅黑" w:eastAsia="微软雅黑"/>
          <w:color w:val="000000"/>
          <w:sz w:val="18"/>
          <w:szCs w:val="18"/>
        </w:rPr>
        <w:fldChar w:fldCharType="end"/>
      </w:r>
      <w:r>
        <w:rPr>
          <w:rFonts w:ascii="微软雅黑" w:hAnsi="微软雅黑" w:eastAsia="微软雅黑"/>
          <w:color w:val="000000"/>
          <w:sz w:val="18"/>
          <w:szCs w:val="18"/>
        </w:rPr>
        <w:fldChar w:fldCharType="end"/>
      </w:r>
      <w:r>
        <w:rPr>
          <w:rFonts w:ascii="微软雅黑" w:hAnsi="微软雅黑" w:eastAsia="微软雅黑"/>
          <w:color w:val="000000"/>
          <w:sz w:val="18"/>
          <w:szCs w:val="18"/>
        </w:rPr>
        <w:fldChar w:fldCharType="begin"/>
      </w:r>
      <w:r>
        <w:rPr>
          <w:rFonts w:ascii="微软雅黑" w:hAnsi="微软雅黑" w:eastAsia="微软雅黑"/>
          <w:color w:val="000000"/>
          <w:sz w:val="18"/>
          <w:szCs w:val="18"/>
        </w:rPr>
        <w:instrText xml:space="preserve"> INCLUDEPICTURE  "https://www.tdx.com.cn/products/helpfile/tdxw/chm/%E7%AC%AC%E4%BA%94%E7%AB%A0  %E6%B3%A8%E5%86%8C%E5%8F%8A%E6%B8%B8%E5%AE%A2%E7%99%BB%E9%99%86/5-3/5.png" \* MERGEFORMATINET </w:instrText>
      </w:r>
      <w:r>
        <w:rPr>
          <w:rFonts w:ascii="微软雅黑" w:hAnsi="微软雅黑" w:eastAsia="微软雅黑"/>
          <w:color w:val="000000"/>
          <w:sz w:val="18"/>
          <w:szCs w:val="18"/>
        </w:rPr>
        <w:fldChar w:fldCharType="separate"/>
      </w:r>
      <w:r>
        <w:rPr>
          <w:rFonts w:ascii="微软雅黑" w:hAnsi="微软雅黑" w:eastAsia="微软雅黑"/>
          <w:color w:val="000000"/>
          <w:sz w:val="18"/>
          <w:szCs w:val="18"/>
        </w:rPr>
        <w:fldChar w:fldCharType="begin"/>
      </w:r>
      <w:r>
        <w:rPr>
          <w:rFonts w:ascii="微软雅黑" w:hAnsi="微软雅黑" w:eastAsia="微软雅黑"/>
          <w:color w:val="000000"/>
          <w:sz w:val="18"/>
          <w:szCs w:val="18"/>
        </w:rPr>
        <w:instrText xml:space="preserve"> INCLUDEPICTURE  "https://www.tdx.com.cn/products/helpfile/tdxw/chm/%E7%AC%AC%E4%BA%94%E7%AB%A0  %E6%B3%A8%E5%86%8C%E5%8F%8A%E6%B8%B8%E5%AE%A2%E7%99%BB%E9%99%86/5-3/5.png" \* MERGEFORMATINET </w:instrText>
      </w:r>
      <w:r>
        <w:rPr>
          <w:rFonts w:ascii="微软雅黑" w:hAnsi="微软雅黑" w:eastAsia="微软雅黑"/>
          <w:color w:val="000000"/>
          <w:sz w:val="18"/>
          <w:szCs w:val="18"/>
        </w:rPr>
        <w:fldChar w:fldCharType="separate"/>
      </w:r>
      <w:r>
        <w:rPr>
          <w:rFonts w:ascii="微软雅黑" w:hAnsi="微软雅黑" w:eastAsia="微软雅黑"/>
          <w:color w:val="000000"/>
          <w:sz w:val="18"/>
          <w:szCs w:val="18"/>
        </w:rPr>
        <w:fldChar w:fldCharType="begin"/>
      </w:r>
      <w:r>
        <w:rPr>
          <w:rFonts w:ascii="微软雅黑" w:hAnsi="微软雅黑" w:eastAsia="微软雅黑"/>
          <w:color w:val="000000"/>
          <w:sz w:val="18"/>
          <w:szCs w:val="18"/>
        </w:rPr>
        <w:instrText xml:space="preserve"> INCLUDEPICTURE  "https://www.tdx.com.cn/products/helpfile/tdxw/chm/%E7%AC%AC%E4%BA%94%E7%AB%A0  %E6%B3%A8%E5%86%8C%E5%8F%8A%E6%B8%B8%E5%AE%A2%E7%99%BB%E9%99%86/5-3/5.png" \* MERGEFORMATINET </w:instrText>
      </w:r>
      <w:r>
        <w:rPr>
          <w:rFonts w:ascii="微软雅黑" w:hAnsi="微软雅黑" w:eastAsia="微软雅黑"/>
          <w:color w:val="000000"/>
          <w:sz w:val="18"/>
          <w:szCs w:val="18"/>
        </w:rPr>
        <w:fldChar w:fldCharType="separate"/>
      </w:r>
      <w:r>
        <w:rPr>
          <w:rFonts w:ascii="微软雅黑" w:hAnsi="微软雅黑" w:eastAsia="微软雅黑"/>
          <w:color w:val="000000"/>
          <w:sz w:val="18"/>
          <w:szCs w:val="18"/>
        </w:rPr>
        <w:fldChar w:fldCharType="begin"/>
      </w:r>
      <w:r>
        <w:rPr>
          <w:rFonts w:ascii="微软雅黑" w:hAnsi="微软雅黑" w:eastAsia="微软雅黑"/>
          <w:color w:val="000000"/>
          <w:sz w:val="18"/>
          <w:szCs w:val="18"/>
        </w:rPr>
        <w:instrText xml:space="preserve"> INCLUDEPICTURE  "https://www.tdx.com.cn/products/helpfile/tdxw/chm/%E7%AC%AC%E4%BA%94%E7%AB%A0  %E6%B3%A8%E5%86%8C%E5%8F%8A%E6%B8%B8%E5%AE%A2%E7%99%BB%E9%99%86/5-3/5.png" \* MERGEFORMATINET </w:instrText>
      </w:r>
      <w:r>
        <w:rPr>
          <w:rFonts w:ascii="微软雅黑" w:hAnsi="微软雅黑" w:eastAsia="微软雅黑"/>
          <w:color w:val="000000"/>
          <w:sz w:val="18"/>
          <w:szCs w:val="18"/>
        </w:rPr>
        <w:fldChar w:fldCharType="separate"/>
      </w:r>
      <w:r>
        <w:rPr>
          <w:rFonts w:ascii="微软雅黑" w:hAnsi="微软雅黑" w:eastAsia="微软雅黑"/>
          <w:color w:val="000000"/>
          <w:sz w:val="18"/>
          <w:szCs w:val="18"/>
        </w:rPr>
        <w:drawing>
          <wp:inline distT="0" distB="0" distL="114300" distR="114300">
            <wp:extent cx="2066925" cy="3028950"/>
            <wp:effectExtent l="0" t="0" r="9525" b="0"/>
            <wp:docPr id="443" name="图片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图片 443"/>
                    <pic:cNvPicPr>
                      <a:picLocks noChangeAspect="1"/>
                    </pic:cNvPicPr>
                  </pic:nvPicPr>
                  <pic:blipFill>
                    <a:blip r:embed="rId838" r:link="rId839"/>
                    <a:stretch>
                      <a:fillRect/>
                    </a:stretch>
                  </pic:blipFill>
                  <pic:spPr>
                    <a:xfrm>
                      <a:off x="0" y="0"/>
                      <a:ext cx="2066925" cy="3028950"/>
                    </a:xfrm>
                    <a:prstGeom prst="rect">
                      <a:avLst/>
                    </a:prstGeom>
                    <a:noFill/>
                    <a:ln>
                      <a:noFill/>
                    </a:ln>
                  </pic:spPr>
                </pic:pic>
              </a:graphicData>
            </a:graphic>
          </wp:inline>
        </w:drawing>
      </w:r>
      <w:r>
        <w:rPr>
          <w:rFonts w:ascii="微软雅黑" w:hAnsi="微软雅黑" w:eastAsia="微软雅黑"/>
          <w:color w:val="000000"/>
          <w:sz w:val="18"/>
          <w:szCs w:val="18"/>
        </w:rPr>
        <w:fldChar w:fldCharType="end"/>
      </w:r>
      <w:r>
        <w:rPr>
          <w:rFonts w:ascii="微软雅黑" w:hAnsi="微软雅黑" w:eastAsia="微软雅黑"/>
          <w:color w:val="000000"/>
          <w:sz w:val="18"/>
          <w:szCs w:val="18"/>
        </w:rPr>
        <w:fldChar w:fldCharType="end"/>
      </w:r>
      <w:r>
        <w:rPr>
          <w:rFonts w:ascii="微软雅黑" w:hAnsi="微软雅黑" w:eastAsia="微软雅黑"/>
          <w:color w:val="000000"/>
          <w:sz w:val="18"/>
          <w:szCs w:val="18"/>
        </w:rPr>
        <w:fldChar w:fldCharType="end"/>
      </w:r>
      <w:r>
        <w:rPr>
          <w:rFonts w:ascii="微软雅黑" w:hAnsi="微软雅黑" w:eastAsia="微软雅黑"/>
          <w:color w:val="000000"/>
          <w:sz w:val="18"/>
          <w:szCs w:val="18"/>
        </w:rPr>
        <w:fldChar w:fldCharType="end"/>
      </w:r>
    </w:p>
    <w:p>
      <w:pPr>
        <w:pStyle w:val="3"/>
      </w:pPr>
      <w:bookmarkStart w:id="61" w:name="_Toc90646181"/>
      <w:r>
        <w:rPr>
          <w:rFonts w:hint="eastAsia"/>
        </w:rPr>
        <w:t>区间统计</w:t>
      </w:r>
      <w:bookmarkEnd w:id="61"/>
    </w:p>
    <w:p>
      <w:pPr>
        <w:pStyle w:val="34"/>
        <w:rPr>
          <w:kern w:val="0"/>
        </w:rPr>
      </w:pPr>
      <w:r>
        <w:rPr>
          <w:rFonts w:hint="eastAsia"/>
          <w:kern w:val="0"/>
        </w:rPr>
        <w:t>在原有的区间统计基础上增加市场数据、区间波动统计和资金情况，用于统计一段时间区间内证券的表现情况。</w:t>
      </w:r>
    </w:p>
    <w:p>
      <w:pPr>
        <w:pStyle w:val="34"/>
        <w:rPr>
          <w:kern w:val="0"/>
        </w:rPr>
      </w:pPr>
    </w:p>
    <w:p>
      <w:pPr>
        <w:pStyle w:val="34"/>
        <w:ind w:firstLine="482"/>
        <w:rPr>
          <w:kern w:val="0"/>
        </w:rPr>
      </w:pPr>
      <w:r>
        <w:rPr>
          <w:rFonts w:hint="eastAsia"/>
          <w:b/>
          <w:bCs/>
          <w:color w:val="FF0000"/>
          <w:kern w:val="0"/>
        </w:rPr>
        <w:t>市场数据：</w:t>
      </w:r>
      <w:r>
        <w:rPr>
          <w:rFonts w:hint="eastAsia"/>
          <w:kern w:val="0"/>
        </w:rPr>
        <w:t>可以查看个股相对应的陆股通净买额及融资净买额； </w:t>
      </w:r>
    </w:p>
    <w:p>
      <w:pPr>
        <w:pStyle w:val="34"/>
        <w:ind w:firstLine="482"/>
        <w:rPr>
          <w:kern w:val="0"/>
        </w:rPr>
      </w:pPr>
      <w:r>
        <w:rPr>
          <w:rFonts w:hint="eastAsia"/>
          <w:b/>
          <w:bCs/>
          <w:color w:val="FF0000"/>
          <w:kern w:val="0"/>
        </w:rPr>
        <w:t>区间波动：</w:t>
      </w:r>
      <w:r>
        <w:rPr>
          <w:rFonts w:hint="eastAsia"/>
          <w:kern w:val="0"/>
        </w:rPr>
        <w:t>可以查看个股相对应的大盘指数、行业指数的涨跌幅表现和贝塔系数等，了解个股区间相对大盘的表现；统计证券区间的日均成交量、日均成交额、区间波动率和区间形态，用户可直接知晓证券的区间活跃性、波动率和股票形态情况； </w:t>
      </w:r>
    </w:p>
    <w:p>
      <w:pPr>
        <w:pStyle w:val="34"/>
        <w:ind w:firstLine="482"/>
        <w:rPr>
          <w:kern w:val="0"/>
        </w:rPr>
      </w:pPr>
      <w:r>
        <w:rPr>
          <w:rFonts w:hint="eastAsia"/>
          <w:b/>
          <w:bCs/>
          <w:color w:val="FF0000"/>
          <w:kern w:val="0"/>
        </w:rPr>
        <w:t>资金情况：</w:t>
      </w:r>
      <w:r>
        <w:rPr>
          <w:rFonts w:hint="eastAsia"/>
          <w:kern w:val="0"/>
        </w:rPr>
        <w:t>统计证券区间的超大单、大单和中单的买入量、卖出量、净量和净额，清晰明了主力资金的参与情况。</w:t>
      </w:r>
    </w:p>
    <w:p>
      <w:pPr>
        <w:widowControl/>
        <w:spacing w:before="100" w:beforeAutospacing="1" w:after="100" w:afterAutospacing="1" w:line="240" w:lineRule="auto"/>
        <w:jc w:val="left"/>
        <w:rPr>
          <w:rFonts w:ascii="微软雅黑" w:hAnsi="微软雅黑" w:eastAsia="微软雅黑" w:cs="宋体"/>
          <w:color w:val="000000"/>
          <w:kern w:val="0"/>
          <w:sz w:val="18"/>
          <w:szCs w:val="18"/>
        </w:rPr>
      </w:pPr>
      <w:r>
        <w:rPr>
          <w:rFonts w:ascii="微软雅黑" w:hAnsi="微软雅黑" w:eastAsia="微软雅黑" w:cs="宋体"/>
          <w:color w:val="000000"/>
          <w:kern w:val="0"/>
          <w:sz w:val="18"/>
          <w:szCs w:val="18"/>
        </w:rPr>
        <w:fldChar w:fldCharType="begin"/>
      </w:r>
      <w:r>
        <w:rPr>
          <w:rFonts w:ascii="微软雅黑" w:hAnsi="微软雅黑" w:eastAsia="微软雅黑" w:cs="宋体"/>
          <w:color w:val="000000"/>
          <w:kern w:val="0"/>
          <w:sz w:val="18"/>
          <w:szCs w:val="18"/>
        </w:rPr>
        <w:instrText xml:space="preserve"> INCLUDEPICTURE  "https://www.tdx.com.cn/products/helpfile/tdxw/chm/%E7%AC%AC%E4%BA%94%E7%AB%A0  %E6%B3%A8%E5%86%8C%E5%8F%8A%E6%B8%B8%E5%AE%A2%E7%99%BB%E9%99%86/5-4/1.png" \* MERGEFORMATINET </w:instrText>
      </w:r>
      <w:r>
        <w:rPr>
          <w:rFonts w:ascii="微软雅黑" w:hAnsi="微软雅黑" w:eastAsia="微软雅黑" w:cs="宋体"/>
          <w:color w:val="000000"/>
          <w:kern w:val="0"/>
          <w:sz w:val="18"/>
          <w:szCs w:val="18"/>
        </w:rPr>
        <w:fldChar w:fldCharType="separate"/>
      </w:r>
      <w:r>
        <w:rPr>
          <w:rFonts w:ascii="微软雅黑" w:hAnsi="微软雅黑" w:eastAsia="微软雅黑" w:cs="宋体"/>
          <w:color w:val="000000"/>
          <w:kern w:val="0"/>
          <w:sz w:val="18"/>
          <w:szCs w:val="18"/>
        </w:rPr>
        <w:fldChar w:fldCharType="begin"/>
      </w:r>
      <w:r>
        <w:rPr>
          <w:rFonts w:ascii="微软雅黑" w:hAnsi="微软雅黑" w:eastAsia="微软雅黑" w:cs="宋体"/>
          <w:color w:val="000000"/>
          <w:kern w:val="0"/>
          <w:sz w:val="18"/>
          <w:szCs w:val="18"/>
        </w:rPr>
        <w:instrText xml:space="preserve"> INCLUDEPICTURE  "https://www.tdx.com.cn/products/helpfile/tdxw/chm/%E7%AC%AC%E4%BA%94%E7%AB%A0  %E6%B3%A8%E5%86%8C%E5%8F%8A%E6%B8%B8%E5%AE%A2%E7%99%BB%E9%99%86/5-4/1.png" \* MERGEFORMATINET </w:instrText>
      </w:r>
      <w:r>
        <w:rPr>
          <w:rFonts w:ascii="微软雅黑" w:hAnsi="微软雅黑" w:eastAsia="微软雅黑" w:cs="宋体"/>
          <w:color w:val="000000"/>
          <w:kern w:val="0"/>
          <w:sz w:val="18"/>
          <w:szCs w:val="18"/>
        </w:rPr>
        <w:fldChar w:fldCharType="separate"/>
      </w:r>
      <w:r>
        <w:rPr>
          <w:rFonts w:ascii="微软雅黑" w:hAnsi="微软雅黑" w:eastAsia="微软雅黑" w:cs="宋体"/>
          <w:color w:val="000000"/>
          <w:kern w:val="0"/>
          <w:sz w:val="18"/>
          <w:szCs w:val="18"/>
        </w:rPr>
        <w:fldChar w:fldCharType="begin"/>
      </w:r>
      <w:r>
        <w:rPr>
          <w:rFonts w:ascii="微软雅黑" w:hAnsi="微软雅黑" w:eastAsia="微软雅黑" w:cs="宋体"/>
          <w:color w:val="000000"/>
          <w:kern w:val="0"/>
          <w:sz w:val="18"/>
          <w:szCs w:val="18"/>
        </w:rPr>
        <w:instrText xml:space="preserve"> INCLUDEPICTURE  "https://www.tdx.com.cn/products/helpfile/tdxw/chm/%E7%AC%AC%E4%BA%94%E7%AB%A0  %E6%B3%A8%E5%86%8C%E5%8F%8A%E6%B8%B8%E5%AE%A2%E7%99%BB%E9%99%86/5-4/1.png" \* MERGEFORMATINET </w:instrText>
      </w:r>
      <w:r>
        <w:rPr>
          <w:rFonts w:ascii="微软雅黑" w:hAnsi="微软雅黑" w:eastAsia="微软雅黑" w:cs="宋体"/>
          <w:color w:val="000000"/>
          <w:kern w:val="0"/>
          <w:sz w:val="18"/>
          <w:szCs w:val="18"/>
        </w:rPr>
        <w:fldChar w:fldCharType="separate"/>
      </w:r>
      <w:r>
        <w:rPr>
          <w:rFonts w:ascii="微软雅黑" w:hAnsi="微软雅黑" w:eastAsia="微软雅黑" w:cs="宋体"/>
          <w:color w:val="000000"/>
          <w:kern w:val="0"/>
          <w:sz w:val="18"/>
          <w:szCs w:val="18"/>
        </w:rPr>
        <w:fldChar w:fldCharType="begin"/>
      </w:r>
      <w:r>
        <w:rPr>
          <w:rFonts w:ascii="微软雅黑" w:hAnsi="微软雅黑" w:eastAsia="微软雅黑" w:cs="宋体"/>
          <w:color w:val="000000"/>
          <w:kern w:val="0"/>
          <w:sz w:val="18"/>
          <w:szCs w:val="18"/>
        </w:rPr>
        <w:instrText xml:space="preserve"> INCLUDEPICTURE  "https://www.tdx.com.cn/products/helpfile/tdxw/chm/%E7%AC%AC%E4%BA%94%E7%AB%A0  %E6%B3%A8%E5%86%8C%E5%8F%8A%E6%B8%B8%E5%AE%A2%E7%99%BB%E9%99%86/5-4/1.png" \* MERGEFORMATINET </w:instrText>
      </w:r>
      <w:r>
        <w:rPr>
          <w:rFonts w:ascii="微软雅黑" w:hAnsi="微软雅黑" w:eastAsia="微软雅黑" w:cs="宋体"/>
          <w:color w:val="000000"/>
          <w:kern w:val="0"/>
          <w:sz w:val="18"/>
          <w:szCs w:val="18"/>
        </w:rPr>
        <w:fldChar w:fldCharType="separate"/>
      </w:r>
      <w:r>
        <w:rPr>
          <w:rFonts w:ascii="微软雅黑" w:hAnsi="微软雅黑" w:eastAsia="微软雅黑" w:cs="宋体"/>
          <w:color w:val="000000"/>
          <w:kern w:val="0"/>
          <w:sz w:val="18"/>
          <w:szCs w:val="18"/>
        </w:rPr>
        <w:drawing>
          <wp:inline distT="0" distB="0" distL="114300" distR="114300">
            <wp:extent cx="6915150" cy="4248150"/>
            <wp:effectExtent l="0" t="0" r="0" b="0"/>
            <wp:docPr id="444" name="图片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图片 444"/>
                    <pic:cNvPicPr>
                      <a:picLocks noChangeAspect="1"/>
                    </pic:cNvPicPr>
                  </pic:nvPicPr>
                  <pic:blipFill>
                    <a:blip r:embed="rId840" r:link="rId841"/>
                    <a:stretch>
                      <a:fillRect/>
                    </a:stretch>
                  </pic:blipFill>
                  <pic:spPr>
                    <a:xfrm>
                      <a:off x="0" y="0"/>
                      <a:ext cx="6915150" cy="4248150"/>
                    </a:xfrm>
                    <a:prstGeom prst="rect">
                      <a:avLst/>
                    </a:prstGeom>
                    <a:noFill/>
                    <a:ln>
                      <a:noFill/>
                    </a:ln>
                  </pic:spPr>
                </pic:pic>
              </a:graphicData>
            </a:graphic>
          </wp:inline>
        </w:drawing>
      </w:r>
      <w:r>
        <w:rPr>
          <w:rFonts w:ascii="微软雅黑" w:hAnsi="微软雅黑" w:eastAsia="微软雅黑" w:cs="宋体"/>
          <w:color w:val="000000"/>
          <w:kern w:val="0"/>
          <w:sz w:val="18"/>
          <w:szCs w:val="18"/>
        </w:rPr>
        <w:fldChar w:fldCharType="end"/>
      </w:r>
      <w:r>
        <w:rPr>
          <w:rFonts w:ascii="微软雅黑" w:hAnsi="微软雅黑" w:eastAsia="微软雅黑" w:cs="宋体"/>
          <w:color w:val="000000"/>
          <w:kern w:val="0"/>
          <w:sz w:val="18"/>
          <w:szCs w:val="18"/>
        </w:rPr>
        <w:fldChar w:fldCharType="end"/>
      </w:r>
      <w:r>
        <w:rPr>
          <w:rFonts w:ascii="微软雅黑" w:hAnsi="微软雅黑" w:eastAsia="微软雅黑" w:cs="宋体"/>
          <w:color w:val="000000"/>
          <w:kern w:val="0"/>
          <w:sz w:val="18"/>
          <w:szCs w:val="18"/>
        </w:rPr>
        <w:fldChar w:fldCharType="end"/>
      </w:r>
      <w:r>
        <w:rPr>
          <w:rFonts w:ascii="微软雅黑" w:hAnsi="微软雅黑" w:eastAsia="微软雅黑" w:cs="宋体"/>
          <w:color w:val="000000"/>
          <w:kern w:val="0"/>
          <w:sz w:val="18"/>
          <w:szCs w:val="18"/>
        </w:rPr>
        <w:fldChar w:fldCharType="end"/>
      </w:r>
    </w:p>
    <w:p>
      <w:pPr>
        <w:pStyle w:val="3"/>
      </w:pPr>
      <w:bookmarkStart w:id="62" w:name="_Toc90646182"/>
      <w:r>
        <w:rPr>
          <w:rFonts w:hint="eastAsia"/>
        </w:rPr>
        <w:t>同步功能</w:t>
      </w:r>
      <w:bookmarkEnd w:id="62"/>
    </w:p>
    <w:p>
      <w:pPr>
        <w:pStyle w:val="34"/>
        <w:rPr>
          <w:kern w:val="0"/>
        </w:rPr>
      </w:pPr>
      <w:r>
        <w:rPr>
          <w:rFonts w:hint="eastAsia"/>
          <w:kern w:val="0"/>
        </w:rPr>
        <w:t>打开方式：选项——个性化数据同步</w:t>
      </w:r>
    </w:p>
    <w:p>
      <w:pPr>
        <w:pStyle w:val="34"/>
        <w:rPr>
          <w:kern w:val="0"/>
        </w:rPr>
      </w:pPr>
      <w:r>
        <w:rPr>
          <w:kern w:val="0"/>
        </w:rPr>
        <w:fldChar w:fldCharType="begin"/>
      </w:r>
      <w:r>
        <w:rPr>
          <w:kern w:val="0"/>
        </w:rPr>
        <w:instrText xml:space="preserve"> INCLUDEPICTURE  "https://www.tdx.com.cn/products/helpfile/tdxw/chm/%E7%AC%AC%E4%BA%94%E7%AB%A0  %E6%B3%A8%E5%86%8C%E5%8F%8A%E6%B8%B8%E5%AE%A2%E7%99%BB%E9%99%86/5-5/1.png" \* MERGEFORMATINET </w:instrText>
      </w:r>
      <w:r>
        <w:rPr>
          <w:kern w:val="0"/>
        </w:rPr>
        <w:fldChar w:fldCharType="separate"/>
      </w:r>
      <w:r>
        <w:rPr>
          <w:kern w:val="0"/>
        </w:rPr>
        <w:fldChar w:fldCharType="begin"/>
      </w:r>
      <w:r>
        <w:rPr>
          <w:kern w:val="0"/>
        </w:rPr>
        <w:instrText xml:space="preserve"> INCLUDEPICTURE  "https://www.tdx.com.cn/products/helpfile/tdxw/chm/%E7%AC%AC%E4%BA%94%E7%AB%A0  %E6%B3%A8%E5%86%8C%E5%8F%8A%E6%B8%B8%E5%AE%A2%E7%99%BB%E9%99%86/5-5/1.png" \* MERGEFORMATINET </w:instrText>
      </w:r>
      <w:r>
        <w:rPr>
          <w:kern w:val="0"/>
        </w:rPr>
        <w:fldChar w:fldCharType="separate"/>
      </w:r>
      <w:r>
        <w:rPr>
          <w:kern w:val="0"/>
        </w:rPr>
        <w:fldChar w:fldCharType="begin"/>
      </w:r>
      <w:r>
        <w:rPr>
          <w:kern w:val="0"/>
        </w:rPr>
        <w:instrText xml:space="preserve"> INCLUDEPICTURE  "https://www.tdx.com.cn/products/helpfile/tdxw/chm/%E7%AC%AC%E4%BA%94%E7%AB%A0  %E6%B3%A8%E5%86%8C%E5%8F%8A%E6%B8%B8%E5%AE%A2%E7%99%BB%E9%99%86/5-5/1.png" \* MERGEFORMATINET </w:instrText>
      </w:r>
      <w:r>
        <w:rPr>
          <w:kern w:val="0"/>
        </w:rPr>
        <w:fldChar w:fldCharType="separate"/>
      </w:r>
      <w:r>
        <w:rPr>
          <w:kern w:val="0"/>
        </w:rPr>
        <w:fldChar w:fldCharType="begin"/>
      </w:r>
      <w:r>
        <w:rPr>
          <w:kern w:val="0"/>
        </w:rPr>
        <w:instrText xml:space="preserve"> INCLUDEPICTURE  "https://www.tdx.com.cn/products/helpfile/tdxw/chm/%E7%AC%AC%E4%BA%94%E7%AB%A0  %E6%B3%A8%E5%86%8C%E5%8F%8A%E6%B8%B8%E5%AE%A2%E7%99%BB%E9%99%86/5-5/1.png" \* MERGEFORMATINET </w:instrText>
      </w:r>
      <w:r>
        <w:rPr>
          <w:kern w:val="0"/>
        </w:rPr>
        <w:fldChar w:fldCharType="separate"/>
      </w:r>
      <w:r>
        <w:rPr>
          <w:kern w:val="0"/>
        </w:rPr>
        <w:drawing>
          <wp:inline distT="0" distB="0" distL="114300" distR="114300">
            <wp:extent cx="4286250" cy="3048000"/>
            <wp:effectExtent l="0" t="0" r="0" b="0"/>
            <wp:docPr id="445" name="图片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图片 445"/>
                    <pic:cNvPicPr>
                      <a:picLocks noChangeAspect="1"/>
                    </pic:cNvPicPr>
                  </pic:nvPicPr>
                  <pic:blipFill>
                    <a:blip r:embed="rId842" r:link="rId843"/>
                    <a:stretch>
                      <a:fillRect/>
                    </a:stretch>
                  </pic:blipFill>
                  <pic:spPr>
                    <a:xfrm>
                      <a:off x="0" y="0"/>
                      <a:ext cx="4286250" cy="3048000"/>
                    </a:xfrm>
                    <a:prstGeom prst="rect">
                      <a:avLst/>
                    </a:prstGeom>
                    <a:noFill/>
                    <a:ln>
                      <a:noFill/>
                    </a:ln>
                  </pic:spPr>
                </pic:pic>
              </a:graphicData>
            </a:graphic>
          </wp:inline>
        </w:drawing>
      </w:r>
      <w:r>
        <w:rPr>
          <w:kern w:val="0"/>
        </w:rPr>
        <w:fldChar w:fldCharType="end"/>
      </w:r>
      <w:r>
        <w:rPr>
          <w:kern w:val="0"/>
        </w:rPr>
        <w:fldChar w:fldCharType="end"/>
      </w:r>
      <w:r>
        <w:rPr>
          <w:kern w:val="0"/>
        </w:rPr>
        <w:fldChar w:fldCharType="end"/>
      </w:r>
      <w:r>
        <w:rPr>
          <w:kern w:val="0"/>
        </w:rPr>
        <w:fldChar w:fldCharType="end"/>
      </w:r>
    </w:p>
    <w:p>
      <w:pPr>
        <w:pStyle w:val="34"/>
        <w:rPr>
          <w:kern w:val="0"/>
        </w:rPr>
      </w:pPr>
      <w:r>
        <w:rPr>
          <w:rFonts w:hint="eastAsia"/>
          <w:kern w:val="0"/>
        </w:rPr>
        <w:t> </w:t>
      </w:r>
    </w:p>
    <w:p>
      <w:pPr>
        <w:pStyle w:val="34"/>
        <w:rPr>
          <w:kern w:val="0"/>
        </w:rPr>
      </w:pPr>
      <w:r>
        <w:rPr>
          <w:rFonts w:hint="eastAsia"/>
          <w:kern w:val="0"/>
        </w:rPr>
        <w:t>自选与自定义板块的同步：用注册手机号和密码登软件——个性化数据同步——上传；另一个电脑终端登同一手机号和密码后——个性化数据同步——下载；（</w:t>
      </w:r>
      <w:r>
        <w:rPr>
          <w:rFonts w:hint="eastAsia"/>
          <w:b/>
          <w:bCs/>
          <w:kern w:val="0"/>
        </w:rPr>
        <w:t>另：若是沪深收费，可开启自选股及板块的自动同步</w:t>
      </w:r>
      <w:r>
        <w:rPr>
          <w:rFonts w:hint="eastAsia"/>
          <w:kern w:val="0"/>
        </w:rPr>
        <w:t>）</w:t>
      </w:r>
    </w:p>
    <w:p>
      <w:pPr>
        <w:pStyle w:val="34"/>
        <w:rPr>
          <w:kern w:val="0"/>
        </w:rPr>
      </w:pPr>
      <w:r>
        <w:rPr>
          <w:rFonts w:hint="eastAsia"/>
          <w:kern w:val="0"/>
        </w:rPr>
        <w:t>公式同步：公式管理器——新建——勾选云公式——确定保存； 另一个电脑终端登同一手机号和密码后——公式管理器——同步与分享——下载云端公式。</w:t>
      </w:r>
    </w:p>
    <w:p>
      <w:pPr>
        <w:pStyle w:val="34"/>
        <w:ind w:firstLine="482"/>
        <w:rPr>
          <w:b/>
          <w:bCs/>
          <w:kern w:val="0"/>
        </w:rPr>
      </w:pPr>
      <w:r>
        <w:rPr>
          <w:rFonts w:hint="eastAsia"/>
          <w:b/>
          <w:bCs/>
          <w:kern w:val="0"/>
        </w:rPr>
        <w:t>注：</w:t>
      </w:r>
    </w:p>
    <w:p>
      <w:pPr>
        <w:pStyle w:val="34"/>
        <w:rPr>
          <w:kern w:val="0"/>
        </w:rPr>
      </w:pPr>
      <w:r>
        <w:rPr>
          <w:rFonts w:hint="eastAsia"/>
          <w:kern w:val="0"/>
        </w:rPr>
        <w:t>1、请不要添加过多的自定义分组，分组数量限制为150个；</w:t>
      </w:r>
    </w:p>
    <w:p>
      <w:pPr>
        <w:pStyle w:val="34"/>
        <w:rPr>
          <w:kern w:val="0"/>
        </w:rPr>
      </w:pPr>
      <w:r>
        <w:rPr>
          <w:rFonts w:hint="eastAsia"/>
          <w:kern w:val="0"/>
        </w:rPr>
        <w:t>2、每个分组内成分股的数量限制为800支；</w:t>
      </w:r>
    </w:p>
    <w:p>
      <w:pPr>
        <w:pStyle w:val="34"/>
        <w:rPr>
          <w:kern w:val="0"/>
        </w:rPr>
      </w:pPr>
      <w:r>
        <w:rPr>
          <w:rFonts w:hint="eastAsia"/>
          <w:kern w:val="0"/>
        </w:rPr>
        <w:t>3、指标公式同步时，公式不能加密。</w:t>
      </w:r>
    </w:p>
    <w:p>
      <w:pPr>
        <w:pStyle w:val="3"/>
      </w:pPr>
      <w:bookmarkStart w:id="63" w:name="_Toc90646183"/>
      <w:r>
        <w:rPr>
          <w:rFonts w:hint="eastAsia"/>
        </w:rPr>
        <w:t>半自动VIP交易</w:t>
      </w:r>
      <w:bookmarkEnd w:id="63"/>
    </w:p>
    <w:p>
      <w:pPr>
        <w:pStyle w:val="34"/>
      </w:pPr>
      <w:r>
        <w:rPr>
          <w:rFonts w:hint="eastAsia"/>
        </w:rPr>
        <w:t>打开方式：交易——内嵌闪电交易</w:t>
      </w:r>
    </w:p>
    <w:p>
      <w:pPr>
        <w:pStyle w:val="34"/>
      </w:pPr>
      <w:r>
        <w:rPr>
          <w:rFonts w:hint="eastAsia"/>
        </w:rPr>
        <w:t>登陆内嵌交易后，在当日分时图上会根据当天交易信息显示BS标识。</w:t>
      </w:r>
    </w:p>
    <w:p>
      <w:pPr>
        <w:pStyle w:val="34"/>
      </w:pPr>
      <w:r>
        <w:rPr>
          <w:rFonts w:hint="eastAsia"/>
        </w:rPr>
        <w:t>注：此功能需手动进行刷新。</w:t>
      </w:r>
    </w:p>
    <w:p>
      <w:pPr>
        <w:pStyle w:val="34"/>
      </w:pPr>
      <w:r>
        <w:rPr>
          <w:rFonts w:hint="eastAsia"/>
        </w:rPr>
        <w:t>1、当委托单成交或撤单后，需在交易界面点击"当日成交"或"当日委托"，则当日分时图上的标识会有相应颜色变化或消失；</w:t>
      </w:r>
    </w:p>
    <w:p>
      <w:pPr>
        <w:pStyle w:val="34"/>
      </w:pPr>
      <w:r>
        <w:rPr>
          <w:rFonts w:hint="eastAsia"/>
        </w:rPr>
        <w:t>2、如不需要当日分时图显示交易标识"B"或"S"，需进入分时图——左上角点BS图标——选择不显示盘面下单标识；</w:t>
      </w:r>
    </w:p>
    <w:p>
      <w:pPr>
        <w:pStyle w:val="34"/>
      </w:pPr>
      <w:r>
        <w:rPr>
          <w:rFonts w:hint="eastAsia"/>
        </w:rPr>
        <w:t>3、如不需要显示持仓成本线或成本价，需进入分时图——左上角点BS图标——不勾选显示当前账户的持仓成本线或成本价</w:t>
      </w:r>
    </w:p>
    <w:p>
      <w:pPr>
        <w:pStyle w:val="34"/>
      </w:pPr>
      <w:r>
        <w:fldChar w:fldCharType="begin"/>
      </w:r>
      <w:r>
        <w:instrText xml:space="preserve"> INCLUDEPICTURE  "https://www.tdx.com.cn/products/helpfile/tdxw/chm/%E7%AC%AC%E4%BA%94%E7%AB%A0  %E6%B3%A8%E5%86%8C%E5%8F%8A%E6%B8%B8%E5%AE%A2%E7%99%BB%E9%99%86/5-6/1.png" \* MERGEFORMATINET </w:instrText>
      </w:r>
      <w:r>
        <w:fldChar w:fldCharType="separate"/>
      </w:r>
      <w:r>
        <w:fldChar w:fldCharType="begin"/>
      </w:r>
      <w:r>
        <w:instrText xml:space="preserve"> INCLUDEPICTURE  "https://www.tdx.com.cn/products/helpfile/tdxw/chm/%E7%AC%AC%E4%BA%94%E7%AB%A0  %E6%B3%A8%E5%86%8C%E5%8F%8A%E6%B8%B8%E5%AE%A2%E7%99%BB%E9%99%86/5-6/1.png" \* MERGEFORMATINET </w:instrText>
      </w:r>
      <w:r>
        <w:fldChar w:fldCharType="separate"/>
      </w:r>
      <w:r>
        <w:fldChar w:fldCharType="begin"/>
      </w:r>
      <w:r>
        <w:instrText xml:space="preserve"> INCLUDEPICTURE  "https://www.tdx.com.cn/products/helpfile/tdxw/chm/%E7%AC%AC%E4%BA%94%E7%AB%A0  %E6%B3%A8%E5%86%8C%E5%8F%8A%E6%B8%B8%E5%AE%A2%E7%99%BB%E9%99%86/5-6/1.png" \* MERGEFORMATINET </w:instrText>
      </w:r>
      <w:r>
        <w:fldChar w:fldCharType="separate"/>
      </w:r>
      <w:r>
        <w:fldChar w:fldCharType="begin"/>
      </w:r>
      <w:r>
        <w:instrText xml:space="preserve"> INCLUDEPICTURE  "https://www.tdx.com.cn/products/helpfile/tdxw/chm/%E7%AC%AC%E4%BA%94%E7%AB%A0  %E6%B3%A8%E5%86%8C%E5%8F%8A%E6%B8%B8%E5%AE%A2%E7%99%BB%E9%99%86/5-6/1.png" \* MERGEFORMATINET </w:instrText>
      </w:r>
      <w:r>
        <w:fldChar w:fldCharType="separate"/>
      </w:r>
      <w:r>
        <w:drawing>
          <wp:inline distT="0" distB="0" distL="114300" distR="114300">
            <wp:extent cx="5762625" cy="4019550"/>
            <wp:effectExtent l="0" t="0" r="9525" b="0"/>
            <wp:docPr id="446" name="图片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图片 446"/>
                    <pic:cNvPicPr>
                      <a:picLocks noChangeAspect="1"/>
                    </pic:cNvPicPr>
                  </pic:nvPicPr>
                  <pic:blipFill>
                    <a:blip r:embed="rId844" r:link="rId845"/>
                    <a:stretch>
                      <a:fillRect/>
                    </a:stretch>
                  </pic:blipFill>
                  <pic:spPr>
                    <a:xfrm>
                      <a:off x="0" y="0"/>
                      <a:ext cx="5762625" cy="4019550"/>
                    </a:xfrm>
                    <a:prstGeom prst="rect">
                      <a:avLst/>
                    </a:prstGeom>
                    <a:noFill/>
                    <a:ln>
                      <a:noFill/>
                    </a:ln>
                  </pic:spPr>
                </pic:pic>
              </a:graphicData>
            </a:graphic>
          </wp:inline>
        </w:drawing>
      </w:r>
      <w:r>
        <w:fldChar w:fldCharType="end"/>
      </w:r>
      <w:r>
        <w:fldChar w:fldCharType="end"/>
      </w:r>
      <w:r>
        <w:fldChar w:fldCharType="end"/>
      </w:r>
      <w:r>
        <w:fldChar w:fldCharType="end"/>
      </w:r>
    </w:p>
    <w:p>
      <w:pPr>
        <w:pStyle w:val="34"/>
        <w:ind w:firstLine="482"/>
        <w:rPr>
          <w:b/>
          <w:bCs/>
        </w:rPr>
      </w:pPr>
      <w:r>
        <w:rPr>
          <w:rFonts w:hint="eastAsia"/>
          <w:b/>
          <w:bCs/>
        </w:rPr>
        <w:t>一键全撤：</w:t>
      </w:r>
    </w:p>
    <w:p>
      <w:pPr>
        <w:pStyle w:val="34"/>
      </w:pPr>
      <w:r>
        <w:rPr>
          <w:rFonts w:hint="eastAsia"/>
        </w:rPr>
        <w:t>客户若需要撤单，在使用24一键全撤的时候，若不需要弹出如下确认提示，</w:t>
      </w:r>
      <w:r>
        <w:fldChar w:fldCharType="begin"/>
      </w:r>
      <w:r>
        <w:instrText xml:space="preserve"> INCLUDEPICTURE  "https://www.tdx.com.cn/products/helpfile/tdxw/chm/%E7%AC%AC%E4%BA%94%E7%AB%A0  %E6%B3%A8%E5%86%8C%E5%8F%8A%E6%B8%B8%E5%AE%A2%E7%99%BB%E9%99%86/5-6/2.png" \* MERGEFORMATINET </w:instrText>
      </w:r>
      <w:r>
        <w:fldChar w:fldCharType="separate"/>
      </w:r>
      <w:r>
        <w:fldChar w:fldCharType="begin"/>
      </w:r>
      <w:r>
        <w:instrText xml:space="preserve"> INCLUDEPICTURE  "https://www.tdx.com.cn/products/helpfile/tdxw/chm/%E7%AC%AC%E4%BA%94%E7%AB%A0  %E6%B3%A8%E5%86%8C%E5%8F%8A%E6%B8%B8%E5%AE%A2%E7%99%BB%E9%99%86/5-6/2.png" \* MERGEFORMATINET </w:instrText>
      </w:r>
      <w:r>
        <w:fldChar w:fldCharType="separate"/>
      </w:r>
      <w:r>
        <w:fldChar w:fldCharType="begin"/>
      </w:r>
      <w:r>
        <w:instrText xml:space="preserve"> INCLUDEPICTURE  "https://www.tdx.com.cn/products/helpfile/tdxw/chm/%E7%AC%AC%E4%BA%94%E7%AB%A0  %E6%B3%A8%E5%86%8C%E5%8F%8A%E6%B8%B8%E5%AE%A2%E7%99%BB%E9%99%86/5-6/2.png" \* MERGEFORMATINET </w:instrText>
      </w:r>
      <w:r>
        <w:fldChar w:fldCharType="separate"/>
      </w:r>
      <w:r>
        <w:fldChar w:fldCharType="begin"/>
      </w:r>
      <w:r>
        <w:instrText xml:space="preserve"> INCLUDEPICTURE  "https://www.tdx.com.cn/products/helpfile/tdxw/chm/%E7%AC%AC%E4%BA%94%E7%AB%A0  %E6%B3%A8%E5%86%8C%E5%8F%8A%E6%B8%B8%E5%AE%A2%E7%99%BB%E9%99%86/5-6/2.png" \* MERGEFORMATINET </w:instrText>
      </w:r>
      <w:r>
        <w:fldChar w:fldCharType="separate"/>
      </w:r>
      <w:r>
        <w:drawing>
          <wp:inline distT="0" distB="0" distL="114300" distR="114300">
            <wp:extent cx="4371975" cy="1704975"/>
            <wp:effectExtent l="0" t="0" r="9525" b="9525"/>
            <wp:docPr id="447" name="图片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图片 447"/>
                    <pic:cNvPicPr>
                      <a:picLocks noChangeAspect="1"/>
                    </pic:cNvPicPr>
                  </pic:nvPicPr>
                  <pic:blipFill>
                    <a:blip r:embed="rId846" r:link="rId847"/>
                    <a:stretch>
                      <a:fillRect/>
                    </a:stretch>
                  </pic:blipFill>
                  <pic:spPr>
                    <a:xfrm>
                      <a:off x="0" y="0"/>
                      <a:ext cx="4371975" cy="1704975"/>
                    </a:xfrm>
                    <a:prstGeom prst="rect">
                      <a:avLst/>
                    </a:prstGeom>
                    <a:noFill/>
                    <a:ln>
                      <a:noFill/>
                    </a:ln>
                  </pic:spPr>
                </pic:pic>
              </a:graphicData>
            </a:graphic>
          </wp:inline>
        </w:drawing>
      </w:r>
      <w:r>
        <w:fldChar w:fldCharType="end"/>
      </w:r>
      <w:r>
        <w:fldChar w:fldCharType="end"/>
      </w:r>
      <w:r>
        <w:fldChar w:fldCharType="end"/>
      </w:r>
      <w:r>
        <w:fldChar w:fldCharType="end"/>
      </w:r>
      <w:r>
        <w:rPr>
          <w:rFonts w:hint="eastAsia"/>
        </w:rPr>
        <w:t>，可以勾选左上角“一键全撤不需要确认”。</w:t>
      </w:r>
    </w:p>
    <w:p>
      <w:pPr>
        <w:pStyle w:val="34"/>
      </w:pPr>
      <w:r>
        <w:fldChar w:fldCharType="begin"/>
      </w:r>
      <w:r>
        <w:instrText xml:space="preserve"> INCLUDEPICTURE  "https://www.tdx.com.cn/products/helpfile/tdxw/chm/%E7%AC%AC%E4%BA%94%E7%AB%A0  %E6%B3%A8%E5%86%8C%E5%8F%8A%E6%B8%B8%E5%AE%A2%E7%99%BB%E9%99%86/5-6/3.png" \* MERGEFORMATINET </w:instrText>
      </w:r>
      <w:r>
        <w:fldChar w:fldCharType="separate"/>
      </w:r>
      <w:r>
        <w:fldChar w:fldCharType="begin"/>
      </w:r>
      <w:r>
        <w:instrText xml:space="preserve"> INCLUDEPICTURE  "https://www.tdx.com.cn/products/helpfile/tdxw/chm/%E7%AC%AC%E4%BA%94%E7%AB%A0  %E6%B3%A8%E5%86%8C%E5%8F%8A%E6%B8%B8%E5%AE%A2%E7%99%BB%E9%99%86/5-6/3.png" \* MERGEFORMATINET </w:instrText>
      </w:r>
      <w:r>
        <w:fldChar w:fldCharType="separate"/>
      </w:r>
      <w:r>
        <w:fldChar w:fldCharType="begin"/>
      </w:r>
      <w:r>
        <w:instrText xml:space="preserve"> INCLUDEPICTURE  "https://www.tdx.com.cn/products/helpfile/tdxw/chm/%E7%AC%AC%E4%BA%94%E7%AB%A0  %E6%B3%A8%E5%86%8C%E5%8F%8A%E6%B8%B8%E5%AE%A2%E7%99%BB%E9%99%86/5-6/3.png" \* MERGEFORMATINET </w:instrText>
      </w:r>
      <w:r>
        <w:fldChar w:fldCharType="separate"/>
      </w:r>
      <w:r>
        <w:fldChar w:fldCharType="begin"/>
      </w:r>
      <w:r>
        <w:instrText xml:space="preserve"> INCLUDEPICTURE  "https://www.tdx.com.cn/products/helpfile/tdxw/chm/%E7%AC%AC%E4%BA%94%E7%AB%A0  %E6%B3%A8%E5%86%8C%E5%8F%8A%E6%B8%B8%E5%AE%A2%E7%99%BB%E9%99%86/5-6/3.png" \* MERGEFORMATINET </w:instrText>
      </w:r>
      <w:r>
        <w:fldChar w:fldCharType="separate"/>
      </w:r>
      <w:r>
        <w:drawing>
          <wp:inline distT="0" distB="0" distL="114300" distR="114300">
            <wp:extent cx="1885950" cy="1504950"/>
            <wp:effectExtent l="0" t="0" r="0" b="0"/>
            <wp:docPr id="448" name="图片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图片 448"/>
                    <pic:cNvPicPr>
                      <a:picLocks noChangeAspect="1"/>
                    </pic:cNvPicPr>
                  </pic:nvPicPr>
                  <pic:blipFill>
                    <a:blip r:embed="rId848" r:link="rId849"/>
                    <a:stretch>
                      <a:fillRect/>
                    </a:stretch>
                  </pic:blipFill>
                  <pic:spPr>
                    <a:xfrm>
                      <a:off x="0" y="0"/>
                      <a:ext cx="1885950" cy="1504950"/>
                    </a:xfrm>
                    <a:prstGeom prst="rect">
                      <a:avLst/>
                    </a:prstGeom>
                    <a:noFill/>
                    <a:ln>
                      <a:noFill/>
                    </a:ln>
                  </pic:spPr>
                </pic:pic>
              </a:graphicData>
            </a:graphic>
          </wp:inline>
        </w:drawing>
      </w:r>
      <w:r>
        <w:fldChar w:fldCharType="end"/>
      </w:r>
      <w:r>
        <w:fldChar w:fldCharType="end"/>
      </w:r>
      <w:r>
        <w:fldChar w:fldCharType="end"/>
      </w:r>
      <w:r>
        <w:fldChar w:fldCharType="end"/>
      </w:r>
    </w:p>
    <w:p>
      <w:pPr>
        <w:pStyle w:val="3"/>
      </w:pPr>
      <w:bookmarkStart w:id="64" w:name="_Toc90646184"/>
      <w:r>
        <w:rPr>
          <w:rFonts w:hint="eastAsia"/>
        </w:rPr>
        <w:t>交易数据落地 </w:t>
      </w:r>
    </w:p>
    <w:p>
      <w:pPr>
        <w:pStyle w:val="34"/>
      </w:pPr>
      <w:r>
        <w:rPr>
          <w:rFonts w:hint="eastAsia"/>
        </w:rPr>
        <w:t>K线图上可以显示“B”（买入）、“S”（卖出）、“T”（当天有买有卖）的标记，即直观显示已登陆帐户的历史成交情况。</w:t>
      </w:r>
    </w:p>
    <w:p>
      <w:pPr>
        <w:pStyle w:val="50"/>
        <w:rPr>
          <w:rFonts w:ascii="微软雅黑" w:hAnsi="微软雅黑" w:eastAsia="微软雅黑"/>
          <w:color w:val="000000"/>
          <w:sz w:val="18"/>
          <w:szCs w:val="18"/>
        </w:rPr>
      </w:pPr>
      <w:r>
        <w:rPr>
          <w:rFonts w:ascii="微软雅黑" w:hAnsi="微软雅黑" w:eastAsia="微软雅黑"/>
          <w:color w:val="000000"/>
          <w:sz w:val="18"/>
          <w:szCs w:val="18"/>
        </w:rPr>
        <w:fldChar w:fldCharType="begin"/>
      </w:r>
      <w:r>
        <w:rPr>
          <w:rFonts w:ascii="微软雅黑" w:hAnsi="微软雅黑" w:eastAsia="微软雅黑"/>
          <w:color w:val="000000"/>
          <w:sz w:val="18"/>
          <w:szCs w:val="18"/>
        </w:rPr>
        <w:instrText xml:space="preserve"> INCLUDEPICTURE  "https://www.tdx.com.cn/products/helpfile/tdxw/chm/%E7%AC%AC%E4%BA%94%E7%AB%A0  %E6%B3%A8%E5%86%8C%E5%8F%8A%E6%B8%B8%E5%AE%A2%E7%99%BB%E9%99%86/5-8/0.1.png" \* MERGEFORMATINET </w:instrText>
      </w:r>
      <w:r>
        <w:rPr>
          <w:rFonts w:ascii="微软雅黑" w:hAnsi="微软雅黑" w:eastAsia="微软雅黑"/>
          <w:color w:val="000000"/>
          <w:sz w:val="18"/>
          <w:szCs w:val="18"/>
        </w:rPr>
        <w:fldChar w:fldCharType="separate"/>
      </w:r>
      <w:r>
        <w:rPr>
          <w:rFonts w:ascii="微软雅黑" w:hAnsi="微软雅黑" w:eastAsia="微软雅黑"/>
          <w:color w:val="000000"/>
          <w:sz w:val="18"/>
          <w:szCs w:val="18"/>
        </w:rPr>
        <w:fldChar w:fldCharType="begin"/>
      </w:r>
      <w:r>
        <w:rPr>
          <w:rFonts w:ascii="微软雅黑" w:hAnsi="微软雅黑" w:eastAsia="微软雅黑"/>
          <w:color w:val="000000"/>
          <w:sz w:val="18"/>
          <w:szCs w:val="18"/>
        </w:rPr>
        <w:instrText xml:space="preserve"> INCLUDEPICTURE  "https://www.tdx.com.cn/products/helpfile/tdxw/chm/%E7%AC%AC%E4%BA%94%E7%AB%A0  %E6%B3%A8%E5%86%8C%E5%8F%8A%E6%B8%B8%E5%AE%A2%E7%99%BB%E9%99%86/5-8/0.1.png" \* MERGEFORMATINET </w:instrText>
      </w:r>
      <w:r>
        <w:rPr>
          <w:rFonts w:ascii="微软雅黑" w:hAnsi="微软雅黑" w:eastAsia="微软雅黑"/>
          <w:color w:val="000000"/>
          <w:sz w:val="18"/>
          <w:szCs w:val="18"/>
        </w:rPr>
        <w:fldChar w:fldCharType="separate"/>
      </w:r>
      <w:r>
        <w:rPr>
          <w:rFonts w:ascii="微软雅黑" w:hAnsi="微软雅黑" w:eastAsia="微软雅黑"/>
          <w:color w:val="000000"/>
          <w:sz w:val="18"/>
          <w:szCs w:val="18"/>
        </w:rPr>
        <w:fldChar w:fldCharType="begin"/>
      </w:r>
      <w:r>
        <w:rPr>
          <w:rFonts w:ascii="微软雅黑" w:hAnsi="微软雅黑" w:eastAsia="微软雅黑"/>
          <w:color w:val="000000"/>
          <w:sz w:val="18"/>
          <w:szCs w:val="18"/>
        </w:rPr>
        <w:instrText xml:space="preserve"> INCLUDEPICTURE  "https://www.tdx.com.cn/products/helpfile/tdxw/chm/%E7%AC%AC%E4%BA%94%E7%AB%A0  %E6%B3%A8%E5%86%8C%E5%8F%8A%E6%B8%B8%E5%AE%A2%E7%99%BB%E9%99%86/5-8/0.1.png" \* MERGEFORMATINET </w:instrText>
      </w:r>
      <w:r>
        <w:rPr>
          <w:rFonts w:ascii="微软雅黑" w:hAnsi="微软雅黑" w:eastAsia="微软雅黑"/>
          <w:color w:val="000000"/>
          <w:sz w:val="18"/>
          <w:szCs w:val="18"/>
        </w:rPr>
        <w:fldChar w:fldCharType="separate"/>
      </w:r>
      <w:r>
        <w:rPr>
          <w:rFonts w:ascii="微软雅黑" w:hAnsi="微软雅黑" w:eastAsia="微软雅黑"/>
          <w:color w:val="000000"/>
          <w:sz w:val="18"/>
          <w:szCs w:val="18"/>
        </w:rPr>
        <w:fldChar w:fldCharType="begin"/>
      </w:r>
      <w:r>
        <w:rPr>
          <w:rFonts w:ascii="微软雅黑" w:hAnsi="微软雅黑" w:eastAsia="微软雅黑"/>
          <w:color w:val="000000"/>
          <w:sz w:val="18"/>
          <w:szCs w:val="18"/>
        </w:rPr>
        <w:instrText xml:space="preserve"> INCLUDEPICTURE  "https://www.tdx.com.cn/products/helpfile/tdxw/chm/%E7%AC%AC%E4%BA%94%E7%AB%A0  %E6%B3%A8%E5%86%8C%E5%8F%8A%E6%B8%B8%E5%AE%A2%E7%99%BB%E9%99%86/5-8/0.1.png" \* MERGEFORMATINET </w:instrText>
      </w:r>
      <w:r>
        <w:rPr>
          <w:rFonts w:ascii="微软雅黑" w:hAnsi="微软雅黑" w:eastAsia="微软雅黑"/>
          <w:color w:val="000000"/>
          <w:sz w:val="18"/>
          <w:szCs w:val="18"/>
        </w:rPr>
        <w:fldChar w:fldCharType="separate"/>
      </w:r>
      <w:r>
        <w:rPr>
          <w:rFonts w:ascii="微软雅黑" w:hAnsi="微软雅黑" w:eastAsia="微软雅黑"/>
          <w:color w:val="000000"/>
          <w:sz w:val="18"/>
          <w:szCs w:val="18"/>
        </w:rPr>
        <w:drawing>
          <wp:inline distT="0" distB="0" distL="114300" distR="114300">
            <wp:extent cx="8924925" cy="4200525"/>
            <wp:effectExtent l="0" t="0" r="9525" b="9525"/>
            <wp:docPr id="449" name="图片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图片 449"/>
                    <pic:cNvPicPr>
                      <a:picLocks noChangeAspect="1"/>
                    </pic:cNvPicPr>
                  </pic:nvPicPr>
                  <pic:blipFill>
                    <a:blip r:embed="rId850" r:link="rId851"/>
                    <a:stretch>
                      <a:fillRect/>
                    </a:stretch>
                  </pic:blipFill>
                  <pic:spPr>
                    <a:xfrm>
                      <a:off x="0" y="0"/>
                      <a:ext cx="8924925" cy="4200525"/>
                    </a:xfrm>
                    <a:prstGeom prst="rect">
                      <a:avLst/>
                    </a:prstGeom>
                    <a:noFill/>
                    <a:ln>
                      <a:noFill/>
                    </a:ln>
                  </pic:spPr>
                </pic:pic>
              </a:graphicData>
            </a:graphic>
          </wp:inline>
        </w:drawing>
      </w:r>
      <w:r>
        <w:rPr>
          <w:rFonts w:ascii="微软雅黑" w:hAnsi="微软雅黑" w:eastAsia="微软雅黑"/>
          <w:color w:val="000000"/>
          <w:sz w:val="18"/>
          <w:szCs w:val="18"/>
        </w:rPr>
        <w:fldChar w:fldCharType="end"/>
      </w:r>
      <w:r>
        <w:rPr>
          <w:rFonts w:ascii="微软雅黑" w:hAnsi="微软雅黑" w:eastAsia="微软雅黑"/>
          <w:color w:val="000000"/>
          <w:sz w:val="18"/>
          <w:szCs w:val="18"/>
        </w:rPr>
        <w:fldChar w:fldCharType="end"/>
      </w:r>
      <w:r>
        <w:rPr>
          <w:rFonts w:ascii="微软雅黑" w:hAnsi="微软雅黑" w:eastAsia="微软雅黑"/>
          <w:color w:val="000000"/>
          <w:sz w:val="18"/>
          <w:szCs w:val="18"/>
        </w:rPr>
        <w:fldChar w:fldCharType="end"/>
      </w:r>
      <w:r>
        <w:rPr>
          <w:rFonts w:ascii="微软雅黑" w:hAnsi="微软雅黑" w:eastAsia="微软雅黑"/>
          <w:color w:val="000000"/>
          <w:sz w:val="18"/>
          <w:szCs w:val="18"/>
        </w:rPr>
        <w:fldChar w:fldCharType="end"/>
      </w:r>
    </w:p>
    <w:p>
      <w:pPr>
        <w:pStyle w:val="50"/>
        <w:rPr>
          <w:rFonts w:ascii="微软雅黑" w:hAnsi="微软雅黑" w:eastAsia="微软雅黑"/>
          <w:color w:val="000000"/>
          <w:sz w:val="18"/>
          <w:szCs w:val="18"/>
        </w:rPr>
      </w:pPr>
      <w:r>
        <w:rPr>
          <w:rFonts w:ascii="微软雅黑" w:hAnsi="微软雅黑" w:eastAsia="微软雅黑"/>
          <w:color w:val="000000"/>
          <w:sz w:val="18"/>
          <w:szCs w:val="18"/>
        </w:rPr>
        <w:fldChar w:fldCharType="begin"/>
      </w:r>
      <w:r>
        <w:rPr>
          <w:rFonts w:ascii="微软雅黑" w:hAnsi="微软雅黑" w:eastAsia="微软雅黑"/>
          <w:color w:val="000000"/>
          <w:sz w:val="18"/>
          <w:szCs w:val="18"/>
        </w:rPr>
        <w:instrText xml:space="preserve"> INCLUDEPICTURE  "https://www.tdx.com.cn/products/helpfile/tdxw/chm/%E7%AC%AC%E4%BA%94%E7%AB%A0  %E6%B3%A8%E5%86%8C%E5%8F%8A%E6%B8%B8%E5%AE%A2%E7%99%BB%E9%99%86/5-8/0.2.png" \* MERGEFORMATINET </w:instrText>
      </w:r>
      <w:r>
        <w:rPr>
          <w:rFonts w:ascii="微软雅黑" w:hAnsi="微软雅黑" w:eastAsia="微软雅黑"/>
          <w:color w:val="000000"/>
          <w:sz w:val="18"/>
          <w:szCs w:val="18"/>
        </w:rPr>
        <w:fldChar w:fldCharType="separate"/>
      </w:r>
      <w:r>
        <w:rPr>
          <w:rFonts w:ascii="微软雅黑" w:hAnsi="微软雅黑" w:eastAsia="微软雅黑"/>
          <w:color w:val="000000"/>
          <w:sz w:val="18"/>
          <w:szCs w:val="18"/>
        </w:rPr>
        <w:fldChar w:fldCharType="begin"/>
      </w:r>
      <w:r>
        <w:rPr>
          <w:rFonts w:ascii="微软雅黑" w:hAnsi="微软雅黑" w:eastAsia="微软雅黑"/>
          <w:color w:val="000000"/>
          <w:sz w:val="18"/>
          <w:szCs w:val="18"/>
        </w:rPr>
        <w:instrText xml:space="preserve"> INCLUDEPICTURE  "https://www.tdx.com.cn/products/helpfile/tdxw/chm/%E7%AC%AC%E4%BA%94%E7%AB%A0  %E6%B3%A8%E5%86%8C%E5%8F%8A%E6%B8%B8%E5%AE%A2%E7%99%BB%E9%99%86/5-8/0.2.png" \* MERGEFORMATINET </w:instrText>
      </w:r>
      <w:r>
        <w:rPr>
          <w:rFonts w:ascii="微软雅黑" w:hAnsi="微软雅黑" w:eastAsia="微软雅黑"/>
          <w:color w:val="000000"/>
          <w:sz w:val="18"/>
          <w:szCs w:val="18"/>
        </w:rPr>
        <w:fldChar w:fldCharType="separate"/>
      </w:r>
      <w:r>
        <w:rPr>
          <w:rFonts w:ascii="微软雅黑" w:hAnsi="微软雅黑" w:eastAsia="微软雅黑"/>
          <w:color w:val="000000"/>
          <w:sz w:val="18"/>
          <w:szCs w:val="18"/>
        </w:rPr>
        <w:fldChar w:fldCharType="begin"/>
      </w:r>
      <w:r>
        <w:rPr>
          <w:rFonts w:ascii="微软雅黑" w:hAnsi="微软雅黑" w:eastAsia="微软雅黑"/>
          <w:color w:val="000000"/>
          <w:sz w:val="18"/>
          <w:szCs w:val="18"/>
        </w:rPr>
        <w:instrText xml:space="preserve"> INCLUDEPICTURE  "https://www.tdx.com.cn/products/helpfile/tdxw/chm/%E7%AC%AC%E4%BA%94%E7%AB%A0  %E6%B3%A8%E5%86%8C%E5%8F%8A%E6%B8%B8%E5%AE%A2%E7%99%BB%E9%99%86/5-8/0.2.png" \* MERGEFORMATINET </w:instrText>
      </w:r>
      <w:r>
        <w:rPr>
          <w:rFonts w:ascii="微软雅黑" w:hAnsi="微软雅黑" w:eastAsia="微软雅黑"/>
          <w:color w:val="000000"/>
          <w:sz w:val="18"/>
          <w:szCs w:val="18"/>
        </w:rPr>
        <w:fldChar w:fldCharType="separate"/>
      </w:r>
      <w:r>
        <w:rPr>
          <w:rFonts w:ascii="微软雅黑" w:hAnsi="微软雅黑" w:eastAsia="微软雅黑"/>
          <w:color w:val="000000"/>
          <w:sz w:val="18"/>
          <w:szCs w:val="18"/>
        </w:rPr>
        <w:fldChar w:fldCharType="begin"/>
      </w:r>
      <w:r>
        <w:rPr>
          <w:rFonts w:ascii="微软雅黑" w:hAnsi="微软雅黑" w:eastAsia="微软雅黑"/>
          <w:color w:val="000000"/>
          <w:sz w:val="18"/>
          <w:szCs w:val="18"/>
        </w:rPr>
        <w:instrText xml:space="preserve"> INCLUDEPICTURE  "https://www.tdx.com.cn/products/helpfile/tdxw/chm/%E7%AC%AC%E4%BA%94%E7%AB%A0  %E6%B3%A8%E5%86%8C%E5%8F%8A%E6%B8%B8%E5%AE%A2%E7%99%BB%E9%99%86/5-8/0.2.png" \* MERGEFORMATINET </w:instrText>
      </w:r>
      <w:r>
        <w:rPr>
          <w:rFonts w:ascii="微软雅黑" w:hAnsi="微软雅黑" w:eastAsia="微软雅黑"/>
          <w:color w:val="000000"/>
          <w:sz w:val="18"/>
          <w:szCs w:val="18"/>
        </w:rPr>
        <w:fldChar w:fldCharType="separate"/>
      </w:r>
      <w:r>
        <w:rPr>
          <w:rFonts w:ascii="微软雅黑" w:hAnsi="微软雅黑" w:eastAsia="微软雅黑"/>
          <w:color w:val="000000"/>
          <w:sz w:val="18"/>
          <w:szCs w:val="18"/>
        </w:rPr>
        <w:drawing>
          <wp:inline distT="0" distB="0" distL="114300" distR="114300">
            <wp:extent cx="4857750" cy="3362325"/>
            <wp:effectExtent l="0" t="0" r="0" b="9525"/>
            <wp:docPr id="450" name="图片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图片 450"/>
                    <pic:cNvPicPr>
                      <a:picLocks noChangeAspect="1"/>
                    </pic:cNvPicPr>
                  </pic:nvPicPr>
                  <pic:blipFill>
                    <a:blip r:embed="rId852" r:link="rId853"/>
                    <a:stretch>
                      <a:fillRect/>
                    </a:stretch>
                  </pic:blipFill>
                  <pic:spPr>
                    <a:xfrm>
                      <a:off x="0" y="0"/>
                      <a:ext cx="4857750" cy="3362325"/>
                    </a:xfrm>
                    <a:prstGeom prst="rect">
                      <a:avLst/>
                    </a:prstGeom>
                    <a:noFill/>
                    <a:ln>
                      <a:noFill/>
                    </a:ln>
                  </pic:spPr>
                </pic:pic>
              </a:graphicData>
            </a:graphic>
          </wp:inline>
        </w:drawing>
      </w:r>
      <w:r>
        <w:rPr>
          <w:rFonts w:ascii="微软雅黑" w:hAnsi="微软雅黑" w:eastAsia="微软雅黑"/>
          <w:color w:val="000000"/>
          <w:sz w:val="18"/>
          <w:szCs w:val="18"/>
        </w:rPr>
        <w:fldChar w:fldCharType="end"/>
      </w:r>
      <w:r>
        <w:rPr>
          <w:rFonts w:ascii="微软雅黑" w:hAnsi="微软雅黑" w:eastAsia="微软雅黑"/>
          <w:color w:val="000000"/>
          <w:sz w:val="18"/>
          <w:szCs w:val="18"/>
        </w:rPr>
        <w:fldChar w:fldCharType="end"/>
      </w:r>
      <w:r>
        <w:rPr>
          <w:rFonts w:ascii="微软雅黑" w:hAnsi="微软雅黑" w:eastAsia="微软雅黑"/>
          <w:color w:val="000000"/>
          <w:sz w:val="18"/>
          <w:szCs w:val="18"/>
        </w:rPr>
        <w:fldChar w:fldCharType="end"/>
      </w:r>
      <w:r>
        <w:rPr>
          <w:rFonts w:ascii="微软雅黑" w:hAnsi="微软雅黑" w:eastAsia="微软雅黑"/>
          <w:color w:val="000000"/>
          <w:sz w:val="18"/>
          <w:szCs w:val="18"/>
        </w:rPr>
        <w:fldChar w:fldCharType="end"/>
      </w:r>
    </w:p>
    <w:tbl>
      <w:tblPr>
        <w:tblStyle w:val="25"/>
        <w:tblW w:w="0" w:type="auto"/>
        <w:tblCellSpacing w:w="0" w:type="dxa"/>
        <w:tblInd w:w="0" w:type="dxa"/>
        <w:tblBorders>
          <w:top w:val="outset" w:color="auto" w:sz="6" w:space="0"/>
          <w:left w:val="outset" w:color="auto" w:sz="6" w:space="0"/>
          <w:bottom w:val="outset" w:color="auto" w:sz="6" w:space="0"/>
          <w:right w:val="outset" w:color="auto" w:sz="6" w:space="0"/>
          <w:insideH w:val="none" w:color="auto" w:sz="0" w:space="0"/>
          <w:insideV w:val="none" w:color="auto" w:sz="0" w:space="0"/>
        </w:tblBorders>
        <w:tblLayout w:type="fixed"/>
        <w:tblCellMar>
          <w:top w:w="0" w:type="dxa"/>
          <w:left w:w="0" w:type="dxa"/>
          <w:bottom w:w="0" w:type="dxa"/>
          <w:right w:w="0" w:type="dxa"/>
        </w:tblCellMar>
      </w:tblPr>
      <w:tblGrid>
        <w:gridCol w:w="4410"/>
        <w:gridCol w:w="9578"/>
      </w:tblGrid>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4410" w:type="dxa"/>
            <w:tcBorders>
              <w:top w:val="outset" w:color="auto" w:sz="6" w:space="0"/>
              <w:left w:val="outset" w:color="auto" w:sz="6" w:space="0"/>
              <w:bottom w:val="outset" w:color="auto" w:sz="6" w:space="0"/>
              <w:right w:val="outset" w:color="auto" w:sz="6" w:space="0"/>
            </w:tcBorders>
          </w:tcPr>
          <w:p>
            <w:pPr>
              <w:pStyle w:val="31"/>
            </w:pPr>
            <w:r>
              <w:rPr>
                <w:rFonts w:hint="eastAsia"/>
              </w:rPr>
              <w:t>进入分时图，可以设置将其显示在坐标横轴上</w:t>
            </w:r>
          </w:p>
        </w:tc>
        <w:tc>
          <w:tcPr>
            <w:tcW w:w="9578" w:type="dxa"/>
            <w:tcBorders>
              <w:top w:val="outset" w:color="auto" w:sz="6" w:space="0"/>
              <w:left w:val="outset" w:color="auto" w:sz="6" w:space="0"/>
              <w:bottom w:val="outset" w:color="auto" w:sz="6" w:space="0"/>
              <w:right w:val="outset" w:color="auto" w:sz="6" w:space="0"/>
            </w:tcBorders>
          </w:tcPr>
          <w:p>
            <w:pPr>
              <w:pStyle w:val="50"/>
              <w:rPr>
                <w:rFonts w:ascii="微软雅黑" w:hAnsi="微软雅黑" w:eastAsia="微软雅黑"/>
                <w:sz w:val="18"/>
                <w:szCs w:val="18"/>
              </w:rPr>
            </w:pPr>
            <w:r>
              <w:rPr>
                <w:rFonts w:ascii="微软雅黑" w:hAnsi="微软雅黑" w:eastAsia="微软雅黑"/>
                <w:sz w:val="18"/>
                <w:szCs w:val="18"/>
              </w:rPr>
              <w:fldChar w:fldCharType="begin"/>
            </w:r>
            <w:r>
              <w:rPr>
                <w:rFonts w:ascii="微软雅黑" w:hAnsi="微软雅黑" w:eastAsia="微软雅黑"/>
                <w:sz w:val="18"/>
                <w:szCs w:val="18"/>
              </w:rPr>
              <w:instrText xml:space="preserve"> INCLUDEPICTURE  "https://www.tdx.com.cn/products/helpfile/tdxw/chm/%E7%AC%AC%E4%BA%94%E7%AB%A0  %E6%B3%A8%E5%86%8C%E5%8F%8A%E6%B8%B8%E5%AE%A2%E7%99%BB%E9%99%86/5-8/1.png" \* MERGEFORMATINET </w:instrText>
            </w:r>
            <w:r>
              <w:rPr>
                <w:rFonts w:ascii="微软雅黑" w:hAnsi="微软雅黑" w:eastAsia="微软雅黑"/>
                <w:sz w:val="18"/>
                <w:szCs w:val="18"/>
              </w:rPr>
              <w:fldChar w:fldCharType="separate"/>
            </w:r>
            <w:r>
              <w:rPr>
                <w:rFonts w:ascii="微软雅黑" w:hAnsi="微软雅黑" w:eastAsia="微软雅黑"/>
                <w:sz w:val="18"/>
                <w:szCs w:val="18"/>
              </w:rPr>
              <w:fldChar w:fldCharType="begin"/>
            </w:r>
            <w:r>
              <w:rPr>
                <w:rFonts w:ascii="微软雅黑" w:hAnsi="微软雅黑" w:eastAsia="微软雅黑"/>
                <w:sz w:val="18"/>
                <w:szCs w:val="18"/>
              </w:rPr>
              <w:instrText xml:space="preserve"> INCLUDEPICTURE  "https://www.tdx.com.cn/products/helpfile/tdxw/chm/%E7%AC%AC%E4%BA%94%E7%AB%A0  %E6%B3%A8%E5%86%8C%E5%8F%8A%E6%B8%B8%E5%AE%A2%E7%99%BB%E9%99%86/5-8/1.png" \* MERGEFORMATINET </w:instrText>
            </w:r>
            <w:r>
              <w:rPr>
                <w:rFonts w:ascii="微软雅黑" w:hAnsi="微软雅黑" w:eastAsia="微软雅黑"/>
                <w:sz w:val="18"/>
                <w:szCs w:val="18"/>
              </w:rPr>
              <w:fldChar w:fldCharType="separate"/>
            </w:r>
            <w:r>
              <w:rPr>
                <w:rFonts w:ascii="微软雅黑" w:hAnsi="微软雅黑" w:eastAsia="微软雅黑"/>
                <w:sz w:val="18"/>
                <w:szCs w:val="18"/>
              </w:rPr>
              <w:fldChar w:fldCharType="begin"/>
            </w:r>
            <w:r>
              <w:rPr>
                <w:rFonts w:ascii="微软雅黑" w:hAnsi="微软雅黑" w:eastAsia="微软雅黑"/>
                <w:sz w:val="18"/>
                <w:szCs w:val="18"/>
              </w:rPr>
              <w:instrText xml:space="preserve"> INCLUDEPICTURE  "https://www.tdx.com.cn/products/helpfile/tdxw/chm/%E7%AC%AC%E4%BA%94%E7%AB%A0  %E6%B3%A8%E5%86%8C%E5%8F%8A%E6%B8%B8%E5%AE%A2%E7%99%BB%E9%99%86/5-8/1.png" \* MERGEFORMATINET </w:instrText>
            </w:r>
            <w:r>
              <w:rPr>
                <w:rFonts w:ascii="微软雅黑" w:hAnsi="微软雅黑" w:eastAsia="微软雅黑"/>
                <w:sz w:val="18"/>
                <w:szCs w:val="18"/>
              </w:rPr>
              <w:fldChar w:fldCharType="separate"/>
            </w:r>
            <w:r>
              <w:rPr>
                <w:rFonts w:ascii="微软雅黑" w:hAnsi="微软雅黑" w:eastAsia="微软雅黑"/>
                <w:sz w:val="18"/>
                <w:szCs w:val="18"/>
              </w:rPr>
              <w:fldChar w:fldCharType="begin"/>
            </w:r>
            <w:r>
              <w:rPr>
                <w:rFonts w:ascii="微软雅黑" w:hAnsi="微软雅黑" w:eastAsia="微软雅黑"/>
                <w:sz w:val="18"/>
                <w:szCs w:val="18"/>
              </w:rPr>
              <w:instrText xml:space="preserve"> INCLUDEPICTURE  "https://www.tdx.com.cn/products/helpfile/tdxw/chm/%E7%AC%AC%E4%BA%94%E7%AB%A0  %E6%B3%A8%E5%86%8C%E5%8F%8A%E6%B8%B8%E5%AE%A2%E7%99%BB%E9%99%86/5-8/1.png" \* MERGEFORMATINET </w:instrText>
            </w:r>
            <w:r>
              <w:rPr>
                <w:rFonts w:ascii="微软雅黑" w:hAnsi="微软雅黑" w:eastAsia="微软雅黑"/>
                <w:sz w:val="18"/>
                <w:szCs w:val="18"/>
              </w:rPr>
              <w:fldChar w:fldCharType="separate"/>
            </w:r>
            <w:r>
              <w:rPr>
                <w:rFonts w:ascii="微软雅黑" w:hAnsi="微软雅黑" w:eastAsia="微软雅黑"/>
                <w:sz w:val="18"/>
                <w:szCs w:val="18"/>
              </w:rPr>
              <w:drawing>
                <wp:inline distT="0" distB="0" distL="114300" distR="114300">
                  <wp:extent cx="2286000" cy="2362200"/>
                  <wp:effectExtent l="0" t="0" r="0" b="0"/>
                  <wp:docPr id="451" name="图片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图片 451"/>
                          <pic:cNvPicPr>
                            <a:picLocks noChangeAspect="1"/>
                          </pic:cNvPicPr>
                        </pic:nvPicPr>
                        <pic:blipFill>
                          <a:blip r:embed="rId854" r:link="rId855"/>
                          <a:stretch>
                            <a:fillRect/>
                          </a:stretch>
                        </pic:blipFill>
                        <pic:spPr>
                          <a:xfrm>
                            <a:off x="0" y="0"/>
                            <a:ext cx="2286000" cy="2362200"/>
                          </a:xfrm>
                          <a:prstGeom prst="rect">
                            <a:avLst/>
                          </a:prstGeom>
                          <a:noFill/>
                          <a:ln>
                            <a:noFill/>
                          </a:ln>
                        </pic:spPr>
                      </pic:pic>
                    </a:graphicData>
                  </a:graphic>
                </wp:inline>
              </w:drawing>
            </w:r>
            <w:r>
              <w:rPr>
                <w:rFonts w:ascii="微软雅黑" w:hAnsi="微软雅黑" w:eastAsia="微软雅黑"/>
                <w:sz w:val="18"/>
                <w:szCs w:val="18"/>
              </w:rPr>
              <w:fldChar w:fldCharType="end"/>
            </w:r>
            <w:r>
              <w:rPr>
                <w:rFonts w:ascii="微软雅黑" w:hAnsi="微软雅黑" w:eastAsia="微软雅黑"/>
                <w:sz w:val="18"/>
                <w:szCs w:val="18"/>
              </w:rPr>
              <w:fldChar w:fldCharType="end"/>
            </w:r>
            <w:r>
              <w:rPr>
                <w:rFonts w:ascii="微软雅黑" w:hAnsi="微软雅黑" w:eastAsia="微软雅黑"/>
                <w:sz w:val="18"/>
                <w:szCs w:val="18"/>
              </w:rPr>
              <w:fldChar w:fldCharType="end"/>
            </w:r>
            <w:r>
              <w:rPr>
                <w:rFonts w:ascii="微软雅黑" w:hAnsi="微软雅黑" w:eastAsia="微软雅黑"/>
                <w:sz w:val="18"/>
                <w:szCs w:val="18"/>
              </w:rPr>
              <w:fldChar w:fldCharType="end"/>
            </w:r>
          </w:p>
          <w:p>
            <w:pPr>
              <w:pStyle w:val="50"/>
              <w:rPr>
                <w:rFonts w:ascii="微软雅黑" w:hAnsi="微软雅黑" w:eastAsia="微软雅黑"/>
                <w:sz w:val="18"/>
                <w:szCs w:val="18"/>
              </w:rPr>
            </w:pPr>
            <w:r>
              <w:rPr>
                <w:rFonts w:ascii="微软雅黑" w:hAnsi="微软雅黑" w:eastAsia="微软雅黑"/>
                <w:sz w:val="18"/>
                <w:szCs w:val="18"/>
              </w:rPr>
              <w:fldChar w:fldCharType="begin"/>
            </w:r>
            <w:r>
              <w:rPr>
                <w:rFonts w:ascii="微软雅黑" w:hAnsi="微软雅黑" w:eastAsia="微软雅黑"/>
                <w:sz w:val="18"/>
                <w:szCs w:val="18"/>
              </w:rPr>
              <w:instrText xml:space="preserve"> INCLUDEPICTURE  "https://www.tdx.com.cn/products/helpfile/tdxw/chm/%E7%AC%AC%E4%BA%94%E7%AB%A0  %E6%B3%A8%E5%86%8C%E5%8F%8A%E6%B8%B8%E5%AE%A2%E7%99%BB%E9%99%86/5-8/2.png" \* MERGEFORMATINET </w:instrText>
            </w:r>
            <w:r>
              <w:rPr>
                <w:rFonts w:ascii="微软雅黑" w:hAnsi="微软雅黑" w:eastAsia="微软雅黑"/>
                <w:sz w:val="18"/>
                <w:szCs w:val="18"/>
              </w:rPr>
              <w:fldChar w:fldCharType="separate"/>
            </w:r>
            <w:r>
              <w:rPr>
                <w:rFonts w:ascii="微软雅黑" w:hAnsi="微软雅黑" w:eastAsia="微软雅黑"/>
                <w:sz w:val="18"/>
                <w:szCs w:val="18"/>
              </w:rPr>
              <w:fldChar w:fldCharType="begin"/>
            </w:r>
            <w:r>
              <w:rPr>
                <w:rFonts w:ascii="微软雅黑" w:hAnsi="微软雅黑" w:eastAsia="微软雅黑"/>
                <w:sz w:val="18"/>
                <w:szCs w:val="18"/>
              </w:rPr>
              <w:instrText xml:space="preserve"> INCLUDEPICTURE  "https://www.tdx.com.cn/products/helpfile/tdxw/chm/%E7%AC%AC%E4%BA%94%E7%AB%A0  %E6%B3%A8%E5%86%8C%E5%8F%8A%E6%B8%B8%E5%AE%A2%E7%99%BB%E9%99%86/5-8/2.png" \* MERGEFORMATINET </w:instrText>
            </w:r>
            <w:r>
              <w:rPr>
                <w:rFonts w:ascii="微软雅黑" w:hAnsi="微软雅黑" w:eastAsia="微软雅黑"/>
                <w:sz w:val="18"/>
                <w:szCs w:val="18"/>
              </w:rPr>
              <w:fldChar w:fldCharType="separate"/>
            </w:r>
            <w:r>
              <w:rPr>
                <w:rFonts w:ascii="微软雅黑" w:hAnsi="微软雅黑" w:eastAsia="微软雅黑"/>
                <w:sz w:val="18"/>
                <w:szCs w:val="18"/>
              </w:rPr>
              <w:fldChar w:fldCharType="begin"/>
            </w:r>
            <w:r>
              <w:rPr>
                <w:rFonts w:ascii="微软雅黑" w:hAnsi="微软雅黑" w:eastAsia="微软雅黑"/>
                <w:sz w:val="18"/>
                <w:szCs w:val="18"/>
              </w:rPr>
              <w:instrText xml:space="preserve"> INCLUDEPICTURE  "https://www.tdx.com.cn/products/helpfile/tdxw/chm/%E7%AC%AC%E4%BA%94%E7%AB%A0  %E6%B3%A8%E5%86%8C%E5%8F%8A%E6%B8%B8%E5%AE%A2%E7%99%BB%E9%99%86/5-8/2.png" \* MERGEFORMATINET </w:instrText>
            </w:r>
            <w:r>
              <w:rPr>
                <w:rFonts w:ascii="微软雅黑" w:hAnsi="微软雅黑" w:eastAsia="微软雅黑"/>
                <w:sz w:val="18"/>
                <w:szCs w:val="18"/>
              </w:rPr>
              <w:fldChar w:fldCharType="separate"/>
            </w:r>
            <w:r>
              <w:rPr>
                <w:rFonts w:ascii="微软雅黑" w:hAnsi="微软雅黑" w:eastAsia="微软雅黑"/>
                <w:sz w:val="18"/>
                <w:szCs w:val="18"/>
              </w:rPr>
              <w:fldChar w:fldCharType="begin"/>
            </w:r>
            <w:r>
              <w:rPr>
                <w:rFonts w:ascii="微软雅黑" w:hAnsi="微软雅黑" w:eastAsia="微软雅黑"/>
                <w:sz w:val="18"/>
                <w:szCs w:val="18"/>
              </w:rPr>
              <w:instrText xml:space="preserve"> INCLUDEPICTURE  "https://www.tdx.com.cn/products/helpfile/tdxw/chm/%E7%AC%AC%E4%BA%94%E7%AB%A0  %E6%B3%A8%E5%86%8C%E5%8F%8A%E6%B8%B8%E5%AE%A2%E7%99%BB%E9%99%86/5-8/2.png" \* MERGEFORMATINET </w:instrText>
            </w:r>
            <w:r>
              <w:rPr>
                <w:rFonts w:ascii="微软雅黑" w:hAnsi="微软雅黑" w:eastAsia="微软雅黑"/>
                <w:sz w:val="18"/>
                <w:szCs w:val="18"/>
              </w:rPr>
              <w:fldChar w:fldCharType="separate"/>
            </w:r>
            <w:r>
              <w:rPr>
                <w:rFonts w:ascii="微软雅黑" w:hAnsi="微软雅黑" w:eastAsia="微软雅黑"/>
                <w:sz w:val="18"/>
                <w:szCs w:val="18"/>
              </w:rPr>
              <w:drawing>
                <wp:inline distT="0" distB="0" distL="114300" distR="114300">
                  <wp:extent cx="5695950" cy="3048000"/>
                  <wp:effectExtent l="0" t="0" r="0" b="0"/>
                  <wp:docPr id="452" name="图片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图片 452"/>
                          <pic:cNvPicPr>
                            <a:picLocks noChangeAspect="1"/>
                          </pic:cNvPicPr>
                        </pic:nvPicPr>
                        <pic:blipFill>
                          <a:blip r:embed="rId856" r:link="rId857"/>
                          <a:stretch>
                            <a:fillRect/>
                          </a:stretch>
                        </pic:blipFill>
                        <pic:spPr>
                          <a:xfrm>
                            <a:off x="0" y="0"/>
                            <a:ext cx="5695950" cy="3048000"/>
                          </a:xfrm>
                          <a:prstGeom prst="rect">
                            <a:avLst/>
                          </a:prstGeom>
                          <a:noFill/>
                          <a:ln>
                            <a:noFill/>
                          </a:ln>
                        </pic:spPr>
                      </pic:pic>
                    </a:graphicData>
                  </a:graphic>
                </wp:inline>
              </w:drawing>
            </w:r>
            <w:r>
              <w:rPr>
                <w:rFonts w:ascii="微软雅黑" w:hAnsi="微软雅黑" w:eastAsia="微软雅黑"/>
                <w:sz w:val="18"/>
                <w:szCs w:val="18"/>
              </w:rPr>
              <w:fldChar w:fldCharType="end"/>
            </w:r>
            <w:r>
              <w:rPr>
                <w:rFonts w:ascii="微软雅黑" w:hAnsi="微软雅黑" w:eastAsia="微软雅黑"/>
                <w:sz w:val="18"/>
                <w:szCs w:val="18"/>
              </w:rPr>
              <w:fldChar w:fldCharType="end"/>
            </w:r>
            <w:r>
              <w:rPr>
                <w:rFonts w:ascii="微软雅黑" w:hAnsi="微软雅黑" w:eastAsia="微软雅黑"/>
                <w:sz w:val="18"/>
                <w:szCs w:val="18"/>
              </w:rPr>
              <w:fldChar w:fldCharType="end"/>
            </w:r>
            <w:r>
              <w:rPr>
                <w:rFonts w:ascii="微软雅黑" w:hAnsi="微软雅黑" w:eastAsia="微软雅黑"/>
                <w:sz w:val="18"/>
                <w:szCs w:val="18"/>
              </w:rPr>
              <w:fldChar w:fldCharType="end"/>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4410" w:type="dxa"/>
            <w:tcBorders>
              <w:top w:val="outset" w:color="auto" w:sz="6" w:space="0"/>
              <w:left w:val="outset" w:color="auto" w:sz="6" w:space="0"/>
              <w:bottom w:val="outset" w:color="auto" w:sz="6" w:space="0"/>
              <w:right w:val="outset" w:color="auto" w:sz="6" w:space="0"/>
            </w:tcBorders>
          </w:tcPr>
          <w:p>
            <w:pPr>
              <w:pStyle w:val="31"/>
            </w:pPr>
            <w:r>
              <w:rPr>
                <w:rFonts w:hint="eastAsia"/>
              </w:rPr>
              <w:t>点击K线图右上角“图形标识设置”可显隐标识。</w:t>
            </w:r>
          </w:p>
        </w:tc>
        <w:tc>
          <w:tcPr>
            <w:tcW w:w="9578" w:type="dxa"/>
            <w:tcBorders>
              <w:top w:val="outset" w:color="auto" w:sz="6" w:space="0"/>
              <w:left w:val="outset" w:color="auto" w:sz="6" w:space="0"/>
              <w:bottom w:val="outset" w:color="auto" w:sz="6" w:space="0"/>
              <w:right w:val="outset" w:color="auto" w:sz="6" w:space="0"/>
            </w:tcBorders>
          </w:tcPr>
          <w:p>
            <w:pPr>
              <w:pStyle w:val="50"/>
              <w:rPr>
                <w:rFonts w:ascii="微软雅黑" w:hAnsi="微软雅黑" w:eastAsia="微软雅黑"/>
                <w:sz w:val="18"/>
                <w:szCs w:val="18"/>
              </w:rPr>
            </w:pPr>
            <w:r>
              <w:rPr>
                <w:rFonts w:ascii="微软雅黑" w:hAnsi="微软雅黑" w:eastAsia="微软雅黑"/>
                <w:sz w:val="18"/>
                <w:szCs w:val="18"/>
              </w:rPr>
              <w:fldChar w:fldCharType="begin"/>
            </w:r>
            <w:r>
              <w:rPr>
                <w:rFonts w:ascii="微软雅黑" w:hAnsi="微软雅黑" w:eastAsia="微软雅黑"/>
                <w:sz w:val="18"/>
                <w:szCs w:val="18"/>
              </w:rPr>
              <w:instrText xml:space="preserve"> INCLUDEPICTURE  "https://www.tdx.com.cn/products/helpfile/tdxw/chm/%E7%AC%AC%E4%BA%94%E7%AB%A0  %E6%B3%A8%E5%86%8C%E5%8F%8A%E6%B8%B8%E5%AE%A2%E7%99%BB%E9%99%86/5-8/3.png" \* MERGEFORMATINET </w:instrText>
            </w:r>
            <w:r>
              <w:rPr>
                <w:rFonts w:ascii="微软雅黑" w:hAnsi="微软雅黑" w:eastAsia="微软雅黑"/>
                <w:sz w:val="18"/>
                <w:szCs w:val="18"/>
              </w:rPr>
              <w:fldChar w:fldCharType="separate"/>
            </w:r>
            <w:r>
              <w:rPr>
                <w:rFonts w:ascii="微软雅黑" w:hAnsi="微软雅黑" w:eastAsia="微软雅黑"/>
                <w:sz w:val="18"/>
                <w:szCs w:val="18"/>
              </w:rPr>
              <w:fldChar w:fldCharType="begin"/>
            </w:r>
            <w:r>
              <w:rPr>
                <w:rFonts w:ascii="微软雅黑" w:hAnsi="微软雅黑" w:eastAsia="微软雅黑"/>
                <w:sz w:val="18"/>
                <w:szCs w:val="18"/>
              </w:rPr>
              <w:instrText xml:space="preserve"> INCLUDEPICTURE  "https://www.tdx.com.cn/products/helpfile/tdxw/chm/%E7%AC%AC%E4%BA%94%E7%AB%A0  %E6%B3%A8%E5%86%8C%E5%8F%8A%E6%B8%B8%E5%AE%A2%E7%99%BB%E9%99%86/5-8/3.png" \* MERGEFORMATINET </w:instrText>
            </w:r>
            <w:r>
              <w:rPr>
                <w:rFonts w:ascii="微软雅黑" w:hAnsi="微软雅黑" w:eastAsia="微软雅黑"/>
                <w:sz w:val="18"/>
                <w:szCs w:val="18"/>
              </w:rPr>
              <w:fldChar w:fldCharType="separate"/>
            </w:r>
            <w:r>
              <w:rPr>
                <w:rFonts w:ascii="微软雅黑" w:hAnsi="微软雅黑" w:eastAsia="微软雅黑"/>
                <w:sz w:val="18"/>
                <w:szCs w:val="18"/>
              </w:rPr>
              <w:fldChar w:fldCharType="begin"/>
            </w:r>
            <w:r>
              <w:rPr>
                <w:rFonts w:ascii="微软雅黑" w:hAnsi="微软雅黑" w:eastAsia="微软雅黑"/>
                <w:sz w:val="18"/>
                <w:szCs w:val="18"/>
              </w:rPr>
              <w:instrText xml:space="preserve"> INCLUDEPICTURE  "https://www.tdx.com.cn/products/helpfile/tdxw/chm/%E7%AC%AC%E4%BA%94%E7%AB%A0  %E6%B3%A8%E5%86%8C%E5%8F%8A%E6%B8%B8%E5%AE%A2%E7%99%BB%E9%99%86/5-8/3.png" \* MERGEFORMATINET </w:instrText>
            </w:r>
            <w:r>
              <w:rPr>
                <w:rFonts w:ascii="微软雅黑" w:hAnsi="微软雅黑" w:eastAsia="微软雅黑"/>
                <w:sz w:val="18"/>
                <w:szCs w:val="18"/>
              </w:rPr>
              <w:fldChar w:fldCharType="separate"/>
            </w:r>
            <w:r>
              <w:rPr>
                <w:rFonts w:ascii="微软雅黑" w:hAnsi="微软雅黑" w:eastAsia="微软雅黑"/>
                <w:sz w:val="18"/>
                <w:szCs w:val="18"/>
              </w:rPr>
              <w:fldChar w:fldCharType="begin"/>
            </w:r>
            <w:r>
              <w:rPr>
                <w:rFonts w:ascii="微软雅黑" w:hAnsi="微软雅黑" w:eastAsia="微软雅黑"/>
                <w:sz w:val="18"/>
                <w:szCs w:val="18"/>
              </w:rPr>
              <w:instrText xml:space="preserve"> INCLUDEPICTURE  "https://www.tdx.com.cn/products/helpfile/tdxw/chm/%E7%AC%AC%E4%BA%94%E7%AB%A0  %E6%B3%A8%E5%86%8C%E5%8F%8A%E6%B8%B8%E5%AE%A2%E7%99%BB%E9%99%86/5-8/3.png" \* MERGEFORMATINET </w:instrText>
            </w:r>
            <w:r>
              <w:rPr>
                <w:rFonts w:ascii="微软雅黑" w:hAnsi="微软雅黑" w:eastAsia="微软雅黑"/>
                <w:sz w:val="18"/>
                <w:szCs w:val="18"/>
              </w:rPr>
              <w:fldChar w:fldCharType="separate"/>
            </w:r>
            <w:r>
              <w:rPr>
                <w:rFonts w:ascii="微软雅黑" w:hAnsi="微软雅黑" w:eastAsia="微软雅黑"/>
                <w:sz w:val="18"/>
                <w:szCs w:val="18"/>
              </w:rPr>
              <w:drawing>
                <wp:inline distT="0" distB="0" distL="114300" distR="114300">
                  <wp:extent cx="4295775" cy="4467225"/>
                  <wp:effectExtent l="0" t="0" r="9525" b="9525"/>
                  <wp:docPr id="453" name="图片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图片 453"/>
                          <pic:cNvPicPr>
                            <a:picLocks noChangeAspect="1"/>
                          </pic:cNvPicPr>
                        </pic:nvPicPr>
                        <pic:blipFill>
                          <a:blip r:embed="rId858" r:link="rId859"/>
                          <a:stretch>
                            <a:fillRect/>
                          </a:stretch>
                        </pic:blipFill>
                        <pic:spPr>
                          <a:xfrm>
                            <a:off x="0" y="0"/>
                            <a:ext cx="4295775" cy="4467225"/>
                          </a:xfrm>
                          <a:prstGeom prst="rect">
                            <a:avLst/>
                          </a:prstGeom>
                          <a:noFill/>
                          <a:ln>
                            <a:noFill/>
                          </a:ln>
                        </pic:spPr>
                      </pic:pic>
                    </a:graphicData>
                  </a:graphic>
                </wp:inline>
              </w:drawing>
            </w:r>
            <w:r>
              <w:rPr>
                <w:rFonts w:ascii="微软雅黑" w:hAnsi="微软雅黑" w:eastAsia="微软雅黑"/>
                <w:sz w:val="18"/>
                <w:szCs w:val="18"/>
              </w:rPr>
              <w:fldChar w:fldCharType="end"/>
            </w:r>
            <w:r>
              <w:rPr>
                <w:rFonts w:ascii="微软雅黑" w:hAnsi="微软雅黑" w:eastAsia="微软雅黑"/>
                <w:sz w:val="18"/>
                <w:szCs w:val="18"/>
              </w:rPr>
              <w:fldChar w:fldCharType="end"/>
            </w:r>
            <w:r>
              <w:rPr>
                <w:rFonts w:ascii="微软雅黑" w:hAnsi="微软雅黑" w:eastAsia="微软雅黑"/>
                <w:sz w:val="18"/>
                <w:szCs w:val="18"/>
              </w:rPr>
              <w:fldChar w:fldCharType="end"/>
            </w:r>
            <w:r>
              <w:rPr>
                <w:rFonts w:ascii="微软雅黑" w:hAnsi="微软雅黑" w:eastAsia="微软雅黑"/>
                <w:sz w:val="18"/>
                <w:szCs w:val="18"/>
              </w:rPr>
              <w:fldChar w:fldCharType="end"/>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4410" w:type="dxa"/>
            <w:tcBorders>
              <w:top w:val="outset" w:color="auto" w:sz="6" w:space="0"/>
              <w:left w:val="outset" w:color="auto" w:sz="6" w:space="0"/>
              <w:bottom w:val="outset" w:color="auto" w:sz="6" w:space="0"/>
              <w:right w:val="outset" w:color="auto" w:sz="6" w:space="0"/>
            </w:tcBorders>
          </w:tcPr>
          <w:p>
            <w:pPr>
              <w:pStyle w:val="31"/>
            </w:pPr>
            <w:r>
              <w:rPr>
                <w:rFonts w:hint="eastAsia"/>
              </w:rPr>
              <w:t>进入交易设置可以自行设置起始时间。</w:t>
            </w:r>
          </w:p>
        </w:tc>
        <w:tc>
          <w:tcPr>
            <w:tcW w:w="9578" w:type="dxa"/>
            <w:tcBorders>
              <w:top w:val="outset" w:color="auto" w:sz="6" w:space="0"/>
              <w:left w:val="outset" w:color="auto" w:sz="6" w:space="0"/>
              <w:bottom w:val="outset" w:color="auto" w:sz="6" w:space="0"/>
              <w:right w:val="outset" w:color="auto" w:sz="6" w:space="0"/>
            </w:tcBorders>
          </w:tcPr>
          <w:p>
            <w:pPr>
              <w:pStyle w:val="50"/>
              <w:rPr>
                <w:rFonts w:ascii="微软雅黑" w:hAnsi="微软雅黑" w:eastAsia="微软雅黑"/>
                <w:sz w:val="18"/>
                <w:szCs w:val="18"/>
              </w:rPr>
            </w:pPr>
            <w:r>
              <w:rPr>
                <w:rFonts w:ascii="微软雅黑" w:hAnsi="微软雅黑" w:eastAsia="微软雅黑"/>
                <w:sz w:val="18"/>
                <w:szCs w:val="18"/>
              </w:rPr>
              <w:fldChar w:fldCharType="begin"/>
            </w:r>
            <w:r>
              <w:rPr>
                <w:rFonts w:ascii="微软雅黑" w:hAnsi="微软雅黑" w:eastAsia="微软雅黑"/>
                <w:sz w:val="18"/>
                <w:szCs w:val="18"/>
              </w:rPr>
              <w:instrText xml:space="preserve"> INCLUDEPICTURE  "https://www.tdx.com.cn/products/helpfile/tdxw/chm/%E7%AC%AC%E4%BA%94%E7%AB%A0  %E6%B3%A8%E5%86%8C%E5%8F%8A%E6%B8%B8%E5%AE%A2%E7%99%BB%E9%99%86/5-8/4.png" \* MERGEFORMATINET </w:instrText>
            </w:r>
            <w:r>
              <w:rPr>
                <w:rFonts w:ascii="微软雅黑" w:hAnsi="微软雅黑" w:eastAsia="微软雅黑"/>
                <w:sz w:val="18"/>
                <w:szCs w:val="18"/>
              </w:rPr>
              <w:fldChar w:fldCharType="separate"/>
            </w:r>
            <w:r>
              <w:rPr>
                <w:rFonts w:ascii="微软雅黑" w:hAnsi="微软雅黑" w:eastAsia="微软雅黑"/>
                <w:sz w:val="18"/>
                <w:szCs w:val="18"/>
              </w:rPr>
              <w:fldChar w:fldCharType="begin"/>
            </w:r>
            <w:r>
              <w:rPr>
                <w:rFonts w:ascii="微软雅黑" w:hAnsi="微软雅黑" w:eastAsia="微软雅黑"/>
                <w:sz w:val="18"/>
                <w:szCs w:val="18"/>
              </w:rPr>
              <w:instrText xml:space="preserve"> INCLUDEPICTURE  "https://www.tdx.com.cn/products/helpfile/tdxw/chm/%E7%AC%AC%E4%BA%94%E7%AB%A0  %E6%B3%A8%E5%86%8C%E5%8F%8A%E6%B8%B8%E5%AE%A2%E7%99%BB%E9%99%86/5-8/4.png" \* MERGEFORMATINET </w:instrText>
            </w:r>
            <w:r>
              <w:rPr>
                <w:rFonts w:ascii="微软雅黑" w:hAnsi="微软雅黑" w:eastAsia="微软雅黑"/>
                <w:sz w:val="18"/>
                <w:szCs w:val="18"/>
              </w:rPr>
              <w:fldChar w:fldCharType="separate"/>
            </w:r>
            <w:r>
              <w:rPr>
                <w:rFonts w:ascii="微软雅黑" w:hAnsi="微软雅黑" w:eastAsia="微软雅黑"/>
                <w:sz w:val="18"/>
                <w:szCs w:val="18"/>
              </w:rPr>
              <w:fldChar w:fldCharType="begin"/>
            </w:r>
            <w:r>
              <w:rPr>
                <w:rFonts w:ascii="微软雅黑" w:hAnsi="微软雅黑" w:eastAsia="微软雅黑"/>
                <w:sz w:val="18"/>
                <w:szCs w:val="18"/>
              </w:rPr>
              <w:instrText xml:space="preserve"> INCLUDEPICTURE  "https://www.tdx.com.cn/products/helpfile/tdxw/chm/%E7%AC%AC%E4%BA%94%E7%AB%A0  %E6%B3%A8%E5%86%8C%E5%8F%8A%E6%B8%B8%E5%AE%A2%E7%99%BB%E9%99%86/5-8/4.png" \* MERGEFORMATINET </w:instrText>
            </w:r>
            <w:r>
              <w:rPr>
                <w:rFonts w:ascii="微软雅黑" w:hAnsi="微软雅黑" w:eastAsia="微软雅黑"/>
                <w:sz w:val="18"/>
                <w:szCs w:val="18"/>
              </w:rPr>
              <w:fldChar w:fldCharType="separate"/>
            </w:r>
            <w:r>
              <w:rPr>
                <w:rFonts w:ascii="微软雅黑" w:hAnsi="微软雅黑" w:eastAsia="微软雅黑"/>
                <w:sz w:val="18"/>
                <w:szCs w:val="18"/>
              </w:rPr>
              <w:fldChar w:fldCharType="begin"/>
            </w:r>
            <w:r>
              <w:rPr>
                <w:rFonts w:ascii="微软雅黑" w:hAnsi="微软雅黑" w:eastAsia="微软雅黑"/>
                <w:sz w:val="18"/>
                <w:szCs w:val="18"/>
              </w:rPr>
              <w:instrText xml:space="preserve"> INCLUDEPICTURE  "https://www.tdx.com.cn/products/helpfile/tdxw/chm/%E7%AC%AC%E4%BA%94%E7%AB%A0  %E6%B3%A8%E5%86%8C%E5%8F%8A%E6%B8%B8%E5%AE%A2%E7%99%BB%E9%99%86/5-8/4.png" \* MERGEFORMATINET </w:instrText>
            </w:r>
            <w:r>
              <w:rPr>
                <w:rFonts w:ascii="微软雅黑" w:hAnsi="微软雅黑" w:eastAsia="微软雅黑"/>
                <w:sz w:val="18"/>
                <w:szCs w:val="18"/>
              </w:rPr>
              <w:fldChar w:fldCharType="separate"/>
            </w:r>
            <w:r>
              <w:rPr>
                <w:rFonts w:ascii="微软雅黑" w:hAnsi="微软雅黑" w:eastAsia="微软雅黑"/>
                <w:sz w:val="18"/>
                <w:szCs w:val="18"/>
              </w:rPr>
              <w:drawing>
                <wp:inline distT="0" distB="0" distL="114300" distR="114300">
                  <wp:extent cx="4848225" cy="4000500"/>
                  <wp:effectExtent l="0" t="0" r="9525" b="0"/>
                  <wp:docPr id="454" name="图片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图片 454"/>
                          <pic:cNvPicPr>
                            <a:picLocks noChangeAspect="1"/>
                          </pic:cNvPicPr>
                        </pic:nvPicPr>
                        <pic:blipFill>
                          <a:blip r:embed="rId860" r:link="rId861"/>
                          <a:stretch>
                            <a:fillRect/>
                          </a:stretch>
                        </pic:blipFill>
                        <pic:spPr>
                          <a:xfrm>
                            <a:off x="0" y="0"/>
                            <a:ext cx="4848225" cy="4000500"/>
                          </a:xfrm>
                          <a:prstGeom prst="rect">
                            <a:avLst/>
                          </a:prstGeom>
                          <a:noFill/>
                          <a:ln>
                            <a:noFill/>
                          </a:ln>
                        </pic:spPr>
                      </pic:pic>
                    </a:graphicData>
                  </a:graphic>
                </wp:inline>
              </w:drawing>
            </w:r>
            <w:r>
              <w:rPr>
                <w:rFonts w:ascii="微软雅黑" w:hAnsi="微软雅黑" w:eastAsia="微软雅黑"/>
                <w:sz w:val="18"/>
                <w:szCs w:val="18"/>
              </w:rPr>
              <w:fldChar w:fldCharType="end"/>
            </w:r>
            <w:r>
              <w:rPr>
                <w:rFonts w:ascii="微软雅黑" w:hAnsi="微软雅黑" w:eastAsia="微软雅黑"/>
                <w:sz w:val="18"/>
                <w:szCs w:val="18"/>
              </w:rPr>
              <w:fldChar w:fldCharType="end"/>
            </w:r>
            <w:r>
              <w:rPr>
                <w:rFonts w:ascii="微软雅黑" w:hAnsi="微软雅黑" w:eastAsia="微软雅黑"/>
                <w:sz w:val="18"/>
                <w:szCs w:val="18"/>
              </w:rPr>
              <w:fldChar w:fldCharType="end"/>
            </w:r>
            <w:r>
              <w:rPr>
                <w:rFonts w:ascii="微软雅黑" w:hAnsi="微软雅黑" w:eastAsia="微软雅黑"/>
                <w:sz w:val="18"/>
                <w:szCs w:val="18"/>
              </w:rPr>
              <w:fldChar w:fldCharType="end"/>
            </w:r>
          </w:p>
        </w:tc>
      </w:tr>
    </w:tbl>
    <w:p/>
    <w:p>
      <w:pPr>
        <w:pStyle w:val="3"/>
      </w:pPr>
      <w:r>
        <w:rPr>
          <w:rFonts w:hint="eastAsia"/>
        </w:rPr>
        <w:t>屏幕管理</w:t>
      </w:r>
      <w:bookmarkEnd w:id="64"/>
    </w:p>
    <w:p>
      <w:pPr>
        <w:pStyle w:val="34"/>
        <w:rPr>
          <w:kern w:val="0"/>
        </w:rPr>
      </w:pPr>
      <w:r>
        <w:rPr>
          <w:rFonts w:hint="eastAsia"/>
          <w:kern w:val="0"/>
        </w:rPr>
        <w:t>可以设置单屏/多屏/分屏等。</w:t>
      </w:r>
    </w:p>
    <w:p>
      <w:pPr>
        <w:pStyle w:val="34"/>
        <w:ind w:firstLine="540"/>
        <w:rPr>
          <w:kern w:val="0"/>
          <w:sz w:val="27"/>
          <w:szCs w:val="27"/>
        </w:rPr>
      </w:pPr>
      <w:r>
        <w:rPr>
          <w:kern w:val="0"/>
          <w:sz w:val="27"/>
          <w:szCs w:val="27"/>
        </w:rPr>
        <w:fldChar w:fldCharType="begin"/>
      </w:r>
      <w:r>
        <w:rPr>
          <w:kern w:val="0"/>
          <w:sz w:val="27"/>
          <w:szCs w:val="27"/>
        </w:rPr>
        <w:instrText xml:space="preserve"> INCLUDEPICTURE  "https://www.tdx.com.cn/products/helpfile/tdxw/chm/%E7%AC%AC%E4%BA%94%E7%AB%A0  %E6%B3%A8%E5%86%8C%E5%8F%8A%E6%B8%B8%E5%AE%A2%E7%99%BB%E9%99%86/5-7/1.png" \* MERGEFORMATINET </w:instrText>
      </w:r>
      <w:r>
        <w:rPr>
          <w:kern w:val="0"/>
          <w:sz w:val="27"/>
          <w:szCs w:val="27"/>
        </w:rPr>
        <w:fldChar w:fldCharType="separate"/>
      </w:r>
      <w:r>
        <w:rPr>
          <w:kern w:val="0"/>
          <w:sz w:val="27"/>
          <w:szCs w:val="27"/>
        </w:rPr>
        <w:fldChar w:fldCharType="begin"/>
      </w:r>
      <w:r>
        <w:rPr>
          <w:kern w:val="0"/>
          <w:sz w:val="27"/>
          <w:szCs w:val="27"/>
        </w:rPr>
        <w:instrText xml:space="preserve"> INCLUDEPICTURE  "https://www.tdx.com.cn/products/helpfile/tdxw/chm/%E7%AC%AC%E4%BA%94%E7%AB%A0  %E6%B3%A8%E5%86%8C%E5%8F%8A%E6%B8%B8%E5%AE%A2%E7%99%BB%E9%99%86/5-7/1.png" \* MERGEFORMATINET </w:instrText>
      </w:r>
      <w:r>
        <w:rPr>
          <w:kern w:val="0"/>
          <w:sz w:val="27"/>
          <w:szCs w:val="27"/>
        </w:rPr>
        <w:fldChar w:fldCharType="separate"/>
      </w:r>
      <w:r>
        <w:rPr>
          <w:kern w:val="0"/>
          <w:sz w:val="27"/>
          <w:szCs w:val="27"/>
        </w:rPr>
        <w:fldChar w:fldCharType="begin"/>
      </w:r>
      <w:r>
        <w:rPr>
          <w:kern w:val="0"/>
          <w:sz w:val="27"/>
          <w:szCs w:val="27"/>
        </w:rPr>
        <w:instrText xml:space="preserve"> INCLUDEPICTURE  "https://www.tdx.com.cn/products/helpfile/tdxw/chm/%E7%AC%AC%E4%BA%94%E7%AB%A0  %E6%B3%A8%E5%86%8C%E5%8F%8A%E6%B8%B8%E5%AE%A2%E7%99%BB%E9%99%86/5-7/1.png" \* MERGEFORMATINET </w:instrText>
      </w:r>
      <w:r>
        <w:rPr>
          <w:kern w:val="0"/>
          <w:sz w:val="27"/>
          <w:szCs w:val="27"/>
        </w:rPr>
        <w:fldChar w:fldCharType="separate"/>
      </w:r>
      <w:r>
        <w:rPr>
          <w:kern w:val="0"/>
          <w:sz w:val="27"/>
          <w:szCs w:val="27"/>
        </w:rPr>
        <w:fldChar w:fldCharType="begin"/>
      </w:r>
      <w:r>
        <w:rPr>
          <w:kern w:val="0"/>
          <w:sz w:val="27"/>
          <w:szCs w:val="27"/>
        </w:rPr>
        <w:instrText xml:space="preserve"> INCLUDEPICTURE  "https://www.tdx.com.cn/products/helpfile/tdxw/chm/%E7%AC%AC%E4%BA%94%E7%AB%A0  %E6%B3%A8%E5%86%8C%E5%8F%8A%E6%B8%B8%E5%AE%A2%E7%99%BB%E9%99%86/5-7/1.png" \* MERGEFORMATINET </w:instrText>
      </w:r>
      <w:r>
        <w:rPr>
          <w:kern w:val="0"/>
          <w:sz w:val="27"/>
          <w:szCs w:val="27"/>
        </w:rPr>
        <w:fldChar w:fldCharType="separate"/>
      </w:r>
      <w:r>
        <w:rPr>
          <w:kern w:val="0"/>
          <w:sz w:val="27"/>
          <w:szCs w:val="27"/>
        </w:rPr>
        <w:drawing>
          <wp:inline distT="0" distB="0" distL="114300" distR="114300">
            <wp:extent cx="2476500" cy="5181600"/>
            <wp:effectExtent l="0" t="0" r="0" b="0"/>
            <wp:docPr id="455" name="图片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图片 455"/>
                    <pic:cNvPicPr>
                      <a:picLocks noChangeAspect="1"/>
                    </pic:cNvPicPr>
                  </pic:nvPicPr>
                  <pic:blipFill>
                    <a:blip r:embed="rId862" r:link="rId863"/>
                    <a:stretch>
                      <a:fillRect/>
                    </a:stretch>
                  </pic:blipFill>
                  <pic:spPr>
                    <a:xfrm>
                      <a:off x="0" y="0"/>
                      <a:ext cx="2476500" cy="5181600"/>
                    </a:xfrm>
                    <a:prstGeom prst="rect">
                      <a:avLst/>
                    </a:prstGeom>
                    <a:noFill/>
                    <a:ln>
                      <a:noFill/>
                    </a:ln>
                  </pic:spPr>
                </pic:pic>
              </a:graphicData>
            </a:graphic>
          </wp:inline>
        </w:drawing>
      </w:r>
      <w:r>
        <w:rPr>
          <w:kern w:val="0"/>
          <w:sz w:val="27"/>
          <w:szCs w:val="27"/>
        </w:rPr>
        <w:fldChar w:fldCharType="end"/>
      </w:r>
      <w:r>
        <w:rPr>
          <w:kern w:val="0"/>
          <w:sz w:val="27"/>
          <w:szCs w:val="27"/>
        </w:rPr>
        <w:fldChar w:fldCharType="end"/>
      </w:r>
      <w:r>
        <w:rPr>
          <w:kern w:val="0"/>
          <w:sz w:val="27"/>
          <w:szCs w:val="27"/>
        </w:rPr>
        <w:fldChar w:fldCharType="end"/>
      </w:r>
      <w:r>
        <w:rPr>
          <w:kern w:val="0"/>
          <w:sz w:val="27"/>
          <w:szCs w:val="27"/>
        </w:rPr>
        <w:fldChar w:fldCharType="end"/>
      </w:r>
    </w:p>
    <w:p>
      <w:pPr>
        <w:pStyle w:val="34"/>
        <w:ind w:firstLine="542"/>
        <w:rPr>
          <w:kern w:val="0"/>
          <w:sz w:val="27"/>
          <w:szCs w:val="27"/>
        </w:rPr>
      </w:pPr>
      <w:r>
        <w:rPr>
          <w:rFonts w:hint="eastAsia"/>
          <w:b/>
          <w:bCs/>
          <w:color w:val="FF0000"/>
          <w:kern w:val="0"/>
          <w:sz w:val="27"/>
          <w:szCs w:val="27"/>
        </w:rPr>
        <w:t>屏幕设置</w:t>
      </w:r>
      <w:r>
        <w:rPr>
          <w:rFonts w:hint="eastAsia"/>
          <w:kern w:val="0"/>
          <w:sz w:val="27"/>
          <w:szCs w:val="27"/>
        </w:rPr>
        <w:t>：</w:t>
      </w:r>
    </w:p>
    <w:p>
      <w:pPr>
        <w:pStyle w:val="34"/>
        <w:ind w:firstLine="540"/>
        <w:rPr>
          <w:kern w:val="0"/>
          <w:sz w:val="27"/>
          <w:szCs w:val="27"/>
        </w:rPr>
      </w:pPr>
      <w:r>
        <w:rPr>
          <w:kern w:val="0"/>
          <w:sz w:val="27"/>
          <w:szCs w:val="27"/>
        </w:rPr>
        <w:fldChar w:fldCharType="begin"/>
      </w:r>
      <w:r>
        <w:rPr>
          <w:kern w:val="0"/>
          <w:sz w:val="27"/>
          <w:szCs w:val="27"/>
        </w:rPr>
        <w:instrText xml:space="preserve"> INCLUDEPICTURE  "https://www.tdx.com.cn/products/helpfile/tdxw/chm/%E7%AC%AC%E4%BA%94%E7%AB%A0  %E6%B3%A8%E5%86%8C%E5%8F%8A%E6%B8%B8%E5%AE%A2%E7%99%BB%E9%99%86/5-7/2.png" \* MERGEFORMATINET </w:instrText>
      </w:r>
      <w:r>
        <w:rPr>
          <w:kern w:val="0"/>
          <w:sz w:val="27"/>
          <w:szCs w:val="27"/>
        </w:rPr>
        <w:fldChar w:fldCharType="separate"/>
      </w:r>
      <w:r>
        <w:rPr>
          <w:kern w:val="0"/>
          <w:sz w:val="27"/>
          <w:szCs w:val="27"/>
        </w:rPr>
        <w:fldChar w:fldCharType="begin"/>
      </w:r>
      <w:r>
        <w:rPr>
          <w:kern w:val="0"/>
          <w:sz w:val="27"/>
          <w:szCs w:val="27"/>
        </w:rPr>
        <w:instrText xml:space="preserve"> INCLUDEPICTURE  "https://www.tdx.com.cn/products/helpfile/tdxw/chm/%E7%AC%AC%E4%BA%94%E7%AB%A0  %E6%B3%A8%E5%86%8C%E5%8F%8A%E6%B8%B8%E5%AE%A2%E7%99%BB%E9%99%86/5-7/2.png" \* MERGEFORMATINET </w:instrText>
      </w:r>
      <w:r>
        <w:rPr>
          <w:kern w:val="0"/>
          <w:sz w:val="27"/>
          <w:szCs w:val="27"/>
        </w:rPr>
        <w:fldChar w:fldCharType="separate"/>
      </w:r>
      <w:r>
        <w:rPr>
          <w:kern w:val="0"/>
          <w:sz w:val="27"/>
          <w:szCs w:val="27"/>
        </w:rPr>
        <w:fldChar w:fldCharType="begin"/>
      </w:r>
      <w:r>
        <w:rPr>
          <w:kern w:val="0"/>
          <w:sz w:val="27"/>
          <w:szCs w:val="27"/>
        </w:rPr>
        <w:instrText xml:space="preserve"> INCLUDEPICTURE  "https://www.tdx.com.cn/products/helpfile/tdxw/chm/%E7%AC%AC%E4%BA%94%E7%AB%A0  %E6%B3%A8%E5%86%8C%E5%8F%8A%E6%B8%B8%E5%AE%A2%E7%99%BB%E9%99%86/5-7/2.png" \* MERGEFORMATINET </w:instrText>
      </w:r>
      <w:r>
        <w:rPr>
          <w:kern w:val="0"/>
          <w:sz w:val="27"/>
          <w:szCs w:val="27"/>
        </w:rPr>
        <w:fldChar w:fldCharType="separate"/>
      </w:r>
      <w:r>
        <w:rPr>
          <w:kern w:val="0"/>
          <w:sz w:val="27"/>
          <w:szCs w:val="27"/>
        </w:rPr>
        <w:fldChar w:fldCharType="begin"/>
      </w:r>
      <w:r>
        <w:rPr>
          <w:kern w:val="0"/>
          <w:sz w:val="27"/>
          <w:szCs w:val="27"/>
        </w:rPr>
        <w:instrText xml:space="preserve"> INCLUDEPICTURE  "https://www.tdx.com.cn/products/helpfile/tdxw/chm/%E7%AC%AC%E4%BA%94%E7%AB%A0  %E6%B3%A8%E5%86%8C%E5%8F%8A%E6%B8%B8%E5%AE%A2%E7%99%BB%E9%99%86/5-7/2.png" \* MERGEFORMATINET </w:instrText>
      </w:r>
      <w:r>
        <w:rPr>
          <w:kern w:val="0"/>
          <w:sz w:val="27"/>
          <w:szCs w:val="27"/>
        </w:rPr>
        <w:fldChar w:fldCharType="separate"/>
      </w:r>
      <w:r>
        <w:rPr>
          <w:kern w:val="0"/>
          <w:sz w:val="27"/>
          <w:szCs w:val="27"/>
        </w:rPr>
        <w:drawing>
          <wp:inline distT="0" distB="0" distL="114300" distR="114300">
            <wp:extent cx="2409825" cy="3867150"/>
            <wp:effectExtent l="0" t="0" r="9525" b="0"/>
            <wp:docPr id="456" name="图片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图片 456"/>
                    <pic:cNvPicPr>
                      <a:picLocks noChangeAspect="1"/>
                    </pic:cNvPicPr>
                  </pic:nvPicPr>
                  <pic:blipFill>
                    <a:blip r:embed="rId864" r:link="rId865"/>
                    <a:stretch>
                      <a:fillRect/>
                    </a:stretch>
                  </pic:blipFill>
                  <pic:spPr>
                    <a:xfrm>
                      <a:off x="0" y="0"/>
                      <a:ext cx="2409825" cy="3867150"/>
                    </a:xfrm>
                    <a:prstGeom prst="rect">
                      <a:avLst/>
                    </a:prstGeom>
                    <a:noFill/>
                    <a:ln>
                      <a:noFill/>
                    </a:ln>
                  </pic:spPr>
                </pic:pic>
              </a:graphicData>
            </a:graphic>
          </wp:inline>
        </w:drawing>
      </w:r>
      <w:r>
        <w:rPr>
          <w:kern w:val="0"/>
          <w:sz w:val="27"/>
          <w:szCs w:val="27"/>
        </w:rPr>
        <w:fldChar w:fldCharType="end"/>
      </w:r>
      <w:r>
        <w:rPr>
          <w:kern w:val="0"/>
          <w:sz w:val="27"/>
          <w:szCs w:val="27"/>
        </w:rPr>
        <w:fldChar w:fldCharType="end"/>
      </w:r>
      <w:r>
        <w:rPr>
          <w:kern w:val="0"/>
          <w:sz w:val="27"/>
          <w:szCs w:val="27"/>
        </w:rPr>
        <w:fldChar w:fldCharType="end"/>
      </w:r>
      <w:r>
        <w:rPr>
          <w:kern w:val="0"/>
          <w:sz w:val="27"/>
          <w:szCs w:val="27"/>
        </w:rPr>
        <w:fldChar w:fldCharType="end"/>
      </w:r>
    </w:p>
    <w:p>
      <w:pPr>
        <w:pStyle w:val="34"/>
        <w:ind w:firstLine="542"/>
        <w:rPr>
          <w:b/>
          <w:bCs/>
          <w:color w:val="FF0000"/>
          <w:kern w:val="0"/>
          <w:sz w:val="27"/>
          <w:szCs w:val="27"/>
        </w:rPr>
      </w:pPr>
      <w:r>
        <w:rPr>
          <w:rFonts w:hint="eastAsia"/>
          <w:b/>
          <w:bCs/>
          <w:color w:val="FF0000"/>
          <w:kern w:val="0"/>
          <w:sz w:val="27"/>
          <w:szCs w:val="27"/>
        </w:rPr>
        <w:t>多屏：</w:t>
      </w:r>
    </w:p>
    <w:p>
      <w:pPr>
        <w:pStyle w:val="34"/>
        <w:rPr>
          <w:kern w:val="0"/>
        </w:rPr>
      </w:pPr>
      <w:r>
        <w:rPr>
          <w:rFonts w:hint="eastAsia"/>
          <w:kern w:val="0"/>
        </w:rPr>
        <w:t>选择多屏后，副屏内容是固定的，只有点到相关功能才能在副屏上显示，不能自定义副屏内容。</w:t>
      </w:r>
    </w:p>
    <w:p>
      <w:pPr>
        <w:pStyle w:val="34"/>
        <w:rPr>
          <w:kern w:val="0"/>
        </w:rPr>
      </w:pPr>
      <w:r>
        <w:rPr>
          <w:rFonts w:hint="eastAsia"/>
          <w:kern w:val="0"/>
        </w:rPr>
        <w:t>以下是五个副屏：</w:t>
      </w:r>
    </w:p>
    <w:p>
      <w:pPr>
        <w:pStyle w:val="34"/>
        <w:rPr>
          <w:kern w:val="0"/>
        </w:rPr>
      </w:pPr>
      <w:r>
        <w:rPr>
          <w:rFonts w:hint="eastAsia"/>
          <w:kern w:val="0"/>
        </w:rPr>
        <w:t>1K线图或分时图或多股同列等共用屏二</w:t>
      </w:r>
    </w:p>
    <w:p>
      <w:pPr>
        <w:pStyle w:val="34"/>
        <w:rPr>
          <w:kern w:val="0"/>
        </w:rPr>
      </w:pPr>
      <w:r>
        <w:rPr>
          <w:rFonts w:hint="eastAsia"/>
          <w:kern w:val="0"/>
        </w:rPr>
        <w:t>2历史行情指标排序等</w:t>
      </w:r>
    </w:p>
    <w:p>
      <w:pPr>
        <w:pStyle w:val="34"/>
        <w:rPr>
          <w:kern w:val="0"/>
        </w:rPr>
      </w:pPr>
      <w:r>
        <w:rPr>
          <w:rFonts w:hint="eastAsia"/>
          <w:kern w:val="0"/>
        </w:rPr>
        <w:t>3策略股票池等</w:t>
      </w:r>
    </w:p>
    <w:p>
      <w:pPr>
        <w:pStyle w:val="34"/>
        <w:rPr>
          <w:kern w:val="0"/>
        </w:rPr>
      </w:pPr>
      <w:r>
        <w:rPr>
          <w:rFonts w:hint="eastAsia"/>
          <w:kern w:val="0"/>
        </w:rPr>
        <w:t>4资讯</w:t>
      </w:r>
    </w:p>
    <w:p>
      <w:pPr>
        <w:pStyle w:val="34"/>
        <w:rPr>
          <w:kern w:val="0"/>
        </w:rPr>
      </w:pPr>
      <w:r>
        <w:rPr>
          <w:rFonts w:hint="eastAsia"/>
          <w:kern w:val="0"/>
        </w:rPr>
        <w:t>5图文F10</w:t>
      </w:r>
    </w:p>
    <w:p>
      <w:pPr>
        <w:pStyle w:val="3"/>
      </w:pPr>
      <w:bookmarkStart w:id="65" w:name="_Toc90646185"/>
      <w:r>
        <w:rPr>
          <w:rFonts w:hint="eastAsia"/>
        </w:rPr>
        <w:t>分类资讯</w:t>
      </w:r>
      <w:bookmarkEnd w:id="65"/>
    </w:p>
    <w:p>
      <w:pPr>
        <w:pStyle w:val="34"/>
        <w:ind w:firstLine="360"/>
      </w:pPr>
      <w:r>
        <w:rPr>
          <w:rStyle w:val="51"/>
          <w:rFonts w:hint="eastAsia" w:ascii="微软雅黑" w:hAnsi="微软雅黑" w:eastAsia="微软雅黑"/>
          <w:color w:val="000000"/>
          <w:sz w:val="18"/>
          <w:szCs w:val="18"/>
        </w:rPr>
        <w:t>打开方式：软件主菜单——资讯</w:t>
      </w:r>
      <w:r>
        <w:fldChar w:fldCharType="begin"/>
      </w:r>
      <w:r>
        <w:instrText xml:space="preserve"> INCLUDEPICTURE  "https://www.tdx.com.cn/products/helpfile/tdxw/chm/%E7%AC%AC%E4%BA%94%E7%AB%A0  %E6%B3%A8%E5%86%8C%E5%8F%8A%E6%B8%B8%E5%AE%A2%E7%99%BB%E9%99%86/5-8/0.2.png" \* MERGEFORMATINET </w:instrText>
      </w:r>
      <w:r>
        <w:fldChar w:fldCharType="separate"/>
      </w:r>
      <w:r>
        <w:fldChar w:fldCharType="begin"/>
      </w:r>
      <w:r>
        <w:instrText xml:space="preserve"> INCLUDEPICTURE  "https://www.tdx.com.cn/products/helpfile/tdxw/chm/%E7%AC%AC%E4%BA%94%E7%AB%A0  %E6%B3%A8%E5%86%8C%E5%8F%8A%E6%B8%B8%E5%AE%A2%E7%99%BB%E9%99%86/5-8/0.2.png" \* MERGEFORMATINET </w:instrText>
      </w:r>
      <w:r>
        <w:fldChar w:fldCharType="separate"/>
      </w:r>
      <w:r>
        <w:fldChar w:fldCharType="begin"/>
      </w:r>
      <w:r>
        <w:instrText xml:space="preserve"> INCLUDEPICTURE  "https://www.tdx.com.cn/products/helpfile/tdxw/chm/%E7%AC%AC%E4%BA%94%E7%AB%A0  %E6%B3%A8%E5%86%8C%E5%8F%8A%E6%B8%B8%E5%AE%A2%E7%99%BB%E9%99%86/5-8/0.2.png" \* MERGEFORMATINET </w:instrText>
      </w:r>
      <w:r>
        <w:fldChar w:fldCharType="separate"/>
      </w:r>
      <w:r>
        <w:fldChar w:fldCharType="begin"/>
      </w:r>
      <w:r>
        <w:instrText xml:space="preserve"> INCLUDEPICTURE  "https://www.tdx.com.cn/products/helpfile/tdxw/chm/%E7%AC%AC%E4%BA%94%E7%AB%A0  %E6%B3%A8%E5%86%8C%E5%8F%8A%E6%B8%B8%E5%AE%A2%E7%99%BB%E9%99%86/5-8/0.2.png" \* MERGEFORMATINET </w:instrText>
      </w:r>
      <w:r>
        <w:fldChar w:fldCharType="separate"/>
      </w:r>
      <w:r>
        <w:drawing>
          <wp:inline distT="0" distB="0" distL="114300" distR="114300">
            <wp:extent cx="4257675" cy="828675"/>
            <wp:effectExtent l="0" t="0" r="9525" b="9525"/>
            <wp:docPr id="457" name="图片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图片 457"/>
                    <pic:cNvPicPr>
                      <a:picLocks noChangeAspect="1"/>
                    </pic:cNvPicPr>
                  </pic:nvPicPr>
                  <pic:blipFill>
                    <a:blip r:embed="rId866" r:link="rId853"/>
                    <a:stretch>
                      <a:fillRect/>
                    </a:stretch>
                  </pic:blipFill>
                  <pic:spPr>
                    <a:xfrm>
                      <a:off x="0" y="0"/>
                      <a:ext cx="4257675" cy="828675"/>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通过 Chrome浏览器内核，快速方便的浏览各高端分类资讯。 包括资讯首页、精华资讯、宏观财报、自选股资讯、财经资讯、股票频道、产经频道、新股频道、新股频道、港股频道、美股频道、基金频道、期货频道、理财频道、外汇频道、债券频道、公司公告和行业数据等。</w:t>
      </w:r>
    </w:p>
    <w:p>
      <w:pPr>
        <w:pStyle w:val="34"/>
      </w:pPr>
      <w:r>
        <w:rPr>
          <w:rFonts w:hint="eastAsia"/>
        </w:rPr>
        <w:t>★机构观点★ </w:t>
      </w:r>
    </w:p>
    <w:p>
      <w:pPr>
        <w:pStyle w:val="34"/>
      </w:pPr>
      <w:r>
        <w:rPr>
          <w:rFonts w:hint="eastAsia"/>
        </w:rPr>
        <w:t>机构观点展示市场策略、行业观点、个股解读、宏观大势四项基本内容。 </w:t>
      </w:r>
    </w:p>
    <w:p>
      <w:pPr>
        <w:pStyle w:val="34"/>
      </w:pPr>
      <w:r>
        <w:rPr>
          <w:rFonts w:hint="eastAsia"/>
        </w:rPr>
        <w:t>1市场策略：市场策略展示主要券商发布的宏观行业策略研报摘要，实现对宏观经济和市场大势的研判。信息发布及时，信息最近更新至当前交易日。</w:t>
      </w:r>
    </w:p>
    <w:p>
      <w:pPr>
        <w:pStyle w:val="34"/>
      </w:pPr>
      <w:r>
        <w:rPr>
          <w:rFonts w:hint="eastAsia"/>
        </w:rPr>
        <w:t>2行业观点：行业观点展示主要券商发布的热点行业研报摘要，实现对行业板块的研判。</w:t>
      </w:r>
    </w:p>
    <w:p>
      <w:pPr>
        <w:pStyle w:val="34"/>
      </w:pPr>
      <w:r>
        <w:rPr>
          <w:rFonts w:hint="eastAsia"/>
        </w:rPr>
        <w:t>3个股解读：个股解读示主要券商发布的重点个股研报摘要，实现对个股行情走势的诊断。</w:t>
      </w:r>
    </w:p>
    <w:p>
      <w:pPr>
        <w:pStyle w:val="34"/>
      </w:pPr>
      <w:r>
        <w:rPr>
          <w:rFonts w:hint="eastAsia"/>
        </w:rPr>
        <w:t>4宏观大势：宏观大势展示宏观经济财经摘要。</w:t>
      </w:r>
    </w:p>
    <w:p>
      <w:pPr>
        <w:pStyle w:val="34"/>
      </w:pPr>
      <w:r>
        <w:fldChar w:fldCharType="begin"/>
      </w:r>
      <w:r>
        <w:instrText xml:space="preserve"> INCLUDEPICTURE  "https://www.tdx.com.cn/products/helpfile/tdxw/chm/%E7%AC%AC%E4%BA%94%E7%AB%A0  %E6%B3%A8%E5%86%8C%E5%8F%8A%E6%B8%B8%E5%AE%A2%E7%99%BB%E9%99%86/5-8/1.png" \* MERGEFORMATINET </w:instrText>
      </w:r>
      <w:r>
        <w:fldChar w:fldCharType="separate"/>
      </w:r>
      <w:r>
        <w:fldChar w:fldCharType="begin"/>
      </w:r>
      <w:r>
        <w:instrText xml:space="preserve"> INCLUDEPICTURE  "https://www.tdx.com.cn/products/helpfile/tdxw/chm/%E7%AC%AC%E4%BA%94%E7%AB%A0  %E6%B3%A8%E5%86%8C%E5%8F%8A%E6%B8%B8%E5%AE%A2%E7%99%BB%E9%99%86/5-8/1.png" \* MERGEFORMATINET </w:instrText>
      </w:r>
      <w:r>
        <w:fldChar w:fldCharType="separate"/>
      </w:r>
      <w:r>
        <w:fldChar w:fldCharType="begin"/>
      </w:r>
      <w:r>
        <w:instrText xml:space="preserve"> INCLUDEPICTURE  "https://www.tdx.com.cn/products/helpfile/tdxw/chm/%E7%AC%AC%E4%BA%94%E7%AB%A0  %E6%B3%A8%E5%86%8C%E5%8F%8A%E6%B8%B8%E5%AE%A2%E7%99%BB%E9%99%86/5-8/1.png" \* MERGEFORMATINET </w:instrText>
      </w:r>
      <w:r>
        <w:fldChar w:fldCharType="separate"/>
      </w:r>
      <w:r>
        <w:fldChar w:fldCharType="begin"/>
      </w:r>
      <w:r>
        <w:instrText xml:space="preserve"> INCLUDEPICTURE  "https://www.tdx.com.cn/products/helpfile/tdxw/chm/%E7%AC%AC%E4%BA%94%E7%AB%A0  %E6%B3%A8%E5%86%8C%E5%8F%8A%E6%B8%B8%E5%AE%A2%E7%99%BB%E9%99%86/5-8/1.png" \* MERGEFORMATINET </w:instrText>
      </w:r>
      <w:r>
        <w:fldChar w:fldCharType="separate"/>
      </w:r>
      <w:r>
        <w:drawing>
          <wp:inline distT="0" distB="0" distL="114300" distR="114300">
            <wp:extent cx="8334375" cy="4953000"/>
            <wp:effectExtent l="0" t="0" r="9525" b="0"/>
            <wp:docPr id="458" name="图片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图片 458"/>
                    <pic:cNvPicPr>
                      <a:picLocks noChangeAspect="1"/>
                    </pic:cNvPicPr>
                  </pic:nvPicPr>
                  <pic:blipFill>
                    <a:blip r:embed="rId867" r:link="rId855"/>
                    <a:stretch>
                      <a:fillRect/>
                    </a:stretch>
                  </pic:blipFill>
                  <pic:spPr>
                    <a:xfrm>
                      <a:off x="0" y="0"/>
                      <a:ext cx="8334375" cy="4953000"/>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 盘前参考 ★ </w:t>
      </w:r>
    </w:p>
    <w:p>
      <w:pPr>
        <w:pStyle w:val="34"/>
      </w:pPr>
      <w:r>
        <w:rPr>
          <w:rFonts w:hint="eastAsia"/>
        </w:rPr>
        <w:t>盘前参考可以成为大家开盘前的“精简报纸”，帮助大家快速浏览最新一日的新闻要点。展示包括宏观经济、国内股市、产经聚焦、公司观察、基金动态、全球经济、海外股市、期货外汇全方面内容，同样点击每项内容中的某个条目展示界面回到此项内容的开始部分。 </w:t>
      </w:r>
    </w:p>
    <w:p>
      <w:pPr>
        <w:pStyle w:val="34"/>
      </w:pPr>
      <w:r>
        <w:rPr>
          <w:rFonts w:hint="eastAsia"/>
        </w:rPr>
        <w:t>1宏观经济 ：宏观经济展示国内重要政策动向、宏观经济数据如政府融资支持政策、商业景色指数等财经资讯。</w:t>
      </w:r>
    </w:p>
    <w:p>
      <w:pPr>
        <w:pStyle w:val="34"/>
      </w:pPr>
      <w:r>
        <w:rPr>
          <w:rFonts w:hint="eastAsia"/>
        </w:rPr>
        <w:t>2国内股市 ：国内股市展示影响A股市场的重要信息和A股相关的重要数据统计分析情况。</w:t>
      </w:r>
    </w:p>
    <w:p>
      <w:pPr>
        <w:pStyle w:val="34"/>
      </w:pPr>
      <w:r>
        <w:rPr>
          <w:rFonts w:hint="eastAsia"/>
        </w:rPr>
        <w:t>3产经聚集 ：产经聚集展示当日行业板块政策等的重要精简资讯。</w:t>
      </w:r>
    </w:p>
    <w:p>
      <w:pPr>
        <w:pStyle w:val="34"/>
      </w:pPr>
      <w:r>
        <w:rPr>
          <w:rFonts w:hint="eastAsia"/>
        </w:rPr>
        <w:t>4公司观察 ：公司观察展示可能对个股股价产生重要影响的精简资讯。</w:t>
      </w:r>
    </w:p>
    <w:p>
      <w:pPr>
        <w:pStyle w:val="34"/>
      </w:pPr>
      <w:r>
        <w:rPr>
          <w:rFonts w:hint="eastAsia"/>
        </w:rPr>
        <w:t>5基金动态 ：基金动态展示基金市场的重点精简资讯。</w:t>
      </w:r>
    </w:p>
    <w:p>
      <w:pPr>
        <w:pStyle w:val="34"/>
      </w:pPr>
      <w:r>
        <w:rPr>
          <w:rFonts w:hint="eastAsia"/>
        </w:rPr>
        <w:t>6全球经济 ：全球经济展示海外市场重要的财经要闻。</w:t>
      </w:r>
    </w:p>
    <w:p>
      <w:pPr>
        <w:pStyle w:val="34"/>
      </w:pPr>
      <w:r>
        <w:rPr>
          <w:rFonts w:hint="eastAsia"/>
        </w:rPr>
        <w:t>7海外股市 ：海外股市展示海外主要股指表现概览。</w:t>
      </w:r>
    </w:p>
    <w:p>
      <w:pPr>
        <w:pStyle w:val="34"/>
      </w:pPr>
      <w:r>
        <w:rPr>
          <w:rFonts w:hint="eastAsia"/>
        </w:rPr>
        <w:t>8期货外汇 ：期货外汇即时展示全球外汇、期货市场重要资讯。</w:t>
      </w:r>
    </w:p>
    <w:p>
      <w:pPr>
        <w:pStyle w:val="34"/>
      </w:pPr>
      <w:r>
        <w:fldChar w:fldCharType="begin"/>
      </w:r>
      <w:r>
        <w:instrText xml:space="preserve"> INCLUDEPICTURE  "https://www.tdx.com.cn/products/helpfile/tdxw/chm/%E7%AC%AC%E4%BA%94%E7%AB%A0  %E6%B3%A8%E5%86%8C%E5%8F%8A%E6%B8%B8%E5%AE%A2%E7%99%BB%E9%99%86/5-8/2.png" \* MERGEFORMATINET </w:instrText>
      </w:r>
      <w:r>
        <w:fldChar w:fldCharType="separate"/>
      </w:r>
      <w:r>
        <w:fldChar w:fldCharType="begin"/>
      </w:r>
      <w:r>
        <w:instrText xml:space="preserve"> INCLUDEPICTURE  "https://www.tdx.com.cn/products/helpfile/tdxw/chm/%E7%AC%AC%E4%BA%94%E7%AB%A0  %E6%B3%A8%E5%86%8C%E5%8F%8A%E6%B8%B8%E5%AE%A2%E7%99%BB%E9%99%86/5-8/2.png" \* MERGEFORMATINET </w:instrText>
      </w:r>
      <w:r>
        <w:fldChar w:fldCharType="separate"/>
      </w:r>
      <w:r>
        <w:fldChar w:fldCharType="begin"/>
      </w:r>
      <w:r>
        <w:instrText xml:space="preserve"> INCLUDEPICTURE  "https://www.tdx.com.cn/products/helpfile/tdxw/chm/%E7%AC%AC%E4%BA%94%E7%AB%A0  %E6%B3%A8%E5%86%8C%E5%8F%8A%E6%B8%B8%E5%AE%A2%E7%99%BB%E9%99%86/5-8/2.png" \* MERGEFORMATINET </w:instrText>
      </w:r>
      <w:r>
        <w:fldChar w:fldCharType="separate"/>
      </w:r>
      <w:r>
        <w:fldChar w:fldCharType="begin"/>
      </w:r>
      <w:r>
        <w:instrText xml:space="preserve"> INCLUDEPICTURE  "https://www.tdx.com.cn/products/helpfile/tdxw/chm/%E7%AC%AC%E4%BA%94%E7%AB%A0  %E6%B3%A8%E5%86%8C%E5%8F%8A%E6%B8%B8%E5%AE%A2%E7%99%BB%E9%99%86/5-8/2.png" \* MERGEFORMATINET </w:instrText>
      </w:r>
      <w:r>
        <w:fldChar w:fldCharType="separate"/>
      </w:r>
      <w:r>
        <w:drawing>
          <wp:inline distT="0" distB="0" distL="114300" distR="114300">
            <wp:extent cx="8734425" cy="5191125"/>
            <wp:effectExtent l="0" t="0" r="9525" b="9525"/>
            <wp:docPr id="459" name="图片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图片 459"/>
                    <pic:cNvPicPr>
                      <a:picLocks noChangeAspect="1"/>
                    </pic:cNvPicPr>
                  </pic:nvPicPr>
                  <pic:blipFill>
                    <a:blip r:embed="rId868" r:link="rId857"/>
                    <a:stretch>
                      <a:fillRect/>
                    </a:stretch>
                  </pic:blipFill>
                  <pic:spPr>
                    <a:xfrm>
                      <a:off x="0" y="0"/>
                      <a:ext cx="8734425" cy="5191125"/>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p>
    <w:p>
      <w:pPr>
        <w:pStyle w:val="34"/>
      </w:pPr>
      <w:r>
        <w:rPr>
          <w:rFonts w:hint="eastAsia"/>
        </w:rPr>
        <w:t>★ 盘后回顾 ★ </w:t>
      </w:r>
    </w:p>
    <w:p>
      <w:pPr>
        <w:pStyle w:val="34"/>
      </w:pPr>
      <w:r>
        <w:rPr>
          <w:rFonts w:hint="eastAsia"/>
        </w:rPr>
        <w:t>盘后回顾是对宏观经济、国内股市、产经聚集、公司观察、基金动态、全球经济、海外股市、外汇市场全方面内容等进行的收盘后评析，以机构、专家的视角评析当天交易期间的重要事件。同样点击每项内容中的某个条目展示界面回到此项内容的开始部分。</w:t>
      </w:r>
    </w:p>
    <w:p>
      <w:pPr>
        <w:pStyle w:val="34"/>
      </w:pPr>
      <w:r>
        <w:rPr>
          <w:rFonts w:hint="eastAsia"/>
        </w:rPr>
        <w:t>此项数据内容一般会在收盘之后一个小时内更新完毕，如果当天数据没有更新的话，就显示历史数据。</w:t>
      </w:r>
    </w:p>
    <w:p>
      <w:pPr>
        <w:pStyle w:val="34"/>
      </w:pPr>
      <w:r>
        <w:rPr>
          <w:rFonts w:hint="eastAsia"/>
        </w:rPr>
        <w:t>盘口回顾内容同每日盘前参考内容项目相同，多了盘后点评部分。</w:t>
      </w:r>
    </w:p>
    <w:p>
      <w:pPr>
        <w:pStyle w:val="34"/>
      </w:pPr>
      <w:r>
        <w:fldChar w:fldCharType="begin"/>
      </w:r>
      <w:r>
        <w:instrText xml:space="preserve"> INCLUDEPICTURE  "https://www.tdx.com.cn/products/helpfile/tdxw/chm/%E7%AC%AC%E4%BA%94%E7%AB%A0  %E6%B3%A8%E5%86%8C%E5%8F%8A%E6%B8%B8%E5%AE%A2%E7%99%BB%E9%99%86/5-8/3.png" \* MERGEFORMATINET </w:instrText>
      </w:r>
      <w:r>
        <w:fldChar w:fldCharType="separate"/>
      </w:r>
      <w:r>
        <w:fldChar w:fldCharType="begin"/>
      </w:r>
      <w:r>
        <w:instrText xml:space="preserve"> INCLUDEPICTURE  "https://www.tdx.com.cn/products/helpfile/tdxw/chm/%E7%AC%AC%E4%BA%94%E7%AB%A0  %E6%B3%A8%E5%86%8C%E5%8F%8A%E6%B8%B8%E5%AE%A2%E7%99%BB%E9%99%86/5-8/3.png" \* MERGEFORMATINET </w:instrText>
      </w:r>
      <w:r>
        <w:fldChar w:fldCharType="separate"/>
      </w:r>
      <w:r>
        <w:fldChar w:fldCharType="begin"/>
      </w:r>
      <w:r>
        <w:instrText xml:space="preserve"> INCLUDEPICTURE  "https://www.tdx.com.cn/products/helpfile/tdxw/chm/%E7%AC%AC%E4%BA%94%E7%AB%A0  %E6%B3%A8%E5%86%8C%E5%8F%8A%E6%B8%B8%E5%AE%A2%E7%99%BB%E9%99%86/5-8/3.png" \* MERGEFORMATINET </w:instrText>
      </w:r>
      <w:r>
        <w:fldChar w:fldCharType="separate"/>
      </w:r>
      <w:r>
        <w:fldChar w:fldCharType="begin"/>
      </w:r>
      <w:r>
        <w:instrText xml:space="preserve"> INCLUDEPICTURE  "https://www.tdx.com.cn/products/helpfile/tdxw/chm/%E7%AC%AC%E4%BA%94%E7%AB%A0  %E6%B3%A8%E5%86%8C%E5%8F%8A%E6%B8%B8%E5%AE%A2%E7%99%BB%E9%99%86/5-8/3.png" \* MERGEFORMATINET </w:instrText>
      </w:r>
      <w:r>
        <w:fldChar w:fldCharType="separate"/>
      </w:r>
      <w:r>
        <w:drawing>
          <wp:inline distT="0" distB="0" distL="114300" distR="114300">
            <wp:extent cx="8124825" cy="4857750"/>
            <wp:effectExtent l="0" t="0" r="9525" b="0"/>
            <wp:docPr id="460" name="图片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图片 460"/>
                    <pic:cNvPicPr>
                      <a:picLocks noChangeAspect="1"/>
                    </pic:cNvPicPr>
                  </pic:nvPicPr>
                  <pic:blipFill>
                    <a:blip r:embed="rId869" r:link="rId859"/>
                    <a:stretch>
                      <a:fillRect/>
                    </a:stretch>
                  </pic:blipFill>
                  <pic:spPr>
                    <a:xfrm>
                      <a:off x="0" y="0"/>
                      <a:ext cx="8124825" cy="4857750"/>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公司公告：整合了公司定期报告，融资公告，提示性公告等信息，客户可以直观的了解公司公告。</w:t>
      </w:r>
    </w:p>
    <w:p>
      <w:pPr>
        <w:pStyle w:val="34"/>
      </w:pPr>
      <w:r>
        <w:fldChar w:fldCharType="begin"/>
      </w:r>
      <w:r>
        <w:instrText xml:space="preserve"> INCLUDEPICTURE  "https://www.tdx.com.cn/products/helpfile/tdxw/chm/%E7%AC%AC%E4%BA%94%E7%AB%A0  %E6%B3%A8%E5%86%8C%E5%8F%8A%E6%B8%B8%E5%AE%A2%E7%99%BB%E9%99%86/5-8/4.png" \* MERGEFORMATINET </w:instrText>
      </w:r>
      <w:r>
        <w:fldChar w:fldCharType="separate"/>
      </w:r>
      <w:r>
        <w:fldChar w:fldCharType="begin"/>
      </w:r>
      <w:r>
        <w:instrText xml:space="preserve"> INCLUDEPICTURE  "https://www.tdx.com.cn/products/helpfile/tdxw/chm/%E7%AC%AC%E4%BA%94%E7%AB%A0  %E6%B3%A8%E5%86%8C%E5%8F%8A%E6%B8%B8%E5%AE%A2%E7%99%BB%E9%99%86/5-8/4.png" \* MERGEFORMATINET </w:instrText>
      </w:r>
      <w:r>
        <w:fldChar w:fldCharType="separate"/>
      </w:r>
      <w:r>
        <w:fldChar w:fldCharType="begin"/>
      </w:r>
      <w:r>
        <w:instrText xml:space="preserve"> INCLUDEPICTURE  "https://www.tdx.com.cn/products/helpfile/tdxw/chm/%E7%AC%AC%E4%BA%94%E7%AB%A0  %E6%B3%A8%E5%86%8C%E5%8F%8A%E6%B8%B8%E5%AE%A2%E7%99%BB%E9%99%86/5-8/4.png" \* MERGEFORMATINET </w:instrText>
      </w:r>
      <w:r>
        <w:fldChar w:fldCharType="separate"/>
      </w:r>
      <w:r>
        <w:fldChar w:fldCharType="begin"/>
      </w:r>
      <w:r>
        <w:instrText xml:space="preserve"> INCLUDEPICTURE  "https://www.tdx.com.cn/products/helpfile/tdxw/chm/%E7%AC%AC%E4%BA%94%E7%AB%A0  %E6%B3%A8%E5%86%8C%E5%8F%8A%E6%B8%B8%E5%AE%A2%E7%99%BB%E9%99%86/5-8/4.png" \* MERGEFORMATINET </w:instrText>
      </w:r>
      <w:r>
        <w:fldChar w:fldCharType="separate"/>
      </w:r>
      <w:r>
        <w:drawing>
          <wp:inline distT="0" distB="0" distL="114300" distR="114300">
            <wp:extent cx="7591425" cy="4514850"/>
            <wp:effectExtent l="0" t="0" r="9525" b="0"/>
            <wp:docPr id="461" name="图片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图片 461"/>
                    <pic:cNvPicPr>
                      <a:picLocks noChangeAspect="1"/>
                    </pic:cNvPicPr>
                  </pic:nvPicPr>
                  <pic:blipFill>
                    <a:blip r:embed="rId870" r:link="rId861"/>
                    <a:stretch>
                      <a:fillRect/>
                    </a:stretch>
                  </pic:blipFill>
                  <pic:spPr>
                    <a:xfrm>
                      <a:off x="0" y="0"/>
                      <a:ext cx="7591425" cy="4514850"/>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行业数据：展示金融保险（存款基准利率，贷款基准利率，金融机构，股票账户，基金账户，人民币汇率），化工产品（甲醇、LLDPE、PTA、PVC等），有色金属（黄金、白银、铝、铜等），种植业（棉花、白纱糖，天然橡胶、大豆、豆油、玉米、小麦），能源产品（原油、国内汽油、国内柴油、航空汽油等）的价格以及其他产业价格变动数据信息和价格走势。</w:t>
      </w:r>
    </w:p>
    <w:p>
      <w:pPr>
        <w:pStyle w:val="34"/>
      </w:pPr>
      <w:r>
        <w:fldChar w:fldCharType="begin"/>
      </w:r>
      <w:r>
        <w:instrText xml:space="preserve"> INCLUDEPICTURE  "https://www.tdx.com.cn/products/helpfile/tdxw/chm/%E7%AC%AC%E4%BA%94%E7%AB%A0  %E6%B3%A8%E5%86%8C%E5%8F%8A%E6%B8%B8%E5%AE%A2%E7%99%BB%E9%99%86/5-8/5.png" \* MERGEFORMATINET </w:instrText>
      </w:r>
      <w:r>
        <w:fldChar w:fldCharType="separate"/>
      </w:r>
      <w:r>
        <w:fldChar w:fldCharType="begin"/>
      </w:r>
      <w:r>
        <w:instrText xml:space="preserve"> INCLUDEPICTURE  "https://www.tdx.com.cn/products/helpfile/tdxw/chm/%E7%AC%AC%E4%BA%94%E7%AB%A0  %E6%B3%A8%E5%86%8C%E5%8F%8A%E6%B8%B8%E5%AE%A2%E7%99%BB%E9%99%86/5-8/5.png" \* MERGEFORMATINET </w:instrText>
      </w:r>
      <w:r>
        <w:fldChar w:fldCharType="separate"/>
      </w:r>
      <w:r>
        <w:fldChar w:fldCharType="begin"/>
      </w:r>
      <w:r>
        <w:instrText xml:space="preserve"> INCLUDEPICTURE  "https://www.tdx.com.cn/products/helpfile/tdxw/chm/%E7%AC%AC%E4%BA%94%E7%AB%A0  %E6%B3%A8%E5%86%8C%E5%8F%8A%E6%B8%B8%E5%AE%A2%E7%99%BB%E9%99%86/5-8/5.png" \* MERGEFORMATINET </w:instrText>
      </w:r>
      <w:r>
        <w:fldChar w:fldCharType="separate"/>
      </w:r>
      <w:r>
        <w:fldChar w:fldCharType="begin"/>
      </w:r>
      <w:r>
        <w:instrText xml:space="preserve"> INCLUDEPICTURE  "https://www.tdx.com.cn/products/helpfile/tdxw/chm/%E7%AC%AC%E4%BA%94%E7%AB%A0  %E6%B3%A8%E5%86%8C%E5%8F%8A%E6%B8%B8%E5%AE%A2%E7%99%BB%E9%99%86/5-8/5.png" \* MERGEFORMATINET </w:instrText>
      </w:r>
      <w:r>
        <w:fldChar w:fldCharType="separate"/>
      </w:r>
      <w:r>
        <w:drawing>
          <wp:inline distT="0" distB="0" distL="114300" distR="114300">
            <wp:extent cx="7077075" cy="4200525"/>
            <wp:effectExtent l="0" t="0" r="9525" b="9525"/>
            <wp:docPr id="462" name="图片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图片 462"/>
                    <pic:cNvPicPr>
                      <a:picLocks noChangeAspect="1"/>
                    </pic:cNvPicPr>
                  </pic:nvPicPr>
                  <pic:blipFill>
                    <a:blip r:embed="rId871" r:link="rId872"/>
                    <a:stretch>
                      <a:fillRect/>
                    </a:stretch>
                  </pic:blipFill>
                  <pic:spPr>
                    <a:xfrm>
                      <a:off x="0" y="0"/>
                      <a:ext cx="7077075" cy="4200525"/>
                    </a:xfrm>
                    <a:prstGeom prst="rect">
                      <a:avLst/>
                    </a:prstGeom>
                    <a:noFill/>
                    <a:ln>
                      <a:noFill/>
                    </a:ln>
                  </pic:spPr>
                </pic:pic>
              </a:graphicData>
            </a:graphic>
          </wp:inline>
        </w:drawing>
      </w:r>
      <w:r>
        <w:fldChar w:fldCharType="end"/>
      </w:r>
      <w:r>
        <w:fldChar w:fldCharType="end"/>
      </w:r>
      <w:r>
        <w:fldChar w:fldCharType="end"/>
      </w:r>
      <w:r>
        <w:fldChar w:fldCharType="end"/>
      </w:r>
    </w:p>
    <w:p>
      <w:pPr>
        <w:pStyle w:val="3"/>
      </w:pPr>
      <w:bookmarkStart w:id="66" w:name="_Toc90646186"/>
      <w:r>
        <w:rPr>
          <w:rFonts w:hint="eastAsia"/>
        </w:rPr>
        <w:t>问达功能</w:t>
      </w:r>
      <w:bookmarkEnd w:id="66"/>
    </w:p>
    <w:p>
      <w:pPr>
        <w:pStyle w:val="34"/>
      </w:pPr>
      <w:r>
        <w:rPr>
          <w:rFonts w:hint="eastAsia"/>
        </w:rPr>
        <w:t>通达信问达是一款通过AI人工智能技术,汇集行情、资讯、数据库以及各大功能组件于一体,具备信息聚合以及机器学习在内的多项功能的智能服务产品。搜索出来的股票可以加入自选和板块，方便分析。</w:t>
      </w:r>
    </w:p>
    <w:p>
      <w:pPr>
        <w:pStyle w:val="34"/>
      </w:pPr>
      <w:r>
        <w:rPr>
          <w:rFonts w:hint="eastAsia"/>
        </w:rPr>
        <w:t>AI问达功能模块 ：</w:t>
      </w:r>
    </w:p>
    <w:tbl>
      <w:tblPr>
        <w:tblStyle w:val="25"/>
        <w:tblW w:w="0" w:type="auto"/>
        <w:tblCellSpacing w:w="0" w:type="dxa"/>
        <w:tblInd w:w="0" w:type="dxa"/>
        <w:tblBorders>
          <w:top w:val="outset" w:color="auto" w:sz="6" w:space="0"/>
          <w:left w:val="outset" w:color="auto" w:sz="6" w:space="0"/>
          <w:bottom w:val="outset" w:color="auto" w:sz="6" w:space="0"/>
          <w:right w:val="outset" w:color="auto" w:sz="6" w:space="0"/>
          <w:insideH w:val="none" w:color="auto" w:sz="0" w:space="0"/>
          <w:insideV w:val="none" w:color="auto" w:sz="0" w:space="0"/>
        </w:tblBorders>
        <w:tblLayout w:type="autofit"/>
        <w:tblCellMar>
          <w:top w:w="0" w:type="dxa"/>
          <w:left w:w="0" w:type="dxa"/>
          <w:bottom w:w="0" w:type="dxa"/>
          <w:right w:w="0" w:type="dxa"/>
        </w:tblCellMar>
      </w:tblPr>
      <w:tblGrid>
        <w:gridCol w:w="1821"/>
        <w:gridCol w:w="1909"/>
        <w:gridCol w:w="10258"/>
      </w:tblGrid>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845"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模块名</w:t>
            </w:r>
          </w:p>
        </w:tc>
        <w:tc>
          <w:tcPr>
            <w:tcW w:w="1935" w:type="dxa"/>
            <w:tcBorders>
              <w:top w:val="outset" w:color="auto" w:sz="6" w:space="0"/>
              <w:left w:val="outset" w:color="auto" w:sz="6" w:space="0"/>
              <w:bottom w:val="outset" w:color="auto" w:sz="6" w:space="0"/>
              <w:right w:val="outset" w:color="auto" w:sz="6" w:space="0"/>
            </w:tcBorders>
          </w:tcPr>
          <w:p>
            <w:pPr>
              <w:pStyle w:val="34"/>
            </w:pPr>
            <w:r>
              <w:rPr>
                <w:rFonts w:hint="eastAsia"/>
              </w:rPr>
              <w:t>功能模块</w:t>
            </w:r>
          </w:p>
        </w:tc>
        <w:tc>
          <w:tcPr>
            <w:tcW w:w="10410" w:type="dxa"/>
            <w:tcBorders>
              <w:top w:val="outset" w:color="auto" w:sz="6" w:space="0"/>
              <w:left w:val="outset" w:color="auto" w:sz="6" w:space="0"/>
              <w:bottom w:val="outset" w:color="auto" w:sz="6" w:space="0"/>
              <w:right w:val="outset" w:color="auto" w:sz="6" w:space="0"/>
            </w:tcBorders>
          </w:tcPr>
          <w:p>
            <w:pPr>
              <w:pStyle w:val="34"/>
            </w:pPr>
            <w:r>
              <w:rPr>
                <w:rFonts w:hint="eastAsia"/>
              </w:rPr>
              <w:t>功能说明</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845" w:type="dxa"/>
            <w:vMerge w:val="restart"/>
            <w:tcBorders>
              <w:top w:val="outset" w:color="auto" w:sz="6" w:space="0"/>
              <w:left w:val="outset" w:color="auto" w:sz="6" w:space="0"/>
              <w:bottom w:val="outset" w:color="auto" w:sz="6" w:space="0"/>
              <w:right w:val="outset" w:color="auto" w:sz="6" w:space="0"/>
            </w:tcBorders>
          </w:tcPr>
          <w:p>
            <w:pPr>
              <w:pStyle w:val="34"/>
            </w:pPr>
            <w:r>
              <w:rPr>
                <w:rFonts w:hint="eastAsia"/>
              </w:rPr>
              <w:t>主页面</w:t>
            </w:r>
          </w:p>
        </w:tc>
        <w:tc>
          <w:tcPr>
            <w:tcW w:w="1935" w:type="dxa"/>
            <w:tcBorders>
              <w:top w:val="outset" w:color="auto" w:sz="6" w:space="0"/>
              <w:left w:val="outset" w:color="auto" w:sz="6" w:space="0"/>
              <w:bottom w:val="outset" w:color="auto" w:sz="6" w:space="0"/>
              <w:right w:val="outset" w:color="auto" w:sz="6" w:space="0"/>
            </w:tcBorders>
          </w:tcPr>
          <w:p>
            <w:pPr>
              <w:pStyle w:val="34"/>
            </w:pPr>
            <w:r>
              <w:rPr>
                <w:rFonts w:hint="eastAsia"/>
              </w:rPr>
              <w:t>问达首页</w:t>
            </w:r>
          </w:p>
        </w:tc>
        <w:tc>
          <w:tcPr>
            <w:tcW w:w="10410" w:type="dxa"/>
            <w:tcBorders>
              <w:top w:val="outset" w:color="auto" w:sz="6" w:space="0"/>
              <w:left w:val="outset" w:color="auto" w:sz="6" w:space="0"/>
              <w:bottom w:val="outset" w:color="auto" w:sz="6" w:space="0"/>
              <w:right w:val="outset" w:color="auto" w:sz="6" w:space="0"/>
            </w:tcBorders>
          </w:tcPr>
          <w:p>
            <w:pPr>
              <w:pStyle w:val="34"/>
            </w:pPr>
            <w:r>
              <w:rPr>
                <w:rFonts w:hint="eastAsia"/>
              </w:rPr>
              <w:t>点击切换回问达首界面</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vMerge w:val="continue"/>
            <w:tcBorders>
              <w:top w:val="outset" w:color="auto" w:sz="6" w:space="0"/>
              <w:left w:val="outset" w:color="auto" w:sz="6" w:space="0"/>
              <w:bottom w:val="outset" w:color="auto" w:sz="6" w:space="0"/>
              <w:right w:val="outset" w:color="auto" w:sz="6" w:space="0"/>
            </w:tcBorders>
            <w:vAlign w:val="center"/>
          </w:tcPr>
          <w:p>
            <w:pPr>
              <w:pStyle w:val="34"/>
            </w:pPr>
          </w:p>
        </w:tc>
        <w:tc>
          <w:tcPr>
            <w:tcW w:w="1935" w:type="dxa"/>
            <w:tcBorders>
              <w:top w:val="outset" w:color="auto" w:sz="6" w:space="0"/>
              <w:left w:val="outset" w:color="auto" w:sz="6" w:space="0"/>
              <w:bottom w:val="outset" w:color="auto" w:sz="6" w:space="0"/>
              <w:right w:val="outset" w:color="auto" w:sz="6" w:space="0"/>
            </w:tcBorders>
          </w:tcPr>
          <w:p>
            <w:pPr>
              <w:pStyle w:val="34"/>
            </w:pPr>
            <w:r>
              <w:rPr>
                <w:rFonts w:hint="eastAsia"/>
              </w:rPr>
              <w:t>股海神搜</w:t>
            </w:r>
          </w:p>
        </w:tc>
        <w:tc>
          <w:tcPr>
            <w:tcW w:w="10410" w:type="dxa"/>
            <w:tcBorders>
              <w:top w:val="outset" w:color="auto" w:sz="6" w:space="0"/>
              <w:left w:val="outset" w:color="auto" w:sz="6" w:space="0"/>
              <w:bottom w:val="outset" w:color="auto" w:sz="6" w:space="0"/>
              <w:right w:val="outset" w:color="auto" w:sz="6" w:space="0"/>
            </w:tcBorders>
          </w:tcPr>
          <w:p>
            <w:pPr>
              <w:pStyle w:val="34"/>
            </w:pPr>
            <w:r>
              <w:rPr>
                <w:rFonts w:hint="eastAsia"/>
              </w:rPr>
              <w:t>点击展开多条件选股界面，多维度筛选目标股票</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vMerge w:val="continue"/>
            <w:tcBorders>
              <w:top w:val="outset" w:color="auto" w:sz="6" w:space="0"/>
              <w:left w:val="outset" w:color="auto" w:sz="6" w:space="0"/>
              <w:bottom w:val="outset" w:color="auto" w:sz="6" w:space="0"/>
              <w:right w:val="outset" w:color="auto" w:sz="6" w:space="0"/>
            </w:tcBorders>
            <w:vAlign w:val="center"/>
          </w:tcPr>
          <w:p>
            <w:pPr>
              <w:pStyle w:val="34"/>
            </w:pPr>
          </w:p>
        </w:tc>
        <w:tc>
          <w:tcPr>
            <w:tcW w:w="1935" w:type="dxa"/>
            <w:tcBorders>
              <w:top w:val="outset" w:color="auto" w:sz="6" w:space="0"/>
              <w:left w:val="outset" w:color="auto" w:sz="6" w:space="0"/>
              <w:bottom w:val="outset" w:color="auto" w:sz="6" w:space="0"/>
              <w:right w:val="outset" w:color="auto" w:sz="6" w:space="0"/>
            </w:tcBorders>
          </w:tcPr>
          <w:p>
            <w:pPr>
              <w:pStyle w:val="34"/>
            </w:pPr>
            <w:r>
              <w:rPr>
                <w:rFonts w:hint="eastAsia"/>
              </w:rPr>
              <w:t>搜索栏</w:t>
            </w:r>
          </w:p>
        </w:tc>
        <w:tc>
          <w:tcPr>
            <w:tcW w:w="10410" w:type="dxa"/>
            <w:tcBorders>
              <w:top w:val="outset" w:color="auto" w:sz="6" w:space="0"/>
              <w:left w:val="outset" w:color="auto" w:sz="6" w:space="0"/>
              <w:bottom w:val="outset" w:color="auto" w:sz="6" w:space="0"/>
              <w:right w:val="outset" w:color="auto" w:sz="6" w:space="0"/>
            </w:tcBorders>
          </w:tcPr>
          <w:p>
            <w:pPr>
              <w:pStyle w:val="34"/>
            </w:pPr>
            <w:r>
              <w:rPr>
                <w:rFonts w:hint="eastAsia"/>
              </w:rPr>
              <w:t>输入搜索词条，点击搜索可以搜索词条答案；展示历史搜索记录</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vMerge w:val="continue"/>
            <w:tcBorders>
              <w:top w:val="outset" w:color="auto" w:sz="6" w:space="0"/>
              <w:left w:val="outset" w:color="auto" w:sz="6" w:space="0"/>
              <w:bottom w:val="outset" w:color="auto" w:sz="6" w:space="0"/>
              <w:right w:val="outset" w:color="auto" w:sz="6" w:space="0"/>
            </w:tcBorders>
            <w:vAlign w:val="center"/>
          </w:tcPr>
          <w:p>
            <w:pPr>
              <w:pStyle w:val="34"/>
            </w:pPr>
          </w:p>
        </w:tc>
        <w:tc>
          <w:tcPr>
            <w:tcW w:w="1935" w:type="dxa"/>
            <w:tcBorders>
              <w:top w:val="outset" w:color="auto" w:sz="6" w:space="0"/>
              <w:left w:val="outset" w:color="auto" w:sz="6" w:space="0"/>
              <w:bottom w:val="outset" w:color="auto" w:sz="6" w:space="0"/>
              <w:right w:val="outset" w:color="auto" w:sz="6" w:space="0"/>
            </w:tcBorders>
          </w:tcPr>
          <w:p>
            <w:pPr>
              <w:pStyle w:val="34"/>
            </w:pPr>
            <w:r>
              <w:rPr>
                <w:rFonts w:hint="eastAsia"/>
              </w:rPr>
              <w:t>全文检索</w:t>
            </w:r>
          </w:p>
        </w:tc>
        <w:tc>
          <w:tcPr>
            <w:tcW w:w="10410" w:type="dxa"/>
            <w:tcBorders>
              <w:top w:val="outset" w:color="auto" w:sz="6" w:space="0"/>
              <w:left w:val="outset" w:color="auto" w:sz="6" w:space="0"/>
              <w:bottom w:val="outset" w:color="auto" w:sz="6" w:space="0"/>
              <w:right w:val="outset" w:color="auto" w:sz="6" w:space="0"/>
            </w:tcBorders>
          </w:tcPr>
          <w:p>
            <w:pPr>
              <w:pStyle w:val="34"/>
            </w:pPr>
            <w:r>
              <w:rPr>
                <w:rFonts w:hint="eastAsia"/>
              </w:rPr>
              <w:t>可以对输入搜索词在新闻、研报、公告等多方面进行全文检索，并自定义资讯检索的时间范围</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vMerge w:val="continue"/>
            <w:tcBorders>
              <w:top w:val="outset" w:color="auto" w:sz="6" w:space="0"/>
              <w:left w:val="outset" w:color="auto" w:sz="6" w:space="0"/>
              <w:bottom w:val="outset" w:color="auto" w:sz="6" w:space="0"/>
              <w:right w:val="outset" w:color="auto" w:sz="6" w:space="0"/>
            </w:tcBorders>
            <w:vAlign w:val="center"/>
          </w:tcPr>
          <w:p>
            <w:pPr>
              <w:pStyle w:val="34"/>
            </w:pPr>
          </w:p>
        </w:tc>
        <w:tc>
          <w:tcPr>
            <w:tcW w:w="1935" w:type="dxa"/>
            <w:tcBorders>
              <w:top w:val="outset" w:color="auto" w:sz="6" w:space="0"/>
              <w:left w:val="outset" w:color="auto" w:sz="6" w:space="0"/>
              <w:bottom w:val="outset" w:color="auto" w:sz="6" w:space="0"/>
              <w:right w:val="outset" w:color="auto" w:sz="6" w:space="0"/>
            </w:tcBorders>
          </w:tcPr>
          <w:p>
            <w:pPr>
              <w:pStyle w:val="34"/>
            </w:pPr>
            <w:r>
              <w:rPr>
                <w:rFonts w:hint="eastAsia"/>
              </w:rPr>
              <w:t>问句推荐</w:t>
            </w:r>
          </w:p>
        </w:tc>
        <w:tc>
          <w:tcPr>
            <w:tcW w:w="10410" w:type="dxa"/>
            <w:tcBorders>
              <w:top w:val="outset" w:color="auto" w:sz="6" w:space="0"/>
              <w:left w:val="outset" w:color="auto" w:sz="6" w:space="0"/>
              <w:bottom w:val="outset" w:color="auto" w:sz="6" w:space="0"/>
              <w:right w:val="outset" w:color="auto" w:sz="6" w:space="0"/>
            </w:tcBorders>
          </w:tcPr>
          <w:p>
            <w:pPr>
              <w:pStyle w:val="34"/>
            </w:pPr>
            <w:r>
              <w:rPr>
                <w:rFonts w:hint="eastAsia"/>
              </w:rPr>
              <w:t>从热门话题、板块主题、价值发现、股票技术形态、股票阶段表现、股票财务指标、资讯检索、个股详情、答疑解惑等多维度基于股票基础知识、市场热点、股票基本面和技术面为用户推荐热点搜索问句</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vMerge w:val="continue"/>
            <w:tcBorders>
              <w:top w:val="outset" w:color="auto" w:sz="6" w:space="0"/>
              <w:left w:val="outset" w:color="auto" w:sz="6" w:space="0"/>
              <w:bottom w:val="outset" w:color="auto" w:sz="6" w:space="0"/>
              <w:right w:val="outset" w:color="auto" w:sz="6" w:space="0"/>
            </w:tcBorders>
            <w:vAlign w:val="center"/>
          </w:tcPr>
          <w:p>
            <w:pPr>
              <w:pStyle w:val="34"/>
            </w:pPr>
          </w:p>
        </w:tc>
        <w:tc>
          <w:tcPr>
            <w:tcW w:w="1935" w:type="dxa"/>
            <w:tcBorders>
              <w:top w:val="outset" w:color="auto" w:sz="6" w:space="0"/>
              <w:left w:val="outset" w:color="auto" w:sz="6" w:space="0"/>
              <w:bottom w:val="outset" w:color="auto" w:sz="6" w:space="0"/>
              <w:right w:val="outset" w:color="auto" w:sz="6" w:space="0"/>
            </w:tcBorders>
          </w:tcPr>
          <w:p>
            <w:pPr>
              <w:pStyle w:val="34"/>
            </w:pPr>
            <w:r>
              <w:rPr>
                <w:rFonts w:hint="eastAsia"/>
              </w:rPr>
              <w:t>超级热搜</w:t>
            </w:r>
          </w:p>
        </w:tc>
        <w:tc>
          <w:tcPr>
            <w:tcW w:w="10410" w:type="dxa"/>
            <w:tcBorders>
              <w:top w:val="outset" w:color="auto" w:sz="6" w:space="0"/>
              <w:left w:val="outset" w:color="auto" w:sz="6" w:space="0"/>
              <w:bottom w:val="outset" w:color="auto" w:sz="6" w:space="0"/>
              <w:right w:val="outset" w:color="auto" w:sz="6" w:space="0"/>
            </w:tcBorders>
          </w:tcPr>
          <w:p>
            <w:pPr>
              <w:pStyle w:val="34"/>
            </w:pPr>
            <w:r>
              <w:rPr>
                <w:rFonts w:hint="eastAsia"/>
              </w:rPr>
              <w:t>展示当前用户热搜问句和热度</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vMerge w:val="continue"/>
            <w:tcBorders>
              <w:top w:val="outset" w:color="auto" w:sz="6" w:space="0"/>
              <w:left w:val="outset" w:color="auto" w:sz="6" w:space="0"/>
              <w:bottom w:val="outset" w:color="auto" w:sz="6" w:space="0"/>
              <w:right w:val="outset" w:color="auto" w:sz="6" w:space="0"/>
            </w:tcBorders>
            <w:vAlign w:val="center"/>
          </w:tcPr>
          <w:p>
            <w:pPr>
              <w:pStyle w:val="34"/>
            </w:pPr>
          </w:p>
        </w:tc>
        <w:tc>
          <w:tcPr>
            <w:tcW w:w="1935" w:type="dxa"/>
            <w:tcBorders>
              <w:top w:val="outset" w:color="auto" w:sz="6" w:space="0"/>
              <w:left w:val="outset" w:color="auto" w:sz="6" w:space="0"/>
              <w:bottom w:val="outset" w:color="auto" w:sz="6" w:space="0"/>
              <w:right w:val="outset" w:color="auto" w:sz="6" w:space="0"/>
            </w:tcBorders>
          </w:tcPr>
          <w:p>
            <w:pPr>
              <w:pStyle w:val="34"/>
            </w:pPr>
            <w:r>
              <w:rPr>
                <w:rFonts w:hint="eastAsia"/>
              </w:rPr>
              <w:t>市场聚焦</w:t>
            </w:r>
          </w:p>
        </w:tc>
        <w:tc>
          <w:tcPr>
            <w:tcW w:w="10410" w:type="dxa"/>
            <w:tcBorders>
              <w:top w:val="outset" w:color="auto" w:sz="6" w:space="0"/>
              <w:left w:val="outset" w:color="auto" w:sz="6" w:space="0"/>
              <w:bottom w:val="outset" w:color="auto" w:sz="6" w:space="0"/>
              <w:right w:val="outset" w:color="auto" w:sz="6" w:space="0"/>
            </w:tcBorders>
          </w:tcPr>
          <w:p>
            <w:pPr>
              <w:pStyle w:val="34"/>
            </w:pPr>
            <w:r>
              <w:rPr>
                <w:rFonts w:hint="eastAsia"/>
              </w:rPr>
              <w:t>聚焦市场人气度靠前的股票和回顾历史人气股票</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vMerge w:val="continue"/>
            <w:tcBorders>
              <w:top w:val="outset" w:color="auto" w:sz="6" w:space="0"/>
              <w:left w:val="outset" w:color="auto" w:sz="6" w:space="0"/>
              <w:bottom w:val="outset" w:color="auto" w:sz="6" w:space="0"/>
              <w:right w:val="outset" w:color="auto" w:sz="6" w:space="0"/>
            </w:tcBorders>
            <w:vAlign w:val="center"/>
          </w:tcPr>
          <w:p>
            <w:pPr>
              <w:pStyle w:val="34"/>
            </w:pPr>
          </w:p>
        </w:tc>
        <w:tc>
          <w:tcPr>
            <w:tcW w:w="1935" w:type="dxa"/>
            <w:tcBorders>
              <w:top w:val="outset" w:color="auto" w:sz="6" w:space="0"/>
              <w:left w:val="outset" w:color="auto" w:sz="6" w:space="0"/>
              <w:bottom w:val="outset" w:color="auto" w:sz="6" w:space="0"/>
              <w:right w:val="outset" w:color="auto" w:sz="6" w:space="0"/>
            </w:tcBorders>
          </w:tcPr>
          <w:p>
            <w:pPr>
              <w:pStyle w:val="34"/>
            </w:pPr>
            <w:r>
              <w:rPr>
                <w:rFonts w:hint="eastAsia"/>
              </w:rPr>
              <w:t>热门主题</w:t>
            </w:r>
          </w:p>
        </w:tc>
        <w:tc>
          <w:tcPr>
            <w:tcW w:w="10410" w:type="dxa"/>
            <w:tcBorders>
              <w:top w:val="outset" w:color="auto" w:sz="6" w:space="0"/>
              <w:left w:val="outset" w:color="auto" w:sz="6" w:space="0"/>
              <w:bottom w:val="outset" w:color="auto" w:sz="6" w:space="0"/>
              <w:right w:val="outset" w:color="auto" w:sz="6" w:space="0"/>
            </w:tcBorders>
          </w:tcPr>
          <w:p>
            <w:pPr>
              <w:pStyle w:val="34"/>
            </w:pPr>
            <w:r>
              <w:rPr>
                <w:rFonts w:hint="eastAsia"/>
              </w:rPr>
              <w:t>当前市场热门的炒作题材</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845" w:type="dxa"/>
            <w:vMerge w:val="restart"/>
            <w:tcBorders>
              <w:top w:val="outset" w:color="auto" w:sz="6" w:space="0"/>
              <w:left w:val="outset" w:color="auto" w:sz="6" w:space="0"/>
              <w:bottom w:val="outset" w:color="auto" w:sz="6" w:space="0"/>
              <w:right w:val="outset" w:color="auto" w:sz="6" w:space="0"/>
            </w:tcBorders>
            <w:vAlign w:val="center"/>
          </w:tcPr>
          <w:p>
            <w:pPr>
              <w:pStyle w:val="34"/>
            </w:pPr>
            <w:r>
              <w:rPr>
                <w:rFonts w:hint="eastAsia"/>
              </w:rPr>
              <w:t>搜索界面</w:t>
            </w:r>
          </w:p>
        </w:tc>
        <w:tc>
          <w:tcPr>
            <w:tcW w:w="1935" w:type="dxa"/>
            <w:tcBorders>
              <w:top w:val="outset" w:color="auto" w:sz="6" w:space="0"/>
              <w:left w:val="outset" w:color="auto" w:sz="6" w:space="0"/>
              <w:bottom w:val="outset" w:color="auto" w:sz="6" w:space="0"/>
              <w:right w:val="outset" w:color="auto" w:sz="6" w:space="0"/>
            </w:tcBorders>
          </w:tcPr>
          <w:p>
            <w:pPr>
              <w:pStyle w:val="34"/>
            </w:pPr>
            <w:r>
              <w:rPr>
                <w:rFonts w:hint="eastAsia"/>
              </w:rPr>
              <w:t>加自选和加板块</w:t>
            </w:r>
          </w:p>
        </w:tc>
        <w:tc>
          <w:tcPr>
            <w:tcW w:w="10410" w:type="dxa"/>
            <w:tcBorders>
              <w:top w:val="outset" w:color="auto" w:sz="6" w:space="0"/>
              <w:left w:val="outset" w:color="auto" w:sz="6" w:space="0"/>
              <w:bottom w:val="outset" w:color="auto" w:sz="6" w:space="0"/>
              <w:right w:val="outset" w:color="auto" w:sz="6" w:space="0"/>
            </w:tcBorders>
          </w:tcPr>
          <w:p>
            <w:pPr>
              <w:pStyle w:val="34"/>
            </w:pPr>
            <w:r>
              <w:rPr>
                <w:rFonts w:hint="eastAsia"/>
              </w:rPr>
              <w:t>在展示栏目可以添加自选股和选股进入板块，也可以批量添加股票进入板块或自选股</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vMerge w:val="continue"/>
            <w:tcBorders>
              <w:top w:val="outset" w:color="auto" w:sz="6" w:space="0"/>
              <w:left w:val="outset" w:color="auto" w:sz="6" w:space="0"/>
              <w:bottom w:val="outset" w:color="auto" w:sz="6" w:space="0"/>
              <w:right w:val="outset" w:color="auto" w:sz="6" w:space="0"/>
            </w:tcBorders>
            <w:vAlign w:val="center"/>
          </w:tcPr>
          <w:p>
            <w:pPr>
              <w:pStyle w:val="34"/>
            </w:pPr>
          </w:p>
        </w:tc>
        <w:tc>
          <w:tcPr>
            <w:tcW w:w="1935" w:type="dxa"/>
            <w:tcBorders>
              <w:top w:val="outset" w:color="auto" w:sz="6" w:space="0"/>
              <w:left w:val="outset" w:color="auto" w:sz="6" w:space="0"/>
              <w:bottom w:val="outset" w:color="auto" w:sz="6" w:space="0"/>
              <w:right w:val="outset" w:color="auto" w:sz="6" w:space="0"/>
            </w:tcBorders>
          </w:tcPr>
          <w:p>
            <w:pPr>
              <w:pStyle w:val="34"/>
            </w:pPr>
            <w:r>
              <w:rPr>
                <w:rFonts w:hint="eastAsia"/>
              </w:rPr>
              <w:t>调整栏目</w:t>
            </w:r>
          </w:p>
        </w:tc>
        <w:tc>
          <w:tcPr>
            <w:tcW w:w="10410" w:type="dxa"/>
            <w:tcBorders>
              <w:top w:val="outset" w:color="auto" w:sz="6" w:space="0"/>
              <w:left w:val="outset" w:color="auto" w:sz="6" w:space="0"/>
              <w:bottom w:val="outset" w:color="auto" w:sz="6" w:space="0"/>
              <w:right w:val="outset" w:color="auto" w:sz="6" w:space="0"/>
            </w:tcBorders>
          </w:tcPr>
          <w:p>
            <w:pPr>
              <w:pStyle w:val="34"/>
            </w:pPr>
            <w:r>
              <w:rPr>
                <w:rFonts w:hint="eastAsia"/>
              </w:rPr>
              <w:t>方便用户删减和添加展示栏目，通过拖动和勾选选中栏目可以改变展示栏目内容和展示栏目顺序</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vMerge w:val="continue"/>
            <w:tcBorders>
              <w:top w:val="outset" w:color="auto" w:sz="6" w:space="0"/>
              <w:left w:val="outset" w:color="auto" w:sz="6" w:space="0"/>
              <w:bottom w:val="outset" w:color="auto" w:sz="6" w:space="0"/>
              <w:right w:val="outset" w:color="auto" w:sz="6" w:space="0"/>
            </w:tcBorders>
            <w:vAlign w:val="center"/>
          </w:tcPr>
          <w:p>
            <w:pPr>
              <w:pStyle w:val="34"/>
            </w:pPr>
          </w:p>
        </w:tc>
        <w:tc>
          <w:tcPr>
            <w:tcW w:w="1935" w:type="dxa"/>
            <w:tcBorders>
              <w:top w:val="outset" w:color="auto" w:sz="6" w:space="0"/>
              <w:left w:val="outset" w:color="auto" w:sz="6" w:space="0"/>
              <w:bottom w:val="outset" w:color="auto" w:sz="6" w:space="0"/>
              <w:right w:val="outset" w:color="auto" w:sz="6" w:space="0"/>
            </w:tcBorders>
          </w:tcPr>
          <w:p>
            <w:pPr>
              <w:pStyle w:val="34"/>
            </w:pPr>
            <w:r>
              <w:rPr>
                <w:rFonts w:hint="eastAsia"/>
              </w:rPr>
              <w:t>键盘精灵</w:t>
            </w:r>
          </w:p>
        </w:tc>
        <w:tc>
          <w:tcPr>
            <w:tcW w:w="10410" w:type="dxa"/>
            <w:tcBorders>
              <w:top w:val="outset" w:color="auto" w:sz="6" w:space="0"/>
              <w:left w:val="outset" w:color="auto" w:sz="6" w:space="0"/>
              <w:bottom w:val="outset" w:color="auto" w:sz="6" w:space="0"/>
              <w:right w:val="outset" w:color="auto" w:sz="6" w:space="0"/>
            </w:tcBorders>
          </w:tcPr>
          <w:p>
            <w:pPr>
              <w:pStyle w:val="34"/>
            </w:pPr>
            <w:r>
              <w:rPr>
                <w:rFonts w:hint="eastAsia"/>
              </w:rPr>
              <w:t>在展示股票中直接搜索目标股票</w:t>
            </w:r>
          </w:p>
        </w:tc>
      </w:tr>
    </w:tbl>
    <w:p>
      <w:pPr>
        <w:pStyle w:val="34"/>
      </w:pPr>
      <w:r>
        <w:fldChar w:fldCharType="begin"/>
      </w:r>
      <w:r>
        <w:instrText xml:space="preserve"> INCLUDEPICTURE  "https://www.tdx.com.cn/products/helpfile/tdxw/chm/%E7%AC%AC%E4%BA%94%E7%AB%A0  %E6%B3%A8%E5%86%8C%E5%8F%8A%E6%B8%B8%E5%AE%A2%E7%99%BB%E9%99%86/5-9/1.png" \* MERGEFORMATINET </w:instrText>
      </w:r>
      <w:r>
        <w:fldChar w:fldCharType="separate"/>
      </w:r>
      <w:r>
        <w:fldChar w:fldCharType="begin"/>
      </w:r>
      <w:r>
        <w:instrText xml:space="preserve"> INCLUDEPICTURE  "https://www.tdx.com.cn/products/helpfile/tdxw/chm/%E7%AC%AC%E4%BA%94%E7%AB%A0  %E6%B3%A8%E5%86%8C%E5%8F%8A%E6%B8%B8%E5%AE%A2%E7%99%BB%E9%99%86/5-9/1.png" \* MERGEFORMATINET </w:instrText>
      </w:r>
      <w:r>
        <w:fldChar w:fldCharType="separate"/>
      </w:r>
      <w:r>
        <w:fldChar w:fldCharType="begin"/>
      </w:r>
      <w:r>
        <w:instrText xml:space="preserve"> INCLUDEPICTURE  "https://www.tdx.com.cn/products/helpfile/tdxw/chm/%E7%AC%AC%E4%BA%94%E7%AB%A0  %E6%B3%A8%E5%86%8C%E5%8F%8A%E6%B8%B8%E5%AE%A2%E7%99%BB%E9%99%86/5-9/1.png" \* MERGEFORMATINET </w:instrText>
      </w:r>
      <w:r>
        <w:fldChar w:fldCharType="separate"/>
      </w:r>
      <w:r>
        <w:fldChar w:fldCharType="begin"/>
      </w:r>
      <w:r>
        <w:instrText xml:space="preserve"> INCLUDEPICTURE  "https://www.tdx.com.cn/products/helpfile/tdxw/chm/%E7%AC%AC%E4%BA%94%E7%AB%A0  %E6%B3%A8%E5%86%8C%E5%8F%8A%E6%B8%B8%E5%AE%A2%E7%99%BB%E9%99%86/5-9/1.png" \* MERGEFORMATINET </w:instrText>
      </w:r>
      <w:r>
        <w:fldChar w:fldCharType="separate"/>
      </w:r>
      <w:r>
        <w:drawing>
          <wp:inline distT="0" distB="0" distL="114300" distR="114300">
            <wp:extent cx="8334375" cy="5324475"/>
            <wp:effectExtent l="0" t="0" r="9525" b="9525"/>
            <wp:docPr id="463" name="图片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图片 463"/>
                    <pic:cNvPicPr>
                      <a:picLocks noChangeAspect="1"/>
                    </pic:cNvPicPr>
                  </pic:nvPicPr>
                  <pic:blipFill>
                    <a:blip r:embed="rId873" r:link="rId874"/>
                    <a:stretch>
                      <a:fillRect/>
                    </a:stretch>
                  </pic:blipFill>
                  <pic:spPr>
                    <a:xfrm>
                      <a:off x="0" y="0"/>
                      <a:ext cx="8334375" cy="5324475"/>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AI问达内容模块：</w:t>
      </w:r>
    </w:p>
    <w:tbl>
      <w:tblPr>
        <w:tblStyle w:val="25"/>
        <w:tblW w:w="0" w:type="auto"/>
        <w:tblCellSpacing w:w="0" w:type="dxa"/>
        <w:tblInd w:w="0" w:type="dxa"/>
        <w:tblBorders>
          <w:top w:val="outset" w:color="auto" w:sz="6" w:space="0"/>
          <w:left w:val="outset" w:color="auto" w:sz="6" w:space="0"/>
          <w:bottom w:val="outset" w:color="auto" w:sz="6" w:space="0"/>
          <w:right w:val="outset" w:color="auto" w:sz="6" w:space="0"/>
          <w:insideH w:val="none" w:color="auto" w:sz="0" w:space="0"/>
          <w:insideV w:val="none" w:color="auto" w:sz="0" w:space="0"/>
        </w:tblBorders>
        <w:tblLayout w:type="autofit"/>
        <w:tblCellMar>
          <w:top w:w="0" w:type="dxa"/>
          <w:left w:w="0" w:type="dxa"/>
          <w:bottom w:w="0" w:type="dxa"/>
          <w:right w:w="0" w:type="dxa"/>
        </w:tblCellMar>
      </w:tblPr>
      <w:tblGrid>
        <w:gridCol w:w="1820"/>
        <w:gridCol w:w="2306"/>
        <w:gridCol w:w="9862"/>
      </w:tblGrid>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820" w:type="dxa"/>
            <w:tcBorders>
              <w:top w:val="outset" w:color="auto" w:sz="6" w:space="0"/>
              <w:left w:val="outset" w:color="auto" w:sz="6" w:space="0"/>
              <w:bottom w:val="outset" w:color="auto" w:sz="6" w:space="0"/>
              <w:right w:val="outset" w:color="auto" w:sz="6" w:space="0"/>
            </w:tcBorders>
            <w:vAlign w:val="center"/>
          </w:tcPr>
          <w:p>
            <w:pPr>
              <w:pStyle w:val="34"/>
            </w:pPr>
            <w:r>
              <w:rPr>
                <w:rFonts w:hint="eastAsia"/>
              </w:rPr>
              <w:t>模块名</w:t>
            </w:r>
          </w:p>
        </w:tc>
        <w:tc>
          <w:tcPr>
            <w:tcW w:w="2306" w:type="dxa"/>
            <w:tcBorders>
              <w:top w:val="outset" w:color="auto" w:sz="6" w:space="0"/>
              <w:left w:val="outset" w:color="auto" w:sz="6" w:space="0"/>
              <w:bottom w:val="outset" w:color="auto" w:sz="6" w:space="0"/>
              <w:right w:val="outset" w:color="auto" w:sz="6" w:space="0"/>
            </w:tcBorders>
          </w:tcPr>
          <w:p>
            <w:pPr>
              <w:pStyle w:val="34"/>
            </w:pPr>
            <w:r>
              <w:rPr>
                <w:rFonts w:hint="eastAsia"/>
              </w:rPr>
              <w:t>内容模块</w:t>
            </w:r>
          </w:p>
        </w:tc>
        <w:tc>
          <w:tcPr>
            <w:tcW w:w="9862" w:type="dxa"/>
            <w:tcBorders>
              <w:top w:val="outset" w:color="auto" w:sz="6" w:space="0"/>
              <w:left w:val="outset" w:color="auto" w:sz="6" w:space="0"/>
              <w:bottom w:val="outset" w:color="auto" w:sz="6" w:space="0"/>
              <w:right w:val="outset" w:color="auto" w:sz="6" w:space="0"/>
            </w:tcBorders>
          </w:tcPr>
          <w:p>
            <w:pPr>
              <w:pStyle w:val="34"/>
            </w:pPr>
            <w:r>
              <w:rPr>
                <w:rFonts w:hint="eastAsia"/>
              </w:rPr>
              <w:t>功能说明</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820" w:type="dxa"/>
            <w:vMerge w:val="restart"/>
            <w:tcBorders>
              <w:top w:val="outset" w:color="auto" w:sz="6" w:space="0"/>
              <w:left w:val="outset" w:color="auto" w:sz="6" w:space="0"/>
              <w:bottom w:val="outset" w:color="auto" w:sz="6" w:space="0"/>
              <w:right w:val="outset" w:color="auto" w:sz="6" w:space="0"/>
            </w:tcBorders>
            <w:vAlign w:val="center"/>
          </w:tcPr>
          <w:p>
            <w:pPr>
              <w:pStyle w:val="34"/>
            </w:pPr>
            <w:r>
              <w:rPr>
                <w:rFonts w:hint="eastAsia"/>
              </w:rPr>
              <w:t>智能选股</w:t>
            </w:r>
          </w:p>
        </w:tc>
        <w:tc>
          <w:tcPr>
            <w:tcW w:w="2306" w:type="dxa"/>
            <w:tcBorders>
              <w:top w:val="outset" w:color="auto" w:sz="6" w:space="0"/>
              <w:left w:val="outset" w:color="auto" w:sz="6" w:space="0"/>
              <w:bottom w:val="outset" w:color="auto" w:sz="6" w:space="0"/>
              <w:right w:val="outset" w:color="auto" w:sz="6" w:space="0"/>
            </w:tcBorders>
          </w:tcPr>
          <w:p>
            <w:pPr>
              <w:pStyle w:val="34"/>
            </w:pPr>
            <w:r>
              <w:rPr>
                <w:rFonts w:hint="eastAsia"/>
              </w:rPr>
              <w:t>基本行情</w:t>
            </w:r>
          </w:p>
        </w:tc>
        <w:tc>
          <w:tcPr>
            <w:tcW w:w="9862" w:type="dxa"/>
            <w:tcBorders>
              <w:top w:val="outset" w:color="auto" w:sz="6" w:space="0"/>
              <w:left w:val="outset" w:color="auto" w:sz="6" w:space="0"/>
              <w:bottom w:val="outset" w:color="auto" w:sz="6" w:space="0"/>
              <w:right w:val="outset" w:color="auto" w:sz="6" w:space="0"/>
            </w:tcBorders>
          </w:tcPr>
          <w:p>
            <w:pPr>
              <w:pStyle w:val="34"/>
            </w:pPr>
            <w:r>
              <w:rPr>
                <w:rFonts w:hint="eastAsia"/>
              </w:rPr>
              <w:t>实时/历史行情：高开低收成交量成交额等</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vMerge w:val="continue"/>
            <w:tcBorders>
              <w:top w:val="outset" w:color="auto" w:sz="6" w:space="0"/>
              <w:left w:val="outset" w:color="auto" w:sz="6" w:space="0"/>
              <w:bottom w:val="outset" w:color="auto" w:sz="6" w:space="0"/>
              <w:right w:val="outset" w:color="auto" w:sz="6" w:space="0"/>
            </w:tcBorders>
            <w:vAlign w:val="center"/>
          </w:tcPr>
          <w:p>
            <w:pPr>
              <w:pStyle w:val="34"/>
            </w:pPr>
          </w:p>
        </w:tc>
        <w:tc>
          <w:tcPr>
            <w:tcW w:w="2306" w:type="dxa"/>
            <w:tcBorders>
              <w:top w:val="outset" w:color="auto" w:sz="6" w:space="0"/>
              <w:left w:val="outset" w:color="auto" w:sz="6" w:space="0"/>
              <w:bottom w:val="outset" w:color="auto" w:sz="6" w:space="0"/>
              <w:right w:val="outset" w:color="auto" w:sz="6" w:space="0"/>
            </w:tcBorders>
          </w:tcPr>
          <w:p>
            <w:pPr>
              <w:pStyle w:val="34"/>
            </w:pPr>
            <w:r>
              <w:rPr>
                <w:rFonts w:hint="eastAsia"/>
              </w:rPr>
              <w:t>衍生行情</w:t>
            </w:r>
          </w:p>
        </w:tc>
        <w:tc>
          <w:tcPr>
            <w:tcW w:w="9862" w:type="dxa"/>
            <w:tcBorders>
              <w:top w:val="outset" w:color="auto" w:sz="6" w:space="0"/>
              <w:left w:val="outset" w:color="auto" w:sz="6" w:space="0"/>
              <w:bottom w:val="outset" w:color="auto" w:sz="6" w:space="0"/>
              <w:right w:val="outset" w:color="auto" w:sz="6" w:space="0"/>
            </w:tcBorders>
          </w:tcPr>
          <w:p>
            <w:pPr>
              <w:pStyle w:val="34"/>
            </w:pPr>
            <w:r>
              <w:rPr>
                <w:rFonts w:hint="eastAsia"/>
              </w:rPr>
              <w:t>衍生统计行情：强弱度、活跃度、攻击波、回头波、贝塔系数、自由换手率、涨停分析等； </w:t>
            </w:r>
          </w:p>
          <w:p>
            <w:pPr>
              <w:pStyle w:val="34"/>
            </w:pPr>
            <w:r>
              <w:rPr>
                <w:rFonts w:hint="eastAsia"/>
              </w:rPr>
              <w:t>主力监控精灵：主力买入/卖出、加速拉升/下跌，竞价试买/试买、单笔冲涨/冲跌、大单托压锁盘、低位反弹、高位回落、撑杆跳高、平台跳水、区间放量等</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vMerge w:val="continue"/>
            <w:tcBorders>
              <w:top w:val="outset" w:color="auto" w:sz="6" w:space="0"/>
              <w:left w:val="outset" w:color="auto" w:sz="6" w:space="0"/>
              <w:bottom w:val="outset" w:color="auto" w:sz="6" w:space="0"/>
              <w:right w:val="outset" w:color="auto" w:sz="6" w:space="0"/>
            </w:tcBorders>
            <w:vAlign w:val="center"/>
          </w:tcPr>
          <w:p>
            <w:pPr>
              <w:pStyle w:val="34"/>
            </w:pPr>
          </w:p>
        </w:tc>
        <w:tc>
          <w:tcPr>
            <w:tcW w:w="2306" w:type="dxa"/>
            <w:tcBorders>
              <w:top w:val="outset" w:color="auto" w:sz="6" w:space="0"/>
              <w:left w:val="outset" w:color="auto" w:sz="6" w:space="0"/>
              <w:bottom w:val="outset" w:color="auto" w:sz="6" w:space="0"/>
              <w:right w:val="outset" w:color="auto" w:sz="6" w:space="0"/>
            </w:tcBorders>
          </w:tcPr>
          <w:p>
            <w:pPr>
              <w:pStyle w:val="34"/>
            </w:pPr>
            <w:r>
              <w:rPr>
                <w:rFonts w:hint="eastAsia"/>
              </w:rPr>
              <w:t>资金主力</w:t>
            </w:r>
          </w:p>
        </w:tc>
        <w:tc>
          <w:tcPr>
            <w:tcW w:w="9862" w:type="dxa"/>
            <w:tcBorders>
              <w:top w:val="outset" w:color="auto" w:sz="6" w:space="0"/>
              <w:left w:val="outset" w:color="auto" w:sz="6" w:space="0"/>
              <w:bottom w:val="outset" w:color="auto" w:sz="6" w:space="0"/>
              <w:right w:val="outset" w:color="auto" w:sz="6" w:space="0"/>
            </w:tcBorders>
          </w:tcPr>
          <w:p>
            <w:pPr>
              <w:pStyle w:val="34"/>
            </w:pPr>
            <w:r>
              <w:rPr>
                <w:rFonts w:hint="eastAsia"/>
              </w:rPr>
              <w:t>资金流向、资金博弈、资金驱动力等</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vMerge w:val="continue"/>
            <w:tcBorders>
              <w:top w:val="outset" w:color="auto" w:sz="6" w:space="0"/>
              <w:left w:val="outset" w:color="auto" w:sz="6" w:space="0"/>
              <w:bottom w:val="outset" w:color="auto" w:sz="6" w:space="0"/>
              <w:right w:val="outset" w:color="auto" w:sz="6" w:space="0"/>
            </w:tcBorders>
            <w:vAlign w:val="center"/>
          </w:tcPr>
          <w:p>
            <w:pPr>
              <w:pStyle w:val="34"/>
            </w:pPr>
          </w:p>
        </w:tc>
        <w:tc>
          <w:tcPr>
            <w:tcW w:w="2306" w:type="dxa"/>
            <w:tcBorders>
              <w:top w:val="outset" w:color="auto" w:sz="6" w:space="0"/>
              <w:left w:val="outset" w:color="auto" w:sz="6" w:space="0"/>
              <w:bottom w:val="outset" w:color="auto" w:sz="6" w:space="0"/>
              <w:right w:val="outset" w:color="auto" w:sz="6" w:space="0"/>
            </w:tcBorders>
          </w:tcPr>
          <w:p>
            <w:pPr>
              <w:pStyle w:val="34"/>
            </w:pPr>
            <w:r>
              <w:rPr>
                <w:rFonts w:hint="eastAsia"/>
              </w:rPr>
              <w:t>板块指数</w:t>
            </w:r>
          </w:p>
        </w:tc>
        <w:tc>
          <w:tcPr>
            <w:tcW w:w="9862" w:type="dxa"/>
            <w:tcBorders>
              <w:top w:val="outset" w:color="auto" w:sz="6" w:space="0"/>
              <w:left w:val="outset" w:color="auto" w:sz="6" w:space="0"/>
              <w:bottom w:val="outset" w:color="auto" w:sz="6" w:space="0"/>
              <w:right w:val="outset" w:color="auto" w:sz="6" w:space="0"/>
            </w:tcBorders>
          </w:tcPr>
          <w:p>
            <w:pPr>
              <w:pStyle w:val="34"/>
            </w:pPr>
            <w:r>
              <w:rPr>
                <w:rFonts w:hint="eastAsia"/>
              </w:rPr>
              <w:t>行业板块、风格板块、概念板块、地区板块等</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vMerge w:val="continue"/>
            <w:tcBorders>
              <w:top w:val="outset" w:color="auto" w:sz="6" w:space="0"/>
              <w:left w:val="outset" w:color="auto" w:sz="6" w:space="0"/>
              <w:bottom w:val="outset" w:color="auto" w:sz="6" w:space="0"/>
              <w:right w:val="outset" w:color="auto" w:sz="6" w:space="0"/>
            </w:tcBorders>
            <w:vAlign w:val="center"/>
          </w:tcPr>
          <w:p>
            <w:pPr>
              <w:pStyle w:val="34"/>
            </w:pPr>
          </w:p>
        </w:tc>
        <w:tc>
          <w:tcPr>
            <w:tcW w:w="2306" w:type="dxa"/>
            <w:tcBorders>
              <w:top w:val="outset" w:color="auto" w:sz="6" w:space="0"/>
              <w:left w:val="outset" w:color="auto" w:sz="6" w:space="0"/>
              <w:bottom w:val="outset" w:color="auto" w:sz="6" w:space="0"/>
              <w:right w:val="outset" w:color="auto" w:sz="6" w:space="0"/>
            </w:tcBorders>
          </w:tcPr>
          <w:p>
            <w:pPr>
              <w:pStyle w:val="34"/>
            </w:pPr>
            <w:r>
              <w:rPr>
                <w:rFonts w:hint="eastAsia"/>
              </w:rPr>
              <w:t>热门主题投资</w:t>
            </w:r>
          </w:p>
        </w:tc>
        <w:tc>
          <w:tcPr>
            <w:tcW w:w="9862" w:type="dxa"/>
            <w:tcBorders>
              <w:top w:val="outset" w:color="auto" w:sz="6" w:space="0"/>
              <w:left w:val="outset" w:color="auto" w:sz="6" w:space="0"/>
              <w:bottom w:val="outset" w:color="auto" w:sz="6" w:space="0"/>
              <w:right w:val="outset" w:color="auto" w:sz="6" w:space="0"/>
            </w:tcBorders>
          </w:tcPr>
          <w:p>
            <w:pPr>
              <w:pStyle w:val="34"/>
            </w:pPr>
            <w:r>
              <w:rPr>
                <w:rFonts w:hint="eastAsia"/>
              </w:rPr>
              <w:t>跟踪市场热点，挖掘对经济变迁具有大范围影响，将驱动经济体长期发展趋势的因素作为“主题”，共450个子主题投资</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vMerge w:val="continue"/>
            <w:tcBorders>
              <w:top w:val="outset" w:color="auto" w:sz="6" w:space="0"/>
              <w:left w:val="outset" w:color="auto" w:sz="6" w:space="0"/>
              <w:bottom w:val="outset" w:color="auto" w:sz="6" w:space="0"/>
              <w:right w:val="outset" w:color="auto" w:sz="6" w:space="0"/>
            </w:tcBorders>
            <w:vAlign w:val="center"/>
          </w:tcPr>
          <w:p>
            <w:pPr>
              <w:pStyle w:val="34"/>
            </w:pPr>
          </w:p>
        </w:tc>
        <w:tc>
          <w:tcPr>
            <w:tcW w:w="2306" w:type="dxa"/>
            <w:tcBorders>
              <w:top w:val="outset" w:color="auto" w:sz="6" w:space="0"/>
              <w:left w:val="outset" w:color="auto" w:sz="6" w:space="0"/>
              <w:bottom w:val="outset" w:color="auto" w:sz="6" w:space="0"/>
              <w:right w:val="outset" w:color="auto" w:sz="6" w:space="0"/>
            </w:tcBorders>
          </w:tcPr>
          <w:p>
            <w:pPr>
              <w:pStyle w:val="34"/>
            </w:pPr>
            <w:r>
              <w:rPr>
                <w:rFonts w:hint="eastAsia"/>
              </w:rPr>
              <w:t>精选选股指标</w:t>
            </w:r>
          </w:p>
        </w:tc>
        <w:tc>
          <w:tcPr>
            <w:tcW w:w="9862" w:type="dxa"/>
            <w:tcBorders>
              <w:top w:val="outset" w:color="auto" w:sz="6" w:space="0"/>
              <w:left w:val="outset" w:color="auto" w:sz="6" w:space="0"/>
              <w:bottom w:val="outset" w:color="auto" w:sz="6" w:space="0"/>
              <w:right w:val="outset" w:color="auto" w:sz="6" w:space="0"/>
            </w:tcBorders>
          </w:tcPr>
          <w:p>
            <w:pPr>
              <w:pStyle w:val="34"/>
            </w:pPr>
            <w:r>
              <w:rPr>
                <w:rFonts w:hint="eastAsia"/>
              </w:rPr>
              <w:t>技术选股类:80+经典技术分析模型生成； </w:t>
            </w:r>
          </w:p>
          <w:p>
            <w:pPr>
              <w:pStyle w:val="34"/>
            </w:pPr>
            <w:r>
              <w:rPr>
                <w:rFonts w:hint="eastAsia"/>
              </w:rPr>
              <w:t>形态特征类:100+经典形态特征分析模型生成； </w:t>
            </w:r>
          </w:p>
          <w:p>
            <w:pPr>
              <w:pStyle w:val="34"/>
            </w:pPr>
            <w:r>
              <w:rPr>
                <w:rFonts w:hint="eastAsia"/>
              </w:rPr>
              <w:t>财务选股模型类:20+经典财务分析模型生成； </w:t>
            </w:r>
          </w:p>
          <w:p>
            <w:pPr>
              <w:pStyle w:val="34"/>
            </w:pPr>
            <w:r>
              <w:rPr>
                <w:rFonts w:hint="eastAsia"/>
              </w:rPr>
              <w:t>阶段表现类：阶段表现数据</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vMerge w:val="continue"/>
            <w:tcBorders>
              <w:top w:val="outset" w:color="auto" w:sz="6" w:space="0"/>
              <w:left w:val="outset" w:color="auto" w:sz="6" w:space="0"/>
              <w:bottom w:val="outset" w:color="auto" w:sz="6" w:space="0"/>
              <w:right w:val="outset" w:color="auto" w:sz="6" w:space="0"/>
            </w:tcBorders>
            <w:vAlign w:val="center"/>
          </w:tcPr>
          <w:p>
            <w:pPr>
              <w:pStyle w:val="34"/>
            </w:pPr>
          </w:p>
        </w:tc>
        <w:tc>
          <w:tcPr>
            <w:tcW w:w="2306" w:type="dxa"/>
            <w:tcBorders>
              <w:top w:val="outset" w:color="auto" w:sz="6" w:space="0"/>
              <w:left w:val="outset" w:color="auto" w:sz="6" w:space="0"/>
              <w:bottom w:val="outset" w:color="auto" w:sz="6" w:space="0"/>
              <w:right w:val="outset" w:color="auto" w:sz="6" w:space="0"/>
            </w:tcBorders>
          </w:tcPr>
          <w:p>
            <w:pPr>
              <w:pStyle w:val="34"/>
            </w:pPr>
            <w:r>
              <w:rPr>
                <w:rFonts w:hint="eastAsia"/>
              </w:rPr>
              <w:t>专业财务数据</w:t>
            </w:r>
          </w:p>
        </w:tc>
        <w:tc>
          <w:tcPr>
            <w:tcW w:w="9862" w:type="dxa"/>
            <w:tcBorders>
              <w:top w:val="outset" w:color="auto" w:sz="6" w:space="0"/>
              <w:left w:val="outset" w:color="auto" w:sz="6" w:space="0"/>
              <w:bottom w:val="outset" w:color="auto" w:sz="6" w:space="0"/>
              <w:right w:val="outset" w:color="auto" w:sz="6" w:space="0"/>
            </w:tcBorders>
          </w:tcPr>
          <w:p>
            <w:pPr>
              <w:pStyle w:val="34"/>
            </w:pPr>
            <w:r>
              <w:rPr>
                <w:rFonts w:hint="eastAsia"/>
              </w:rPr>
              <w:t>全面的公司财报数据：资产负债表、利润表、现金流量表等详细指标； </w:t>
            </w:r>
          </w:p>
          <w:p>
            <w:pPr>
              <w:pStyle w:val="34"/>
            </w:pPr>
            <w:r>
              <w:rPr>
                <w:rFonts w:hint="eastAsia"/>
              </w:rPr>
              <w:t>系统的财务分析体系：偿债能力、经营能力、发展能力、获利能力、资本结构、现金流量结构； </w:t>
            </w:r>
          </w:p>
          <w:p>
            <w:pPr>
              <w:pStyle w:val="34"/>
            </w:pPr>
            <w:r>
              <w:rPr>
                <w:rFonts w:hint="eastAsia"/>
              </w:rPr>
              <w:t>其他特色财务数据：财务重要指标、单季度财务指标、股本股东、机构持股等</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vMerge w:val="continue"/>
            <w:tcBorders>
              <w:top w:val="outset" w:color="auto" w:sz="6" w:space="0"/>
              <w:left w:val="outset" w:color="auto" w:sz="6" w:space="0"/>
              <w:bottom w:val="outset" w:color="auto" w:sz="6" w:space="0"/>
              <w:right w:val="outset" w:color="auto" w:sz="6" w:space="0"/>
            </w:tcBorders>
            <w:vAlign w:val="center"/>
          </w:tcPr>
          <w:p>
            <w:pPr>
              <w:pStyle w:val="34"/>
            </w:pPr>
          </w:p>
        </w:tc>
        <w:tc>
          <w:tcPr>
            <w:tcW w:w="2306" w:type="dxa"/>
            <w:tcBorders>
              <w:top w:val="outset" w:color="auto" w:sz="6" w:space="0"/>
              <w:left w:val="outset" w:color="auto" w:sz="6" w:space="0"/>
              <w:bottom w:val="outset" w:color="auto" w:sz="6" w:space="0"/>
              <w:right w:val="outset" w:color="auto" w:sz="6" w:space="0"/>
            </w:tcBorders>
          </w:tcPr>
          <w:p>
            <w:pPr>
              <w:pStyle w:val="34"/>
            </w:pPr>
            <w:r>
              <w:rPr>
                <w:rFonts w:hint="eastAsia"/>
              </w:rPr>
              <w:t>精选价值发现</w:t>
            </w:r>
          </w:p>
        </w:tc>
        <w:tc>
          <w:tcPr>
            <w:tcW w:w="9862" w:type="dxa"/>
            <w:tcBorders>
              <w:top w:val="outset" w:color="auto" w:sz="6" w:space="0"/>
              <w:left w:val="outset" w:color="auto" w:sz="6" w:space="0"/>
              <w:bottom w:val="outset" w:color="auto" w:sz="6" w:space="0"/>
              <w:right w:val="outset" w:color="auto" w:sz="6" w:space="0"/>
            </w:tcBorders>
          </w:tcPr>
          <w:p>
            <w:pPr>
              <w:pStyle w:val="34"/>
            </w:pPr>
            <w:r>
              <w:rPr>
                <w:rFonts w:hint="eastAsia"/>
              </w:rPr>
              <w:t>重点关注、财经日历、强弱分析、基准分析、一致预期、龙虎榜单、融资融券、大宗交易、增发配送、股东增减持、财报披露、并购重组、股权质押、持股分析、投资参股、调研互动、证券变更、事件驱动、资讯精选等</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vMerge w:val="continue"/>
            <w:tcBorders>
              <w:top w:val="outset" w:color="auto" w:sz="6" w:space="0"/>
              <w:left w:val="outset" w:color="auto" w:sz="6" w:space="0"/>
              <w:bottom w:val="outset" w:color="auto" w:sz="6" w:space="0"/>
              <w:right w:val="outset" w:color="auto" w:sz="6" w:space="0"/>
            </w:tcBorders>
            <w:vAlign w:val="center"/>
          </w:tcPr>
          <w:p>
            <w:pPr>
              <w:pStyle w:val="34"/>
            </w:pPr>
          </w:p>
        </w:tc>
        <w:tc>
          <w:tcPr>
            <w:tcW w:w="2306" w:type="dxa"/>
            <w:tcBorders>
              <w:top w:val="outset" w:color="auto" w:sz="6" w:space="0"/>
              <w:left w:val="outset" w:color="auto" w:sz="6" w:space="0"/>
              <w:bottom w:val="outset" w:color="auto" w:sz="6" w:space="0"/>
              <w:right w:val="outset" w:color="auto" w:sz="6" w:space="0"/>
            </w:tcBorders>
          </w:tcPr>
          <w:p>
            <w:pPr>
              <w:pStyle w:val="34"/>
            </w:pPr>
            <w:r>
              <w:rPr>
                <w:rFonts w:hint="eastAsia"/>
              </w:rPr>
              <w:t>详尽公司明细</w:t>
            </w:r>
          </w:p>
        </w:tc>
        <w:tc>
          <w:tcPr>
            <w:tcW w:w="9862" w:type="dxa"/>
            <w:tcBorders>
              <w:top w:val="outset" w:color="auto" w:sz="6" w:space="0"/>
              <w:left w:val="outset" w:color="auto" w:sz="6" w:space="0"/>
              <w:bottom w:val="outset" w:color="auto" w:sz="6" w:space="0"/>
              <w:right w:val="outset" w:color="auto" w:sz="6" w:space="0"/>
            </w:tcBorders>
          </w:tcPr>
          <w:p>
            <w:pPr>
              <w:pStyle w:val="34"/>
            </w:pPr>
            <w:r>
              <w:rPr>
                <w:rFonts w:hint="eastAsia"/>
              </w:rPr>
              <w:t>主营业务、经营范围、实控人、法人代表、股权变动、股权分置、高管明细、城市省份等</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vMerge w:val="continue"/>
            <w:tcBorders>
              <w:top w:val="outset" w:color="auto" w:sz="6" w:space="0"/>
              <w:left w:val="outset" w:color="auto" w:sz="6" w:space="0"/>
              <w:bottom w:val="outset" w:color="auto" w:sz="6" w:space="0"/>
              <w:right w:val="outset" w:color="auto" w:sz="6" w:space="0"/>
            </w:tcBorders>
            <w:vAlign w:val="center"/>
          </w:tcPr>
          <w:p>
            <w:pPr>
              <w:pStyle w:val="34"/>
            </w:pPr>
          </w:p>
        </w:tc>
        <w:tc>
          <w:tcPr>
            <w:tcW w:w="2306" w:type="dxa"/>
            <w:tcBorders>
              <w:top w:val="outset" w:color="auto" w:sz="6" w:space="0"/>
              <w:left w:val="outset" w:color="auto" w:sz="6" w:space="0"/>
              <w:bottom w:val="outset" w:color="auto" w:sz="6" w:space="0"/>
              <w:right w:val="outset" w:color="auto" w:sz="6" w:space="0"/>
            </w:tcBorders>
          </w:tcPr>
          <w:p>
            <w:pPr>
              <w:pStyle w:val="34"/>
            </w:pPr>
            <w:r>
              <w:rPr>
                <w:rFonts w:hint="eastAsia"/>
              </w:rPr>
              <w:t>深度个股信息</w:t>
            </w:r>
          </w:p>
        </w:tc>
        <w:tc>
          <w:tcPr>
            <w:tcW w:w="9862" w:type="dxa"/>
            <w:tcBorders>
              <w:top w:val="outset" w:color="auto" w:sz="6" w:space="0"/>
              <w:left w:val="outset" w:color="auto" w:sz="6" w:space="0"/>
              <w:bottom w:val="outset" w:color="auto" w:sz="6" w:space="0"/>
              <w:right w:val="outset" w:color="auto" w:sz="6" w:space="0"/>
            </w:tcBorders>
          </w:tcPr>
          <w:p>
            <w:pPr>
              <w:pStyle w:val="34"/>
            </w:pPr>
            <w:r>
              <w:rPr>
                <w:rFonts w:hint="eastAsia"/>
              </w:rPr>
              <w:t>公司概况、最新提示、高管管理、股本结构、股本变动、限售解禁、参股控股、控股关系、机构持股、十大流通股东、热点题材、持股变动、大宗交易、资金流向、股权投资、项目投资、关联交易、行业排名、盈利预测、机构评级、龙虎榜、主营收入构成等</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vMerge w:val="continue"/>
            <w:tcBorders>
              <w:top w:val="outset" w:color="auto" w:sz="6" w:space="0"/>
              <w:left w:val="outset" w:color="auto" w:sz="6" w:space="0"/>
              <w:bottom w:val="outset" w:color="auto" w:sz="6" w:space="0"/>
              <w:right w:val="outset" w:color="auto" w:sz="6" w:space="0"/>
            </w:tcBorders>
            <w:vAlign w:val="center"/>
          </w:tcPr>
          <w:p>
            <w:pPr>
              <w:pStyle w:val="34"/>
            </w:pPr>
          </w:p>
        </w:tc>
        <w:tc>
          <w:tcPr>
            <w:tcW w:w="2306" w:type="dxa"/>
            <w:tcBorders>
              <w:top w:val="outset" w:color="auto" w:sz="6" w:space="0"/>
              <w:left w:val="outset" w:color="auto" w:sz="6" w:space="0"/>
              <w:bottom w:val="outset" w:color="auto" w:sz="6" w:space="0"/>
              <w:right w:val="outset" w:color="auto" w:sz="6" w:space="0"/>
            </w:tcBorders>
          </w:tcPr>
          <w:p>
            <w:pPr>
              <w:pStyle w:val="34"/>
            </w:pPr>
            <w:r>
              <w:rPr>
                <w:rFonts w:hint="eastAsia"/>
              </w:rPr>
              <w:t>丰富数据</w:t>
            </w:r>
          </w:p>
        </w:tc>
        <w:tc>
          <w:tcPr>
            <w:tcW w:w="9862" w:type="dxa"/>
            <w:tcBorders>
              <w:top w:val="outset" w:color="auto" w:sz="6" w:space="0"/>
              <w:left w:val="outset" w:color="auto" w:sz="6" w:space="0"/>
              <w:bottom w:val="outset" w:color="auto" w:sz="6" w:space="0"/>
              <w:right w:val="outset" w:color="auto" w:sz="6" w:space="0"/>
            </w:tcBorders>
          </w:tcPr>
          <w:p>
            <w:pPr>
              <w:pStyle w:val="34"/>
            </w:pPr>
            <w:r>
              <w:rPr>
                <w:rFonts w:hint="eastAsia"/>
              </w:rPr>
              <w:t>特色数据、宏观数据、统计数据等</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vMerge w:val="continue"/>
            <w:tcBorders>
              <w:top w:val="outset" w:color="auto" w:sz="6" w:space="0"/>
              <w:left w:val="outset" w:color="auto" w:sz="6" w:space="0"/>
              <w:bottom w:val="outset" w:color="auto" w:sz="6" w:space="0"/>
              <w:right w:val="outset" w:color="auto" w:sz="6" w:space="0"/>
            </w:tcBorders>
            <w:vAlign w:val="center"/>
          </w:tcPr>
          <w:p>
            <w:pPr>
              <w:pStyle w:val="34"/>
            </w:pPr>
          </w:p>
        </w:tc>
        <w:tc>
          <w:tcPr>
            <w:tcW w:w="2306" w:type="dxa"/>
            <w:tcBorders>
              <w:top w:val="outset" w:color="auto" w:sz="6" w:space="0"/>
              <w:left w:val="outset" w:color="auto" w:sz="6" w:space="0"/>
              <w:bottom w:val="outset" w:color="auto" w:sz="6" w:space="0"/>
              <w:right w:val="outset" w:color="auto" w:sz="6" w:space="0"/>
            </w:tcBorders>
          </w:tcPr>
          <w:p>
            <w:pPr>
              <w:pStyle w:val="34"/>
            </w:pPr>
            <w:r>
              <w:rPr>
                <w:rFonts w:hint="eastAsia"/>
              </w:rPr>
              <w:t>系统技术指标</w:t>
            </w:r>
          </w:p>
        </w:tc>
        <w:tc>
          <w:tcPr>
            <w:tcW w:w="9862" w:type="dxa"/>
            <w:tcBorders>
              <w:top w:val="outset" w:color="auto" w:sz="6" w:space="0"/>
              <w:left w:val="outset" w:color="auto" w:sz="6" w:space="0"/>
              <w:bottom w:val="outset" w:color="auto" w:sz="6" w:space="0"/>
              <w:right w:val="outset" w:color="auto" w:sz="6" w:space="0"/>
            </w:tcBorders>
          </w:tcPr>
          <w:p>
            <w:pPr>
              <w:pStyle w:val="34"/>
            </w:pPr>
            <w:r>
              <w:rPr>
                <w:rFonts w:hint="eastAsia"/>
              </w:rPr>
              <w:t>KDJ、MACD、BOLL、CCI、RSI、WR、BIAS、SKDJ、VR、MTM、OBV等</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820" w:type="dxa"/>
            <w:vMerge w:val="restart"/>
            <w:tcBorders>
              <w:top w:val="outset" w:color="auto" w:sz="6" w:space="0"/>
              <w:left w:val="outset" w:color="auto" w:sz="6" w:space="0"/>
              <w:bottom w:val="outset" w:color="auto" w:sz="6" w:space="0"/>
              <w:right w:val="outset" w:color="auto" w:sz="6" w:space="0"/>
            </w:tcBorders>
            <w:vAlign w:val="center"/>
          </w:tcPr>
          <w:p>
            <w:pPr>
              <w:pStyle w:val="34"/>
            </w:pPr>
            <w:r>
              <w:rPr>
                <w:rFonts w:hint="eastAsia"/>
              </w:rPr>
              <w:t>股海神搜</w:t>
            </w:r>
          </w:p>
        </w:tc>
        <w:tc>
          <w:tcPr>
            <w:tcW w:w="2306" w:type="dxa"/>
            <w:tcBorders>
              <w:top w:val="outset" w:color="auto" w:sz="6" w:space="0"/>
              <w:left w:val="outset" w:color="auto" w:sz="6" w:space="0"/>
              <w:bottom w:val="outset" w:color="auto" w:sz="6" w:space="0"/>
              <w:right w:val="outset" w:color="auto" w:sz="6" w:space="0"/>
            </w:tcBorders>
          </w:tcPr>
          <w:p>
            <w:pPr>
              <w:pStyle w:val="34"/>
            </w:pPr>
            <w:r>
              <w:rPr>
                <w:rFonts w:hint="eastAsia"/>
              </w:rPr>
              <w:t>技术指标</w:t>
            </w:r>
          </w:p>
        </w:tc>
        <w:tc>
          <w:tcPr>
            <w:tcW w:w="9862" w:type="dxa"/>
            <w:tcBorders>
              <w:top w:val="outset" w:color="auto" w:sz="6" w:space="0"/>
              <w:left w:val="outset" w:color="auto" w:sz="6" w:space="0"/>
              <w:bottom w:val="outset" w:color="auto" w:sz="6" w:space="0"/>
              <w:right w:val="outset" w:color="auto" w:sz="6" w:space="0"/>
            </w:tcBorders>
          </w:tcPr>
          <w:p>
            <w:pPr>
              <w:pStyle w:val="34"/>
            </w:pPr>
            <w:r>
              <w:rPr>
                <w:rFonts w:hint="eastAsia"/>
              </w:rPr>
              <w:t>KDJ、MACD、BOLL、CCI、RSI、WR、BIAS、SKDJ、VR、MTM、OBV、均线、形态特征、走势特征、量能特征等</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vMerge w:val="continue"/>
            <w:tcBorders>
              <w:top w:val="outset" w:color="auto" w:sz="6" w:space="0"/>
              <w:left w:val="outset" w:color="auto" w:sz="6" w:space="0"/>
              <w:bottom w:val="outset" w:color="auto" w:sz="6" w:space="0"/>
              <w:right w:val="outset" w:color="auto" w:sz="6" w:space="0"/>
            </w:tcBorders>
            <w:vAlign w:val="center"/>
          </w:tcPr>
          <w:p>
            <w:pPr>
              <w:pStyle w:val="34"/>
            </w:pPr>
          </w:p>
        </w:tc>
        <w:tc>
          <w:tcPr>
            <w:tcW w:w="2306" w:type="dxa"/>
            <w:tcBorders>
              <w:top w:val="outset" w:color="auto" w:sz="6" w:space="0"/>
              <w:left w:val="outset" w:color="auto" w:sz="6" w:space="0"/>
              <w:bottom w:val="outset" w:color="auto" w:sz="6" w:space="0"/>
              <w:right w:val="outset" w:color="auto" w:sz="6" w:space="0"/>
            </w:tcBorders>
          </w:tcPr>
          <w:p>
            <w:pPr>
              <w:pStyle w:val="34"/>
            </w:pPr>
            <w:r>
              <w:rPr>
                <w:rFonts w:hint="eastAsia"/>
              </w:rPr>
              <w:t>行情信息</w:t>
            </w:r>
          </w:p>
        </w:tc>
        <w:tc>
          <w:tcPr>
            <w:tcW w:w="9862" w:type="dxa"/>
            <w:tcBorders>
              <w:top w:val="outset" w:color="auto" w:sz="6" w:space="0"/>
              <w:left w:val="outset" w:color="auto" w:sz="6" w:space="0"/>
              <w:bottom w:val="outset" w:color="auto" w:sz="6" w:space="0"/>
              <w:right w:val="outset" w:color="auto" w:sz="6" w:space="0"/>
            </w:tcBorders>
          </w:tcPr>
          <w:p>
            <w:pPr>
              <w:pStyle w:val="34"/>
            </w:pPr>
            <w:r>
              <w:rPr>
                <w:rFonts w:hint="eastAsia"/>
              </w:rPr>
              <w:t>现价、涨跌幅、实体涨幅、涨速、振幅、量比、成交量、成交额、内外比、换手率、自由换手率、强弱度闻、活跃度、攻击波、回头波、贝塔系数、涨停相关</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vMerge w:val="continue"/>
            <w:tcBorders>
              <w:top w:val="outset" w:color="auto" w:sz="6" w:space="0"/>
              <w:left w:val="outset" w:color="auto" w:sz="6" w:space="0"/>
              <w:bottom w:val="outset" w:color="auto" w:sz="6" w:space="0"/>
              <w:right w:val="outset" w:color="auto" w:sz="6" w:space="0"/>
            </w:tcBorders>
            <w:vAlign w:val="center"/>
          </w:tcPr>
          <w:p>
            <w:pPr>
              <w:pStyle w:val="34"/>
            </w:pPr>
          </w:p>
        </w:tc>
        <w:tc>
          <w:tcPr>
            <w:tcW w:w="2306" w:type="dxa"/>
            <w:tcBorders>
              <w:top w:val="outset" w:color="auto" w:sz="6" w:space="0"/>
              <w:left w:val="outset" w:color="auto" w:sz="6" w:space="0"/>
              <w:bottom w:val="outset" w:color="auto" w:sz="6" w:space="0"/>
              <w:right w:val="outset" w:color="auto" w:sz="6" w:space="0"/>
            </w:tcBorders>
          </w:tcPr>
          <w:p>
            <w:pPr>
              <w:pStyle w:val="34"/>
            </w:pPr>
            <w:r>
              <w:rPr>
                <w:rFonts w:hint="eastAsia"/>
              </w:rPr>
              <w:t>基本分析</w:t>
            </w:r>
          </w:p>
        </w:tc>
        <w:tc>
          <w:tcPr>
            <w:tcW w:w="9862" w:type="dxa"/>
            <w:tcBorders>
              <w:top w:val="outset" w:color="auto" w:sz="6" w:space="0"/>
              <w:left w:val="outset" w:color="auto" w:sz="6" w:space="0"/>
              <w:bottom w:val="outset" w:color="auto" w:sz="6" w:space="0"/>
              <w:right w:val="outset" w:color="auto" w:sz="6" w:space="0"/>
            </w:tcBorders>
          </w:tcPr>
          <w:p>
            <w:pPr>
              <w:pStyle w:val="34"/>
            </w:pPr>
            <w:r>
              <w:rPr>
                <w:rFonts w:hint="eastAsia"/>
              </w:rPr>
              <w:t>总股本、总市值、流通市值、流通股本、自由流通股本、自由流通市值、流通比、自由流通比、十大股东持股比例、十大流通股东持股比例、上市天数、股东人数、人均持股、人均市值</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vMerge w:val="continue"/>
            <w:tcBorders>
              <w:top w:val="outset" w:color="auto" w:sz="6" w:space="0"/>
              <w:left w:val="outset" w:color="auto" w:sz="6" w:space="0"/>
              <w:bottom w:val="outset" w:color="auto" w:sz="6" w:space="0"/>
              <w:right w:val="outset" w:color="auto" w:sz="6" w:space="0"/>
            </w:tcBorders>
            <w:vAlign w:val="center"/>
          </w:tcPr>
          <w:p>
            <w:pPr>
              <w:pStyle w:val="34"/>
            </w:pPr>
          </w:p>
        </w:tc>
        <w:tc>
          <w:tcPr>
            <w:tcW w:w="2306" w:type="dxa"/>
            <w:tcBorders>
              <w:top w:val="outset" w:color="auto" w:sz="6" w:space="0"/>
              <w:left w:val="outset" w:color="auto" w:sz="6" w:space="0"/>
              <w:bottom w:val="outset" w:color="auto" w:sz="6" w:space="0"/>
              <w:right w:val="outset" w:color="auto" w:sz="6" w:space="0"/>
            </w:tcBorders>
          </w:tcPr>
          <w:p>
            <w:pPr>
              <w:pStyle w:val="34"/>
            </w:pPr>
            <w:r>
              <w:rPr>
                <w:rFonts w:hint="eastAsia"/>
              </w:rPr>
              <w:t>财务指标</w:t>
            </w:r>
          </w:p>
        </w:tc>
        <w:tc>
          <w:tcPr>
            <w:tcW w:w="9862" w:type="dxa"/>
            <w:tcBorders>
              <w:top w:val="outset" w:color="auto" w:sz="6" w:space="0"/>
              <w:left w:val="outset" w:color="auto" w:sz="6" w:space="0"/>
              <w:bottom w:val="outset" w:color="auto" w:sz="6" w:space="0"/>
              <w:right w:val="outset" w:color="auto" w:sz="6" w:space="0"/>
            </w:tcBorders>
          </w:tcPr>
          <w:p>
            <w:pPr>
              <w:pStyle w:val="34"/>
            </w:pPr>
            <w:r>
              <w:rPr>
                <w:rFonts w:hint="eastAsia"/>
              </w:rPr>
              <w:t>价值类，成长类、价值成长类、市盈率、市净率、市销率、市现率、净利润、净利润率、资净利润增长率、营业收入增长率、每股收益、每股收益增长率、每股净资产、每股现金流、每股未分配利润、每股资本公积、销售毛利率、三费比重、资产负债率、净资产收益率、权益比、投资收益率、总资产报酬率、股息率</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vMerge w:val="continue"/>
            <w:tcBorders>
              <w:top w:val="outset" w:color="auto" w:sz="6" w:space="0"/>
              <w:left w:val="outset" w:color="auto" w:sz="6" w:space="0"/>
              <w:bottom w:val="outset" w:color="auto" w:sz="6" w:space="0"/>
              <w:right w:val="outset" w:color="auto" w:sz="6" w:space="0"/>
            </w:tcBorders>
            <w:vAlign w:val="center"/>
          </w:tcPr>
          <w:p>
            <w:pPr>
              <w:pStyle w:val="34"/>
            </w:pPr>
          </w:p>
        </w:tc>
        <w:tc>
          <w:tcPr>
            <w:tcW w:w="2306" w:type="dxa"/>
            <w:tcBorders>
              <w:top w:val="outset" w:color="auto" w:sz="6" w:space="0"/>
              <w:left w:val="outset" w:color="auto" w:sz="6" w:space="0"/>
              <w:bottom w:val="outset" w:color="auto" w:sz="6" w:space="0"/>
              <w:right w:val="outset" w:color="auto" w:sz="6" w:space="0"/>
            </w:tcBorders>
          </w:tcPr>
          <w:p>
            <w:pPr>
              <w:pStyle w:val="34"/>
            </w:pPr>
            <w:r>
              <w:rPr>
                <w:rFonts w:hint="eastAsia"/>
              </w:rPr>
              <w:t>阶段表现</w:t>
            </w:r>
          </w:p>
        </w:tc>
        <w:tc>
          <w:tcPr>
            <w:tcW w:w="9862" w:type="dxa"/>
            <w:tcBorders>
              <w:top w:val="outset" w:color="auto" w:sz="6" w:space="0"/>
              <w:left w:val="outset" w:color="auto" w:sz="6" w:space="0"/>
              <w:bottom w:val="outset" w:color="auto" w:sz="6" w:space="0"/>
              <w:right w:val="outset" w:color="auto" w:sz="6" w:space="0"/>
            </w:tcBorders>
          </w:tcPr>
          <w:p>
            <w:pPr>
              <w:pStyle w:val="34"/>
            </w:pPr>
            <w:r>
              <w:rPr>
                <w:rFonts w:hint="eastAsia"/>
              </w:rPr>
              <w:t>阶段放量、阶段缩量、平台整理、平台突破、阶段换手、阶段振幅</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vMerge w:val="continue"/>
            <w:tcBorders>
              <w:top w:val="outset" w:color="auto" w:sz="6" w:space="0"/>
              <w:left w:val="outset" w:color="auto" w:sz="6" w:space="0"/>
              <w:bottom w:val="outset" w:color="auto" w:sz="6" w:space="0"/>
              <w:right w:val="outset" w:color="auto" w:sz="6" w:space="0"/>
            </w:tcBorders>
            <w:vAlign w:val="center"/>
          </w:tcPr>
          <w:p>
            <w:pPr>
              <w:pStyle w:val="34"/>
            </w:pPr>
          </w:p>
        </w:tc>
        <w:tc>
          <w:tcPr>
            <w:tcW w:w="2306" w:type="dxa"/>
            <w:tcBorders>
              <w:top w:val="outset" w:color="auto" w:sz="6" w:space="0"/>
              <w:left w:val="outset" w:color="auto" w:sz="6" w:space="0"/>
              <w:bottom w:val="outset" w:color="auto" w:sz="6" w:space="0"/>
              <w:right w:val="outset" w:color="auto" w:sz="6" w:space="0"/>
            </w:tcBorders>
          </w:tcPr>
          <w:p>
            <w:pPr>
              <w:pStyle w:val="34"/>
            </w:pPr>
            <w:r>
              <w:rPr>
                <w:rFonts w:hint="eastAsia"/>
              </w:rPr>
              <w:t>资金主力</w:t>
            </w:r>
          </w:p>
        </w:tc>
        <w:tc>
          <w:tcPr>
            <w:tcW w:w="9862" w:type="dxa"/>
            <w:tcBorders>
              <w:top w:val="outset" w:color="auto" w:sz="6" w:space="0"/>
              <w:left w:val="outset" w:color="auto" w:sz="6" w:space="0"/>
              <w:bottom w:val="outset" w:color="auto" w:sz="6" w:space="0"/>
              <w:right w:val="outset" w:color="auto" w:sz="6" w:space="0"/>
            </w:tcBorders>
          </w:tcPr>
          <w:p>
            <w:pPr>
              <w:pStyle w:val="34"/>
            </w:pPr>
            <w:r>
              <w:rPr>
                <w:rFonts w:hint="eastAsia"/>
              </w:rPr>
              <w:t>主力异动、净流入额、大宗净流入额、相对流量%、竞买率%、大单买入%等</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vMerge w:val="continue"/>
            <w:tcBorders>
              <w:top w:val="outset" w:color="auto" w:sz="6" w:space="0"/>
              <w:left w:val="outset" w:color="auto" w:sz="6" w:space="0"/>
              <w:bottom w:val="outset" w:color="auto" w:sz="6" w:space="0"/>
              <w:right w:val="outset" w:color="auto" w:sz="6" w:space="0"/>
            </w:tcBorders>
            <w:vAlign w:val="center"/>
          </w:tcPr>
          <w:p>
            <w:pPr>
              <w:pStyle w:val="34"/>
            </w:pPr>
          </w:p>
        </w:tc>
        <w:tc>
          <w:tcPr>
            <w:tcW w:w="2306" w:type="dxa"/>
            <w:tcBorders>
              <w:top w:val="outset" w:color="auto" w:sz="6" w:space="0"/>
              <w:left w:val="outset" w:color="auto" w:sz="6" w:space="0"/>
              <w:bottom w:val="outset" w:color="auto" w:sz="6" w:space="0"/>
              <w:right w:val="outset" w:color="auto" w:sz="6" w:space="0"/>
            </w:tcBorders>
          </w:tcPr>
          <w:p>
            <w:pPr>
              <w:pStyle w:val="34"/>
            </w:pPr>
            <w:r>
              <w:rPr>
                <w:rFonts w:hint="eastAsia"/>
              </w:rPr>
              <w:t>价值发现</w:t>
            </w:r>
          </w:p>
        </w:tc>
        <w:tc>
          <w:tcPr>
            <w:tcW w:w="9862" w:type="dxa"/>
            <w:tcBorders>
              <w:top w:val="outset" w:color="auto" w:sz="6" w:space="0"/>
              <w:left w:val="outset" w:color="auto" w:sz="6" w:space="0"/>
              <w:bottom w:val="outset" w:color="auto" w:sz="6" w:space="0"/>
              <w:right w:val="outset" w:color="auto" w:sz="6" w:space="0"/>
            </w:tcBorders>
          </w:tcPr>
          <w:p>
            <w:pPr>
              <w:pStyle w:val="34"/>
            </w:pPr>
            <w:r>
              <w:rPr>
                <w:rFonts w:hint="eastAsia"/>
              </w:rPr>
              <w:t>股东增减持、近期关注、价值关注、强势资金、一致预期、龙虎榜单、融资融券、增发送配、小盘成长、并购重组、机构重仓、国家队持股、持股分析、投资参股、盘中精选、关注度</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vMerge w:val="continue"/>
            <w:tcBorders>
              <w:top w:val="outset" w:color="auto" w:sz="6" w:space="0"/>
              <w:left w:val="outset" w:color="auto" w:sz="6" w:space="0"/>
              <w:bottom w:val="outset" w:color="auto" w:sz="6" w:space="0"/>
              <w:right w:val="outset" w:color="auto" w:sz="6" w:space="0"/>
            </w:tcBorders>
            <w:vAlign w:val="center"/>
          </w:tcPr>
          <w:p>
            <w:pPr>
              <w:pStyle w:val="34"/>
            </w:pPr>
          </w:p>
        </w:tc>
        <w:tc>
          <w:tcPr>
            <w:tcW w:w="2306" w:type="dxa"/>
            <w:tcBorders>
              <w:top w:val="outset" w:color="auto" w:sz="6" w:space="0"/>
              <w:left w:val="outset" w:color="auto" w:sz="6" w:space="0"/>
              <w:bottom w:val="outset" w:color="auto" w:sz="6" w:space="0"/>
              <w:right w:val="outset" w:color="auto" w:sz="6" w:space="0"/>
            </w:tcBorders>
          </w:tcPr>
          <w:p>
            <w:pPr>
              <w:pStyle w:val="34"/>
            </w:pPr>
            <w:r>
              <w:rPr>
                <w:rFonts w:hint="eastAsia"/>
              </w:rPr>
              <w:t>范围选择</w:t>
            </w:r>
          </w:p>
        </w:tc>
        <w:tc>
          <w:tcPr>
            <w:tcW w:w="9862" w:type="dxa"/>
            <w:tcBorders>
              <w:top w:val="outset" w:color="auto" w:sz="6" w:space="0"/>
              <w:left w:val="outset" w:color="auto" w:sz="6" w:space="0"/>
              <w:bottom w:val="outset" w:color="auto" w:sz="6" w:space="0"/>
              <w:right w:val="outset" w:color="auto" w:sz="6" w:space="0"/>
            </w:tcBorders>
          </w:tcPr>
          <w:p>
            <w:pPr>
              <w:pStyle w:val="34"/>
            </w:pPr>
            <w:r>
              <w:rPr>
                <w:rFonts w:hint="eastAsia"/>
              </w:rPr>
              <w:t>市场、地区版块、行业板块、概念板块、风格板块、申万行业</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820" w:type="dxa"/>
            <w:vMerge w:val="restart"/>
            <w:tcBorders>
              <w:top w:val="outset" w:color="auto" w:sz="6" w:space="0"/>
              <w:left w:val="outset" w:color="auto" w:sz="6" w:space="0"/>
              <w:bottom w:val="outset" w:color="auto" w:sz="6" w:space="0"/>
              <w:right w:val="outset" w:color="auto" w:sz="6" w:space="0"/>
            </w:tcBorders>
            <w:vAlign w:val="center"/>
          </w:tcPr>
          <w:p>
            <w:pPr>
              <w:pStyle w:val="34"/>
            </w:pPr>
            <w:r>
              <w:rPr>
                <w:rFonts w:hint="eastAsia"/>
              </w:rPr>
              <w:t>资讯检索</w:t>
            </w:r>
          </w:p>
        </w:tc>
        <w:tc>
          <w:tcPr>
            <w:tcW w:w="2306" w:type="dxa"/>
            <w:tcBorders>
              <w:top w:val="outset" w:color="auto" w:sz="6" w:space="0"/>
              <w:left w:val="outset" w:color="auto" w:sz="6" w:space="0"/>
              <w:bottom w:val="outset" w:color="auto" w:sz="6" w:space="0"/>
              <w:right w:val="outset" w:color="auto" w:sz="6" w:space="0"/>
            </w:tcBorders>
          </w:tcPr>
          <w:p>
            <w:pPr>
              <w:pStyle w:val="34"/>
            </w:pPr>
            <w:r>
              <w:rPr>
                <w:rFonts w:hint="eastAsia"/>
              </w:rPr>
              <w:t>个股资讯</w:t>
            </w:r>
          </w:p>
        </w:tc>
        <w:tc>
          <w:tcPr>
            <w:tcW w:w="9862" w:type="dxa"/>
            <w:tcBorders>
              <w:top w:val="outset" w:color="auto" w:sz="6" w:space="0"/>
              <w:left w:val="outset" w:color="auto" w:sz="6" w:space="0"/>
              <w:bottom w:val="outset" w:color="auto" w:sz="6" w:space="0"/>
              <w:right w:val="outset" w:color="auto" w:sz="6" w:space="0"/>
            </w:tcBorders>
          </w:tcPr>
          <w:p>
            <w:pPr>
              <w:pStyle w:val="34"/>
            </w:pPr>
            <w:r>
              <w:rPr>
                <w:rFonts w:hint="eastAsia"/>
              </w:rPr>
              <w:t>行业新闻、行业研报、公司新闻、公司公告、公司研究</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vMerge w:val="continue"/>
            <w:tcBorders>
              <w:top w:val="outset" w:color="auto" w:sz="6" w:space="0"/>
              <w:left w:val="outset" w:color="auto" w:sz="6" w:space="0"/>
              <w:bottom w:val="outset" w:color="auto" w:sz="6" w:space="0"/>
              <w:right w:val="outset" w:color="auto" w:sz="6" w:space="0"/>
            </w:tcBorders>
            <w:vAlign w:val="center"/>
          </w:tcPr>
          <w:p>
            <w:pPr>
              <w:pStyle w:val="34"/>
            </w:pPr>
          </w:p>
        </w:tc>
        <w:tc>
          <w:tcPr>
            <w:tcW w:w="2306" w:type="dxa"/>
            <w:tcBorders>
              <w:top w:val="outset" w:color="auto" w:sz="6" w:space="0"/>
              <w:left w:val="outset" w:color="auto" w:sz="6" w:space="0"/>
              <w:bottom w:val="outset" w:color="auto" w:sz="6" w:space="0"/>
              <w:right w:val="outset" w:color="auto" w:sz="6" w:space="0"/>
            </w:tcBorders>
          </w:tcPr>
          <w:p>
            <w:pPr>
              <w:pStyle w:val="34"/>
            </w:pPr>
            <w:r>
              <w:rPr>
                <w:rFonts w:hint="eastAsia"/>
              </w:rPr>
              <w:t>板块资讯</w:t>
            </w:r>
          </w:p>
        </w:tc>
        <w:tc>
          <w:tcPr>
            <w:tcW w:w="9862" w:type="dxa"/>
            <w:tcBorders>
              <w:top w:val="outset" w:color="auto" w:sz="6" w:space="0"/>
              <w:left w:val="outset" w:color="auto" w:sz="6" w:space="0"/>
              <w:bottom w:val="outset" w:color="auto" w:sz="6" w:space="0"/>
              <w:right w:val="outset" w:color="auto" w:sz="6" w:space="0"/>
            </w:tcBorders>
          </w:tcPr>
          <w:p>
            <w:pPr>
              <w:pStyle w:val="34"/>
            </w:pPr>
            <w:r>
              <w:rPr>
                <w:rFonts w:hint="eastAsia"/>
              </w:rPr>
              <w:t>概念、风格、行业、主题的新闻、研报</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vMerge w:val="continue"/>
            <w:tcBorders>
              <w:top w:val="outset" w:color="auto" w:sz="6" w:space="0"/>
              <w:left w:val="outset" w:color="auto" w:sz="6" w:space="0"/>
              <w:bottom w:val="outset" w:color="auto" w:sz="6" w:space="0"/>
              <w:right w:val="outset" w:color="auto" w:sz="6" w:space="0"/>
            </w:tcBorders>
            <w:vAlign w:val="center"/>
          </w:tcPr>
          <w:p>
            <w:pPr>
              <w:pStyle w:val="34"/>
            </w:pPr>
          </w:p>
        </w:tc>
        <w:tc>
          <w:tcPr>
            <w:tcW w:w="2306" w:type="dxa"/>
            <w:tcBorders>
              <w:top w:val="outset" w:color="auto" w:sz="6" w:space="0"/>
              <w:left w:val="outset" w:color="auto" w:sz="6" w:space="0"/>
              <w:bottom w:val="outset" w:color="auto" w:sz="6" w:space="0"/>
              <w:right w:val="outset" w:color="auto" w:sz="6" w:space="0"/>
            </w:tcBorders>
          </w:tcPr>
          <w:p>
            <w:pPr>
              <w:pStyle w:val="34"/>
            </w:pPr>
            <w:r>
              <w:rPr>
                <w:rFonts w:hint="eastAsia"/>
              </w:rPr>
              <w:t>综合资讯</w:t>
            </w:r>
          </w:p>
        </w:tc>
        <w:tc>
          <w:tcPr>
            <w:tcW w:w="9862" w:type="dxa"/>
            <w:tcBorders>
              <w:top w:val="outset" w:color="auto" w:sz="6" w:space="0"/>
              <w:left w:val="outset" w:color="auto" w:sz="6" w:space="0"/>
              <w:bottom w:val="outset" w:color="auto" w:sz="6" w:space="0"/>
              <w:right w:val="outset" w:color="auto" w:sz="6" w:space="0"/>
            </w:tcBorders>
          </w:tcPr>
          <w:p>
            <w:pPr>
              <w:pStyle w:val="34"/>
            </w:pPr>
            <w:r>
              <w:rPr>
                <w:rFonts w:hint="eastAsia"/>
              </w:rPr>
              <w:t>要闻精选、焦点新闻、滚动新闻、新闻精华、机构视点、盘前参考、盘中直击、盘后回顾、沪深资讯、产经资讯、新股新闻、基金新闻、港股新闻、宏观新闻、商品新闻、外汇新闻、债券新闻、海外新闻、自选新闻、自选公告、自选研报等</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820" w:type="dxa"/>
            <w:tcBorders>
              <w:top w:val="outset" w:color="auto" w:sz="6" w:space="0"/>
              <w:left w:val="outset" w:color="auto" w:sz="6" w:space="0"/>
              <w:bottom w:val="outset" w:color="auto" w:sz="6" w:space="0"/>
              <w:right w:val="outset" w:color="auto" w:sz="6" w:space="0"/>
            </w:tcBorders>
          </w:tcPr>
          <w:p>
            <w:pPr>
              <w:pStyle w:val="34"/>
            </w:pPr>
            <w:r>
              <w:rPr>
                <w:rFonts w:hint="eastAsia"/>
              </w:rPr>
              <w:t>答疑解惑</w:t>
            </w:r>
          </w:p>
        </w:tc>
        <w:tc>
          <w:tcPr>
            <w:tcW w:w="2306" w:type="dxa"/>
            <w:tcBorders>
              <w:top w:val="outset" w:color="auto" w:sz="6" w:space="0"/>
              <w:left w:val="outset" w:color="auto" w:sz="6" w:space="0"/>
              <w:bottom w:val="outset" w:color="auto" w:sz="6" w:space="0"/>
              <w:right w:val="outset" w:color="auto" w:sz="6" w:space="0"/>
            </w:tcBorders>
          </w:tcPr>
          <w:p>
            <w:pPr>
              <w:pStyle w:val="34"/>
            </w:pPr>
            <w:r>
              <w:rPr>
                <w:rFonts w:hint="eastAsia"/>
              </w:rPr>
              <w:t>海量专业知识</w:t>
            </w:r>
          </w:p>
        </w:tc>
        <w:tc>
          <w:tcPr>
            <w:tcW w:w="9862" w:type="dxa"/>
            <w:tcBorders>
              <w:top w:val="outset" w:color="auto" w:sz="6" w:space="0"/>
              <w:left w:val="outset" w:color="auto" w:sz="6" w:space="0"/>
              <w:bottom w:val="outset" w:color="auto" w:sz="6" w:space="0"/>
              <w:right w:val="outset" w:color="auto" w:sz="6" w:space="0"/>
            </w:tcBorders>
          </w:tcPr>
          <w:p>
            <w:pPr>
              <w:pStyle w:val="34"/>
            </w:pPr>
            <w:r>
              <w:rPr>
                <w:rFonts w:hint="eastAsia"/>
              </w:rPr>
              <w:t>答疑解惑功能通过收集海量专业知识为用户提供解惑渠道。主要内容包括名词解释(宏观指标、财务指标、行情指标、行情术语、交易术语、K线形态等)、FAQ、证券基础知识、市场关注热点话题</w:t>
            </w:r>
          </w:p>
        </w:tc>
      </w:tr>
    </w:tbl>
    <w:p>
      <w:pPr>
        <w:widowControl/>
        <w:spacing w:before="100" w:beforeAutospacing="1" w:after="100" w:afterAutospacing="1" w:line="240" w:lineRule="auto"/>
        <w:jc w:val="left"/>
        <w:rPr>
          <w:rFonts w:ascii="微软雅黑" w:hAnsi="微软雅黑" w:eastAsia="微软雅黑" w:cs="宋体"/>
          <w:color w:val="000000"/>
          <w:kern w:val="0"/>
          <w:sz w:val="23"/>
          <w:szCs w:val="23"/>
        </w:rPr>
      </w:pPr>
      <w:r>
        <w:rPr>
          <w:rFonts w:ascii="微软雅黑" w:hAnsi="微软雅黑" w:eastAsia="微软雅黑" w:cs="宋体"/>
          <w:color w:val="000000"/>
          <w:kern w:val="0"/>
          <w:sz w:val="23"/>
          <w:szCs w:val="23"/>
        </w:rPr>
        <w:fldChar w:fldCharType="begin"/>
      </w:r>
      <w:r>
        <w:rPr>
          <w:rFonts w:ascii="微软雅黑" w:hAnsi="微软雅黑" w:eastAsia="微软雅黑" w:cs="宋体"/>
          <w:color w:val="000000"/>
          <w:kern w:val="0"/>
          <w:sz w:val="23"/>
          <w:szCs w:val="23"/>
        </w:rPr>
        <w:instrText xml:space="preserve"> INCLUDEPICTURE  "https://www.tdx.com.cn/products/helpfile/tdxw/chm/%E7%AC%AC%E4%BA%94%E7%AB%A0  %E6%B3%A8%E5%86%8C%E5%8F%8A%E6%B8%B8%E5%AE%A2%E7%99%BB%E9%99%86/5-9/2.png" \* MERGEFORMATINET </w:instrText>
      </w:r>
      <w:r>
        <w:rPr>
          <w:rFonts w:ascii="微软雅黑" w:hAnsi="微软雅黑" w:eastAsia="微软雅黑" w:cs="宋体"/>
          <w:color w:val="000000"/>
          <w:kern w:val="0"/>
          <w:sz w:val="23"/>
          <w:szCs w:val="23"/>
        </w:rPr>
        <w:fldChar w:fldCharType="separate"/>
      </w:r>
      <w:r>
        <w:rPr>
          <w:rFonts w:ascii="微软雅黑" w:hAnsi="微软雅黑" w:eastAsia="微软雅黑" w:cs="宋体"/>
          <w:color w:val="000000"/>
          <w:kern w:val="0"/>
          <w:sz w:val="23"/>
          <w:szCs w:val="23"/>
        </w:rPr>
        <w:fldChar w:fldCharType="begin"/>
      </w:r>
      <w:r>
        <w:rPr>
          <w:rFonts w:ascii="微软雅黑" w:hAnsi="微软雅黑" w:eastAsia="微软雅黑" w:cs="宋体"/>
          <w:color w:val="000000"/>
          <w:kern w:val="0"/>
          <w:sz w:val="23"/>
          <w:szCs w:val="23"/>
        </w:rPr>
        <w:instrText xml:space="preserve"> INCLUDEPICTURE  "https://www.tdx.com.cn/products/helpfile/tdxw/chm/%E7%AC%AC%E4%BA%94%E7%AB%A0  %E6%B3%A8%E5%86%8C%E5%8F%8A%E6%B8%B8%E5%AE%A2%E7%99%BB%E9%99%86/5-9/2.png" \* MERGEFORMATINET </w:instrText>
      </w:r>
      <w:r>
        <w:rPr>
          <w:rFonts w:ascii="微软雅黑" w:hAnsi="微软雅黑" w:eastAsia="微软雅黑" w:cs="宋体"/>
          <w:color w:val="000000"/>
          <w:kern w:val="0"/>
          <w:sz w:val="23"/>
          <w:szCs w:val="23"/>
        </w:rPr>
        <w:fldChar w:fldCharType="separate"/>
      </w:r>
      <w:r>
        <w:rPr>
          <w:rFonts w:ascii="微软雅黑" w:hAnsi="微软雅黑" w:eastAsia="微软雅黑" w:cs="宋体"/>
          <w:color w:val="000000"/>
          <w:kern w:val="0"/>
          <w:sz w:val="23"/>
          <w:szCs w:val="23"/>
        </w:rPr>
        <w:fldChar w:fldCharType="begin"/>
      </w:r>
      <w:r>
        <w:rPr>
          <w:rFonts w:ascii="微软雅黑" w:hAnsi="微软雅黑" w:eastAsia="微软雅黑" w:cs="宋体"/>
          <w:color w:val="000000"/>
          <w:kern w:val="0"/>
          <w:sz w:val="23"/>
          <w:szCs w:val="23"/>
        </w:rPr>
        <w:instrText xml:space="preserve"> INCLUDEPICTURE  "https://www.tdx.com.cn/products/helpfile/tdxw/chm/%E7%AC%AC%E4%BA%94%E7%AB%A0  %E6%B3%A8%E5%86%8C%E5%8F%8A%E6%B8%B8%E5%AE%A2%E7%99%BB%E9%99%86/5-9/2.png" \* MERGEFORMATINET </w:instrText>
      </w:r>
      <w:r>
        <w:rPr>
          <w:rFonts w:ascii="微软雅黑" w:hAnsi="微软雅黑" w:eastAsia="微软雅黑" w:cs="宋体"/>
          <w:color w:val="000000"/>
          <w:kern w:val="0"/>
          <w:sz w:val="23"/>
          <w:szCs w:val="23"/>
        </w:rPr>
        <w:fldChar w:fldCharType="separate"/>
      </w:r>
      <w:r>
        <w:rPr>
          <w:rFonts w:ascii="微软雅黑" w:hAnsi="微软雅黑" w:eastAsia="微软雅黑" w:cs="宋体"/>
          <w:color w:val="000000"/>
          <w:kern w:val="0"/>
          <w:sz w:val="23"/>
          <w:szCs w:val="23"/>
        </w:rPr>
        <w:fldChar w:fldCharType="begin"/>
      </w:r>
      <w:r>
        <w:rPr>
          <w:rFonts w:ascii="微软雅黑" w:hAnsi="微软雅黑" w:eastAsia="微软雅黑" w:cs="宋体"/>
          <w:color w:val="000000"/>
          <w:kern w:val="0"/>
          <w:sz w:val="23"/>
          <w:szCs w:val="23"/>
        </w:rPr>
        <w:instrText xml:space="preserve"> INCLUDEPICTURE  "https://www.tdx.com.cn/products/helpfile/tdxw/chm/%E7%AC%AC%E4%BA%94%E7%AB%A0  %E6%B3%A8%E5%86%8C%E5%8F%8A%E6%B8%B8%E5%AE%A2%E7%99%BB%E9%99%86/5-9/2.png" \* MERGEFORMATINET </w:instrText>
      </w:r>
      <w:r>
        <w:rPr>
          <w:rFonts w:ascii="微软雅黑" w:hAnsi="微软雅黑" w:eastAsia="微软雅黑" w:cs="宋体"/>
          <w:color w:val="000000"/>
          <w:kern w:val="0"/>
          <w:sz w:val="23"/>
          <w:szCs w:val="23"/>
        </w:rPr>
        <w:fldChar w:fldCharType="separate"/>
      </w:r>
      <w:r>
        <w:rPr>
          <w:rFonts w:ascii="微软雅黑" w:hAnsi="微软雅黑" w:eastAsia="微软雅黑" w:cs="宋体"/>
          <w:color w:val="000000"/>
          <w:kern w:val="0"/>
          <w:sz w:val="23"/>
          <w:szCs w:val="23"/>
        </w:rPr>
        <w:drawing>
          <wp:inline distT="0" distB="0" distL="114300" distR="114300">
            <wp:extent cx="8248650" cy="5524500"/>
            <wp:effectExtent l="0" t="0" r="0" b="0"/>
            <wp:docPr id="464" name="图片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图片 464"/>
                    <pic:cNvPicPr>
                      <a:picLocks noChangeAspect="1"/>
                    </pic:cNvPicPr>
                  </pic:nvPicPr>
                  <pic:blipFill>
                    <a:blip r:embed="rId875" r:link="rId876"/>
                    <a:stretch>
                      <a:fillRect/>
                    </a:stretch>
                  </pic:blipFill>
                  <pic:spPr>
                    <a:xfrm>
                      <a:off x="0" y="0"/>
                      <a:ext cx="8248650" cy="5524500"/>
                    </a:xfrm>
                    <a:prstGeom prst="rect">
                      <a:avLst/>
                    </a:prstGeom>
                    <a:noFill/>
                    <a:ln>
                      <a:noFill/>
                    </a:ln>
                  </pic:spPr>
                </pic:pic>
              </a:graphicData>
            </a:graphic>
          </wp:inline>
        </w:drawing>
      </w:r>
      <w:r>
        <w:rPr>
          <w:rFonts w:ascii="微软雅黑" w:hAnsi="微软雅黑" w:eastAsia="微软雅黑" w:cs="宋体"/>
          <w:color w:val="000000"/>
          <w:kern w:val="0"/>
          <w:sz w:val="23"/>
          <w:szCs w:val="23"/>
        </w:rPr>
        <w:fldChar w:fldCharType="end"/>
      </w:r>
      <w:r>
        <w:rPr>
          <w:rFonts w:ascii="微软雅黑" w:hAnsi="微软雅黑" w:eastAsia="微软雅黑" w:cs="宋体"/>
          <w:color w:val="000000"/>
          <w:kern w:val="0"/>
          <w:sz w:val="23"/>
          <w:szCs w:val="23"/>
        </w:rPr>
        <w:fldChar w:fldCharType="end"/>
      </w:r>
      <w:r>
        <w:rPr>
          <w:rFonts w:ascii="微软雅黑" w:hAnsi="微软雅黑" w:eastAsia="微软雅黑" w:cs="宋体"/>
          <w:color w:val="000000"/>
          <w:kern w:val="0"/>
          <w:sz w:val="23"/>
          <w:szCs w:val="23"/>
        </w:rPr>
        <w:fldChar w:fldCharType="end"/>
      </w:r>
      <w:r>
        <w:rPr>
          <w:rFonts w:ascii="微软雅黑" w:hAnsi="微软雅黑" w:eastAsia="微软雅黑" w:cs="宋体"/>
          <w:color w:val="000000"/>
          <w:kern w:val="0"/>
          <w:sz w:val="23"/>
          <w:szCs w:val="23"/>
        </w:rPr>
        <w:fldChar w:fldCharType="end"/>
      </w:r>
    </w:p>
    <w:p>
      <w:pPr>
        <w:pStyle w:val="3"/>
      </w:pPr>
      <w:bookmarkStart w:id="67" w:name="_Toc90646187"/>
      <w:r>
        <w:rPr>
          <w:rFonts w:hint="eastAsia"/>
        </w:rPr>
        <w:t>板块地图</w:t>
      </w:r>
      <w:bookmarkEnd w:id="67"/>
    </w:p>
    <w:p>
      <w:pPr>
        <w:pStyle w:val="34"/>
      </w:pPr>
      <w:r>
        <w:rPr>
          <w:rFonts w:hint="eastAsia"/>
        </w:rPr>
        <w:t>打开方式：</w:t>
      </w:r>
    </w:p>
    <w:p>
      <w:pPr>
        <w:pStyle w:val="34"/>
      </w:pPr>
      <w:r>
        <w:rPr>
          <w:rFonts w:hint="eastAsia"/>
        </w:rPr>
        <w:t>15进入板块指数，点击“板块地图”。</w:t>
      </w:r>
    </w:p>
    <w:p>
      <w:pPr>
        <w:pStyle w:val="34"/>
      </w:pPr>
      <w:r>
        <w:fldChar w:fldCharType="begin"/>
      </w:r>
      <w:r>
        <w:instrText xml:space="preserve"> INCLUDEPICTURE  "https://www.tdx.com.cn/products/helpfile/tdxw/chm/%E7%AC%AC%E4%BA%94%E7%AB%A0  %E6%B3%A8%E5%86%8C%E5%8F%8A%E6%B8%B8%E5%AE%A2%E7%99%BB%E9%99%86/5-10/0.5.png" \* MERGEFORMATINET </w:instrText>
      </w:r>
      <w:r>
        <w:fldChar w:fldCharType="separate"/>
      </w:r>
      <w:r>
        <w:fldChar w:fldCharType="begin"/>
      </w:r>
      <w:r>
        <w:instrText xml:space="preserve"> INCLUDEPICTURE  "https://www.tdx.com.cn/products/helpfile/tdxw/chm/%E7%AC%AC%E4%BA%94%E7%AB%A0  %E6%B3%A8%E5%86%8C%E5%8F%8A%E6%B8%B8%E5%AE%A2%E7%99%BB%E9%99%86/5-10/0.5.png" \* MERGEFORMATINET </w:instrText>
      </w:r>
      <w:r>
        <w:fldChar w:fldCharType="separate"/>
      </w:r>
      <w:r>
        <w:fldChar w:fldCharType="begin"/>
      </w:r>
      <w:r>
        <w:instrText xml:space="preserve"> INCLUDEPICTURE  "https://www.tdx.com.cn/products/helpfile/tdxw/chm/%E7%AC%AC%E4%BA%94%E7%AB%A0  %E6%B3%A8%E5%86%8C%E5%8F%8A%E6%B8%B8%E5%AE%A2%E7%99%BB%E9%99%86/5-10/0.5.png" \* MERGEFORMATINET </w:instrText>
      </w:r>
      <w:r>
        <w:fldChar w:fldCharType="separate"/>
      </w:r>
      <w:r>
        <w:fldChar w:fldCharType="begin"/>
      </w:r>
      <w:r>
        <w:instrText xml:space="preserve"> INCLUDEPICTURE  "https://www.tdx.com.cn/products/helpfile/tdxw/chm/%E7%AC%AC%E4%BA%94%E7%AB%A0  %E6%B3%A8%E5%86%8C%E5%8F%8A%E6%B8%B8%E5%AE%A2%E7%99%BB%E9%99%86/5-10/0.5.png" \* MERGEFORMATINET </w:instrText>
      </w:r>
      <w:r>
        <w:fldChar w:fldCharType="separate"/>
      </w:r>
      <w:r>
        <w:drawing>
          <wp:inline distT="0" distB="0" distL="114300" distR="114300">
            <wp:extent cx="5114925" cy="257175"/>
            <wp:effectExtent l="0" t="0" r="9525" b="9525"/>
            <wp:docPr id="465" name="图片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图片 465"/>
                    <pic:cNvPicPr>
                      <a:picLocks noChangeAspect="1"/>
                    </pic:cNvPicPr>
                  </pic:nvPicPr>
                  <pic:blipFill>
                    <a:blip r:embed="rId877" r:link="rId878"/>
                    <a:stretch>
                      <a:fillRect/>
                    </a:stretch>
                  </pic:blipFill>
                  <pic:spPr>
                    <a:xfrm>
                      <a:off x="0" y="0"/>
                      <a:ext cx="5114925" cy="257175"/>
                    </a:xfrm>
                    <a:prstGeom prst="rect">
                      <a:avLst/>
                    </a:prstGeom>
                    <a:noFill/>
                    <a:ln>
                      <a:noFill/>
                    </a:ln>
                  </pic:spPr>
                </pic:pic>
              </a:graphicData>
            </a:graphic>
          </wp:inline>
        </w:drawing>
      </w:r>
      <w:r>
        <w:fldChar w:fldCharType="end"/>
      </w:r>
      <w:r>
        <w:fldChar w:fldCharType="end"/>
      </w:r>
      <w:r>
        <w:fldChar w:fldCharType="end"/>
      </w:r>
      <w:r>
        <w:fldChar w:fldCharType="end"/>
      </w:r>
    </w:p>
    <w:p>
      <w:pPr>
        <w:pStyle w:val="34"/>
        <w:rPr>
          <w:color w:val="FF0000"/>
        </w:rPr>
      </w:pPr>
      <w:r>
        <w:rPr>
          <w:rStyle w:val="28"/>
          <w:rFonts w:hint="eastAsia"/>
          <w:b w:val="0"/>
          <w:bCs w:val="0"/>
          <w:color w:val="FF0000"/>
          <w:szCs w:val="18"/>
        </w:rPr>
        <w:t>行业板块</w:t>
      </w:r>
    </w:p>
    <w:p>
      <w:pPr>
        <w:pStyle w:val="34"/>
      </w:pPr>
      <w:r>
        <w:rPr>
          <w:rFonts w:hint="eastAsia"/>
        </w:rPr>
        <w:t>按照不同类别查看各行业的今日涨幅、3日涨幅、5日涨幅、10日涨幅、20日涨幅、60日涨幅。各涨幅都根据盘中实时数据实时刷新。</w:t>
      </w:r>
    </w:p>
    <w:p>
      <w:pPr>
        <w:pStyle w:val="34"/>
      </w:pPr>
      <w:r>
        <w:fldChar w:fldCharType="begin"/>
      </w:r>
      <w:r>
        <w:instrText xml:space="preserve"> INCLUDEPICTURE  "https://www.tdx.com.cn/products/helpfile/tdxw/chm/%E7%AC%AC%E4%BA%94%E7%AB%A0  %E6%B3%A8%E5%86%8C%E5%8F%8A%E6%B8%B8%E5%AE%A2%E7%99%BB%E9%99%86/5-10/1.png" \* MERGEFORMATINET </w:instrText>
      </w:r>
      <w:r>
        <w:fldChar w:fldCharType="separate"/>
      </w:r>
      <w:r>
        <w:fldChar w:fldCharType="begin"/>
      </w:r>
      <w:r>
        <w:instrText xml:space="preserve"> INCLUDEPICTURE  "https://www.tdx.com.cn/products/helpfile/tdxw/chm/%E7%AC%AC%E4%BA%94%E7%AB%A0  %E6%B3%A8%E5%86%8C%E5%8F%8A%E6%B8%B8%E5%AE%A2%E7%99%BB%E9%99%86/5-10/1.png" \* MERGEFORMATINET </w:instrText>
      </w:r>
      <w:r>
        <w:fldChar w:fldCharType="separate"/>
      </w:r>
      <w:r>
        <w:fldChar w:fldCharType="begin"/>
      </w:r>
      <w:r>
        <w:instrText xml:space="preserve"> INCLUDEPICTURE  "https://www.tdx.com.cn/products/helpfile/tdxw/chm/%E7%AC%AC%E4%BA%94%E7%AB%A0  %E6%B3%A8%E5%86%8C%E5%8F%8A%E6%B8%B8%E5%AE%A2%E7%99%BB%E9%99%86/5-10/1.png" \* MERGEFORMATINET </w:instrText>
      </w:r>
      <w:r>
        <w:fldChar w:fldCharType="separate"/>
      </w:r>
      <w:r>
        <w:fldChar w:fldCharType="begin"/>
      </w:r>
      <w:r>
        <w:instrText xml:space="preserve"> INCLUDEPICTURE  "https://www.tdx.com.cn/products/helpfile/tdxw/chm/%E7%AC%AC%E4%BA%94%E7%AB%A0  %E6%B3%A8%E5%86%8C%E5%8F%8A%E6%B8%B8%E5%AE%A2%E7%99%BB%E9%99%86/5-10/1.png" \* MERGEFORMATINET </w:instrText>
      </w:r>
      <w:r>
        <w:fldChar w:fldCharType="separate"/>
      </w:r>
      <w:r>
        <w:drawing>
          <wp:inline distT="0" distB="0" distL="114300" distR="114300">
            <wp:extent cx="8096250" cy="7239000"/>
            <wp:effectExtent l="0" t="0" r="0" b="0"/>
            <wp:docPr id="466" name="图片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图片 466"/>
                    <pic:cNvPicPr>
                      <a:picLocks noChangeAspect="1"/>
                    </pic:cNvPicPr>
                  </pic:nvPicPr>
                  <pic:blipFill>
                    <a:blip r:embed="rId879" r:link="rId880"/>
                    <a:stretch>
                      <a:fillRect/>
                    </a:stretch>
                  </pic:blipFill>
                  <pic:spPr>
                    <a:xfrm>
                      <a:off x="0" y="0"/>
                      <a:ext cx="8096250" cy="7239000"/>
                    </a:xfrm>
                    <a:prstGeom prst="rect">
                      <a:avLst/>
                    </a:prstGeom>
                    <a:noFill/>
                    <a:ln>
                      <a:noFill/>
                    </a:ln>
                  </pic:spPr>
                </pic:pic>
              </a:graphicData>
            </a:graphic>
          </wp:inline>
        </w:drawing>
      </w:r>
      <w:r>
        <w:fldChar w:fldCharType="end"/>
      </w:r>
      <w:r>
        <w:fldChar w:fldCharType="end"/>
      </w:r>
      <w:r>
        <w:fldChar w:fldCharType="end"/>
      </w:r>
      <w:r>
        <w:fldChar w:fldCharType="end"/>
      </w:r>
    </w:p>
    <w:p>
      <w:pPr>
        <w:pStyle w:val="34"/>
        <w:rPr>
          <w:color w:val="FF0000"/>
        </w:rPr>
      </w:pPr>
      <w:r>
        <w:rPr>
          <w:rStyle w:val="28"/>
          <w:rFonts w:hint="eastAsia"/>
          <w:b w:val="0"/>
          <w:bCs w:val="0"/>
          <w:color w:val="FF0000"/>
          <w:szCs w:val="18"/>
        </w:rPr>
        <w:t>概念板块</w:t>
      </w:r>
    </w:p>
    <w:p>
      <w:pPr>
        <w:pStyle w:val="34"/>
      </w:pPr>
      <w:r>
        <w:rPr>
          <w:rFonts w:hint="eastAsia"/>
        </w:rPr>
        <w:t>按照不同概念查看今日涨幅、3日涨幅、5日涨幅、10日涨幅、20日涨幅、60日涨幅。各涨幅都根据盘中实时数据实时刷新。</w:t>
      </w:r>
    </w:p>
    <w:p>
      <w:pPr>
        <w:pStyle w:val="34"/>
      </w:pPr>
      <w:r>
        <w:fldChar w:fldCharType="begin"/>
      </w:r>
      <w:r>
        <w:instrText xml:space="preserve"> INCLUDEPICTURE  "https://www.tdx.com.cn/products/helpfile/tdxw/chm/%E7%AC%AC%E4%BA%94%E7%AB%A0  %E6%B3%A8%E5%86%8C%E5%8F%8A%E6%B8%B8%E5%AE%A2%E7%99%BB%E9%99%86/5-10/2.png" \* MERGEFORMATINET </w:instrText>
      </w:r>
      <w:r>
        <w:fldChar w:fldCharType="separate"/>
      </w:r>
      <w:r>
        <w:fldChar w:fldCharType="begin"/>
      </w:r>
      <w:r>
        <w:instrText xml:space="preserve"> INCLUDEPICTURE  "https://www.tdx.com.cn/products/helpfile/tdxw/chm/%E7%AC%AC%E4%BA%94%E7%AB%A0  %E6%B3%A8%E5%86%8C%E5%8F%8A%E6%B8%B8%E5%AE%A2%E7%99%BB%E9%99%86/5-10/2.png" \* MERGEFORMATINET </w:instrText>
      </w:r>
      <w:r>
        <w:fldChar w:fldCharType="separate"/>
      </w:r>
      <w:r>
        <w:fldChar w:fldCharType="begin"/>
      </w:r>
      <w:r>
        <w:instrText xml:space="preserve"> INCLUDEPICTURE  "https://www.tdx.com.cn/products/helpfile/tdxw/chm/%E7%AC%AC%E4%BA%94%E7%AB%A0  %E6%B3%A8%E5%86%8C%E5%8F%8A%E6%B8%B8%E5%AE%A2%E7%99%BB%E9%99%86/5-10/2.png" \* MERGEFORMATINET </w:instrText>
      </w:r>
      <w:r>
        <w:fldChar w:fldCharType="separate"/>
      </w:r>
      <w:r>
        <w:fldChar w:fldCharType="begin"/>
      </w:r>
      <w:r>
        <w:instrText xml:space="preserve"> INCLUDEPICTURE  "https://www.tdx.com.cn/products/helpfile/tdxw/chm/%E7%AC%AC%E4%BA%94%E7%AB%A0  %E6%B3%A8%E5%86%8C%E5%8F%8A%E6%B8%B8%E5%AE%A2%E7%99%BB%E9%99%86/5-10/2.png" \* MERGEFORMATINET </w:instrText>
      </w:r>
      <w:r>
        <w:fldChar w:fldCharType="separate"/>
      </w:r>
      <w:r>
        <w:drawing>
          <wp:inline distT="0" distB="0" distL="114300" distR="114300">
            <wp:extent cx="8096250" cy="7239000"/>
            <wp:effectExtent l="0" t="0" r="0" b="0"/>
            <wp:docPr id="467" name="图片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图片 467"/>
                    <pic:cNvPicPr>
                      <a:picLocks noChangeAspect="1"/>
                    </pic:cNvPicPr>
                  </pic:nvPicPr>
                  <pic:blipFill>
                    <a:blip r:embed="rId881" r:link="rId882"/>
                    <a:stretch>
                      <a:fillRect/>
                    </a:stretch>
                  </pic:blipFill>
                  <pic:spPr>
                    <a:xfrm>
                      <a:off x="0" y="0"/>
                      <a:ext cx="8096250" cy="7239000"/>
                    </a:xfrm>
                    <a:prstGeom prst="rect">
                      <a:avLst/>
                    </a:prstGeom>
                    <a:noFill/>
                    <a:ln>
                      <a:noFill/>
                    </a:ln>
                  </pic:spPr>
                </pic:pic>
              </a:graphicData>
            </a:graphic>
          </wp:inline>
        </w:drawing>
      </w:r>
      <w:r>
        <w:fldChar w:fldCharType="end"/>
      </w:r>
      <w:r>
        <w:fldChar w:fldCharType="end"/>
      </w:r>
      <w:r>
        <w:fldChar w:fldCharType="end"/>
      </w:r>
      <w:r>
        <w:fldChar w:fldCharType="end"/>
      </w:r>
    </w:p>
    <w:p>
      <w:pPr>
        <w:pStyle w:val="34"/>
        <w:rPr>
          <w:color w:val="FF0000"/>
        </w:rPr>
      </w:pPr>
      <w:r>
        <w:rPr>
          <w:rFonts w:hint="eastAsia"/>
          <w:color w:val="FF0000"/>
        </w:rPr>
        <w:t>风格板块</w:t>
      </w:r>
    </w:p>
    <w:p>
      <w:pPr>
        <w:pStyle w:val="34"/>
      </w:pPr>
      <w:r>
        <w:rPr>
          <w:rFonts w:hint="eastAsia"/>
        </w:rPr>
        <w:t>按财务指标，机构持股，股权，行情指标来划分类型。</w:t>
      </w:r>
    </w:p>
    <w:p>
      <w:pPr>
        <w:pStyle w:val="34"/>
      </w:pPr>
      <w:r>
        <w:fldChar w:fldCharType="begin"/>
      </w:r>
      <w:r>
        <w:instrText xml:space="preserve"> INCLUDEPICTURE  "https://www.tdx.com.cn/products/helpfile/tdxw/chm/%E7%AC%AC%E4%BA%94%E7%AB%A0  %E6%B3%A8%E5%86%8C%E5%8F%8A%E6%B8%B8%E5%AE%A2%E7%99%BB%E9%99%86/5-10/3.png" \* MERGEFORMATINET </w:instrText>
      </w:r>
      <w:r>
        <w:fldChar w:fldCharType="separate"/>
      </w:r>
      <w:r>
        <w:fldChar w:fldCharType="begin"/>
      </w:r>
      <w:r>
        <w:instrText xml:space="preserve"> INCLUDEPICTURE  "https://www.tdx.com.cn/products/helpfile/tdxw/chm/%E7%AC%AC%E4%BA%94%E7%AB%A0  %E6%B3%A8%E5%86%8C%E5%8F%8A%E6%B8%B8%E5%AE%A2%E7%99%BB%E9%99%86/5-10/3.png" \* MERGEFORMATINET </w:instrText>
      </w:r>
      <w:r>
        <w:fldChar w:fldCharType="separate"/>
      </w:r>
      <w:r>
        <w:fldChar w:fldCharType="begin"/>
      </w:r>
      <w:r>
        <w:instrText xml:space="preserve"> INCLUDEPICTURE  "https://www.tdx.com.cn/products/helpfile/tdxw/chm/%E7%AC%AC%E4%BA%94%E7%AB%A0  %E6%B3%A8%E5%86%8C%E5%8F%8A%E6%B8%B8%E5%AE%A2%E7%99%BB%E9%99%86/5-10/3.png" \* MERGEFORMATINET </w:instrText>
      </w:r>
      <w:r>
        <w:fldChar w:fldCharType="separate"/>
      </w:r>
      <w:r>
        <w:fldChar w:fldCharType="begin"/>
      </w:r>
      <w:r>
        <w:instrText xml:space="preserve"> INCLUDEPICTURE  "https://www.tdx.com.cn/products/helpfile/tdxw/chm/%E7%AC%AC%E4%BA%94%E7%AB%A0  %E6%B3%A8%E5%86%8C%E5%8F%8A%E6%B8%B8%E5%AE%A2%E7%99%BB%E9%99%86/5-10/3.png" \* MERGEFORMATINET </w:instrText>
      </w:r>
      <w:r>
        <w:fldChar w:fldCharType="separate"/>
      </w:r>
      <w:r>
        <w:drawing>
          <wp:inline distT="0" distB="0" distL="114300" distR="114300">
            <wp:extent cx="8096250" cy="7239000"/>
            <wp:effectExtent l="0" t="0" r="0" b="0"/>
            <wp:docPr id="468" name="图片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图片 468"/>
                    <pic:cNvPicPr>
                      <a:picLocks noChangeAspect="1"/>
                    </pic:cNvPicPr>
                  </pic:nvPicPr>
                  <pic:blipFill>
                    <a:blip r:embed="rId883" r:link="rId884"/>
                    <a:stretch>
                      <a:fillRect/>
                    </a:stretch>
                  </pic:blipFill>
                  <pic:spPr>
                    <a:xfrm>
                      <a:off x="0" y="0"/>
                      <a:ext cx="8096250" cy="7239000"/>
                    </a:xfrm>
                    <a:prstGeom prst="rect">
                      <a:avLst/>
                    </a:prstGeom>
                    <a:noFill/>
                    <a:ln>
                      <a:noFill/>
                    </a:ln>
                  </pic:spPr>
                </pic:pic>
              </a:graphicData>
            </a:graphic>
          </wp:inline>
        </w:drawing>
      </w:r>
      <w:r>
        <w:fldChar w:fldCharType="end"/>
      </w:r>
      <w:r>
        <w:fldChar w:fldCharType="end"/>
      </w:r>
      <w:r>
        <w:fldChar w:fldCharType="end"/>
      </w:r>
      <w:r>
        <w:fldChar w:fldCharType="end"/>
      </w:r>
    </w:p>
    <w:p>
      <w:pPr>
        <w:pStyle w:val="34"/>
        <w:rPr>
          <w:color w:val="FF0000"/>
        </w:rPr>
      </w:pPr>
      <w:r>
        <w:rPr>
          <w:rFonts w:hint="eastAsia"/>
          <w:color w:val="FF0000"/>
        </w:rPr>
        <w:t>地域板块</w:t>
      </w:r>
    </w:p>
    <w:p>
      <w:pPr>
        <w:pStyle w:val="34"/>
      </w:pPr>
      <w:r>
        <w:rPr>
          <w:rFonts w:hint="eastAsia"/>
        </w:rPr>
        <w:t>将地域板块展示在祖国地图界面鼠标快速定位东南西北中方位的地域板块。鼠标选中地图，移动鼠标联动显示各地域的今日涨幅、3日涨幅、5日涨幅、10日涨幅、20日涨幅、60日涨幅</w:t>
      </w:r>
    </w:p>
    <w:p>
      <w:pPr>
        <w:pStyle w:val="24"/>
        <w:rPr>
          <w:rFonts w:ascii="微软雅黑" w:hAnsi="微软雅黑" w:eastAsia="微软雅黑"/>
          <w:color w:val="000000"/>
          <w:sz w:val="27"/>
          <w:szCs w:val="27"/>
        </w:rPr>
      </w:pPr>
      <w:r>
        <w:rPr>
          <w:rFonts w:ascii="微软雅黑" w:hAnsi="微软雅黑" w:eastAsia="微软雅黑"/>
          <w:color w:val="000000"/>
          <w:sz w:val="27"/>
          <w:szCs w:val="27"/>
        </w:rPr>
        <w:fldChar w:fldCharType="begin"/>
      </w:r>
      <w:r>
        <w:rPr>
          <w:rFonts w:ascii="微软雅黑" w:hAnsi="微软雅黑" w:eastAsia="微软雅黑"/>
          <w:color w:val="000000"/>
          <w:sz w:val="27"/>
          <w:szCs w:val="27"/>
        </w:rPr>
        <w:instrText xml:space="preserve"> INCLUDEPICTURE  "https://www.tdx.com.cn/products/helpfile/tdxw/chm/%E7%AC%AC%E4%BA%94%E7%AB%A0  %E6%B3%A8%E5%86%8C%E5%8F%8A%E6%B8%B8%E5%AE%A2%E7%99%BB%E9%99%86/5-10/4.png" \* MERGEFORMATINET </w:instrText>
      </w:r>
      <w:r>
        <w:rPr>
          <w:rFonts w:ascii="微软雅黑" w:hAnsi="微软雅黑" w:eastAsia="微软雅黑"/>
          <w:color w:val="000000"/>
          <w:sz w:val="27"/>
          <w:szCs w:val="27"/>
        </w:rPr>
        <w:fldChar w:fldCharType="separate"/>
      </w:r>
      <w:r>
        <w:rPr>
          <w:rFonts w:ascii="微软雅黑" w:hAnsi="微软雅黑" w:eastAsia="微软雅黑"/>
          <w:color w:val="000000"/>
          <w:sz w:val="27"/>
          <w:szCs w:val="27"/>
        </w:rPr>
        <w:fldChar w:fldCharType="begin"/>
      </w:r>
      <w:r>
        <w:rPr>
          <w:rFonts w:ascii="微软雅黑" w:hAnsi="微软雅黑" w:eastAsia="微软雅黑"/>
          <w:color w:val="000000"/>
          <w:sz w:val="27"/>
          <w:szCs w:val="27"/>
        </w:rPr>
        <w:instrText xml:space="preserve"> INCLUDEPICTURE  "https://www.tdx.com.cn/products/helpfile/tdxw/chm/%E7%AC%AC%E4%BA%94%E7%AB%A0  %E6%B3%A8%E5%86%8C%E5%8F%8A%E6%B8%B8%E5%AE%A2%E7%99%BB%E9%99%86/5-10/4.png" \* MERGEFORMATINET </w:instrText>
      </w:r>
      <w:r>
        <w:rPr>
          <w:rFonts w:ascii="微软雅黑" w:hAnsi="微软雅黑" w:eastAsia="微软雅黑"/>
          <w:color w:val="000000"/>
          <w:sz w:val="27"/>
          <w:szCs w:val="27"/>
        </w:rPr>
        <w:fldChar w:fldCharType="separate"/>
      </w:r>
      <w:r>
        <w:rPr>
          <w:rFonts w:ascii="微软雅黑" w:hAnsi="微软雅黑" w:eastAsia="微软雅黑"/>
          <w:color w:val="000000"/>
          <w:sz w:val="27"/>
          <w:szCs w:val="27"/>
        </w:rPr>
        <w:fldChar w:fldCharType="begin"/>
      </w:r>
      <w:r>
        <w:rPr>
          <w:rFonts w:ascii="微软雅黑" w:hAnsi="微软雅黑" w:eastAsia="微软雅黑"/>
          <w:color w:val="000000"/>
          <w:sz w:val="27"/>
          <w:szCs w:val="27"/>
        </w:rPr>
        <w:instrText xml:space="preserve"> INCLUDEPICTURE  "https://www.tdx.com.cn/products/helpfile/tdxw/chm/%E7%AC%AC%E4%BA%94%E7%AB%A0  %E6%B3%A8%E5%86%8C%E5%8F%8A%E6%B8%B8%E5%AE%A2%E7%99%BB%E9%99%86/5-10/4.png" \* MERGEFORMATINET </w:instrText>
      </w:r>
      <w:r>
        <w:rPr>
          <w:rFonts w:ascii="微软雅黑" w:hAnsi="微软雅黑" w:eastAsia="微软雅黑"/>
          <w:color w:val="000000"/>
          <w:sz w:val="27"/>
          <w:szCs w:val="27"/>
        </w:rPr>
        <w:fldChar w:fldCharType="separate"/>
      </w:r>
      <w:r>
        <w:rPr>
          <w:rFonts w:ascii="微软雅黑" w:hAnsi="微软雅黑" w:eastAsia="微软雅黑"/>
          <w:color w:val="000000"/>
          <w:sz w:val="27"/>
          <w:szCs w:val="27"/>
        </w:rPr>
        <w:fldChar w:fldCharType="begin"/>
      </w:r>
      <w:r>
        <w:rPr>
          <w:rFonts w:ascii="微软雅黑" w:hAnsi="微软雅黑" w:eastAsia="微软雅黑"/>
          <w:color w:val="000000"/>
          <w:sz w:val="27"/>
          <w:szCs w:val="27"/>
        </w:rPr>
        <w:instrText xml:space="preserve"> INCLUDEPICTURE  "https://www.tdx.com.cn/products/helpfile/tdxw/chm/%E7%AC%AC%E4%BA%94%E7%AB%A0  %E6%B3%A8%E5%86%8C%E5%8F%8A%E6%B8%B8%E5%AE%A2%E7%99%BB%E9%99%86/5-10/4.png" \* MERGEFORMATINET </w:instrText>
      </w:r>
      <w:r>
        <w:rPr>
          <w:rFonts w:ascii="微软雅黑" w:hAnsi="微软雅黑" w:eastAsia="微软雅黑"/>
          <w:color w:val="000000"/>
          <w:sz w:val="27"/>
          <w:szCs w:val="27"/>
        </w:rPr>
        <w:fldChar w:fldCharType="separate"/>
      </w:r>
      <w:r>
        <w:rPr>
          <w:rFonts w:ascii="微软雅黑" w:hAnsi="微软雅黑" w:eastAsia="微软雅黑"/>
          <w:color w:val="000000"/>
          <w:sz w:val="27"/>
          <w:szCs w:val="27"/>
        </w:rPr>
        <w:drawing>
          <wp:inline distT="0" distB="0" distL="114300" distR="114300">
            <wp:extent cx="8096250" cy="7239000"/>
            <wp:effectExtent l="0" t="0" r="0" b="0"/>
            <wp:docPr id="469" name="图片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图片 469"/>
                    <pic:cNvPicPr>
                      <a:picLocks noChangeAspect="1"/>
                    </pic:cNvPicPr>
                  </pic:nvPicPr>
                  <pic:blipFill>
                    <a:blip r:embed="rId885" r:link="rId886"/>
                    <a:stretch>
                      <a:fillRect/>
                    </a:stretch>
                  </pic:blipFill>
                  <pic:spPr>
                    <a:xfrm>
                      <a:off x="0" y="0"/>
                      <a:ext cx="8096250" cy="7239000"/>
                    </a:xfrm>
                    <a:prstGeom prst="rect">
                      <a:avLst/>
                    </a:prstGeom>
                    <a:noFill/>
                    <a:ln>
                      <a:noFill/>
                    </a:ln>
                  </pic:spPr>
                </pic:pic>
              </a:graphicData>
            </a:graphic>
          </wp:inline>
        </w:drawing>
      </w:r>
      <w:r>
        <w:rPr>
          <w:rFonts w:ascii="微软雅黑" w:hAnsi="微软雅黑" w:eastAsia="微软雅黑"/>
          <w:color w:val="000000"/>
          <w:sz w:val="27"/>
          <w:szCs w:val="27"/>
        </w:rPr>
        <w:fldChar w:fldCharType="end"/>
      </w:r>
      <w:r>
        <w:rPr>
          <w:rFonts w:ascii="微软雅黑" w:hAnsi="微软雅黑" w:eastAsia="微软雅黑"/>
          <w:color w:val="000000"/>
          <w:sz w:val="27"/>
          <w:szCs w:val="27"/>
        </w:rPr>
        <w:fldChar w:fldCharType="end"/>
      </w:r>
      <w:r>
        <w:rPr>
          <w:rFonts w:ascii="微软雅黑" w:hAnsi="微软雅黑" w:eastAsia="微软雅黑"/>
          <w:color w:val="000000"/>
          <w:sz w:val="27"/>
          <w:szCs w:val="27"/>
        </w:rPr>
        <w:fldChar w:fldCharType="end"/>
      </w:r>
      <w:r>
        <w:rPr>
          <w:rFonts w:ascii="微软雅黑" w:hAnsi="微软雅黑" w:eastAsia="微软雅黑"/>
          <w:color w:val="000000"/>
          <w:sz w:val="27"/>
          <w:szCs w:val="27"/>
        </w:rPr>
        <w:fldChar w:fldCharType="end"/>
      </w:r>
    </w:p>
    <w:p>
      <w:pPr>
        <w:pStyle w:val="3"/>
        <w:rPr>
          <w:kern w:val="0"/>
        </w:rPr>
      </w:pPr>
      <w:bookmarkStart w:id="68" w:name="_Toc90646189"/>
      <w:r>
        <w:rPr>
          <w:rFonts w:hint="eastAsia"/>
          <w:kern w:val="0"/>
        </w:rPr>
        <w:t>组合分析</w:t>
      </w:r>
      <w:bookmarkEnd w:id="68"/>
    </w:p>
    <w:p>
      <w:pPr>
        <w:pStyle w:val="34"/>
        <w:rPr>
          <w:kern w:val="0"/>
        </w:rPr>
      </w:pPr>
      <w:r>
        <w:rPr>
          <w:rFonts w:hint="eastAsia"/>
          <w:kern w:val="0"/>
        </w:rPr>
        <w:t>打开方式：快捷键：CTRL+W 或 行情报价界面点右键——组合分析</w:t>
      </w:r>
    </w:p>
    <w:p>
      <w:pPr>
        <w:pStyle w:val="34"/>
        <w:rPr>
          <w:kern w:val="0"/>
        </w:rPr>
      </w:pPr>
      <w:r>
        <w:rPr>
          <w:rFonts w:hint="eastAsia"/>
          <w:kern w:val="0"/>
        </w:rPr>
        <w:t> </w:t>
      </w:r>
      <w:r>
        <w:drawing>
          <wp:inline distT="0" distB="0" distL="114300" distR="114300">
            <wp:extent cx="6943725" cy="5181600"/>
            <wp:effectExtent l="0" t="0" r="9525" b="0"/>
            <wp:docPr id="470" name="图片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图片 470"/>
                    <pic:cNvPicPr>
                      <a:picLocks noChangeAspect="1"/>
                    </pic:cNvPicPr>
                  </pic:nvPicPr>
                  <pic:blipFill>
                    <a:blip r:embed="rId887"/>
                    <a:stretch>
                      <a:fillRect/>
                    </a:stretch>
                  </pic:blipFill>
                  <pic:spPr>
                    <a:xfrm>
                      <a:off x="0" y="0"/>
                      <a:ext cx="6943725" cy="5181600"/>
                    </a:xfrm>
                    <a:prstGeom prst="rect">
                      <a:avLst/>
                    </a:prstGeom>
                    <a:noFill/>
                    <a:ln>
                      <a:noFill/>
                    </a:ln>
                  </pic:spPr>
                </pic:pic>
              </a:graphicData>
            </a:graphic>
          </wp:inline>
        </w:drawing>
      </w:r>
    </w:p>
    <w:p>
      <w:pPr>
        <w:pStyle w:val="34"/>
        <w:rPr>
          <w:kern w:val="0"/>
        </w:rPr>
      </w:pPr>
      <w:r>
        <w:rPr>
          <w:rFonts w:hint="eastAsia"/>
          <w:kern w:val="0"/>
        </w:rPr>
        <w:t>组合分析是对用户当前所选的股票组合做一个汇总分析，便于用户快速了解所选股票组合的大体走势、市值分布、价格分布、市盈率分布、行业地区分布，以及各成分股的近期资讯、主题概念龙头和各成分股的近期涨跌情况。</w:t>
      </w:r>
    </w:p>
    <w:p>
      <w:pPr>
        <w:pStyle w:val="34"/>
        <w:rPr>
          <w:kern w:val="0"/>
        </w:rPr>
      </w:pPr>
      <w:r>
        <w:rPr>
          <w:rFonts w:hint="eastAsia"/>
          <w:kern w:val="0"/>
        </w:rPr>
        <w:t>作用：对组合整体及各成分股的分析，可衡量组合相对大盘的强弱情况，也可以对成分股的调入调出作参考。</w:t>
      </w:r>
    </w:p>
    <w:p>
      <w:pPr>
        <w:pStyle w:val="34"/>
        <w:rPr>
          <w:kern w:val="0"/>
        </w:rPr>
      </w:pPr>
      <w:r>
        <w:rPr>
          <w:rFonts w:hint="eastAsia"/>
          <w:kern w:val="0"/>
        </w:rPr>
        <w:t>注：仅针对A股，最多可选400只股票。可以在自选股界面，也可以在自定义板块或者已有板块使用本功能；当定位在行情报价界面时，组合分析会选取本屏的A股股票。</w:t>
      </w:r>
    </w:p>
    <w:p>
      <w:pPr>
        <w:pStyle w:val="34"/>
        <w:ind w:firstLine="482"/>
        <w:rPr>
          <w:b/>
          <w:bCs/>
          <w:color w:val="FF0000"/>
          <w:kern w:val="0"/>
        </w:rPr>
      </w:pPr>
      <w:r>
        <w:rPr>
          <w:rFonts w:hint="eastAsia"/>
          <w:b/>
          <w:bCs/>
          <w:color w:val="FF0000"/>
          <w:kern w:val="0"/>
        </w:rPr>
        <w:t>综合分析</w:t>
      </w:r>
    </w:p>
    <w:p>
      <w:pPr>
        <w:pStyle w:val="34"/>
      </w:pPr>
      <w:r>
        <w:rPr>
          <w:rFonts w:hint="eastAsia"/>
        </w:rPr>
        <w:t>综合分析是对组合内股票的所属市场、指数标的、平均市值、整体估值及行业地区分布的整体概述。</w:t>
      </w:r>
    </w:p>
    <w:p>
      <w:pPr>
        <w:pStyle w:val="34"/>
        <w:rPr>
          <w:kern w:val="0"/>
        </w:rPr>
      </w:pPr>
      <w:r>
        <w:drawing>
          <wp:inline distT="0" distB="0" distL="114300" distR="114300">
            <wp:extent cx="6343650" cy="4181475"/>
            <wp:effectExtent l="0" t="0" r="0" b="9525"/>
            <wp:docPr id="471" name="图片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图片 471"/>
                    <pic:cNvPicPr>
                      <a:picLocks noChangeAspect="1"/>
                    </pic:cNvPicPr>
                  </pic:nvPicPr>
                  <pic:blipFill>
                    <a:blip r:embed="rId888"/>
                    <a:stretch>
                      <a:fillRect/>
                    </a:stretch>
                  </pic:blipFill>
                  <pic:spPr>
                    <a:xfrm>
                      <a:off x="0" y="0"/>
                      <a:ext cx="6343650" cy="4181475"/>
                    </a:xfrm>
                    <a:prstGeom prst="rect">
                      <a:avLst/>
                    </a:prstGeom>
                    <a:noFill/>
                    <a:ln>
                      <a:noFill/>
                    </a:ln>
                  </pic:spPr>
                </pic:pic>
              </a:graphicData>
            </a:graphic>
          </wp:inline>
        </w:drawing>
      </w:r>
    </w:p>
    <w:p>
      <w:pPr>
        <w:pStyle w:val="34"/>
        <w:ind w:firstLine="482"/>
        <w:rPr>
          <w:b/>
          <w:bCs/>
          <w:color w:val="FF0000"/>
          <w:kern w:val="0"/>
        </w:rPr>
      </w:pPr>
      <w:r>
        <w:rPr>
          <w:rFonts w:hint="eastAsia"/>
          <w:b/>
          <w:bCs/>
          <w:color w:val="FF0000"/>
          <w:kern w:val="0"/>
        </w:rPr>
        <w:t>类型分布</w:t>
      </w:r>
    </w:p>
    <w:p>
      <w:pPr>
        <w:pStyle w:val="34"/>
        <w:rPr>
          <w:kern w:val="0"/>
        </w:rPr>
      </w:pPr>
      <w:r>
        <w:rPr>
          <w:rFonts w:hint="eastAsia"/>
          <w:kern w:val="0"/>
        </w:rPr>
        <w:t>类型分布从所属市场、市值分布、股价分布、每股收益</w:t>
      </w:r>
      <w:r>
        <w:rPr>
          <w:kern w:val="0"/>
        </w:rPr>
        <w:t>(TTM)四个维度对组合进行分析统计，反应当前组合内成分股各区间范围内所属市场、总市值、股价、每股收益(TTM)的分布情况。鼠标放在饼图上时，会浮动展示各分区的成分股数量和占比情况。</w:t>
      </w:r>
      <w:r>
        <w:drawing>
          <wp:inline distT="0" distB="0" distL="114300" distR="114300">
            <wp:extent cx="6648450" cy="4352925"/>
            <wp:effectExtent l="0" t="0" r="0" b="9525"/>
            <wp:docPr id="472" name="图片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图片 472"/>
                    <pic:cNvPicPr>
                      <a:picLocks noChangeAspect="1"/>
                    </pic:cNvPicPr>
                  </pic:nvPicPr>
                  <pic:blipFill>
                    <a:blip r:embed="rId889"/>
                    <a:stretch>
                      <a:fillRect/>
                    </a:stretch>
                  </pic:blipFill>
                  <pic:spPr>
                    <a:xfrm>
                      <a:off x="0" y="0"/>
                      <a:ext cx="6648450" cy="4352925"/>
                    </a:xfrm>
                    <a:prstGeom prst="rect">
                      <a:avLst/>
                    </a:prstGeom>
                    <a:noFill/>
                    <a:ln>
                      <a:noFill/>
                    </a:ln>
                  </pic:spPr>
                </pic:pic>
              </a:graphicData>
            </a:graphic>
          </wp:inline>
        </w:drawing>
      </w:r>
    </w:p>
    <w:p>
      <w:pPr>
        <w:pStyle w:val="34"/>
        <w:ind w:firstLine="482"/>
        <w:rPr>
          <w:b/>
          <w:bCs/>
          <w:color w:val="FF0000"/>
          <w:kern w:val="0"/>
        </w:rPr>
      </w:pPr>
      <w:r>
        <w:rPr>
          <w:rFonts w:hint="eastAsia"/>
          <w:b/>
          <w:bCs/>
          <w:color w:val="FF0000"/>
          <w:kern w:val="0"/>
        </w:rPr>
        <w:t>估值分析</w:t>
      </w:r>
    </w:p>
    <w:p>
      <w:pPr>
        <w:pStyle w:val="34"/>
        <w:rPr>
          <w:kern w:val="0"/>
        </w:rPr>
      </w:pPr>
      <w:r>
        <w:rPr>
          <w:rFonts w:hint="eastAsia"/>
          <w:kern w:val="0"/>
        </w:rPr>
        <w:t>估值分布展示组合的市盈率(TTM)、市净率(MRQ)、市销率(TTM)、市现率(TTM)等估值指标，这里都用的算术平均法。鼠标放在饼图上时，会浮动展示各分区的成分股明细情况。</w:t>
      </w:r>
    </w:p>
    <w:p>
      <w:pPr>
        <w:pStyle w:val="34"/>
        <w:rPr>
          <w:kern w:val="0"/>
        </w:rPr>
      </w:pPr>
      <w:r>
        <w:rPr>
          <w:kern w:val="0"/>
        </w:rPr>
        <w:fldChar w:fldCharType="begin"/>
      </w:r>
      <w:r>
        <w:rPr>
          <w:kern w:val="0"/>
        </w:rPr>
        <w:instrText xml:space="preserve"> INCLUDEPICTURE  "https://www.tdx.com.cn/products/helpfile/tdxw/chm/%E7%AC%AC%E4%BA%94%E7%AB%A0  %E6%B3%A8%E5%86%8C%E5%8F%8A%E6%B8%B8%E5%AE%A2%E7%99%BB%E9%99%86/5-12/3.png" \* MERGEFORMATINET </w:instrText>
      </w:r>
      <w:r>
        <w:rPr>
          <w:kern w:val="0"/>
        </w:rPr>
        <w:fldChar w:fldCharType="separate"/>
      </w:r>
      <w:r>
        <w:rPr>
          <w:kern w:val="0"/>
        </w:rPr>
        <w:fldChar w:fldCharType="begin"/>
      </w:r>
      <w:r>
        <w:rPr>
          <w:kern w:val="0"/>
        </w:rPr>
        <w:instrText xml:space="preserve"> INCLUDEPICTURE  "https://www.tdx.com.cn/products/helpfile/tdxw/chm/%E7%AC%AC%E4%BA%94%E7%AB%A0  %E6%B3%A8%E5%86%8C%E5%8F%8A%E6%B8%B8%E5%AE%A2%E7%99%BB%E9%99%86/5-12/3.png" \* MERGEFORMATINET </w:instrText>
      </w:r>
      <w:r>
        <w:rPr>
          <w:kern w:val="0"/>
        </w:rPr>
        <w:fldChar w:fldCharType="separate"/>
      </w:r>
      <w:r>
        <w:rPr>
          <w:kern w:val="0"/>
        </w:rPr>
        <w:fldChar w:fldCharType="begin"/>
      </w:r>
      <w:r>
        <w:rPr>
          <w:kern w:val="0"/>
        </w:rPr>
        <w:instrText xml:space="preserve"> INCLUDEPICTURE  "https://www.tdx.com.cn/products/helpfile/tdxw/chm/%E7%AC%AC%E4%BA%94%E7%AB%A0  %E6%B3%A8%E5%86%8C%E5%8F%8A%E6%B8%B8%E5%AE%A2%E7%99%BB%E9%99%86/5-12/3.png" \* MERGEFORMATINET </w:instrText>
      </w:r>
      <w:r>
        <w:rPr>
          <w:kern w:val="0"/>
        </w:rPr>
        <w:fldChar w:fldCharType="separate"/>
      </w:r>
      <w:r>
        <w:rPr>
          <w:kern w:val="0"/>
        </w:rPr>
        <w:fldChar w:fldCharType="begin"/>
      </w:r>
      <w:r>
        <w:rPr>
          <w:kern w:val="0"/>
        </w:rPr>
        <w:instrText xml:space="preserve"> INCLUDEPICTURE  "https://www.tdx.com.cn/products/helpfile/tdxw/chm/%E7%AC%AC%E4%BA%94%E7%AB%A0  %E6%B3%A8%E5%86%8C%E5%8F%8A%E6%B8%B8%E5%AE%A2%E7%99%BB%E9%99%86/5-12/3.png" \* MERGEFORMATINET </w:instrText>
      </w:r>
      <w:r>
        <w:rPr>
          <w:kern w:val="0"/>
        </w:rPr>
        <w:fldChar w:fldCharType="separate"/>
      </w:r>
      <w:r>
        <w:rPr>
          <w:kern w:val="0"/>
        </w:rPr>
        <w:drawing>
          <wp:inline distT="0" distB="0" distL="114300" distR="114300">
            <wp:extent cx="6648450" cy="5248275"/>
            <wp:effectExtent l="0" t="0" r="0" b="9525"/>
            <wp:docPr id="473" name="图片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图片 473"/>
                    <pic:cNvPicPr>
                      <a:picLocks noChangeAspect="1"/>
                    </pic:cNvPicPr>
                  </pic:nvPicPr>
                  <pic:blipFill>
                    <a:blip r:embed="rId890" r:link="rId891"/>
                    <a:stretch>
                      <a:fillRect/>
                    </a:stretch>
                  </pic:blipFill>
                  <pic:spPr>
                    <a:xfrm>
                      <a:off x="0" y="0"/>
                      <a:ext cx="6648450" cy="5248275"/>
                    </a:xfrm>
                    <a:prstGeom prst="rect">
                      <a:avLst/>
                    </a:prstGeom>
                    <a:noFill/>
                    <a:ln>
                      <a:noFill/>
                    </a:ln>
                  </pic:spPr>
                </pic:pic>
              </a:graphicData>
            </a:graphic>
          </wp:inline>
        </w:drawing>
      </w:r>
      <w:r>
        <w:rPr>
          <w:kern w:val="0"/>
        </w:rPr>
        <w:fldChar w:fldCharType="end"/>
      </w:r>
      <w:r>
        <w:rPr>
          <w:kern w:val="0"/>
        </w:rPr>
        <w:fldChar w:fldCharType="end"/>
      </w:r>
      <w:r>
        <w:rPr>
          <w:kern w:val="0"/>
        </w:rPr>
        <w:fldChar w:fldCharType="end"/>
      </w:r>
      <w:r>
        <w:rPr>
          <w:kern w:val="0"/>
        </w:rPr>
        <w:fldChar w:fldCharType="end"/>
      </w:r>
    </w:p>
    <w:p>
      <w:pPr>
        <w:pStyle w:val="34"/>
        <w:ind w:firstLine="482"/>
        <w:rPr>
          <w:b/>
          <w:bCs/>
          <w:color w:val="FF0000"/>
          <w:kern w:val="0"/>
        </w:rPr>
      </w:pPr>
      <w:r>
        <w:rPr>
          <w:rFonts w:hint="eastAsia"/>
          <w:b/>
          <w:bCs/>
          <w:color w:val="FF0000"/>
          <w:kern w:val="0"/>
        </w:rPr>
        <w:t>行业分布</w:t>
      </w:r>
    </w:p>
    <w:p>
      <w:pPr>
        <w:pStyle w:val="34"/>
        <w:rPr>
          <w:kern w:val="0"/>
        </w:rPr>
      </w:pPr>
      <w:r>
        <w:rPr>
          <w:rFonts w:hint="eastAsia"/>
          <w:kern w:val="0"/>
        </w:rPr>
        <w:t>行业分布展示组合内股票按通达信研究行业二级行业分组的公司家数与总市值分布情况。默认显示按公司家数汇总的，右上角标签可切换到按市值汇总的。图例按家数占比或市值占比倒序排列。值得注意的是当所属行业超过</w:t>
      </w:r>
      <w:r>
        <w:rPr>
          <w:kern w:val="0"/>
        </w:rPr>
        <w:t>20个时，排名在20以后的行业会加总到一起作为其他展示。</w:t>
      </w:r>
    </w:p>
    <w:p>
      <w:pPr>
        <w:pStyle w:val="34"/>
        <w:rPr>
          <w:kern w:val="0"/>
        </w:rPr>
      </w:pPr>
      <w:r>
        <w:drawing>
          <wp:inline distT="0" distB="0" distL="114300" distR="114300">
            <wp:extent cx="6429375" cy="4257675"/>
            <wp:effectExtent l="0" t="0" r="9525" b="9525"/>
            <wp:docPr id="474" name="图片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图片 474"/>
                    <pic:cNvPicPr>
                      <a:picLocks noChangeAspect="1"/>
                    </pic:cNvPicPr>
                  </pic:nvPicPr>
                  <pic:blipFill>
                    <a:blip r:embed="rId892"/>
                    <a:stretch>
                      <a:fillRect/>
                    </a:stretch>
                  </pic:blipFill>
                  <pic:spPr>
                    <a:xfrm>
                      <a:off x="0" y="0"/>
                      <a:ext cx="6429375" cy="4257675"/>
                    </a:xfrm>
                    <a:prstGeom prst="rect">
                      <a:avLst/>
                    </a:prstGeom>
                    <a:noFill/>
                    <a:ln>
                      <a:noFill/>
                    </a:ln>
                  </pic:spPr>
                </pic:pic>
              </a:graphicData>
            </a:graphic>
          </wp:inline>
        </w:drawing>
      </w:r>
    </w:p>
    <w:p>
      <w:pPr>
        <w:pStyle w:val="34"/>
        <w:ind w:firstLine="482"/>
        <w:rPr>
          <w:b/>
          <w:bCs/>
          <w:color w:val="FF0000"/>
          <w:kern w:val="0"/>
        </w:rPr>
      </w:pPr>
      <w:r>
        <w:rPr>
          <w:rFonts w:hint="eastAsia"/>
          <w:b/>
          <w:bCs/>
          <w:color w:val="FF0000"/>
          <w:kern w:val="0"/>
        </w:rPr>
        <w:t>地区分布</w:t>
      </w:r>
    </w:p>
    <w:p>
      <w:pPr>
        <w:pStyle w:val="34"/>
        <w:rPr>
          <w:kern w:val="0"/>
        </w:rPr>
      </w:pPr>
      <w:r>
        <w:rPr>
          <w:rFonts w:hint="eastAsia"/>
          <w:kern w:val="0"/>
        </w:rPr>
        <w:t>地区分布是对组合内成分股按地区展示，成分股数越大，颜色越深。鼠标放在某一区域时，会浮动展示该区域的成分股数及成分股明细。</w:t>
      </w:r>
    </w:p>
    <w:p>
      <w:pPr>
        <w:pStyle w:val="34"/>
        <w:rPr>
          <w:kern w:val="0"/>
        </w:rPr>
      </w:pPr>
      <w:r>
        <w:rPr>
          <w:kern w:val="0"/>
        </w:rPr>
        <w:fldChar w:fldCharType="begin"/>
      </w:r>
      <w:r>
        <w:rPr>
          <w:kern w:val="0"/>
        </w:rPr>
        <w:instrText xml:space="preserve"> INCLUDEPICTURE  "https://www.tdx.com.cn/products/helpfile/tdxw/chm/%E7%AC%AC%E4%BA%94%E7%AB%A0  %E6%B3%A8%E5%86%8C%E5%8F%8A%E6%B8%B8%E5%AE%A2%E7%99%BB%E9%99%86/5-12/5.png" \* MERGEFORMATINET </w:instrText>
      </w:r>
      <w:r>
        <w:rPr>
          <w:kern w:val="0"/>
        </w:rPr>
        <w:fldChar w:fldCharType="separate"/>
      </w:r>
      <w:r>
        <w:rPr>
          <w:kern w:val="0"/>
        </w:rPr>
        <w:fldChar w:fldCharType="begin"/>
      </w:r>
      <w:r>
        <w:rPr>
          <w:kern w:val="0"/>
        </w:rPr>
        <w:instrText xml:space="preserve"> INCLUDEPICTURE  "https://www.tdx.com.cn/products/helpfile/tdxw/chm/%E7%AC%AC%E4%BA%94%E7%AB%A0  %E6%B3%A8%E5%86%8C%E5%8F%8A%E6%B8%B8%E5%AE%A2%E7%99%BB%E9%99%86/5-12/5.png" \* MERGEFORMATINET </w:instrText>
      </w:r>
      <w:r>
        <w:rPr>
          <w:kern w:val="0"/>
        </w:rPr>
        <w:fldChar w:fldCharType="separate"/>
      </w:r>
      <w:r>
        <w:rPr>
          <w:kern w:val="0"/>
        </w:rPr>
        <w:fldChar w:fldCharType="begin"/>
      </w:r>
      <w:r>
        <w:rPr>
          <w:kern w:val="0"/>
        </w:rPr>
        <w:instrText xml:space="preserve"> INCLUDEPICTURE  "https://www.tdx.com.cn/products/helpfile/tdxw/chm/%E7%AC%AC%E4%BA%94%E7%AB%A0  %E6%B3%A8%E5%86%8C%E5%8F%8A%E6%B8%B8%E5%AE%A2%E7%99%BB%E9%99%86/5-12/5.png" \* MERGEFORMATINET </w:instrText>
      </w:r>
      <w:r>
        <w:rPr>
          <w:kern w:val="0"/>
        </w:rPr>
        <w:fldChar w:fldCharType="separate"/>
      </w:r>
      <w:r>
        <w:rPr>
          <w:kern w:val="0"/>
        </w:rPr>
        <w:fldChar w:fldCharType="begin"/>
      </w:r>
      <w:r>
        <w:rPr>
          <w:kern w:val="0"/>
        </w:rPr>
        <w:instrText xml:space="preserve"> INCLUDEPICTURE  "https://www.tdx.com.cn/products/helpfile/tdxw/chm/%E7%AC%AC%E4%BA%94%E7%AB%A0  %E6%B3%A8%E5%86%8C%E5%8F%8A%E6%B8%B8%E5%AE%A2%E7%99%BB%E9%99%86/5-12/5.png" \* MERGEFORMATINET </w:instrText>
      </w:r>
      <w:r>
        <w:rPr>
          <w:kern w:val="0"/>
        </w:rPr>
        <w:fldChar w:fldCharType="separate"/>
      </w:r>
      <w:r>
        <w:rPr>
          <w:kern w:val="0"/>
        </w:rPr>
        <w:drawing>
          <wp:inline distT="0" distB="0" distL="114300" distR="114300">
            <wp:extent cx="5629275" cy="4438650"/>
            <wp:effectExtent l="0" t="0" r="9525" b="0"/>
            <wp:docPr id="475" name="图片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图片 475"/>
                    <pic:cNvPicPr>
                      <a:picLocks noChangeAspect="1"/>
                    </pic:cNvPicPr>
                  </pic:nvPicPr>
                  <pic:blipFill>
                    <a:blip r:embed="rId893" r:link="rId894"/>
                    <a:stretch>
                      <a:fillRect/>
                    </a:stretch>
                  </pic:blipFill>
                  <pic:spPr>
                    <a:xfrm>
                      <a:off x="0" y="0"/>
                      <a:ext cx="5629275" cy="4438650"/>
                    </a:xfrm>
                    <a:prstGeom prst="rect">
                      <a:avLst/>
                    </a:prstGeom>
                    <a:noFill/>
                    <a:ln>
                      <a:noFill/>
                    </a:ln>
                  </pic:spPr>
                </pic:pic>
              </a:graphicData>
            </a:graphic>
          </wp:inline>
        </w:drawing>
      </w:r>
      <w:r>
        <w:rPr>
          <w:kern w:val="0"/>
        </w:rPr>
        <w:fldChar w:fldCharType="end"/>
      </w:r>
      <w:r>
        <w:rPr>
          <w:kern w:val="0"/>
        </w:rPr>
        <w:fldChar w:fldCharType="end"/>
      </w:r>
      <w:r>
        <w:rPr>
          <w:kern w:val="0"/>
        </w:rPr>
        <w:fldChar w:fldCharType="end"/>
      </w:r>
      <w:r>
        <w:rPr>
          <w:kern w:val="0"/>
        </w:rPr>
        <w:fldChar w:fldCharType="end"/>
      </w:r>
    </w:p>
    <w:p>
      <w:pPr>
        <w:pStyle w:val="34"/>
        <w:ind w:firstLine="482"/>
        <w:rPr>
          <w:b/>
          <w:bCs/>
          <w:color w:val="FF0000"/>
          <w:kern w:val="0"/>
        </w:rPr>
      </w:pPr>
      <w:r>
        <w:rPr>
          <w:rFonts w:hint="eastAsia"/>
          <w:b/>
          <w:bCs/>
          <w:color w:val="FF0000"/>
          <w:kern w:val="0"/>
        </w:rPr>
        <w:t>组合云图</w:t>
      </w:r>
    </w:p>
    <w:p>
      <w:pPr>
        <w:pStyle w:val="34"/>
      </w:pPr>
      <w:r>
        <w:rPr>
          <w:rFonts w:hint="eastAsia"/>
        </w:rPr>
        <w:t>组合云图是用形状、面积和颜色直观地展示组合内成分股的涨跌、资金和市值等情况，按照组合成分股所属的研究行业一级行业划分板块，支持鼠标滚轮进行无极缩放，支持双击跳转行情，支持 tooltip 展示(鼠标悬停显示)。</w:t>
      </w:r>
    </w:p>
    <w:p>
      <w:pPr>
        <w:pStyle w:val="34"/>
        <w:rPr>
          <w:kern w:val="0"/>
        </w:rPr>
      </w:pPr>
      <w:r>
        <w:rPr>
          <w:rFonts w:hint="eastAsia"/>
        </w:rPr>
        <w:t>按行业展示个股行情明细，同时展示面积、颜色，展示逻辑如下：</w:t>
      </w:r>
    </w:p>
    <w:tbl>
      <w:tblPr>
        <w:tblStyle w:val="25"/>
        <w:tblW w:w="0" w:type="auto"/>
        <w:tblCellSpacing w:w="0" w:type="dxa"/>
        <w:tblInd w:w="0" w:type="dxa"/>
        <w:tblBorders>
          <w:top w:val="outset" w:color="auto" w:sz="6" w:space="0"/>
          <w:left w:val="outset" w:color="auto" w:sz="6" w:space="0"/>
          <w:bottom w:val="outset" w:color="auto" w:sz="6" w:space="0"/>
          <w:right w:val="outset" w:color="auto" w:sz="6" w:space="0"/>
          <w:insideH w:val="none" w:color="auto" w:sz="0" w:space="0"/>
          <w:insideV w:val="none" w:color="auto" w:sz="0" w:space="0"/>
        </w:tblBorders>
        <w:tblLayout w:type="autofit"/>
        <w:tblCellMar>
          <w:top w:w="0" w:type="dxa"/>
          <w:left w:w="0" w:type="dxa"/>
          <w:bottom w:w="0" w:type="dxa"/>
          <w:right w:w="0" w:type="dxa"/>
        </w:tblCellMar>
      </w:tblPr>
      <w:tblGrid>
        <w:gridCol w:w="840"/>
        <w:gridCol w:w="2310"/>
        <w:gridCol w:w="9481"/>
      </w:tblGrid>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PrEx>
        <w:trPr>
          <w:tblCellSpacing w:w="0" w:type="dxa"/>
        </w:trPr>
        <w:tc>
          <w:tcPr>
            <w:tcW w:w="840" w:type="dxa"/>
            <w:tcBorders>
              <w:top w:val="outset" w:color="auto" w:sz="6" w:space="0"/>
              <w:left w:val="outset" w:color="auto" w:sz="6" w:space="0"/>
              <w:bottom w:val="outset" w:color="auto" w:sz="6" w:space="0"/>
              <w:right w:val="outset" w:color="auto" w:sz="6" w:space="0"/>
            </w:tcBorders>
          </w:tcPr>
          <w:p>
            <w:pPr>
              <w:pStyle w:val="31"/>
            </w:pPr>
            <w:r>
              <w:rPr>
                <w:rStyle w:val="28"/>
                <w:rFonts w:hint="eastAsia"/>
                <w:b w:val="0"/>
                <w:bCs w:val="0"/>
              </w:rPr>
              <w:t>维度</w:t>
            </w:r>
          </w:p>
        </w:tc>
        <w:tc>
          <w:tcPr>
            <w:tcW w:w="2310" w:type="dxa"/>
            <w:tcBorders>
              <w:top w:val="outset" w:color="auto" w:sz="6" w:space="0"/>
              <w:left w:val="outset" w:color="auto" w:sz="6" w:space="0"/>
              <w:bottom w:val="outset" w:color="auto" w:sz="6" w:space="0"/>
              <w:right w:val="outset" w:color="auto" w:sz="6" w:space="0"/>
            </w:tcBorders>
          </w:tcPr>
          <w:p>
            <w:pPr>
              <w:pStyle w:val="31"/>
            </w:pPr>
            <w:r>
              <w:rPr>
                <w:rStyle w:val="28"/>
                <w:rFonts w:hint="eastAsia"/>
                <w:b w:val="0"/>
                <w:bCs w:val="0"/>
              </w:rPr>
              <w:t>支持</w:t>
            </w:r>
          </w:p>
        </w:tc>
        <w:tc>
          <w:tcPr>
            <w:tcW w:w="9481" w:type="dxa"/>
            <w:tcBorders>
              <w:top w:val="outset" w:color="auto" w:sz="6" w:space="0"/>
              <w:left w:val="outset" w:color="auto" w:sz="6" w:space="0"/>
              <w:bottom w:val="outset" w:color="auto" w:sz="6" w:space="0"/>
              <w:right w:val="outset" w:color="auto" w:sz="6" w:space="0"/>
            </w:tcBorders>
          </w:tcPr>
          <w:p>
            <w:pPr>
              <w:pStyle w:val="31"/>
            </w:pPr>
            <w:r>
              <w:rPr>
                <w:rStyle w:val="28"/>
                <w:rFonts w:hint="eastAsia"/>
                <w:b w:val="0"/>
                <w:bCs w:val="0"/>
              </w:rPr>
              <w:t>备注</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840" w:type="dxa"/>
            <w:tcBorders>
              <w:top w:val="outset" w:color="auto" w:sz="6" w:space="0"/>
              <w:left w:val="outset" w:color="auto" w:sz="6" w:space="0"/>
              <w:bottom w:val="outset" w:color="auto" w:sz="6" w:space="0"/>
              <w:right w:val="outset" w:color="auto" w:sz="6" w:space="0"/>
            </w:tcBorders>
          </w:tcPr>
          <w:p>
            <w:pPr>
              <w:pStyle w:val="31"/>
            </w:pPr>
            <w:r>
              <w:rPr>
                <w:rStyle w:val="51"/>
                <w:rFonts w:hint="eastAsia"/>
              </w:rPr>
              <w:t>面积</w:t>
            </w:r>
          </w:p>
        </w:tc>
        <w:tc>
          <w:tcPr>
            <w:tcW w:w="2310" w:type="dxa"/>
            <w:tcBorders>
              <w:top w:val="outset" w:color="auto" w:sz="6" w:space="0"/>
              <w:left w:val="outset" w:color="auto" w:sz="6" w:space="0"/>
              <w:bottom w:val="outset" w:color="auto" w:sz="6" w:space="0"/>
              <w:right w:val="outset" w:color="auto" w:sz="6" w:space="0"/>
            </w:tcBorders>
          </w:tcPr>
          <w:p>
            <w:pPr>
              <w:pStyle w:val="31"/>
            </w:pPr>
            <w:r>
              <w:rPr>
                <w:rStyle w:val="51"/>
                <w:rFonts w:hint="eastAsia"/>
              </w:rPr>
              <w:t>总市值、流通市值、成交额、主力净额（取绝对值）、等面积</w:t>
            </w:r>
          </w:p>
        </w:tc>
        <w:tc>
          <w:tcPr>
            <w:tcW w:w="9481" w:type="dxa"/>
            <w:tcBorders>
              <w:top w:val="outset" w:color="auto" w:sz="6" w:space="0"/>
              <w:left w:val="outset" w:color="auto" w:sz="6" w:space="0"/>
              <w:bottom w:val="outset" w:color="auto" w:sz="6" w:space="0"/>
              <w:right w:val="outset" w:color="auto" w:sz="6" w:space="0"/>
            </w:tcBorders>
          </w:tcPr>
          <w:p>
            <w:pPr>
              <w:pStyle w:val="31"/>
              <w:rPr>
                <w:rStyle w:val="51"/>
              </w:rPr>
            </w:pPr>
            <w:r>
              <w:rPr>
                <w:rStyle w:val="51"/>
                <w:rFonts w:hint="eastAsia"/>
              </w:rPr>
              <w:t>当选择总市值时，总市值越大的板块和个股的面积越大；</w:t>
            </w:r>
          </w:p>
          <w:p>
            <w:pPr>
              <w:pStyle w:val="31"/>
              <w:rPr>
                <w:rStyle w:val="51"/>
              </w:rPr>
            </w:pPr>
            <w:r>
              <w:rPr>
                <w:rStyle w:val="51"/>
                <w:rFonts w:hint="eastAsia"/>
              </w:rPr>
              <w:t>当选择流通市值时，流通市值越大的板块和个股的面积越大；</w:t>
            </w:r>
          </w:p>
          <w:p>
            <w:pPr>
              <w:pStyle w:val="31"/>
              <w:rPr>
                <w:rStyle w:val="51"/>
              </w:rPr>
            </w:pPr>
            <w:r>
              <w:rPr>
                <w:rStyle w:val="51"/>
                <w:rFonts w:hint="eastAsia"/>
              </w:rPr>
              <w:t>当选择成交额时，成交额越大的板块和个股的面积越大；</w:t>
            </w:r>
          </w:p>
          <w:p>
            <w:pPr>
              <w:pStyle w:val="31"/>
              <w:rPr>
                <w:rStyle w:val="51"/>
              </w:rPr>
            </w:pPr>
            <w:r>
              <w:rPr>
                <w:rStyle w:val="51"/>
                <w:rFonts w:hint="eastAsia"/>
              </w:rPr>
              <w:t>当选择主力净额时，主力净额越大的板块和个股的面积越大；</w:t>
            </w:r>
          </w:p>
          <w:p>
            <w:pPr>
              <w:pStyle w:val="31"/>
            </w:pPr>
            <w:r>
              <w:rPr>
                <w:rStyle w:val="51"/>
                <w:rFonts w:hint="eastAsia"/>
              </w:rPr>
              <w:t>当选择等面积时，板块面积一样，板块中的成份股总市值越大面积越大。</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840" w:type="dxa"/>
            <w:tcBorders>
              <w:top w:val="outset" w:color="auto" w:sz="6" w:space="0"/>
              <w:left w:val="outset" w:color="auto" w:sz="6" w:space="0"/>
              <w:bottom w:val="outset" w:color="auto" w:sz="6" w:space="0"/>
              <w:right w:val="outset" w:color="auto" w:sz="6" w:space="0"/>
            </w:tcBorders>
          </w:tcPr>
          <w:p>
            <w:pPr>
              <w:pStyle w:val="31"/>
            </w:pPr>
            <w:r>
              <w:rPr>
                <w:rStyle w:val="51"/>
                <w:rFonts w:hint="eastAsia"/>
              </w:rPr>
              <w:t>颜色</w:t>
            </w:r>
          </w:p>
        </w:tc>
        <w:tc>
          <w:tcPr>
            <w:tcW w:w="2310" w:type="dxa"/>
            <w:tcBorders>
              <w:top w:val="outset" w:color="auto" w:sz="6" w:space="0"/>
              <w:left w:val="outset" w:color="auto" w:sz="6" w:space="0"/>
              <w:bottom w:val="outset" w:color="auto" w:sz="6" w:space="0"/>
              <w:right w:val="outset" w:color="auto" w:sz="6" w:space="0"/>
            </w:tcBorders>
          </w:tcPr>
          <w:p>
            <w:pPr>
              <w:pStyle w:val="31"/>
            </w:pPr>
            <w:r>
              <w:rPr>
                <w:rStyle w:val="51"/>
                <w:rFonts w:hint="eastAsia"/>
              </w:rPr>
              <w:t>当前涨幅、3 日涨幅、量比、成交额、主力净额</w:t>
            </w:r>
          </w:p>
        </w:tc>
        <w:tc>
          <w:tcPr>
            <w:tcW w:w="9481" w:type="dxa"/>
            <w:tcBorders>
              <w:top w:val="outset" w:color="auto" w:sz="6" w:space="0"/>
              <w:left w:val="outset" w:color="auto" w:sz="6" w:space="0"/>
              <w:bottom w:val="outset" w:color="auto" w:sz="6" w:space="0"/>
              <w:right w:val="outset" w:color="auto" w:sz="6" w:space="0"/>
            </w:tcBorders>
          </w:tcPr>
          <w:p>
            <w:pPr>
              <w:pStyle w:val="31"/>
            </w:pPr>
            <w:r>
              <w:rPr>
                <w:rStyle w:val="51"/>
                <w:rFonts w:hint="eastAsia"/>
              </w:rPr>
              <w:t>正负值指标，如涨幅、净额，展示为红绿灰三色；数量指标展示为黄色；均根据指标值大小变换亮度。</w:t>
            </w:r>
          </w:p>
        </w:tc>
      </w:tr>
    </w:tbl>
    <w:p>
      <w:pPr>
        <w:pStyle w:val="34"/>
        <w:rPr>
          <w:kern w:val="0"/>
        </w:rPr>
      </w:pPr>
      <w:r>
        <w:drawing>
          <wp:inline distT="0" distB="0" distL="114300" distR="114300">
            <wp:extent cx="5991225" cy="3924300"/>
            <wp:effectExtent l="0" t="0" r="9525" b="0"/>
            <wp:docPr id="476" name="图片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图片 476"/>
                    <pic:cNvPicPr>
                      <a:picLocks noChangeAspect="1"/>
                    </pic:cNvPicPr>
                  </pic:nvPicPr>
                  <pic:blipFill>
                    <a:blip r:embed="rId895"/>
                    <a:stretch>
                      <a:fillRect/>
                    </a:stretch>
                  </pic:blipFill>
                  <pic:spPr>
                    <a:xfrm>
                      <a:off x="0" y="0"/>
                      <a:ext cx="5991225" cy="3924300"/>
                    </a:xfrm>
                    <a:prstGeom prst="rect">
                      <a:avLst/>
                    </a:prstGeom>
                    <a:noFill/>
                    <a:ln>
                      <a:noFill/>
                    </a:ln>
                  </pic:spPr>
                </pic:pic>
              </a:graphicData>
            </a:graphic>
          </wp:inline>
        </w:drawing>
      </w:r>
    </w:p>
    <w:p>
      <w:pPr>
        <w:pStyle w:val="34"/>
        <w:ind w:firstLine="482"/>
        <w:rPr>
          <w:b/>
          <w:bCs/>
          <w:color w:val="FF0000"/>
          <w:kern w:val="0"/>
        </w:rPr>
      </w:pPr>
      <w:r>
        <w:rPr>
          <w:rFonts w:hint="eastAsia"/>
          <w:b/>
          <w:bCs/>
          <w:color w:val="FF0000"/>
          <w:kern w:val="0"/>
        </w:rPr>
        <w:t>热力图表</w:t>
      </w:r>
    </w:p>
    <w:p>
      <w:pPr>
        <w:pStyle w:val="34"/>
      </w:pPr>
      <w:r>
        <w:rPr>
          <w:rFonts w:hint="eastAsia"/>
        </w:rPr>
        <w:t>热力图是用图表直观展示组合内成份股最近一段时间内的涨跌幅情况或成交额情况。选择涨幅时，不同颜色程度代表不同的涨跌幅；选择成交额时，黄色越深，该天成交额越大。鼠标放在某一区域时，会浮动展示日期。</w:t>
      </w:r>
    </w:p>
    <w:p>
      <w:pPr>
        <w:pStyle w:val="34"/>
        <w:rPr>
          <w:kern w:val="0"/>
        </w:rPr>
      </w:pPr>
      <w:r>
        <w:drawing>
          <wp:inline distT="0" distB="0" distL="114300" distR="114300">
            <wp:extent cx="5924550" cy="3876675"/>
            <wp:effectExtent l="0" t="0" r="0" b="9525"/>
            <wp:docPr id="477" name="图片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图片 477"/>
                    <pic:cNvPicPr>
                      <a:picLocks noChangeAspect="1"/>
                    </pic:cNvPicPr>
                  </pic:nvPicPr>
                  <pic:blipFill>
                    <a:blip r:embed="rId896"/>
                    <a:stretch>
                      <a:fillRect/>
                    </a:stretch>
                  </pic:blipFill>
                  <pic:spPr>
                    <a:xfrm>
                      <a:off x="0" y="0"/>
                      <a:ext cx="5924550" cy="3876675"/>
                    </a:xfrm>
                    <a:prstGeom prst="rect">
                      <a:avLst/>
                    </a:prstGeom>
                    <a:noFill/>
                    <a:ln>
                      <a:noFill/>
                    </a:ln>
                  </pic:spPr>
                </pic:pic>
              </a:graphicData>
            </a:graphic>
          </wp:inline>
        </w:drawing>
      </w:r>
    </w:p>
    <w:p>
      <w:pPr>
        <w:pStyle w:val="34"/>
        <w:ind w:firstLine="482"/>
        <w:rPr>
          <w:b/>
          <w:bCs/>
          <w:color w:val="FF0000"/>
          <w:kern w:val="0"/>
        </w:rPr>
      </w:pPr>
      <w:r>
        <w:rPr>
          <w:rFonts w:hint="eastAsia"/>
          <w:b/>
          <w:bCs/>
          <w:color w:val="FF0000"/>
          <w:kern w:val="0"/>
        </w:rPr>
        <w:t>相关资讯</w:t>
      </w:r>
    </w:p>
    <w:p>
      <w:pPr>
        <w:pStyle w:val="34"/>
        <w:rPr>
          <w:kern w:val="0"/>
        </w:rPr>
      </w:pPr>
      <w:r>
        <w:rPr>
          <w:rFonts w:hint="eastAsia"/>
          <w:kern w:val="0"/>
        </w:rPr>
        <w:t>相关资讯分三部分，分别是公告、资讯跟研报。默认按发布日期展示最新</w:t>
      </w:r>
      <w:r>
        <w:rPr>
          <w:kern w:val="0"/>
        </w:rPr>
        <w:t xml:space="preserve"> 20 条，点击标题会跳转到具体的内容页面。点击查询更多可展示最近一年的成分股资讯信息。当天的资讯信息会用黄色字体标记。</w:t>
      </w:r>
    </w:p>
    <w:p>
      <w:pPr>
        <w:pStyle w:val="34"/>
        <w:rPr>
          <w:kern w:val="0"/>
        </w:rPr>
      </w:pPr>
      <w:r>
        <w:drawing>
          <wp:inline distT="0" distB="0" distL="114300" distR="114300">
            <wp:extent cx="6877050" cy="4486275"/>
            <wp:effectExtent l="0" t="0" r="0" b="9525"/>
            <wp:docPr id="478" name="图片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图片 478"/>
                    <pic:cNvPicPr>
                      <a:picLocks noChangeAspect="1"/>
                    </pic:cNvPicPr>
                  </pic:nvPicPr>
                  <pic:blipFill>
                    <a:blip r:embed="rId897"/>
                    <a:stretch>
                      <a:fillRect/>
                    </a:stretch>
                  </pic:blipFill>
                  <pic:spPr>
                    <a:xfrm>
                      <a:off x="0" y="0"/>
                      <a:ext cx="6877050" cy="4486275"/>
                    </a:xfrm>
                    <a:prstGeom prst="rect">
                      <a:avLst/>
                    </a:prstGeom>
                    <a:noFill/>
                    <a:ln>
                      <a:noFill/>
                    </a:ln>
                  </pic:spPr>
                </pic:pic>
              </a:graphicData>
            </a:graphic>
          </wp:inline>
        </w:drawing>
      </w:r>
    </w:p>
    <w:p>
      <w:pPr>
        <w:pStyle w:val="3"/>
      </w:pPr>
      <w:r>
        <w:rPr>
          <w:rFonts w:hint="eastAsia"/>
        </w:rPr>
        <w:t>股票PK</w:t>
      </w:r>
    </w:p>
    <w:p>
      <w:pPr>
        <w:pStyle w:val="34"/>
        <w:rPr>
          <w:kern w:val="0"/>
        </w:rPr>
      </w:pPr>
      <w:r>
        <w:rPr>
          <w:rFonts w:hint="eastAsia"/>
        </w:rPr>
        <w:t>股票PK对不同个股，在多维度（包括行情指标、估值指标、股本股东、特殊指标、科研对比、财务指标）进行比较分析，从而帮助用户做出最优的投资选择。</w:t>
      </w:r>
    </w:p>
    <w:p>
      <w:pPr>
        <w:pStyle w:val="34"/>
      </w:pPr>
      <w:r>
        <w:rPr>
          <w:rFonts w:hint="eastAsia"/>
        </w:rPr>
        <w:t>1）首次进入功能页面，可以在第一列中输入想要PK的个股代码或者名称，第一列个股确定之后，在其他PK对象对应的列中，鼠标点击列中的搜索框，系统会自动推荐同行业的其他股票进行对比，若推荐的个股不是想要比较的对象，用户可自行输入其他个股；</w:t>
      </w:r>
    </w:p>
    <w:p>
      <w:pPr>
        <w:pStyle w:val="34"/>
      </w:pPr>
      <w:r>
        <w:rPr>
          <w:rFonts w:hint="eastAsia"/>
        </w:rPr>
        <w:t>2）右侧是与左侧个股联动版面，选取了比较常用的一些指标进行可视化分析。</w:t>
      </w:r>
    </w:p>
    <w:p>
      <w:pPr>
        <w:pStyle w:val="34"/>
      </w:pPr>
      <w:r>
        <w:rPr>
          <w:rFonts w:hint="eastAsia"/>
        </w:rPr>
        <w:t>3）用户可以生产PK记录进行保存，方便下次再进行比较</w:t>
      </w:r>
    </w:p>
    <w:p>
      <w:r>
        <w:drawing>
          <wp:inline distT="0" distB="0" distL="114300" distR="114300">
            <wp:extent cx="7086600" cy="3648075"/>
            <wp:effectExtent l="0" t="0" r="0" b="9525"/>
            <wp:docPr id="479" name="图片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图片 479"/>
                    <pic:cNvPicPr>
                      <a:picLocks noChangeAspect="1"/>
                    </pic:cNvPicPr>
                  </pic:nvPicPr>
                  <pic:blipFill>
                    <a:blip r:embed="rId898"/>
                    <a:stretch>
                      <a:fillRect/>
                    </a:stretch>
                  </pic:blipFill>
                  <pic:spPr>
                    <a:xfrm>
                      <a:off x="0" y="0"/>
                      <a:ext cx="7086600" cy="3648075"/>
                    </a:xfrm>
                    <a:prstGeom prst="rect">
                      <a:avLst/>
                    </a:prstGeom>
                    <a:noFill/>
                    <a:ln>
                      <a:noFill/>
                    </a:ln>
                  </pic:spPr>
                </pic:pic>
              </a:graphicData>
            </a:graphic>
          </wp:inline>
        </w:drawing>
      </w:r>
    </w:p>
    <w:p>
      <w:pPr>
        <w:pStyle w:val="2"/>
      </w:pPr>
      <w:bookmarkStart w:id="69" w:name="_Toc90646190"/>
      <w:r>
        <w:rPr>
          <w:rFonts w:hint="eastAsia"/>
        </w:rPr>
        <w:t>普及版</w:t>
      </w:r>
      <w:bookmarkEnd w:id="69"/>
    </w:p>
    <w:p>
      <w:pPr>
        <w:pStyle w:val="3"/>
      </w:pPr>
      <w:bookmarkStart w:id="70" w:name="_Toc90646191"/>
      <w:r>
        <w:rPr>
          <w:rFonts w:hint="eastAsia"/>
        </w:rPr>
        <w:t>千档行情及买卖队列</w:t>
      </w:r>
      <w:bookmarkEnd w:id="70"/>
    </w:p>
    <w:p>
      <w:pPr>
        <w:rPr>
          <w:kern w:val="0"/>
          <w:szCs w:val="27"/>
        </w:rPr>
      </w:pPr>
      <w:r>
        <w:rPr>
          <w:rFonts w:hint="eastAsia"/>
          <w:kern w:val="0"/>
        </w:rPr>
        <w:t>A、分时图、K线图界面十档买卖盘：</w:t>
      </w:r>
    </w:p>
    <w:p>
      <w:pPr>
        <w:pStyle w:val="34"/>
        <w:rPr>
          <w:kern w:val="0"/>
        </w:rPr>
      </w:pPr>
      <w:r>
        <w:rPr>
          <w:rFonts w:hint="eastAsia"/>
          <w:kern w:val="0"/>
        </w:rPr>
        <w:t>level2提供十档行情；买一，卖一的明细在买卖队列上进行揭示(显示买一和卖一的前50笔队列)。</w:t>
      </w:r>
    </w:p>
    <w:p>
      <w:pPr>
        <w:rPr>
          <w:color w:val="000000"/>
          <w:kern w:val="0"/>
          <w:sz w:val="18"/>
          <w:szCs w:val="18"/>
        </w:rPr>
      </w:pPr>
      <w:r>
        <w:rPr>
          <w:color w:val="000000"/>
          <w:kern w:val="0"/>
          <w:sz w:val="18"/>
          <w:szCs w:val="18"/>
        </w:rPr>
        <w:fldChar w:fldCharType="begin"/>
      </w:r>
      <w:r>
        <w:rPr>
          <w:color w:val="000000"/>
          <w:kern w:val="0"/>
          <w:sz w:val="18"/>
          <w:szCs w:val="18"/>
        </w:rPr>
        <w:instrText xml:space="preserve"> INCLUDEPICTURE  "https://www.tdx.com.cn/products/helpfile/tdxw/chm/%E7%AC%AC%E5%85%AD%E7%AB%A0  %E5%9F%BA%E7%A1%80%E7%89%88%E5%8A%9F%E8%83%BD/6-1/1.png" \* MERGEFORMATINET </w:instrText>
      </w:r>
      <w:r>
        <w:rPr>
          <w:color w:val="000000"/>
          <w:kern w:val="0"/>
          <w:sz w:val="18"/>
          <w:szCs w:val="18"/>
        </w:rPr>
        <w:fldChar w:fldCharType="separate"/>
      </w:r>
      <w:r>
        <w:rPr>
          <w:color w:val="000000"/>
          <w:kern w:val="0"/>
          <w:sz w:val="18"/>
          <w:szCs w:val="18"/>
        </w:rPr>
        <w:fldChar w:fldCharType="begin"/>
      </w:r>
      <w:r>
        <w:rPr>
          <w:color w:val="000000"/>
          <w:kern w:val="0"/>
          <w:sz w:val="18"/>
          <w:szCs w:val="18"/>
        </w:rPr>
        <w:instrText xml:space="preserve"> INCLUDEPICTURE  "https://www.tdx.com.cn/products/helpfile/tdxw/chm/%E7%AC%AC%E5%85%AD%E7%AB%A0  %E5%9F%BA%E7%A1%80%E7%89%88%E5%8A%9F%E8%83%BD/6-1/1.png" \* MERGEFORMATINET </w:instrText>
      </w:r>
      <w:r>
        <w:rPr>
          <w:color w:val="000000"/>
          <w:kern w:val="0"/>
          <w:sz w:val="18"/>
          <w:szCs w:val="18"/>
        </w:rPr>
        <w:fldChar w:fldCharType="separate"/>
      </w:r>
      <w:r>
        <w:rPr>
          <w:color w:val="000000"/>
          <w:kern w:val="0"/>
          <w:sz w:val="18"/>
          <w:szCs w:val="18"/>
        </w:rPr>
        <w:fldChar w:fldCharType="begin"/>
      </w:r>
      <w:r>
        <w:rPr>
          <w:color w:val="000000"/>
          <w:kern w:val="0"/>
          <w:sz w:val="18"/>
          <w:szCs w:val="18"/>
        </w:rPr>
        <w:instrText xml:space="preserve"> INCLUDEPICTURE  "https://www.tdx.com.cn/products/helpfile/tdxw/chm/%E7%AC%AC%E5%85%AD%E7%AB%A0  %E5%9F%BA%E7%A1%80%E7%89%88%E5%8A%9F%E8%83%BD/6-1/1.png" \* MERGEFORMATINET </w:instrText>
      </w:r>
      <w:r>
        <w:rPr>
          <w:color w:val="000000"/>
          <w:kern w:val="0"/>
          <w:sz w:val="18"/>
          <w:szCs w:val="18"/>
        </w:rPr>
        <w:fldChar w:fldCharType="separate"/>
      </w:r>
      <w:r>
        <w:rPr>
          <w:color w:val="000000"/>
          <w:kern w:val="0"/>
          <w:sz w:val="18"/>
          <w:szCs w:val="18"/>
        </w:rPr>
        <w:fldChar w:fldCharType="begin"/>
      </w:r>
      <w:r>
        <w:rPr>
          <w:color w:val="000000"/>
          <w:kern w:val="0"/>
          <w:sz w:val="18"/>
          <w:szCs w:val="18"/>
        </w:rPr>
        <w:instrText xml:space="preserve"> INCLUDEPICTURE  "https://www.tdx.com.cn/products/helpfile/tdxw/chm/%E7%AC%AC%E5%85%AD%E7%AB%A0  %E5%9F%BA%E7%A1%80%E7%89%88%E5%8A%9F%E8%83%BD/6-1/1.png" \* MERGEFORMATINET </w:instrText>
      </w:r>
      <w:r>
        <w:rPr>
          <w:color w:val="000000"/>
          <w:kern w:val="0"/>
          <w:sz w:val="18"/>
          <w:szCs w:val="18"/>
        </w:rPr>
        <w:fldChar w:fldCharType="separate"/>
      </w:r>
      <w:r>
        <w:rPr>
          <w:color w:val="000000"/>
          <w:kern w:val="0"/>
          <w:sz w:val="18"/>
          <w:szCs w:val="18"/>
        </w:rPr>
        <w:drawing>
          <wp:inline distT="0" distB="0" distL="114300" distR="114300">
            <wp:extent cx="2905125" cy="5343525"/>
            <wp:effectExtent l="0" t="0" r="9525" b="9525"/>
            <wp:docPr id="480" name="图片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图片 480"/>
                    <pic:cNvPicPr>
                      <a:picLocks noChangeAspect="1"/>
                    </pic:cNvPicPr>
                  </pic:nvPicPr>
                  <pic:blipFill>
                    <a:blip r:embed="rId899" r:link="rId900"/>
                    <a:stretch>
                      <a:fillRect/>
                    </a:stretch>
                  </pic:blipFill>
                  <pic:spPr>
                    <a:xfrm>
                      <a:off x="0" y="0"/>
                      <a:ext cx="2905125" cy="5343525"/>
                    </a:xfrm>
                    <a:prstGeom prst="rect">
                      <a:avLst/>
                    </a:prstGeom>
                    <a:noFill/>
                    <a:ln>
                      <a:noFill/>
                    </a:ln>
                  </pic:spPr>
                </pic:pic>
              </a:graphicData>
            </a:graphic>
          </wp:inline>
        </w:drawing>
      </w:r>
      <w:r>
        <w:rPr>
          <w:color w:val="000000"/>
          <w:kern w:val="0"/>
          <w:sz w:val="18"/>
          <w:szCs w:val="18"/>
        </w:rPr>
        <w:fldChar w:fldCharType="end"/>
      </w:r>
      <w:r>
        <w:rPr>
          <w:color w:val="000000"/>
          <w:kern w:val="0"/>
          <w:sz w:val="18"/>
          <w:szCs w:val="18"/>
        </w:rPr>
        <w:fldChar w:fldCharType="end"/>
      </w:r>
      <w:r>
        <w:rPr>
          <w:color w:val="000000"/>
          <w:kern w:val="0"/>
          <w:sz w:val="18"/>
          <w:szCs w:val="18"/>
        </w:rPr>
        <w:fldChar w:fldCharType="end"/>
      </w:r>
      <w:r>
        <w:rPr>
          <w:color w:val="000000"/>
          <w:kern w:val="0"/>
          <w:sz w:val="18"/>
          <w:szCs w:val="18"/>
        </w:rPr>
        <w:fldChar w:fldCharType="end"/>
      </w:r>
    </w:p>
    <w:p>
      <w:pPr>
        <w:pStyle w:val="34"/>
        <w:rPr>
          <w:kern w:val="0"/>
        </w:rPr>
      </w:pPr>
      <w:r>
        <w:rPr>
          <w:rFonts w:hint="eastAsia"/>
          <w:kern w:val="0"/>
        </w:rPr>
        <w:t>买卖队列中委托数量的颜色说明 ： </w:t>
      </w:r>
    </w:p>
    <w:p>
      <w:pPr>
        <w:pStyle w:val="34"/>
        <w:rPr>
          <w:kern w:val="0"/>
        </w:rPr>
      </w:pPr>
      <w:r>
        <w:rPr>
          <w:kern w:val="0"/>
        </w:rPr>
        <w:fldChar w:fldCharType="begin"/>
      </w:r>
      <w:r>
        <w:rPr>
          <w:kern w:val="0"/>
        </w:rPr>
        <w:instrText xml:space="preserve"> INCLUDEPICTURE  "https://www.tdx.com.cn/products/helpfile/tdxw/chm/%E7%AC%AC%E5%85%AD%E7%AB%A0  %E5%9F%BA%E7%A1%80%E7%89%88%E5%8A%9F%E8%83%BD/6-1/2.1.png" \* MERGEFORMATINET </w:instrText>
      </w:r>
      <w:r>
        <w:rPr>
          <w:kern w:val="0"/>
        </w:rPr>
        <w:fldChar w:fldCharType="separate"/>
      </w:r>
      <w:r>
        <w:rPr>
          <w:kern w:val="0"/>
        </w:rPr>
        <w:fldChar w:fldCharType="begin"/>
      </w:r>
      <w:r>
        <w:rPr>
          <w:kern w:val="0"/>
        </w:rPr>
        <w:instrText xml:space="preserve"> INCLUDEPICTURE  "https://www.tdx.com.cn/products/helpfile/tdxw/chm/%E7%AC%AC%E5%85%AD%E7%AB%A0  %E5%9F%BA%E7%A1%80%E7%89%88%E5%8A%9F%E8%83%BD/6-1/2.1.png" \* MERGEFORMATINET </w:instrText>
      </w:r>
      <w:r>
        <w:rPr>
          <w:kern w:val="0"/>
        </w:rPr>
        <w:fldChar w:fldCharType="separate"/>
      </w:r>
      <w:r>
        <w:rPr>
          <w:kern w:val="0"/>
        </w:rPr>
        <w:fldChar w:fldCharType="begin"/>
      </w:r>
      <w:r>
        <w:rPr>
          <w:kern w:val="0"/>
        </w:rPr>
        <w:instrText xml:space="preserve"> INCLUDEPICTURE  "https://www.tdx.com.cn/products/helpfile/tdxw/chm/%E7%AC%AC%E5%85%AD%E7%AB%A0  %E5%9F%BA%E7%A1%80%E7%89%88%E5%8A%9F%E8%83%BD/6-1/2.1.png" \* MERGEFORMATINET </w:instrText>
      </w:r>
      <w:r>
        <w:rPr>
          <w:kern w:val="0"/>
        </w:rPr>
        <w:fldChar w:fldCharType="separate"/>
      </w:r>
      <w:r>
        <w:rPr>
          <w:kern w:val="0"/>
        </w:rPr>
        <w:fldChar w:fldCharType="begin"/>
      </w:r>
      <w:r>
        <w:rPr>
          <w:kern w:val="0"/>
        </w:rPr>
        <w:instrText xml:space="preserve"> INCLUDEPICTURE  "https://www.tdx.com.cn/products/helpfile/tdxw/chm/%E7%AC%AC%E5%85%AD%E7%AB%A0  %E5%9F%BA%E7%A1%80%E7%89%88%E5%8A%9F%E8%83%BD/6-1/2.1.png" \* MERGEFORMATINET </w:instrText>
      </w:r>
      <w:r>
        <w:rPr>
          <w:kern w:val="0"/>
        </w:rPr>
        <w:fldChar w:fldCharType="separate"/>
      </w:r>
      <w:r>
        <w:rPr>
          <w:kern w:val="0"/>
        </w:rPr>
        <w:drawing>
          <wp:inline distT="0" distB="0" distL="114300" distR="114300">
            <wp:extent cx="2895600" cy="3162300"/>
            <wp:effectExtent l="0" t="0" r="0" b="0"/>
            <wp:docPr id="481" name="图片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图片 481"/>
                    <pic:cNvPicPr>
                      <a:picLocks noChangeAspect="1"/>
                    </pic:cNvPicPr>
                  </pic:nvPicPr>
                  <pic:blipFill>
                    <a:blip r:embed="rId901" r:link="rId902"/>
                    <a:stretch>
                      <a:fillRect/>
                    </a:stretch>
                  </pic:blipFill>
                  <pic:spPr>
                    <a:xfrm>
                      <a:off x="0" y="0"/>
                      <a:ext cx="2895600" cy="3162300"/>
                    </a:xfrm>
                    <a:prstGeom prst="rect">
                      <a:avLst/>
                    </a:prstGeom>
                    <a:noFill/>
                    <a:ln>
                      <a:noFill/>
                    </a:ln>
                  </pic:spPr>
                </pic:pic>
              </a:graphicData>
            </a:graphic>
          </wp:inline>
        </w:drawing>
      </w:r>
      <w:r>
        <w:rPr>
          <w:kern w:val="0"/>
        </w:rPr>
        <w:fldChar w:fldCharType="end"/>
      </w:r>
      <w:r>
        <w:rPr>
          <w:kern w:val="0"/>
        </w:rPr>
        <w:fldChar w:fldCharType="end"/>
      </w:r>
      <w:r>
        <w:rPr>
          <w:kern w:val="0"/>
        </w:rPr>
        <w:fldChar w:fldCharType="end"/>
      </w:r>
      <w:r>
        <w:rPr>
          <w:kern w:val="0"/>
        </w:rPr>
        <w:fldChar w:fldCharType="end"/>
      </w:r>
    </w:p>
    <w:p>
      <w:pPr>
        <w:pStyle w:val="34"/>
        <w:rPr>
          <w:kern w:val="0"/>
        </w:rPr>
      </w:pPr>
      <w:r>
        <w:rPr>
          <w:rFonts w:hint="eastAsia"/>
          <w:kern w:val="0"/>
        </w:rPr>
        <w:t>1．黄色：普通委托； </w:t>
      </w:r>
    </w:p>
    <w:p>
      <w:pPr>
        <w:pStyle w:val="34"/>
        <w:rPr>
          <w:kern w:val="0"/>
        </w:rPr>
      </w:pPr>
      <w:r>
        <w:rPr>
          <w:rFonts w:hint="eastAsia"/>
          <w:kern w:val="0"/>
        </w:rPr>
        <w:t>2．紫色：大单委托；</w:t>
      </w:r>
    </w:p>
    <w:p>
      <w:pPr>
        <w:pStyle w:val="34"/>
        <w:rPr>
          <w:kern w:val="0"/>
        </w:rPr>
      </w:pPr>
      <w:r>
        <w:rPr>
          <w:rFonts w:hint="eastAsia"/>
          <w:kern w:val="0"/>
        </w:rPr>
        <w:t>3．前面浅灰色：不区分撤单还是成交（实际上已经不存在的委托单） ；</w:t>
      </w:r>
    </w:p>
    <w:p>
      <w:pPr>
        <w:pStyle w:val="34"/>
        <w:rPr>
          <w:kern w:val="0"/>
        </w:rPr>
      </w:pPr>
      <w:r>
        <w:rPr>
          <w:rFonts w:hint="eastAsia"/>
          <w:kern w:val="0"/>
        </w:rPr>
        <w:t>4．中间出现的深灰色：撤单（实际上已经不存在的委托单）；</w:t>
      </w:r>
    </w:p>
    <w:p>
      <w:pPr>
        <w:pStyle w:val="34"/>
        <w:rPr>
          <w:kern w:val="0"/>
        </w:rPr>
      </w:pPr>
      <w:r>
        <w:rPr>
          <w:rFonts w:hint="eastAsia"/>
          <w:kern w:val="0"/>
        </w:rPr>
        <w:t>5．后面白色：新揭示单（可能是新挂的委托；也可能是之前在前 50 个之外，随着前面的委托成交或者撤单而逐渐揭示）；</w:t>
      </w:r>
    </w:p>
    <w:p>
      <w:pPr>
        <w:pStyle w:val="34"/>
        <w:rPr>
          <w:kern w:val="0"/>
        </w:rPr>
      </w:pPr>
      <w:r>
        <w:rPr>
          <w:rFonts w:hint="eastAsia"/>
          <w:kern w:val="0"/>
        </w:rPr>
        <w:t>6．前方出现红色 / 绿色：部分成交的委托 。</w:t>
      </w:r>
    </w:p>
    <w:p>
      <w:pPr>
        <w:pStyle w:val="34"/>
        <w:rPr>
          <w:kern w:val="0"/>
        </w:rPr>
      </w:pPr>
      <w:r>
        <w:rPr>
          <w:rFonts w:hint="eastAsia"/>
          <w:kern w:val="0"/>
        </w:rPr>
        <w:t>7. 蓝色：使用标记功能,队列排单,逐笔委托,买卖队列中的标记数量均会突出显示</w:t>
      </w:r>
    </w:p>
    <w:p>
      <w:pPr>
        <w:pStyle w:val="34"/>
        <w:rPr>
          <w:kern w:val="0"/>
        </w:rPr>
      </w:pPr>
      <w:r>
        <w:rPr>
          <w:rFonts w:hint="eastAsia"/>
          <w:kern w:val="0"/>
        </w:rPr>
        <w:t>总笔及每笔的说明： </w:t>
      </w:r>
    </w:p>
    <w:p>
      <w:pPr>
        <w:pStyle w:val="34"/>
        <w:rPr>
          <w:kern w:val="0"/>
        </w:rPr>
      </w:pPr>
      <w:r>
        <w:rPr>
          <w:kern w:val="0"/>
        </w:rPr>
        <w:fldChar w:fldCharType="begin"/>
      </w:r>
      <w:r>
        <w:rPr>
          <w:kern w:val="0"/>
        </w:rPr>
        <w:instrText xml:space="preserve"> INCLUDEPICTURE  "https://www.tdx.com.cn/products/helpfile/tdxw/chm/%E7%AC%AC%E5%85%AD%E7%AB%A0  %E5%9F%BA%E7%A1%80%E7%89%88%E5%8A%9F%E8%83%BD/6-1/2.2.png" \* MERGEFORMATINET </w:instrText>
      </w:r>
      <w:r>
        <w:rPr>
          <w:kern w:val="0"/>
        </w:rPr>
        <w:fldChar w:fldCharType="separate"/>
      </w:r>
      <w:r>
        <w:rPr>
          <w:kern w:val="0"/>
        </w:rPr>
        <w:fldChar w:fldCharType="begin"/>
      </w:r>
      <w:r>
        <w:rPr>
          <w:kern w:val="0"/>
        </w:rPr>
        <w:instrText xml:space="preserve"> INCLUDEPICTURE  "https://www.tdx.com.cn/products/helpfile/tdxw/chm/%E7%AC%AC%E5%85%AD%E7%AB%A0  %E5%9F%BA%E7%A1%80%E7%89%88%E5%8A%9F%E8%83%BD/6-1/2.2.png" \* MERGEFORMATINET </w:instrText>
      </w:r>
      <w:r>
        <w:rPr>
          <w:kern w:val="0"/>
        </w:rPr>
        <w:fldChar w:fldCharType="separate"/>
      </w:r>
      <w:r>
        <w:rPr>
          <w:kern w:val="0"/>
        </w:rPr>
        <w:fldChar w:fldCharType="begin"/>
      </w:r>
      <w:r>
        <w:rPr>
          <w:kern w:val="0"/>
        </w:rPr>
        <w:instrText xml:space="preserve"> INCLUDEPICTURE  "https://www.tdx.com.cn/products/helpfile/tdxw/chm/%E7%AC%AC%E5%85%AD%E7%AB%A0  %E5%9F%BA%E7%A1%80%E7%89%88%E5%8A%9F%E8%83%BD/6-1/2.2.png" \* MERGEFORMATINET </w:instrText>
      </w:r>
      <w:r>
        <w:rPr>
          <w:kern w:val="0"/>
        </w:rPr>
        <w:fldChar w:fldCharType="separate"/>
      </w:r>
      <w:r>
        <w:rPr>
          <w:kern w:val="0"/>
        </w:rPr>
        <w:fldChar w:fldCharType="begin"/>
      </w:r>
      <w:r>
        <w:rPr>
          <w:kern w:val="0"/>
        </w:rPr>
        <w:instrText xml:space="preserve"> INCLUDEPICTURE  "https://www.tdx.com.cn/products/helpfile/tdxw/chm/%E7%AC%AC%E5%85%AD%E7%AB%A0  %E5%9F%BA%E7%A1%80%E7%89%88%E5%8A%9F%E8%83%BD/6-1/2.2.png" \* MERGEFORMATINET </w:instrText>
      </w:r>
      <w:r>
        <w:rPr>
          <w:kern w:val="0"/>
        </w:rPr>
        <w:fldChar w:fldCharType="separate"/>
      </w:r>
      <w:r>
        <w:rPr>
          <w:kern w:val="0"/>
        </w:rPr>
        <w:drawing>
          <wp:inline distT="0" distB="0" distL="114300" distR="114300">
            <wp:extent cx="2257425" cy="228600"/>
            <wp:effectExtent l="0" t="0" r="9525" b="0"/>
            <wp:docPr id="482" name="图片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图片 482"/>
                    <pic:cNvPicPr>
                      <a:picLocks noChangeAspect="1"/>
                    </pic:cNvPicPr>
                  </pic:nvPicPr>
                  <pic:blipFill>
                    <a:blip r:embed="rId903" r:link="rId904"/>
                    <a:stretch>
                      <a:fillRect/>
                    </a:stretch>
                  </pic:blipFill>
                  <pic:spPr>
                    <a:xfrm>
                      <a:off x="0" y="0"/>
                      <a:ext cx="2257425" cy="228600"/>
                    </a:xfrm>
                    <a:prstGeom prst="rect">
                      <a:avLst/>
                    </a:prstGeom>
                    <a:noFill/>
                    <a:ln>
                      <a:noFill/>
                    </a:ln>
                  </pic:spPr>
                </pic:pic>
              </a:graphicData>
            </a:graphic>
          </wp:inline>
        </w:drawing>
      </w:r>
      <w:r>
        <w:rPr>
          <w:kern w:val="0"/>
        </w:rPr>
        <w:fldChar w:fldCharType="end"/>
      </w:r>
      <w:r>
        <w:rPr>
          <w:kern w:val="0"/>
        </w:rPr>
        <w:fldChar w:fldCharType="end"/>
      </w:r>
      <w:r>
        <w:rPr>
          <w:kern w:val="0"/>
        </w:rPr>
        <w:fldChar w:fldCharType="end"/>
      </w:r>
      <w:r>
        <w:rPr>
          <w:kern w:val="0"/>
        </w:rPr>
        <w:fldChar w:fldCharType="end"/>
      </w:r>
    </w:p>
    <w:p>
      <w:pPr>
        <w:pStyle w:val="34"/>
        <w:rPr>
          <w:kern w:val="0"/>
        </w:rPr>
      </w:pPr>
      <w:r>
        <w:rPr>
          <w:rFonts w:hint="eastAsia"/>
          <w:kern w:val="0"/>
        </w:rPr>
        <w:t>总笔：表示交易所发送的从开市到目前为止的当前股票的真实逐笔成交笔数 ；</w:t>
      </w:r>
    </w:p>
    <w:p>
      <w:pPr>
        <w:pStyle w:val="34"/>
        <w:rPr>
          <w:kern w:val="0"/>
        </w:rPr>
      </w:pPr>
      <w:r>
        <w:rPr>
          <w:rFonts w:hint="eastAsia"/>
          <w:kern w:val="0"/>
        </w:rPr>
        <w:t>每笔：根据真实逐步成交笔数计算出来的平均每笔平均成交量(手) ；</w:t>
      </w:r>
    </w:p>
    <w:p>
      <w:pPr>
        <w:pStyle w:val="34"/>
        <w:rPr>
          <w:kern w:val="0"/>
        </w:rPr>
      </w:pPr>
      <w:r>
        <w:rPr>
          <w:rFonts w:hint="eastAsia"/>
          <w:kern w:val="0"/>
        </w:rPr>
        <w:t>委卖均价和委买均价前面的箭头：</w:t>
      </w:r>
    </w:p>
    <w:p>
      <w:pPr>
        <w:pStyle w:val="34"/>
        <w:rPr>
          <w:kern w:val="0"/>
        </w:rPr>
      </w:pPr>
      <w:r>
        <w:rPr>
          <w:kern w:val="0"/>
        </w:rPr>
        <w:fldChar w:fldCharType="begin"/>
      </w:r>
      <w:r>
        <w:rPr>
          <w:kern w:val="0"/>
        </w:rPr>
        <w:instrText xml:space="preserve"> INCLUDEPICTURE  "https://www.tdx.com.cn/products/helpfile/tdxw/chm/%E7%AC%AC%E5%85%AD%E7%AB%A0  %E5%9F%BA%E7%A1%80%E7%89%88%E5%8A%9F%E8%83%BD/6-1/2.3.png" \* MERGEFORMATINET </w:instrText>
      </w:r>
      <w:r>
        <w:rPr>
          <w:kern w:val="0"/>
        </w:rPr>
        <w:fldChar w:fldCharType="separate"/>
      </w:r>
      <w:r>
        <w:rPr>
          <w:kern w:val="0"/>
        </w:rPr>
        <w:fldChar w:fldCharType="begin"/>
      </w:r>
      <w:r>
        <w:rPr>
          <w:kern w:val="0"/>
        </w:rPr>
        <w:instrText xml:space="preserve"> INCLUDEPICTURE  "https://www.tdx.com.cn/products/helpfile/tdxw/chm/%E7%AC%AC%E5%85%AD%E7%AB%A0  %E5%9F%BA%E7%A1%80%E7%89%88%E5%8A%9F%E8%83%BD/6-1/2.3.png" \* MERGEFORMATINET </w:instrText>
      </w:r>
      <w:r>
        <w:rPr>
          <w:kern w:val="0"/>
        </w:rPr>
        <w:fldChar w:fldCharType="separate"/>
      </w:r>
      <w:r>
        <w:rPr>
          <w:kern w:val="0"/>
        </w:rPr>
        <w:fldChar w:fldCharType="begin"/>
      </w:r>
      <w:r>
        <w:rPr>
          <w:kern w:val="0"/>
        </w:rPr>
        <w:instrText xml:space="preserve"> INCLUDEPICTURE  "https://www.tdx.com.cn/products/helpfile/tdxw/chm/%E7%AC%AC%E5%85%AD%E7%AB%A0  %E5%9F%BA%E7%A1%80%E7%89%88%E5%8A%9F%E8%83%BD/6-1/2.3.png" \* MERGEFORMATINET </w:instrText>
      </w:r>
      <w:r>
        <w:rPr>
          <w:kern w:val="0"/>
        </w:rPr>
        <w:fldChar w:fldCharType="separate"/>
      </w:r>
      <w:r>
        <w:rPr>
          <w:kern w:val="0"/>
        </w:rPr>
        <w:fldChar w:fldCharType="begin"/>
      </w:r>
      <w:r>
        <w:rPr>
          <w:kern w:val="0"/>
        </w:rPr>
        <w:instrText xml:space="preserve"> INCLUDEPICTURE  "https://www.tdx.com.cn/products/helpfile/tdxw/chm/%E7%AC%AC%E5%85%AD%E7%AB%A0  %E5%9F%BA%E7%A1%80%E7%89%88%E5%8A%9F%E8%83%BD/6-1/2.3.png" \* MERGEFORMATINET </w:instrText>
      </w:r>
      <w:r>
        <w:rPr>
          <w:kern w:val="0"/>
        </w:rPr>
        <w:fldChar w:fldCharType="separate"/>
      </w:r>
      <w:r>
        <w:rPr>
          <w:kern w:val="0"/>
        </w:rPr>
        <w:drawing>
          <wp:inline distT="0" distB="0" distL="114300" distR="114300">
            <wp:extent cx="2952750" cy="381000"/>
            <wp:effectExtent l="0" t="0" r="0" b="0"/>
            <wp:docPr id="483" name="图片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图片 483"/>
                    <pic:cNvPicPr>
                      <a:picLocks noChangeAspect="1"/>
                    </pic:cNvPicPr>
                  </pic:nvPicPr>
                  <pic:blipFill>
                    <a:blip r:embed="rId905" r:link="rId906"/>
                    <a:stretch>
                      <a:fillRect/>
                    </a:stretch>
                  </pic:blipFill>
                  <pic:spPr>
                    <a:xfrm>
                      <a:off x="0" y="0"/>
                      <a:ext cx="2952750" cy="381000"/>
                    </a:xfrm>
                    <a:prstGeom prst="rect">
                      <a:avLst/>
                    </a:prstGeom>
                    <a:noFill/>
                    <a:ln>
                      <a:noFill/>
                    </a:ln>
                  </pic:spPr>
                </pic:pic>
              </a:graphicData>
            </a:graphic>
          </wp:inline>
        </w:drawing>
      </w:r>
      <w:r>
        <w:rPr>
          <w:kern w:val="0"/>
        </w:rPr>
        <w:fldChar w:fldCharType="end"/>
      </w:r>
      <w:r>
        <w:rPr>
          <w:kern w:val="0"/>
        </w:rPr>
        <w:fldChar w:fldCharType="end"/>
      </w:r>
      <w:r>
        <w:rPr>
          <w:kern w:val="0"/>
        </w:rPr>
        <w:fldChar w:fldCharType="end"/>
      </w:r>
      <w:r>
        <w:rPr>
          <w:kern w:val="0"/>
        </w:rPr>
        <w:fldChar w:fldCharType="end"/>
      </w:r>
    </w:p>
    <w:p>
      <w:pPr>
        <w:pStyle w:val="34"/>
        <w:rPr>
          <w:kern w:val="0"/>
        </w:rPr>
      </w:pPr>
      <w:r>
        <w:rPr>
          <w:rFonts w:hint="eastAsia"/>
          <w:kern w:val="0"/>
        </w:rPr>
        <w:t>1． 最近一次委托（委买或者委卖）均价变动趋势是上涨，标识红色箭头；</w:t>
      </w:r>
    </w:p>
    <w:p>
      <w:pPr>
        <w:pStyle w:val="34"/>
        <w:rPr>
          <w:kern w:val="0"/>
        </w:rPr>
      </w:pPr>
      <w:r>
        <w:rPr>
          <w:rFonts w:hint="eastAsia"/>
          <w:kern w:val="0"/>
        </w:rPr>
        <w:t>2． 最近一次委托（委买或者委卖）均价变动趋势是下跌，标识绿色箭头；</w:t>
      </w:r>
    </w:p>
    <w:p>
      <w:pPr>
        <w:pStyle w:val="34"/>
        <w:rPr>
          <w:kern w:val="0"/>
        </w:rPr>
      </w:pPr>
      <w:r>
        <w:rPr>
          <w:rFonts w:hint="eastAsia"/>
          <w:kern w:val="0"/>
        </w:rPr>
        <w:t>委卖均价和委买均价颜色释义：由均价和昨收比较得到。</w:t>
      </w:r>
    </w:p>
    <w:p>
      <w:pPr>
        <w:pStyle w:val="34"/>
        <w:rPr>
          <w:kern w:val="0"/>
        </w:rPr>
      </w:pPr>
      <w:r>
        <w:rPr>
          <w:rFonts w:hint="eastAsia"/>
          <w:kern w:val="0"/>
        </w:rPr>
        <w:t>1． 均价高过昨收，使用红色标识；</w:t>
      </w:r>
    </w:p>
    <w:p>
      <w:pPr>
        <w:pStyle w:val="34"/>
        <w:rPr>
          <w:kern w:val="0"/>
        </w:rPr>
      </w:pPr>
      <w:r>
        <w:rPr>
          <w:rFonts w:hint="eastAsia"/>
          <w:kern w:val="0"/>
        </w:rPr>
        <w:t>2． 均价与昨收相等，使用白色标识；</w:t>
      </w:r>
    </w:p>
    <w:p>
      <w:pPr>
        <w:pStyle w:val="34"/>
        <w:rPr>
          <w:kern w:val="0"/>
        </w:rPr>
      </w:pPr>
      <w:r>
        <w:rPr>
          <w:rFonts w:hint="eastAsia"/>
          <w:kern w:val="0"/>
        </w:rPr>
        <w:t>3． 均价低于昨收，使用绿色标识 ；</w:t>
      </w:r>
    </w:p>
    <w:p>
      <w:pPr>
        <w:pStyle w:val="34"/>
        <w:rPr>
          <w:kern w:val="0"/>
        </w:rPr>
      </w:pPr>
      <w:r>
        <w:rPr>
          <w:rFonts w:hint="eastAsia"/>
          <w:kern w:val="0"/>
        </w:rPr>
        <w:t>十档盘口买卖盘中买十,卖十价格后的标识：由委托（委卖或者委卖）均价决定，出现在买盘中的使用红色，出现在卖盘中的使用绿色。</w:t>
      </w:r>
    </w:p>
    <w:p>
      <w:pPr>
        <w:pStyle w:val="34"/>
        <w:rPr>
          <w:kern w:val="0"/>
        </w:rPr>
      </w:pPr>
      <w:r>
        <w:rPr>
          <w:rFonts w:hint="eastAsia"/>
          <w:kern w:val="0"/>
        </w:rPr>
        <w:t>1． 委托均价出现在最优的 10 档买卖盘中，使用方块标识 ；</w:t>
      </w:r>
    </w:p>
    <w:p>
      <w:pPr>
        <w:pStyle w:val="34"/>
        <w:rPr>
          <w:kern w:val="0"/>
        </w:rPr>
      </w:pPr>
      <w:r>
        <w:rPr>
          <w:rFonts w:hint="eastAsia"/>
          <w:kern w:val="0"/>
        </w:rPr>
        <w:t>2． 委托均价不在最优的 10 档买卖盘中，但是可以确定在次优的 10 档买卖盘中，使用三角标识 ；</w:t>
      </w:r>
    </w:p>
    <w:p>
      <w:pPr>
        <w:pStyle w:val="34"/>
        <w:rPr>
          <w:kern w:val="0"/>
        </w:rPr>
      </w:pPr>
      <w:r>
        <w:rPr>
          <w:rFonts w:hint="eastAsia"/>
          <w:kern w:val="0"/>
        </w:rPr>
        <w:t>3． 委托均价不在最优的 10 档买卖盘中，同时不确定是否在次优的 10 档买卖盘中，使用重叠的三角标识；</w:t>
      </w:r>
    </w:p>
    <w:p>
      <w:pPr>
        <w:pStyle w:val="34"/>
        <w:rPr>
          <w:kern w:val="0"/>
        </w:rPr>
      </w:pPr>
      <w:r>
        <w:rPr>
          <w:rFonts w:hint="eastAsia"/>
          <w:kern w:val="0"/>
        </w:rPr>
        <w:t> </w:t>
      </w:r>
    </w:p>
    <w:p>
      <w:pPr>
        <w:pStyle w:val="34"/>
        <w:rPr>
          <w:kern w:val="0"/>
        </w:rPr>
      </w:pPr>
      <w:r>
        <w:rPr>
          <w:rFonts w:hint="eastAsia"/>
          <w:kern w:val="0"/>
        </w:rPr>
        <w:t>十档盘口在分时图中显示占比详情：</w:t>
      </w:r>
    </w:p>
    <w:p>
      <w:pPr>
        <w:pStyle w:val="34"/>
        <w:rPr>
          <w:kern w:val="0"/>
        </w:rPr>
      </w:pPr>
      <w:r>
        <w:rPr>
          <w:kern w:val="0"/>
        </w:rPr>
        <w:fldChar w:fldCharType="begin"/>
      </w:r>
      <w:r>
        <w:rPr>
          <w:kern w:val="0"/>
        </w:rPr>
        <w:instrText xml:space="preserve"> INCLUDEPICTURE  "https://www.tdx.com.cn/products/helpfile/tdxw/chm/%E7%AC%AC%E5%85%AD%E7%AB%A0  %E5%9F%BA%E7%A1%80%E7%89%88%E5%8A%9F%E8%83%BD/6-1/3.png" \* MERGEFORMATINET </w:instrText>
      </w:r>
      <w:r>
        <w:rPr>
          <w:kern w:val="0"/>
        </w:rPr>
        <w:fldChar w:fldCharType="separate"/>
      </w:r>
      <w:r>
        <w:rPr>
          <w:kern w:val="0"/>
        </w:rPr>
        <w:fldChar w:fldCharType="begin"/>
      </w:r>
      <w:r>
        <w:rPr>
          <w:kern w:val="0"/>
        </w:rPr>
        <w:instrText xml:space="preserve"> INCLUDEPICTURE  "https://www.tdx.com.cn/products/helpfile/tdxw/chm/%E7%AC%AC%E5%85%AD%E7%AB%A0  %E5%9F%BA%E7%A1%80%E7%89%88%E5%8A%9F%E8%83%BD/6-1/3.png" \* MERGEFORMATINET </w:instrText>
      </w:r>
      <w:r>
        <w:rPr>
          <w:kern w:val="0"/>
        </w:rPr>
        <w:fldChar w:fldCharType="separate"/>
      </w:r>
      <w:r>
        <w:rPr>
          <w:kern w:val="0"/>
        </w:rPr>
        <w:fldChar w:fldCharType="begin"/>
      </w:r>
      <w:r>
        <w:rPr>
          <w:kern w:val="0"/>
        </w:rPr>
        <w:instrText xml:space="preserve"> INCLUDEPICTURE  "https://www.tdx.com.cn/products/helpfile/tdxw/chm/%E7%AC%AC%E5%85%AD%E7%AB%A0  %E5%9F%BA%E7%A1%80%E7%89%88%E5%8A%9F%E8%83%BD/6-1/3.png" \* MERGEFORMATINET </w:instrText>
      </w:r>
      <w:r>
        <w:rPr>
          <w:kern w:val="0"/>
        </w:rPr>
        <w:fldChar w:fldCharType="separate"/>
      </w:r>
      <w:r>
        <w:rPr>
          <w:kern w:val="0"/>
        </w:rPr>
        <w:fldChar w:fldCharType="begin"/>
      </w:r>
      <w:r>
        <w:rPr>
          <w:kern w:val="0"/>
        </w:rPr>
        <w:instrText xml:space="preserve"> INCLUDEPICTURE  "https://www.tdx.com.cn/products/helpfile/tdxw/chm/%E7%AC%AC%E5%85%AD%E7%AB%A0  %E5%9F%BA%E7%A1%80%E7%89%88%E5%8A%9F%E8%83%BD/6-1/3.png" \* MERGEFORMATINET </w:instrText>
      </w:r>
      <w:r>
        <w:rPr>
          <w:kern w:val="0"/>
        </w:rPr>
        <w:fldChar w:fldCharType="separate"/>
      </w:r>
      <w:r>
        <w:rPr>
          <w:kern w:val="0"/>
        </w:rPr>
        <w:drawing>
          <wp:inline distT="0" distB="0" distL="114300" distR="114300">
            <wp:extent cx="7600950" cy="3819525"/>
            <wp:effectExtent l="0" t="0" r="0" b="9525"/>
            <wp:docPr id="484" name="图片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图片 484"/>
                    <pic:cNvPicPr>
                      <a:picLocks noChangeAspect="1"/>
                    </pic:cNvPicPr>
                  </pic:nvPicPr>
                  <pic:blipFill>
                    <a:blip r:embed="rId907" r:link="rId908"/>
                    <a:stretch>
                      <a:fillRect/>
                    </a:stretch>
                  </pic:blipFill>
                  <pic:spPr>
                    <a:xfrm>
                      <a:off x="0" y="0"/>
                      <a:ext cx="7600950" cy="3819525"/>
                    </a:xfrm>
                    <a:prstGeom prst="rect">
                      <a:avLst/>
                    </a:prstGeom>
                    <a:noFill/>
                    <a:ln>
                      <a:noFill/>
                    </a:ln>
                  </pic:spPr>
                </pic:pic>
              </a:graphicData>
            </a:graphic>
          </wp:inline>
        </w:drawing>
      </w:r>
      <w:r>
        <w:rPr>
          <w:kern w:val="0"/>
        </w:rPr>
        <w:fldChar w:fldCharType="end"/>
      </w:r>
      <w:r>
        <w:rPr>
          <w:kern w:val="0"/>
        </w:rPr>
        <w:fldChar w:fldCharType="end"/>
      </w:r>
      <w:r>
        <w:rPr>
          <w:kern w:val="0"/>
        </w:rPr>
        <w:fldChar w:fldCharType="end"/>
      </w:r>
      <w:r>
        <w:rPr>
          <w:kern w:val="0"/>
        </w:rPr>
        <w:fldChar w:fldCharType="end"/>
      </w:r>
    </w:p>
    <w:p>
      <w:pPr>
        <w:pStyle w:val="34"/>
        <w:rPr>
          <w:kern w:val="0"/>
        </w:rPr>
      </w:pPr>
      <w:r>
        <w:rPr>
          <w:rFonts w:hint="eastAsia"/>
          <w:kern w:val="0"/>
        </w:rPr>
        <w:t> </w:t>
      </w:r>
    </w:p>
    <w:p>
      <w:pPr>
        <w:pStyle w:val="34"/>
        <w:rPr>
          <w:kern w:val="0"/>
          <w:szCs w:val="27"/>
        </w:rPr>
      </w:pPr>
      <w:r>
        <w:rPr>
          <w:rFonts w:hint="eastAsia"/>
          <w:kern w:val="0"/>
          <w:szCs w:val="27"/>
        </w:rPr>
        <w:t>B、查看全速千档盘口：</w:t>
      </w:r>
    </w:p>
    <w:p>
      <w:pPr>
        <w:pStyle w:val="34"/>
        <w:rPr>
          <w:kern w:val="0"/>
        </w:rPr>
      </w:pPr>
      <w:r>
        <w:rPr>
          <w:rFonts w:hint="eastAsia"/>
          <w:kern w:val="0"/>
        </w:rPr>
        <w:t>在十档买卖盘下方点击“查看全速千档盘口”(可查看千档盘口及买卖队列)</w:t>
      </w:r>
    </w:p>
    <w:p>
      <w:pPr>
        <w:pStyle w:val="34"/>
        <w:rPr>
          <w:kern w:val="0"/>
        </w:rPr>
      </w:pPr>
      <w:r>
        <w:rPr>
          <w:rFonts w:hint="eastAsia"/>
          <w:kern w:val="0"/>
        </w:rPr>
        <w:t>根据逐笔委托和逐笔成交推算出所有的委托挂盘数据。</w:t>
      </w:r>
    </w:p>
    <w:p>
      <w:pPr>
        <w:pStyle w:val="34"/>
        <w:rPr>
          <w:kern w:val="0"/>
        </w:rPr>
      </w:pPr>
      <w:r>
        <w:rPr>
          <w:rFonts w:hint="eastAsia"/>
          <w:kern w:val="0"/>
        </w:rPr>
        <w:t>(注意:如果逐笔数量丢失的话,千档盘口可能有缺失,此时请以常规10档买卖盘为准)。</w:t>
      </w:r>
    </w:p>
    <w:p>
      <w:pPr>
        <w:pStyle w:val="34"/>
        <w:rPr>
          <w:kern w:val="0"/>
        </w:rPr>
      </w:pPr>
      <w:r>
        <w:rPr>
          <w:rFonts w:hint="eastAsia"/>
          <w:kern w:val="0"/>
        </w:rPr>
        <w:t>点击个股10档盘口下面的按钮或键盘精灵敲QD可以进入功能。</w:t>
      </w:r>
    </w:p>
    <w:p>
      <w:pPr>
        <w:pStyle w:val="34"/>
        <w:rPr>
          <w:kern w:val="0"/>
        </w:rPr>
      </w:pPr>
      <w:r>
        <w:rPr>
          <w:rFonts w:hint="eastAsia"/>
          <w:kern w:val="0"/>
        </w:rPr>
        <w:t>界面上部分为卖盘委托,界面下部分为买盘委托。</w:t>
      </w:r>
    </w:p>
    <w:p>
      <w:pPr>
        <w:pStyle w:val="34"/>
        <w:rPr>
          <w:kern w:val="0"/>
        </w:rPr>
      </w:pPr>
      <w:r>
        <w:rPr>
          <w:rFonts w:hint="eastAsia"/>
          <w:kern w:val="0"/>
        </w:rPr>
        <w:t>价格后如果是有方块图标表示此价格为买均价或卖均价,T形为涨停价,倒T型为跌停价。</w:t>
      </w:r>
    </w:p>
    <w:p>
      <w:pPr>
        <w:pStyle w:val="34"/>
        <w:rPr>
          <w:kern w:val="0"/>
        </w:rPr>
      </w:pPr>
      <w:r>
        <w:rPr>
          <w:rFonts w:hint="eastAsia"/>
          <w:kern w:val="0"/>
        </w:rPr>
        <w:t>委托数量后如果是紫色图标,表示此委托数量的明细中出现大于500手的大单。</w:t>
      </w:r>
    </w:p>
    <w:p>
      <w:pPr>
        <w:pStyle w:val="34"/>
        <w:rPr>
          <w:kern w:val="0"/>
        </w:rPr>
      </w:pPr>
      <w:r>
        <w:rPr>
          <w:rFonts w:hint="eastAsia"/>
          <w:kern w:val="0"/>
        </w:rPr>
        <w:t>委托数量如果是紫色显示,表示此委托数量为该方委托量的前三名。</w:t>
      </w:r>
    </w:p>
    <w:p>
      <w:pPr>
        <w:pStyle w:val="34"/>
        <w:rPr>
          <w:kern w:val="0"/>
        </w:rPr>
      </w:pPr>
      <w:r>
        <w:rPr>
          <w:rFonts w:hint="eastAsia"/>
          <w:kern w:val="0"/>
        </w:rPr>
        <w:t>点击委托数量后的图标,可以显示该委托档上的详细委托明细 鼠标滚轮可翻页。</w:t>
      </w:r>
    </w:p>
    <w:p>
      <w:pPr>
        <w:pStyle w:val="34"/>
        <w:rPr>
          <w:kern w:val="0"/>
        </w:rPr>
      </w:pPr>
      <w:r>
        <w:rPr>
          <w:rFonts w:hint="eastAsia"/>
          <w:kern w:val="0"/>
        </w:rPr>
        <w:t>点右键可以设置显示选项:显示每笔均量或委托金额。</w:t>
      </w:r>
    </w:p>
    <w:p>
      <w:pPr>
        <w:pStyle w:val="34"/>
        <w:rPr>
          <w:kern w:val="0"/>
        </w:rPr>
      </w:pPr>
      <w:r>
        <w:rPr>
          <w:rFonts w:hint="eastAsia"/>
          <w:kern w:val="0"/>
        </w:rPr>
        <w:t>Up/PageUp:前翻 Down/PageDown:后翻 鼠标滚轮可翻页。</w:t>
      </w:r>
    </w:p>
    <w:p>
      <w:pPr>
        <w:pStyle w:val="34"/>
        <w:rPr>
          <w:kern w:val="0"/>
        </w:rPr>
      </w:pPr>
      <w:r>
        <w:rPr>
          <w:rFonts w:hint="eastAsia"/>
          <w:kern w:val="0"/>
        </w:rPr>
        <w:t>按ESC键退出或点击左上角退出(非定制版面下)。</w:t>
      </w:r>
    </w:p>
    <w:p>
      <w:pPr>
        <w:pStyle w:val="34"/>
        <w:rPr>
          <w:kern w:val="0"/>
        </w:rPr>
      </w:pPr>
      <w:r>
        <w:rPr>
          <w:rFonts w:hint="eastAsia"/>
          <w:kern w:val="0"/>
        </w:rPr>
        <w:t>登录交易后,双击某价位,可以在此价位上挂单。</w:t>
      </w:r>
    </w:p>
    <w:p>
      <w:pPr>
        <w:pStyle w:val="34"/>
        <w:rPr>
          <w:kern w:val="0"/>
        </w:rPr>
      </w:pPr>
      <w:r>
        <w:rPr>
          <w:kern w:val="0"/>
        </w:rPr>
        <w:drawing>
          <wp:inline distT="0" distB="0" distL="114300" distR="114300">
            <wp:extent cx="6991350" cy="5781675"/>
            <wp:effectExtent l="0" t="0" r="0" b="9525"/>
            <wp:docPr id="485" name="图片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图片 485"/>
                    <pic:cNvPicPr>
                      <a:picLocks noChangeAspect="1"/>
                    </pic:cNvPicPr>
                  </pic:nvPicPr>
                  <pic:blipFill>
                    <a:blip r:embed="rId909"/>
                    <a:stretch>
                      <a:fillRect/>
                    </a:stretch>
                  </pic:blipFill>
                  <pic:spPr>
                    <a:xfrm>
                      <a:off x="0" y="0"/>
                      <a:ext cx="6991350" cy="5781675"/>
                    </a:xfrm>
                    <a:prstGeom prst="rect">
                      <a:avLst/>
                    </a:prstGeom>
                    <a:noFill/>
                    <a:ln>
                      <a:noFill/>
                    </a:ln>
                  </pic:spPr>
                </pic:pic>
              </a:graphicData>
            </a:graphic>
          </wp:inline>
        </w:drawing>
      </w:r>
    </w:p>
    <w:p>
      <w:pPr>
        <w:pStyle w:val="34"/>
        <w:rPr>
          <w:kern w:val="0"/>
        </w:rPr>
      </w:pPr>
      <w:r>
        <w:rPr>
          <w:rFonts w:hint="eastAsia"/>
          <w:kern w:val="0"/>
        </w:rPr>
        <w:t>附：</w:t>
      </w:r>
    </w:p>
    <w:p>
      <w:pPr>
        <w:pStyle w:val="34"/>
        <w:rPr>
          <w:kern w:val="0"/>
        </w:rPr>
      </w:pPr>
      <w:r>
        <w:rPr>
          <w:rFonts w:hint="eastAsia"/>
          <w:kern w:val="0"/>
        </w:rPr>
        <w:t>1、千档盘口使用标记功能,则千档盘口中的队列排单,逐笔委托,买卖队列中的标记数量均会突出显示.例如,在千档盘口设置了标记"10"手，则下图买卖队列及逐笔委托中10手也突出显示。</w:t>
      </w:r>
    </w:p>
    <w:p>
      <w:pPr>
        <w:pStyle w:val="34"/>
        <w:rPr>
          <w:kern w:val="0"/>
        </w:rPr>
      </w:pPr>
      <w:r>
        <w:rPr>
          <w:kern w:val="0"/>
        </w:rPr>
        <w:fldChar w:fldCharType="begin"/>
      </w:r>
      <w:r>
        <w:rPr>
          <w:kern w:val="0"/>
        </w:rPr>
        <w:instrText xml:space="preserve"> INCLUDEPICTURE  "https://www.tdx.com.cn/products/helpfile/tdxw/chm/%E7%AC%AC%E5%85%AD%E7%AB%A0  %E5%9F%BA%E7%A1%80%E7%89%88%E5%8A%9F%E8%83%BD/6-1/5.png" \* MERGEFORMATINET </w:instrText>
      </w:r>
      <w:r>
        <w:rPr>
          <w:kern w:val="0"/>
        </w:rPr>
        <w:fldChar w:fldCharType="separate"/>
      </w:r>
      <w:r>
        <w:rPr>
          <w:kern w:val="0"/>
        </w:rPr>
        <w:fldChar w:fldCharType="begin"/>
      </w:r>
      <w:r>
        <w:rPr>
          <w:kern w:val="0"/>
        </w:rPr>
        <w:instrText xml:space="preserve"> INCLUDEPICTURE  "https://www.tdx.com.cn/products/helpfile/tdxw/chm/%E7%AC%AC%E5%85%AD%E7%AB%A0  %E5%9F%BA%E7%A1%80%E7%89%88%E5%8A%9F%E8%83%BD/6-1/5.png" \* MERGEFORMATINET </w:instrText>
      </w:r>
      <w:r>
        <w:rPr>
          <w:kern w:val="0"/>
        </w:rPr>
        <w:fldChar w:fldCharType="separate"/>
      </w:r>
      <w:r>
        <w:rPr>
          <w:kern w:val="0"/>
        </w:rPr>
        <w:fldChar w:fldCharType="begin"/>
      </w:r>
      <w:r>
        <w:rPr>
          <w:kern w:val="0"/>
        </w:rPr>
        <w:instrText xml:space="preserve"> INCLUDEPICTURE  "https://www.tdx.com.cn/products/helpfile/tdxw/chm/%E7%AC%AC%E5%85%AD%E7%AB%A0  %E5%9F%BA%E7%A1%80%E7%89%88%E5%8A%9F%E8%83%BD/6-1/5.png" \* MERGEFORMATINET </w:instrText>
      </w:r>
      <w:r>
        <w:rPr>
          <w:kern w:val="0"/>
        </w:rPr>
        <w:fldChar w:fldCharType="separate"/>
      </w:r>
      <w:r>
        <w:rPr>
          <w:kern w:val="0"/>
        </w:rPr>
        <w:fldChar w:fldCharType="begin"/>
      </w:r>
      <w:r>
        <w:rPr>
          <w:kern w:val="0"/>
        </w:rPr>
        <w:instrText xml:space="preserve"> INCLUDEPICTURE  "https://www.tdx.com.cn/products/helpfile/tdxw/chm/%E7%AC%AC%E5%85%AD%E7%AB%A0  %E5%9F%BA%E7%A1%80%E7%89%88%E5%8A%9F%E8%83%BD/6-1/5.png" \* MERGEFORMATINET </w:instrText>
      </w:r>
      <w:r>
        <w:rPr>
          <w:kern w:val="0"/>
        </w:rPr>
        <w:fldChar w:fldCharType="separate"/>
      </w:r>
      <w:r>
        <w:rPr>
          <w:kern w:val="0"/>
        </w:rPr>
        <w:drawing>
          <wp:inline distT="0" distB="0" distL="114300" distR="114300">
            <wp:extent cx="6819900" cy="4781550"/>
            <wp:effectExtent l="0" t="0" r="0" b="0"/>
            <wp:docPr id="486" name="图片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图片 486"/>
                    <pic:cNvPicPr>
                      <a:picLocks noChangeAspect="1"/>
                    </pic:cNvPicPr>
                  </pic:nvPicPr>
                  <pic:blipFill>
                    <a:blip r:embed="rId910" r:link="rId911"/>
                    <a:stretch>
                      <a:fillRect/>
                    </a:stretch>
                  </pic:blipFill>
                  <pic:spPr>
                    <a:xfrm>
                      <a:off x="0" y="0"/>
                      <a:ext cx="6819900" cy="4781550"/>
                    </a:xfrm>
                    <a:prstGeom prst="rect">
                      <a:avLst/>
                    </a:prstGeom>
                    <a:noFill/>
                    <a:ln>
                      <a:noFill/>
                    </a:ln>
                  </pic:spPr>
                </pic:pic>
              </a:graphicData>
            </a:graphic>
          </wp:inline>
        </w:drawing>
      </w:r>
      <w:r>
        <w:rPr>
          <w:kern w:val="0"/>
        </w:rPr>
        <w:fldChar w:fldCharType="end"/>
      </w:r>
      <w:r>
        <w:rPr>
          <w:kern w:val="0"/>
        </w:rPr>
        <w:fldChar w:fldCharType="end"/>
      </w:r>
      <w:r>
        <w:rPr>
          <w:kern w:val="0"/>
        </w:rPr>
        <w:fldChar w:fldCharType="end"/>
      </w:r>
      <w:r>
        <w:rPr>
          <w:kern w:val="0"/>
        </w:rPr>
        <w:fldChar w:fldCharType="end"/>
      </w:r>
    </w:p>
    <w:p>
      <w:pPr>
        <w:pStyle w:val="34"/>
        <w:rPr>
          <w:kern w:val="0"/>
        </w:rPr>
      </w:pPr>
      <w:r>
        <w:rPr>
          <w:rFonts w:hint="eastAsia"/>
          <w:kern w:val="0"/>
        </w:rPr>
        <w:t>2、如果客户是十档行情，也可以进入分时图点布局，设置不勾选十档，则会变成五档行情。</w:t>
      </w:r>
    </w:p>
    <w:p>
      <w:pPr>
        <w:rPr>
          <w:color w:val="000000"/>
          <w:kern w:val="0"/>
          <w:sz w:val="18"/>
          <w:szCs w:val="18"/>
        </w:rPr>
      </w:pPr>
      <w:r>
        <w:rPr>
          <w:color w:val="000000"/>
          <w:kern w:val="0"/>
          <w:sz w:val="18"/>
          <w:szCs w:val="18"/>
        </w:rPr>
        <w:fldChar w:fldCharType="begin"/>
      </w:r>
      <w:r>
        <w:rPr>
          <w:color w:val="000000"/>
          <w:kern w:val="0"/>
          <w:sz w:val="18"/>
          <w:szCs w:val="18"/>
        </w:rPr>
        <w:instrText xml:space="preserve"> INCLUDEPICTURE  "https://www.tdx.com.cn/products/helpfile/tdxw/chm/%E7%AC%AC%E5%85%AD%E7%AB%A0  %E5%9F%BA%E7%A1%80%E7%89%88%E5%8A%9F%E8%83%BD/6-1/6.png" \* MERGEFORMATINET </w:instrText>
      </w:r>
      <w:r>
        <w:rPr>
          <w:color w:val="000000"/>
          <w:kern w:val="0"/>
          <w:sz w:val="18"/>
          <w:szCs w:val="18"/>
        </w:rPr>
        <w:fldChar w:fldCharType="separate"/>
      </w:r>
      <w:r>
        <w:rPr>
          <w:color w:val="000000"/>
          <w:kern w:val="0"/>
          <w:sz w:val="18"/>
          <w:szCs w:val="18"/>
        </w:rPr>
        <w:fldChar w:fldCharType="begin"/>
      </w:r>
      <w:r>
        <w:rPr>
          <w:color w:val="000000"/>
          <w:kern w:val="0"/>
          <w:sz w:val="18"/>
          <w:szCs w:val="18"/>
        </w:rPr>
        <w:instrText xml:space="preserve"> INCLUDEPICTURE  "https://www.tdx.com.cn/products/helpfile/tdxw/chm/%E7%AC%AC%E5%85%AD%E7%AB%A0  %E5%9F%BA%E7%A1%80%E7%89%88%E5%8A%9F%E8%83%BD/6-1/6.png" \* MERGEFORMATINET </w:instrText>
      </w:r>
      <w:r>
        <w:rPr>
          <w:color w:val="000000"/>
          <w:kern w:val="0"/>
          <w:sz w:val="18"/>
          <w:szCs w:val="18"/>
        </w:rPr>
        <w:fldChar w:fldCharType="separate"/>
      </w:r>
      <w:r>
        <w:rPr>
          <w:color w:val="000000"/>
          <w:kern w:val="0"/>
          <w:sz w:val="18"/>
          <w:szCs w:val="18"/>
        </w:rPr>
        <w:fldChar w:fldCharType="begin"/>
      </w:r>
      <w:r>
        <w:rPr>
          <w:color w:val="000000"/>
          <w:kern w:val="0"/>
          <w:sz w:val="18"/>
          <w:szCs w:val="18"/>
        </w:rPr>
        <w:instrText xml:space="preserve"> INCLUDEPICTURE  "https://www.tdx.com.cn/products/helpfile/tdxw/chm/%E7%AC%AC%E5%85%AD%E7%AB%A0  %E5%9F%BA%E7%A1%80%E7%89%88%E5%8A%9F%E8%83%BD/6-1/6.png" \* MERGEFORMATINET </w:instrText>
      </w:r>
      <w:r>
        <w:rPr>
          <w:color w:val="000000"/>
          <w:kern w:val="0"/>
          <w:sz w:val="18"/>
          <w:szCs w:val="18"/>
        </w:rPr>
        <w:fldChar w:fldCharType="separate"/>
      </w:r>
      <w:r>
        <w:rPr>
          <w:color w:val="000000"/>
          <w:kern w:val="0"/>
          <w:sz w:val="18"/>
          <w:szCs w:val="18"/>
        </w:rPr>
        <w:fldChar w:fldCharType="begin"/>
      </w:r>
      <w:r>
        <w:rPr>
          <w:color w:val="000000"/>
          <w:kern w:val="0"/>
          <w:sz w:val="18"/>
          <w:szCs w:val="18"/>
        </w:rPr>
        <w:instrText xml:space="preserve"> INCLUDEPICTURE  "https://www.tdx.com.cn/products/helpfile/tdxw/chm/%E7%AC%AC%E5%85%AD%E7%AB%A0  %E5%9F%BA%E7%A1%80%E7%89%88%E5%8A%9F%E8%83%BD/6-1/6.png" \* MERGEFORMATINET </w:instrText>
      </w:r>
      <w:r>
        <w:rPr>
          <w:color w:val="000000"/>
          <w:kern w:val="0"/>
          <w:sz w:val="18"/>
          <w:szCs w:val="18"/>
        </w:rPr>
        <w:fldChar w:fldCharType="separate"/>
      </w:r>
      <w:r>
        <w:rPr>
          <w:color w:val="000000"/>
          <w:kern w:val="0"/>
          <w:sz w:val="18"/>
          <w:szCs w:val="18"/>
        </w:rPr>
        <w:drawing>
          <wp:inline distT="0" distB="0" distL="114300" distR="114300">
            <wp:extent cx="6762750" cy="4600575"/>
            <wp:effectExtent l="0" t="0" r="0" b="9525"/>
            <wp:docPr id="487" name="图片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图片 487"/>
                    <pic:cNvPicPr>
                      <a:picLocks noChangeAspect="1"/>
                    </pic:cNvPicPr>
                  </pic:nvPicPr>
                  <pic:blipFill>
                    <a:blip r:embed="rId912" r:link="rId913"/>
                    <a:stretch>
                      <a:fillRect/>
                    </a:stretch>
                  </pic:blipFill>
                  <pic:spPr>
                    <a:xfrm>
                      <a:off x="0" y="0"/>
                      <a:ext cx="6762750" cy="4600575"/>
                    </a:xfrm>
                    <a:prstGeom prst="rect">
                      <a:avLst/>
                    </a:prstGeom>
                    <a:noFill/>
                    <a:ln>
                      <a:noFill/>
                    </a:ln>
                  </pic:spPr>
                </pic:pic>
              </a:graphicData>
            </a:graphic>
          </wp:inline>
        </w:drawing>
      </w:r>
      <w:r>
        <w:rPr>
          <w:color w:val="000000"/>
          <w:kern w:val="0"/>
          <w:sz w:val="18"/>
          <w:szCs w:val="18"/>
        </w:rPr>
        <w:fldChar w:fldCharType="end"/>
      </w:r>
      <w:r>
        <w:rPr>
          <w:color w:val="000000"/>
          <w:kern w:val="0"/>
          <w:sz w:val="18"/>
          <w:szCs w:val="18"/>
        </w:rPr>
        <w:fldChar w:fldCharType="end"/>
      </w:r>
      <w:r>
        <w:rPr>
          <w:color w:val="000000"/>
          <w:kern w:val="0"/>
          <w:sz w:val="18"/>
          <w:szCs w:val="18"/>
        </w:rPr>
        <w:fldChar w:fldCharType="end"/>
      </w:r>
      <w:r>
        <w:rPr>
          <w:color w:val="000000"/>
          <w:kern w:val="0"/>
          <w:sz w:val="18"/>
          <w:szCs w:val="18"/>
        </w:rPr>
        <w:fldChar w:fldCharType="end"/>
      </w:r>
    </w:p>
    <w:p>
      <w:pPr>
        <w:rPr>
          <w:color w:val="000000"/>
          <w:kern w:val="0"/>
          <w:sz w:val="18"/>
          <w:szCs w:val="18"/>
        </w:rPr>
      </w:pPr>
      <w:r>
        <w:rPr>
          <w:color w:val="000000"/>
          <w:kern w:val="0"/>
          <w:sz w:val="18"/>
          <w:szCs w:val="18"/>
        </w:rPr>
        <w:fldChar w:fldCharType="begin"/>
      </w:r>
      <w:r>
        <w:rPr>
          <w:color w:val="000000"/>
          <w:kern w:val="0"/>
          <w:sz w:val="18"/>
          <w:szCs w:val="18"/>
        </w:rPr>
        <w:instrText xml:space="preserve"> INCLUDEPICTURE  "https://www.tdx.com.cn/products/helpfile/tdxw/chm/%E7%AC%AC%E5%85%AD%E7%AB%A0  %E5%9F%BA%E7%A1%80%E7%89%88%E5%8A%9F%E8%83%BD/6-1/7.png" \* MERGEFORMATINET </w:instrText>
      </w:r>
      <w:r>
        <w:rPr>
          <w:color w:val="000000"/>
          <w:kern w:val="0"/>
          <w:sz w:val="18"/>
          <w:szCs w:val="18"/>
        </w:rPr>
        <w:fldChar w:fldCharType="separate"/>
      </w:r>
      <w:r>
        <w:rPr>
          <w:color w:val="000000"/>
          <w:kern w:val="0"/>
          <w:sz w:val="18"/>
          <w:szCs w:val="18"/>
        </w:rPr>
        <w:fldChar w:fldCharType="begin"/>
      </w:r>
      <w:r>
        <w:rPr>
          <w:color w:val="000000"/>
          <w:kern w:val="0"/>
          <w:sz w:val="18"/>
          <w:szCs w:val="18"/>
        </w:rPr>
        <w:instrText xml:space="preserve"> INCLUDEPICTURE  "https://www.tdx.com.cn/products/helpfile/tdxw/chm/%E7%AC%AC%E5%85%AD%E7%AB%A0  %E5%9F%BA%E7%A1%80%E7%89%88%E5%8A%9F%E8%83%BD/6-1/7.png" \* MERGEFORMATINET </w:instrText>
      </w:r>
      <w:r>
        <w:rPr>
          <w:color w:val="000000"/>
          <w:kern w:val="0"/>
          <w:sz w:val="18"/>
          <w:szCs w:val="18"/>
        </w:rPr>
        <w:fldChar w:fldCharType="separate"/>
      </w:r>
      <w:r>
        <w:rPr>
          <w:color w:val="000000"/>
          <w:kern w:val="0"/>
          <w:sz w:val="18"/>
          <w:szCs w:val="18"/>
        </w:rPr>
        <w:fldChar w:fldCharType="begin"/>
      </w:r>
      <w:r>
        <w:rPr>
          <w:color w:val="000000"/>
          <w:kern w:val="0"/>
          <w:sz w:val="18"/>
          <w:szCs w:val="18"/>
        </w:rPr>
        <w:instrText xml:space="preserve"> INCLUDEPICTURE  "https://www.tdx.com.cn/products/helpfile/tdxw/chm/%E7%AC%AC%E5%85%AD%E7%AB%A0  %E5%9F%BA%E7%A1%80%E7%89%88%E5%8A%9F%E8%83%BD/6-1/7.png" \* MERGEFORMATINET </w:instrText>
      </w:r>
      <w:r>
        <w:rPr>
          <w:color w:val="000000"/>
          <w:kern w:val="0"/>
          <w:sz w:val="18"/>
          <w:szCs w:val="18"/>
        </w:rPr>
        <w:fldChar w:fldCharType="separate"/>
      </w:r>
      <w:r>
        <w:rPr>
          <w:color w:val="000000"/>
          <w:kern w:val="0"/>
          <w:sz w:val="18"/>
          <w:szCs w:val="18"/>
        </w:rPr>
        <w:fldChar w:fldCharType="begin"/>
      </w:r>
      <w:r>
        <w:rPr>
          <w:color w:val="000000"/>
          <w:kern w:val="0"/>
          <w:sz w:val="18"/>
          <w:szCs w:val="18"/>
        </w:rPr>
        <w:instrText xml:space="preserve"> INCLUDEPICTURE  "https://www.tdx.com.cn/products/helpfile/tdxw/chm/%E7%AC%AC%E5%85%AD%E7%AB%A0  %E5%9F%BA%E7%A1%80%E7%89%88%E5%8A%9F%E8%83%BD/6-1/7.png" \* MERGEFORMATINET </w:instrText>
      </w:r>
      <w:r>
        <w:rPr>
          <w:color w:val="000000"/>
          <w:kern w:val="0"/>
          <w:sz w:val="18"/>
          <w:szCs w:val="18"/>
        </w:rPr>
        <w:fldChar w:fldCharType="separate"/>
      </w:r>
      <w:r>
        <w:rPr>
          <w:color w:val="000000"/>
          <w:kern w:val="0"/>
          <w:sz w:val="18"/>
          <w:szCs w:val="18"/>
        </w:rPr>
        <w:drawing>
          <wp:inline distT="0" distB="0" distL="114300" distR="114300">
            <wp:extent cx="1657350" cy="657225"/>
            <wp:effectExtent l="0" t="0" r="0" b="9525"/>
            <wp:docPr id="488" name="图片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图片 488"/>
                    <pic:cNvPicPr>
                      <a:picLocks noChangeAspect="1"/>
                    </pic:cNvPicPr>
                  </pic:nvPicPr>
                  <pic:blipFill>
                    <a:blip r:embed="rId914" r:link="rId915"/>
                    <a:stretch>
                      <a:fillRect/>
                    </a:stretch>
                  </pic:blipFill>
                  <pic:spPr>
                    <a:xfrm>
                      <a:off x="0" y="0"/>
                      <a:ext cx="1657350" cy="657225"/>
                    </a:xfrm>
                    <a:prstGeom prst="rect">
                      <a:avLst/>
                    </a:prstGeom>
                    <a:noFill/>
                    <a:ln>
                      <a:noFill/>
                    </a:ln>
                  </pic:spPr>
                </pic:pic>
              </a:graphicData>
            </a:graphic>
          </wp:inline>
        </w:drawing>
      </w:r>
      <w:r>
        <w:rPr>
          <w:color w:val="000000"/>
          <w:kern w:val="0"/>
          <w:sz w:val="18"/>
          <w:szCs w:val="18"/>
        </w:rPr>
        <w:fldChar w:fldCharType="end"/>
      </w:r>
      <w:r>
        <w:rPr>
          <w:color w:val="000000"/>
          <w:kern w:val="0"/>
          <w:sz w:val="18"/>
          <w:szCs w:val="18"/>
        </w:rPr>
        <w:fldChar w:fldCharType="end"/>
      </w:r>
      <w:r>
        <w:rPr>
          <w:color w:val="000000"/>
          <w:kern w:val="0"/>
          <w:sz w:val="18"/>
          <w:szCs w:val="18"/>
        </w:rPr>
        <w:fldChar w:fldCharType="end"/>
      </w:r>
      <w:r>
        <w:rPr>
          <w:color w:val="000000"/>
          <w:kern w:val="0"/>
          <w:sz w:val="18"/>
          <w:szCs w:val="18"/>
        </w:rPr>
        <w:fldChar w:fldCharType="end"/>
      </w:r>
    </w:p>
    <w:p>
      <w:pPr>
        <w:pStyle w:val="34"/>
        <w:rPr>
          <w:kern w:val="0"/>
        </w:rPr>
      </w:pPr>
      <w:r>
        <w:rPr>
          <w:rFonts w:hint="eastAsia"/>
          <w:kern w:val="0"/>
        </w:rPr>
        <w:t>3、如果不勾选布局中“优先显示逐笔成交明细”，若是定位在分时成交明细，则不会再自动跳到逐笔成交明细。</w:t>
      </w:r>
    </w:p>
    <w:p>
      <w:pPr>
        <w:pStyle w:val="3"/>
      </w:pPr>
      <w:bookmarkStart w:id="71" w:name="_Toc90646192"/>
      <w:r>
        <w:rPr>
          <w:rFonts w:hint="eastAsia"/>
        </w:rPr>
        <w:t>十档行情及买卖委托分布</w:t>
      </w:r>
      <w:bookmarkEnd w:id="71"/>
    </w:p>
    <w:p>
      <w:pPr>
        <w:pStyle w:val="49"/>
        <w:rPr>
          <w:rFonts w:ascii="微软雅黑" w:hAnsi="微软雅黑" w:eastAsia="微软雅黑"/>
          <w:color w:val="000000"/>
          <w:sz w:val="18"/>
          <w:szCs w:val="18"/>
        </w:rPr>
      </w:pPr>
      <w:r>
        <w:rPr>
          <w:rFonts w:ascii="微软雅黑" w:hAnsi="微软雅黑" w:eastAsia="微软雅黑"/>
          <w:color w:val="000000"/>
          <w:sz w:val="18"/>
          <w:szCs w:val="18"/>
        </w:rPr>
        <w:drawing>
          <wp:inline distT="0" distB="0" distL="114300" distR="114300">
            <wp:extent cx="1219200" cy="2543175"/>
            <wp:effectExtent l="0" t="0" r="0" b="9525"/>
            <wp:docPr id="489" name="图片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图片 489"/>
                    <pic:cNvPicPr>
                      <a:picLocks noChangeAspect="1"/>
                    </pic:cNvPicPr>
                  </pic:nvPicPr>
                  <pic:blipFill>
                    <a:blip r:embed="rId916"/>
                    <a:stretch>
                      <a:fillRect/>
                    </a:stretch>
                  </pic:blipFill>
                  <pic:spPr>
                    <a:xfrm>
                      <a:off x="0" y="0"/>
                      <a:ext cx="1219200" cy="2543175"/>
                    </a:xfrm>
                    <a:prstGeom prst="rect">
                      <a:avLst/>
                    </a:prstGeom>
                    <a:noFill/>
                    <a:ln>
                      <a:noFill/>
                    </a:ln>
                  </pic:spPr>
                </pic:pic>
              </a:graphicData>
            </a:graphic>
          </wp:inline>
        </w:drawing>
      </w:r>
    </w:p>
    <w:p>
      <w:pPr>
        <w:pStyle w:val="34"/>
      </w:pPr>
      <w:r>
        <w:rPr>
          <w:rFonts w:hint="eastAsia"/>
        </w:rPr>
        <w:t>红色：当日所有委买价格</w:t>
      </w:r>
    </w:p>
    <w:p>
      <w:pPr>
        <w:pStyle w:val="34"/>
      </w:pPr>
      <w:r>
        <w:rPr>
          <w:rFonts w:hint="eastAsia"/>
        </w:rPr>
        <w:t>红色分布栏里的圆点：委买均价</w:t>
      </w:r>
    </w:p>
    <w:p>
      <w:pPr>
        <w:pStyle w:val="34"/>
      </w:pPr>
      <w:r>
        <w:rPr>
          <w:rFonts w:hint="eastAsia"/>
        </w:rPr>
        <w:t>绿色：当日所有委卖价格</w:t>
      </w:r>
    </w:p>
    <w:p>
      <w:pPr>
        <w:pStyle w:val="34"/>
      </w:pPr>
      <w:r>
        <w:rPr>
          <w:rFonts w:hint="eastAsia"/>
        </w:rPr>
        <w:t>绿色分布栏里的圆点：委卖均价</w:t>
      </w:r>
    </w:p>
    <w:p>
      <w:pPr>
        <w:pStyle w:val="34"/>
      </w:pPr>
      <w:r>
        <w:rPr>
          <w:rFonts w:hint="eastAsia"/>
        </w:rPr>
        <w:t>蓝色：十档委托价格的区域纵向包括十档价格的跨度</w:t>
      </w:r>
    </w:p>
    <w:p>
      <w:pPr>
        <w:pStyle w:val="34"/>
      </w:pPr>
      <w:r>
        <w:rPr>
          <w:rFonts w:hint="eastAsia"/>
        </w:rPr>
        <w:t>红色线:昨收</w:t>
      </w:r>
    </w:p>
    <w:p>
      <w:pPr>
        <w:pStyle w:val="34"/>
      </w:pPr>
      <w:r>
        <w:rPr>
          <w:rFonts w:hint="eastAsia"/>
        </w:rPr>
        <w:t>买比：总买 / （总买 + 总卖） *100</w:t>
      </w:r>
    </w:p>
    <w:p>
      <w:pPr>
        <w:pStyle w:val="3"/>
      </w:pPr>
      <w:bookmarkStart w:id="72" w:name="_Toc90646193"/>
      <w:r>
        <w:rPr>
          <w:rFonts w:hint="eastAsia"/>
        </w:rPr>
        <w:t>十档行情及龙虎</w:t>
      </w:r>
      <w:bookmarkEnd w:id="72"/>
    </w:p>
    <w:p>
      <w:pPr>
        <w:pStyle w:val="34"/>
      </w:pPr>
      <w:r>
        <w:rPr>
          <w:rFonts w:hint="eastAsia"/>
        </w:rPr>
        <w:t>level2提供上下十档行情，反应大中小单的买卖对比情况。</w:t>
      </w:r>
    </w:p>
    <w:p>
      <w:pPr>
        <w:pStyle w:val="34"/>
      </w:pPr>
      <w:r>
        <w:drawing>
          <wp:inline distT="0" distB="0" distL="114300" distR="114300">
            <wp:extent cx="2200275" cy="3543300"/>
            <wp:effectExtent l="0" t="0" r="9525" b="0"/>
            <wp:docPr id="490" name="图片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图片 490"/>
                    <pic:cNvPicPr>
                      <a:picLocks noChangeAspect="1"/>
                    </pic:cNvPicPr>
                  </pic:nvPicPr>
                  <pic:blipFill>
                    <a:blip r:embed="rId917"/>
                    <a:stretch>
                      <a:fillRect/>
                    </a:stretch>
                  </pic:blipFill>
                  <pic:spPr>
                    <a:xfrm>
                      <a:off x="0" y="0"/>
                      <a:ext cx="2200275" cy="3543300"/>
                    </a:xfrm>
                    <a:prstGeom prst="rect">
                      <a:avLst/>
                    </a:prstGeom>
                    <a:noFill/>
                    <a:ln>
                      <a:noFill/>
                    </a:ln>
                  </pic:spPr>
                </pic:pic>
              </a:graphicData>
            </a:graphic>
          </wp:inline>
        </w:drawing>
      </w:r>
      <w:r>
        <w:rPr>
          <w:rFonts w:hint="eastAsia"/>
        </w:rPr>
        <w:t> </w:t>
      </w:r>
    </w:p>
    <w:p>
      <w:pPr>
        <w:pStyle w:val="34"/>
      </w:pPr>
      <w:r>
        <w:rPr>
          <w:rFonts w:hint="eastAsia"/>
        </w:rPr>
        <w:t>规定： </w:t>
      </w:r>
    </w:p>
    <w:p>
      <w:pPr>
        <w:pStyle w:val="34"/>
      </w:pPr>
      <w:r>
        <w:rPr>
          <w:rFonts w:hint="eastAsia"/>
        </w:rPr>
        <w:t>超大单： 成交量大于或等于3000手 或 成交金额大于或等于90万元。</w:t>
      </w:r>
    </w:p>
    <w:p>
      <w:pPr>
        <w:pStyle w:val="34"/>
      </w:pPr>
      <w:r>
        <w:rPr>
          <w:rFonts w:hint="eastAsia"/>
        </w:rPr>
        <w:t>大单：成交量大于或等于1000手或者成交额大于或者等于30万元。 </w:t>
      </w:r>
    </w:p>
    <w:p>
      <w:pPr>
        <w:pStyle w:val="34"/>
      </w:pPr>
      <w:r>
        <w:rPr>
          <w:rFonts w:hint="eastAsia"/>
        </w:rPr>
        <w:t>中单：成交量大于或等于200手或者成交金额大于或等于6万元。 </w:t>
      </w:r>
    </w:p>
    <w:p>
      <w:pPr>
        <w:pStyle w:val="34"/>
      </w:pPr>
      <w:r>
        <w:rPr>
          <w:rFonts w:hint="eastAsia"/>
        </w:rPr>
        <w:t>小单：其他 。</w:t>
      </w:r>
    </w:p>
    <w:p>
      <w:pPr>
        <w:pStyle w:val="34"/>
      </w:pPr>
      <w:r>
        <w:rPr>
          <w:rFonts w:hint="eastAsia"/>
        </w:rPr>
        <w:t>解释：</w:t>
      </w:r>
    </w:p>
    <w:p>
      <w:pPr>
        <w:pStyle w:val="34"/>
      </w:pPr>
      <w:r>
        <w:rPr>
          <w:rFonts w:hint="eastAsia"/>
        </w:rPr>
        <w:t>1 这个地方可以选择是看柱图还是饼图。图1的地方显示的饼图，点击后可变成柱图。</w:t>
      </w:r>
    </w:p>
    <w:p>
      <w:pPr>
        <w:pStyle w:val="34"/>
      </w:pPr>
      <w:r>
        <w:rPr>
          <w:rFonts w:hint="eastAsia"/>
        </w:rPr>
        <w:t>2 这个地方可以选择划分的时候是以成交量还是成交单数来统计百分比。图2是以成交量手数来统计超大、大中小单情况的，点击后可变成按成交单数来统计。</w:t>
      </w:r>
    </w:p>
    <w:p>
      <w:pPr>
        <w:pStyle w:val="34"/>
      </w:pPr>
      <w:r>
        <w:rPr>
          <w:rFonts w:hint="eastAsia"/>
        </w:rPr>
        <w:t>主力净量：超大单和大单买入成交量-超大单和大单卖出成交量</w:t>
      </w:r>
    </w:p>
    <w:p>
      <w:pPr>
        <w:pStyle w:val="3"/>
      </w:pPr>
      <w:bookmarkStart w:id="73" w:name="_Toc90646194"/>
      <w:r>
        <w:rPr>
          <w:rFonts w:hint="eastAsia"/>
        </w:rPr>
        <w:t>逐笔委托</w:t>
      </w:r>
      <w:bookmarkEnd w:id="73"/>
    </w:p>
    <w:p>
      <w:pPr>
        <w:pStyle w:val="34"/>
        <w:rPr>
          <w:kern w:val="0"/>
        </w:rPr>
      </w:pPr>
      <w:r>
        <w:rPr>
          <w:kern w:val="0"/>
        </w:rPr>
        <w:t>在K线图下方点击“逐笔委托”，可查看个股的逐笔委托明细，可在系统设置——高级中使用过滤功能。</w:t>
      </w:r>
    </w:p>
    <w:p>
      <w:pPr>
        <w:pStyle w:val="34"/>
        <w:rPr>
          <w:kern w:val="0"/>
        </w:rPr>
      </w:pPr>
      <w:r>
        <w:rPr>
          <w:kern w:val="0"/>
        </w:rPr>
        <w:t>标识串及含义:</w:t>
      </w:r>
    </w:p>
    <w:p>
      <w:pPr>
        <w:pStyle w:val="34"/>
        <w:rPr>
          <w:kern w:val="0"/>
        </w:rPr>
      </w:pPr>
      <w:r>
        <w:rPr>
          <w:kern w:val="0"/>
        </w:rPr>
        <w:t>B 限价买入</w:t>
      </w:r>
    </w:p>
    <w:p>
      <w:pPr>
        <w:pStyle w:val="34"/>
        <w:rPr>
          <w:kern w:val="0"/>
        </w:rPr>
      </w:pPr>
      <w:r>
        <w:rPr>
          <w:kern w:val="0"/>
        </w:rPr>
        <w:t>S 限价卖出</w:t>
      </w:r>
    </w:p>
    <w:p>
      <w:pPr>
        <w:pStyle w:val="34"/>
        <w:rPr>
          <w:kern w:val="0"/>
        </w:rPr>
      </w:pPr>
      <w:r>
        <w:rPr>
          <w:kern w:val="0"/>
        </w:rPr>
        <w:t>1B 市价买入</w:t>
      </w:r>
    </w:p>
    <w:p>
      <w:pPr>
        <w:pStyle w:val="34"/>
        <w:rPr>
          <w:kern w:val="0"/>
        </w:rPr>
      </w:pPr>
      <w:r>
        <w:rPr>
          <w:kern w:val="0"/>
        </w:rPr>
        <w:t>1S 市价卖出</w:t>
      </w:r>
    </w:p>
    <w:p>
      <w:pPr>
        <w:pStyle w:val="34"/>
        <w:rPr>
          <w:kern w:val="0"/>
        </w:rPr>
      </w:pPr>
      <w:r>
        <w:rPr>
          <w:kern w:val="0"/>
        </w:rPr>
        <w:t>UB 本方最优市价买入</w:t>
      </w:r>
    </w:p>
    <w:p>
      <w:pPr>
        <w:pStyle w:val="34"/>
        <w:rPr>
          <w:kern w:val="0"/>
        </w:rPr>
      </w:pPr>
      <w:r>
        <w:rPr>
          <w:kern w:val="0"/>
        </w:rPr>
        <w:t>US 本方最优市价卖出</w:t>
      </w:r>
    </w:p>
    <w:p>
      <w:pPr>
        <w:pStyle w:val="34"/>
        <w:rPr>
          <w:kern w:val="0"/>
        </w:rPr>
      </w:pPr>
      <w:r>
        <w:rPr>
          <w:kern w:val="0"/>
        </w:rPr>
        <w:t>BC 撤买入单</w:t>
      </w:r>
    </w:p>
    <w:p>
      <w:pPr>
        <w:pStyle w:val="34"/>
        <w:rPr>
          <w:kern w:val="0"/>
        </w:rPr>
      </w:pPr>
      <w:r>
        <w:rPr>
          <w:kern w:val="0"/>
        </w:rPr>
        <w:t>SC 撤卖出单</w:t>
      </w:r>
    </w:p>
    <w:p>
      <w:pPr>
        <w:pStyle w:val="34"/>
        <w:rPr>
          <w:kern w:val="0"/>
        </w:rPr>
      </w:pPr>
    </w:p>
    <w:p>
      <w:pPr>
        <w:pStyle w:val="34"/>
        <w:rPr>
          <w:kern w:val="0"/>
        </w:rPr>
      </w:pPr>
      <w:bookmarkStart w:id="74" w:name="_Toc90646195"/>
      <w:r>
        <w:rPr>
          <w:rFonts w:hint="eastAsia"/>
          <w:kern w:val="0"/>
        </w:rPr>
        <w:t>如果量以万为单位显示</w:t>
      </w:r>
      <w:r>
        <w:rPr>
          <w:kern w:val="0"/>
        </w:rPr>
        <w:t>,则表示显示的是委托金额</w:t>
      </w:r>
    </w:p>
    <w:p>
      <w:pPr>
        <w:pStyle w:val="34"/>
        <w:rPr>
          <w:kern w:val="0"/>
        </w:rPr>
      </w:pPr>
      <w:r>
        <w:rPr>
          <w:rFonts w:hint="eastAsia"/>
          <w:kern w:val="0"/>
        </w:rPr>
        <w:t>价格后的</w:t>
      </w:r>
      <w:r>
        <w:rPr>
          <w:kern w:val="0"/>
        </w:rPr>
        <w:t>T形图标表示涨停价,倒T型为跌停价</w:t>
      </w:r>
    </w:p>
    <w:p>
      <w:pPr>
        <w:pStyle w:val="34"/>
        <w:rPr>
          <w:kern w:val="0"/>
        </w:rPr>
      </w:pPr>
      <w:r>
        <w:rPr>
          <w:rFonts w:hint="eastAsia"/>
          <w:kern w:val="0"/>
        </w:rPr>
        <w:t>撤单记录时间后面的</w:t>
      </w:r>
      <w:r>
        <w:rPr>
          <w:kern w:val="0"/>
        </w:rPr>
        <w:t>s,m,h表示委托单持续多少秒,分钟或小时后被撤单</w:t>
      </w:r>
    </w:p>
    <w:p>
      <w:pPr>
        <w:pStyle w:val="34"/>
        <w:rPr>
          <w:kern w:val="0"/>
        </w:rPr>
      </w:pPr>
      <w:r>
        <w:rPr>
          <w:rFonts w:hint="eastAsia"/>
          <w:kern w:val="0"/>
        </w:rPr>
        <w:t>如果出现</w:t>
      </w:r>
      <w:r>
        <w:rPr>
          <w:kern w:val="0"/>
        </w:rPr>
        <w:t>30秒内的撤单(在10档范围内)和委托单(在对手档范围内),则灰底显示</w:t>
      </w:r>
    </w:p>
    <w:p>
      <w:pPr>
        <w:pStyle w:val="34"/>
        <w:rPr>
          <w:kern w:val="0"/>
        </w:rPr>
      </w:pPr>
      <w:r>
        <w:rPr>
          <w:rFonts w:hint="eastAsia"/>
          <w:kern w:val="0"/>
        </w:rPr>
        <w:t>点击此界面后</w:t>
      </w:r>
      <w:r>
        <w:rPr>
          <w:kern w:val="0"/>
        </w:rPr>
        <w:t>,按上下箭头可以翻页</w:t>
      </w:r>
    </w:p>
    <w:p>
      <w:pPr>
        <w:pStyle w:val="34"/>
        <w:rPr>
          <w:kern w:val="0"/>
        </w:rPr>
      </w:pPr>
      <w:r>
        <w:rPr>
          <w:kern w:val="0"/>
        </w:rPr>
        <w:drawing>
          <wp:inline distT="0" distB="0" distL="114300" distR="114300">
            <wp:extent cx="8858250" cy="2428875"/>
            <wp:effectExtent l="0" t="0" r="0" b="9525"/>
            <wp:docPr id="491" name="图片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图片 491"/>
                    <pic:cNvPicPr>
                      <a:picLocks noChangeAspect="1"/>
                    </pic:cNvPicPr>
                  </pic:nvPicPr>
                  <pic:blipFill>
                    <a:blip r:embed="rId918"/>
                    <a:stretch>
                      <a:fillRect/>
                    </a:stretch>
                  </pic:blipFill>
                  <pic:spPr>
                    <a:xfrm>
                      <a:off x="0" y="0"/>
                      <a:ext cx="8858250" cy="2428875"/>
                    </a:xfrm>
                    <a:prstGeom prst="rect">
                      <a:avLst/>
                    </a:prstGeom>
                    <a:noFill/>
                    <a:ln>
                      <a:noFill/>
                    </a:ln>
                  </pic:spPr>
                </pic:pic>
              </a:graphicData>
            </a:graphic>
          </wp:inline>
        </w:drawing>
      </w:r>
    </w:p>
    <w:p>
      <w:pPr>
        <w:pStyle w:val="34"/>
        <w:rPr>
          <w:kern w:val="0"/>
        </w:rPr>
      </w:pPr>
      <w:r>
        <w:rPr>
          <w:rFonts w:hint="eastAsia"/>
          <w:kern w:val="0"/>
        </w:rPr>
        <w:t>双击委托量区，可以弹出委托跟踪，详细显示此笔委托单的委托、成交和撤单情况。</w:t>
      </w:r>
    </w:p>
    <w:p>
      <w:pPr>
        <w:pStyle w:val="34"/>
        <w:rPr>
          <w:kern w:val="0"/>
        </w:rPr>
      </w:pPr>
      <w:r>
        <w:rPr>
          <w:kern w:val="0"/>
        </w:rPr>
        <w:drawing>
          <wp:inline distT="0" distB="0" distL="114300" distR="114300">
            <wp:extent cx="5362575" cy="4991100"/>
            <wp:effectExtent l="0" t="0" r="9525" b="0"/>
            <wp:docPr id="492" name="图片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图片 492"/>
                    <pic:cNvPicPr>
                      <a:picLocks noChangeAspect="1"/>
                    </pic:cNvPicPr>
                  </pic:nvPicPr>
                  <pic:blipFill>
                    <a:blip r:embed="rId919"/>
                    <a:stretch>
                      <a:fillRect/>
                    </a:stretch>
                  </pic:blipFill>
                  <pic:spPr>
                    <a:xfrm>
                      <a:off x="0" y="0"/>
                      <a:ext cx="5362575" cy="4991100"/>
                    </a:xfrm>
                    <a:prstGeom prst="rect">
                      <a:avLst/>
                    </a:prstGeom>
                    <a:noFill/>
                    <a:ln>
                      <a:noFill/>
                    </a:ln>
                  </pic:spPr>
                </pic:pic>
              </a:graphicData>
            </a:graphic>
          </wp:inline>
        </w:drawing>
      </w:r>
    </w:p>
    <w:p>
      <w:pPr>
        <w:pStyle w:val="34"/>
        <w:rPr>
          <w:kern w:val="0"/>
        </w:rPr>
      </w:pPr>
    </w:p>
    <w:p>
      <w:pPr>
        <w:pStyle w:val="34"/>
        <w:rPr>
          <w:kern w:val="0"/>
        </w:rPr>
      </w:pPr>
      <w:r>
        <w:rPr>
          <w:rFonts w:hint="eastAsia"/>
          <w:kern w:val="0"/>
        </w:rPr>
        <w:t>逐笔委托过滤：可以根据成交量和成交额过滤，也可以根据类型过滤，比如只显示买入的委托单等。</w:t>
      </w:r>
    </w:p>
    <w:p>
      <w:pPr>
        <w:pStyle w:val="34"/>
        <w:rPr>
          <w:kern w:val="0"/>
        </w:rPr>
      </w:pPr>
      <w:r>
        <w:rPr>
          <w:kern w:val="0"/>
        </w:rPr>
        <w:drawing>
          <wp:inline distT="0" distB="0" distL="114300" distR="114300">
            <wp:extent cx="8696325" cy="6181725"/>
            <wp:effectExtent l="0" t="0" r="9525" b="9525"/>
            <wp:docPr id="493" name="图片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图片 493"/>
                    <pic:cNvPicPr>
                      <a:picLocks noChangeAspect="1"/>
                    </pic:cNvPicPr>
                  </pic:nvPicPr>
                  <pic:blipFill>
                    <a:blip r:embed="rId920"/>
                    <a:stretch>
                      <a:fillRect/>
                    </a:stretch>
                  </pic:blipFill>
                  <pic:spPr>
                    <a:xfrm>
                      <a:off x="0" y="0"/>
                      <a:ext cx="8696325" cy="6181725"/>
                    </a:xfrm>
                    <a:prstGeom prst="rect">
                      <a:avLst/>
                    </a:prstGeom>
                    <a:noFill/>
                    <a:ln>
                      <a:noFill/>
                    </a:ln>
                  </pic:spPr>
                </pic:pic>
              </a:graphicData>
            </a:graphic>
          </wp:inline>
        </w:drawing>
      </w:r>
    </w:p>
    <w:p>
      <w:pPr>
        <w:pStyle w:val="34"/>
        <w:rPr>
          <w:kern w:val="0"/>
        </w:rPr>
      </w:pPr>
      <w:r>
        <w:rPr>
          <w:rFonts w:hint="eastAsia"/>
          <w:kern w:val="0"/>
        </w:rPr>
        <w:t>新增逐笔委托的价格偏离现价的上下限幅度：此功能仅盘中定位在看逐笔委托时开始有效。如果切换到其他界面，再回到此股，则从重新定位到此股时再开始对逐笔委托过滤。之前的时间则不会过滤。</w:t>
      </w:r>
    </w:p>
    <w:p>
      <w:pPr>
        <w:pStyle w:val="34"/>
        <w:rPr>
          <w:kern w:val="0"/>
        </w:rPr>
      </w:pPr>
      <w:r>
        <w:rPr>
          <w:rFonts w:hint="eastAsia"/>
          <w:kern w:val="0"/>
        </w:rPr>
        <w:t>如下图蓝框比红框少了一笔</w:t>
      </w:r>
      <w:r>
        <w:rPr>
          <w:kern w:val="0"/>
        </w:rPr>
        <w:t>29.1的挂单，下方蓝框是过滤了偏离现价的上下限1%幅度的委托单。</w:t>
      </w:r>
    </w:p>
    <w:p>
      <w:pPr>
        <w:pStyle w:val="34"/>
        <w:rPr>
          <w:kern w:val="0"/>
        </w:rPr>
      </w:pPr>
      <w:r>
        <w:rPr>
          <w:kern w:val="0"/>
        </w:rPr>
        <w:drawing>
          <wp:inline distT="0" distB="0" distL="114300" distR="114300">
            <wp:extent cx="8858250" cy="4371975"/>
            <wp:effectExtent l="0" t="0" r="0" b="9525"/>
            <wp:docPr id="494" name="图片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图片 494"/>
                    <pic:cNvPicPr>
                      <a:picLocks noChangeAspect="1"/>
                    </pic:cNvPicPr>
                  </pic:nvPicPr>
                  <pic:blipFill>
                    <a:blip r:embed="rId921"/>
                    <a:stretch>
                      <a:fillRect/>
                    </a:stretch>
                  </pic:blipFill>
                  <pic:spPr>
                    <a:xfrm>
                      <a:off x="0" y="0"/>
                      <a:ext cx="8858250" cy="4371975"/>
                    </a:xfrm>
                    <a:prstGeom prst="rect">
                      <a:avLst/>
                    </a:prstGeom>
                    <a:noFill/>
                    <a:ln>
                      <a:noFill/>
                    </a:ln>
                  </pic:spPr>
                </pic:pic>
              </a:graphicData>
            </a:graphic>
          </wp:inline>
        </w:drawing>
      </w:r>
    </w:p>
    <w:p>
      <w:pPr>
        <w:pStyle w:val="34"/>
        <w:rPr>
          <w:kern w:val="0"/>
        </w:rPr>
      </w:pPr>
      <w:r>
        <w:rPr>
          <w:rFonts w:hint="eastAsia"/>
          <w:kern w:val="0"/>
        </w:rPr>
        <w:t>对于标记数量：</w:t>
      </w:r>
    </w:p>
    <w:p>
      <w:pPr>
        <w:pStyle w:val="34"/>
        <w:rPr>
          <w:kern w:val="0"/>
        </w:rPr>
      </w:pPr>
      <w:r>
        <w:rPr>
          <w:rFonts w:hint="eastAsia"/>
          <w:kern w:val="0"/>
        </w:rPr>
        <w:t>其中委托数量使用标记功能：则千档盘口中的队列排单</w:t>
      </w:r>
      <w:r>
        <w:rPr>
          <w:kern w:val="0"/>
        </w:rPr>
        <w:t>,逐笔委托,买卖队列中的标记数量均会突出显示.例如,标记"5"手，则买卖队列及逐笔委托中5手也突出显示</w:t>
      </w:r>
    </w:p>
    <w:p>
      <w:pPr>
        <w:pStyle w:val="34"/>
        <w:rPr>
          <w:kern w:val="0"/>
        </w:rPr>
      </w:pPr>
      <w:r>
        <w:rPr>
          <w:rFonts w:hint="eastAsia"/>
          <w:kern w:val="0"/>
        </w:rPr>
        <w:t>黄色背景为精准定位委托单（另会有</w:t>
      </w:r>
      <w:r>
        <w:rPr>
          <w:kern w:val="0"/>
        </w:rPr>
        <w:t>15秒左右精度差）</w:t>
      </w:r>
    </w:p>
    <w:p>
      <w:pPr>
        <w:pStyle w:val="34"/>
        <w:rPr>
          <w:kern w:val="0"/>
        </w:rPr>
      </w:pPr>
      <w:r>
        <w:rPr>
          <w:kern w:val="0"/>
        </w:rPr>
        <w:drawing>
          <wp:inline distT="0" distB="0" distL="114300" distR="114300">
            <wp:extent cx="5524500" cy="4295775"/>
            <wp:effectExtent l="0" t="0" r="0" b="9525"/>
            <wp:docPr id="495" name="图片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图片 495"/>
                    <pic:cNvPicPr>
                      <a:picLocks noChangeAspect="1"/>
                    </pic:cNvPicPr>
                  </pic:nvPicPr>
                  <pic:blipFill>
                    <a:blip r:embed="rId922"/>
                    <a:stretch>
                      <a:fillRect/>
                    </a:stretch>
                  </pic:blipFill>
                  <pic:spPr>
                    <a:xfrm>
                      <a:off x="0" y="0"/>
                      <a:ext cx="5524500" cy="4295775"/>
                    </a:xfrm>
                    <a:prstGeom prst="rect">
                      <a:avLst/>
                    </a:prstGeom>
                    <a:noFill/>
                    <a:ln>
                      <a:noFill/>
                    </a:ln>
                  </pic:spPr>
                </pic:pic>
              </a:graphicData>
            </a:graphic>
          </wp:inline>
        </w:drawing>
      </w:r>
    </w:p>
    <w:p>
      <w:pPr>
        <w:pStyle w:val="3"/>
      </w:pPr>
      <w:r>
        <w:rPr>
          <w:rFonts w:hint="eastAsia"/>
        </w:rPr>
        <w:t>逐笔成交明细</w:t>
      </w:r>
      <w:bookmarkEnd w:id="74"/>
    </w:p>
    <w:p>
      <w:pPr>
        <w:pStyle w:val="34"/>
        <w:rPr>
          <w:kern w:val="0"/>
        </w:rPr>
      </w:pPr>
      <w:r>
        <w:rPr>
          <w:rFonts w:hint="eastAsia"/>
          <w:kern w:val="0"/>
        </w:rPr>
        <w:t>快捷方式： </w:t>
      </w:r>
    </w:p>
    <w:p>
      <w:pPr>
        <w:pStyle w:val="34"/>
        <w:rPr>
          <w:kern w:val="0"/>
        </w:rPr>
      </w:pPr>
      <w:r>
        <w:rPr>
          <w:rFonts w:hint="eastAsia" w:cs="宋体"/>
          <w:kern w:val="0"/>
        </w:rPr>
        <w:t>▲</w:t>
      </w:r>
      <w:r>
        <w:rPr>
          <w:rFonts w:hint="eastAsia"/>
          <w:kern w:val="0"/>
        </w:rPr>
        <w:t xml:space="preserve"> 键盘精灵 .504 </w:t>
      </w:r>
    </w:p>
    <w:p>
      <w:pPr>
        <w:pStyle w:val="34"/>
        <w:rPr>
          <w:kern w:val="0"/>
        </w:rPr>
      </w:pPr>
      <w:r>
        <w:rPr>
          <w:rFonts w:hint="eastAsia" w:cs="宋体"/>
          <w:kern w:val="0"/>
        </w:rPr>
        <w:t>▲</w:t>
      </w:r>
      <w:r>
        <w:rPr>
          <w:rFonts w:hint="eastAsia"/>
          <w:kern w:val="0"/>
        </w:rPr>
        <w:t xml:space="preserve"> 组合窗口功能切换区---细</w:t>
      </w:r>
    </w:p>
    <w:p>
      <w:pPr>
        <w:pStyle w:val="34"/>
        <w:rPr>
          <w:kern w:val="0"/>
        </w:rPr>
      </w:pPr>
      <w:r>
        <w:rPr>
          <w:rFonts w:hint="eastAsia"/>
          <w:kern w:val="0"/>
        </w:rPr>
        <w:t>下面第一个图为逐笔成交明细数据，第二个图为分时成交明细，可以看到逐笔成交明细比传统的分笔成交明细数据更加精细。</w:t>
      </w:r>
    </w:p>
    <w:p>
      <w:pPr>
        <w:pStyle w:val="34"/>
        <w:rPr>
          <w:kern w:val="0"/>
        </w:rPr>
      </w:pPr>
      <w:r>
        <w:rPr>
          <w:rFonts w:hint="eastAsia"/>
          <w:kern w:val="0"/>
        </w:rPr>
        <w:t>界面展示：展示的是真实的每笔交易的交易时间 价格 成交量 和 交易买卖标志（B、S）。</w:t>
      </w:r>
    </w:p>
    <w:p>
      <w:pPr>
        <w:pStyle w:val="34"/>
        <w:rPr>
          <w:kern w:val="0"/>
        </w:rPr>
      </w:pPr>
      <w:r>
        <w:rPr>
          <w:kern w:val="0"/>
        </w:rPr>
        <w:fldChar w:fldCharType="begin"/>
      </w:r>
      <w:r>
        <w:rPr>
          <w:kern w:val="0"/>
        </w:rPr>
        <w:instrText xml:space="preserve"> INCLUDEPICTURE  "https://www.tdx.com.cn/products/helpfile/tdxw/chm/%E7%AC%AC%E5%85%AD%E7%AB%A0  %E5%9F%BA%E7%A1%80%E7%89%88%E5%8A%9F%E8%83%BD/6-5/1.png" \* MERGEFORMATINET </w:instrText>
      </w:r>
      <w:r>
        <w:rPr>
          <w:kern w:val="0"/>
        </w:rPr>
        <w:fldChar w:fldCharType="separate"/>
      </w:r>
      <w:r>
        <w:rPr>
          <w:kern w:val="0"/>
        </w:rPr>
        <w:fldChar w:fldCharType="begin"/>
      </w:r>
      <w:r>
        <w:rPr>
          <w:kern w:val="0"/>
        </w:rPr>
        <w:instrText xml:space="preserve"> INCLUDEPICTURE  "https://www.tdx.com.cn/products/helpfile/tdxw/chm/%E7%AC%AC%E5%85%AD%E7%AB%A0  %E5%9F%BA%E7%A1%80%E7%89%88%E5%8A%9F%E8%83%BD/6-5/1.png" \* MERGEFORMATINET </w:instrText>
      </w:r>
      <w:r>
        <w:rPr>
          <w:kern w:val="0"/>
        </w:rPr>
        <w:fldChar w:fldCharType="separate"/>
      </w:r>
      <w:r>
        <w:rPr>
          <w:kern w:val="0"/>
        </w:rPr>
        <w:fldChar w:fldCharType="begin"/>
      </w:r>
      <w:r>
        <w:rPr>
          <w:kern w:val="0"/>
        </w:rPr>
        <w:instrText xml:space="preserve"> INCLUDEPICTURE  "https://www.tdx.com.cn/products/helpfile/tdxw/chm/%E7%AC%AC%E5%85%AD%E7%AB%A0  %E5%9F%BA%E7%A1%80%E7%89%88%E5%8A%9F%E8%83%BD/6-5/1.png" \* MERGEFORMATINET </w:instrText>
      </w:r>
      <w:r>
        <w:rPr>
          <w:kern w:val="0"/>
        </w:rPr>
        <w:fldChar w:fldCharType="separate"/>
      </w:r>
      <w:r>
        <w:rPr>
          <w:kern w:val="0"/>
        </w:rPr>
        <w:fldChar w:fldCharType="begin"/>
      </w:r>
      <w:r>
        <w:rPr>
          <w:kern w:val="0"/>
        </w:rPr>
        <w:instrText xml:space="preserve"> INCLUDEPICTURE  "https://www.tdx.com.cn/products/helpfile/tdxw/chm/%E7%AC%AC%E5%85%AD%E7%AB%A0  %E5%9F%BA%E7%A1%80%E7%89%88%E5%8A%9F%E8%83%BD/6-5/1.png" \* MERGEFORMATINET </w:instrText>
      </w:r>
      <w:r>
        <w:rPr>
          <w:kern w:val="0"/>
        </w:rPr>
        <w:fldChar w:fldCharType="separate"/>
      </w:r>
      <w:r>
        <w:rPr>
          <w:kern w:val="0"/>
        </w:rPr>
        <w:drawing>
          <wp:inline distT="0" distB="0" distL="114300" distR="114300">
            <wp:extent cx="6219825" cy="4981575"/>
            <wp:effectExtent l="0" t="0" r="9525" b="9525"/>
            <wp:docPr id="496" name="图片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图片 496"/>
                    <pic:cNvPicPr>
                      <a:picLocks noChangeAspect="1"/>
                    </pic:cNvPicPr>
                  </pic:nvPicPr>
                  <pic:blipFill>
                    <a:blip r:embed="rId923" r:link="rId924"/>
                    <a:stretch>
                      <a:fillRect/>
                    </a:stretch>
                  </pic:blipFill>
                  <pic:spPr>
                    <a:xfrm>
                      <a:off x="0" y="0"/>
                      <a:ext cx="6219825" cy="4981575"/>
                    </a:xfrm>
                    <a:prstGeom prst="rect">
                      <a:avLst/>
                    </a:prstGeom>
                    <a:noFill/>
                    <a:ln>
                      <a:noFill/>
                    </a:ln>
                  </pic:spPr>
                </pic:pic>
              </a:graphicData>
            </a:graphic>
          </wp:inline>
        </w:drawing>
      </w:r>
      <w:r>
        <w:rPr>
          <w:kern w:val="0"/>
        </w:rPr>
        <w:fldChar w:fldCharType="end"/>
      </w:r>
      <w:r>
        <w:rPr>
          <w:kern w:val="0"/>
        </w:rPr>
        <w:fldChar w:fldCharType="end"/>
      </w:r>
      <w:r>
        <w:rPr>
          <w:kern w:val="0"/>
        </w:rPr>
        <w:fldChar w:fldCharType="end"/>
      </w:r>
      <w:r>
        <w:rPr>
          <w:kern w:val="0"/>
        </w:rPr>
        <w:fldChar w:fldCharType="end"/>
      </w:r>
    </w:p>
    <w:p>
      <w:pPr>
        <w:pStyle w:val="34"/>
        <w:rPr>
          <w:kern w:val="0"/>
        </w:rPr>
      </w:pPr>
      <w:r>
        <w:rPr>
          <w:kern w:val="0"/>
        </w:rPr>
        <w:fldChar w:fldCharType="begin"/>
      </w:r>
      <w:r>
        <w:rPr>
          <w:kern w:val="0"/>
        </w:rPr>
        <w:instrText xml:space="preserve"> INCLUDEPICTURE  "https://www.tdx.com.cn/products/helpfile/tdxw/chm/%E7%AC%AC%E5%85%AD%E7%AB%A0  %E5%9F%BA%E7%A1%80%E7%89%88%E5%8A%9F%E8%83%BD/6-5/2.png" \* MERGEFORMATINET </w:instrText>
      </w:r>
      <w:r>
        <w:rPr>
          <w:kern w:val="0"/>
        </w:rPr>
        <w:fldChar w:fldCharType="separate"/>
      </w:r>
      <w:r>
        <w:rPr>
          <w:kern w:val="0"/>
        </w:rPr>
        <w:fldChar w:fldCharType="begin"/>
      </w:r>
      <w:r>
        <w:rPr>
          <w:kern w:val="0"/>
        </w:rPr>
        <w:instrText xml:space="preserve"> INCLUDEPICTURE  "https://www.tdx.com.cn/products/helpfile/tdxw/chm/%E7%AC%AC%E5%85%AD%E7%AB%A0  %E5%9F%BA%E7%A1%80%E7%89%88%E5%8A%9F%E8%83%BD/6-5/2.png" \* MERGEFORMATINET </w:instrText>
      </w:r>
      <w:r>
        <w:rPr>
          <w:kern w:val="0"/>
        </w:rPr>
        <w:fldChar w:fldCharType="separate"/>
      </w:r>
      <w:r>
        <w:rPr>
          <w:kern w:val="0"/>
        </w:rPr>
        <w:fldChar w:fldCharType="begin"/>
      </w:r>
      <w:r>
        <w:rPr>
          <w:kern w:val="0"/>
        </w:rPr>
        <w:instrText xml:space="preserve"> INCLUDEPICTURE  "https://www.tdx.com.cn/products/helpfile/tdxw/chm/%E7%AC%AC%E5%85%AD%E7%AB%A0  %E5%9F%BA%E7%A1%80%E7%89%88%E5%8A%9F%E8%83%BD/6-5/2.png" \* MERGEFORMATINET </w:instrText>
      </w:r>
      <w:r>
        <w:rPr>
          <w:kern w:val="0"/>
        </w:rPr>
        <w:fldChar w:fldCharType="separate"/>
      </w:r>
      <w:r>
        <w:rPr>
          <w:kern w:val="0"/>
        </w:rPr>
        <w:fldChar w:fldCharType="begin"/>
      </w:r>
      <w:r>
        <w:rPr>
          <w:kern w:val="0"/>
        </w:rPr>
        <w:instrText xml:space="preserve"> INCLUDEPICTURE  "https://www.tdx.com.cn/products/helpfile/tdxw/chm/%E7%AC%AC%E5%85%AD%E7%AB%A0  %E5%9F%BA%E7%A1%80%E7%89%88%E5%8A%9F%E8%83%BD/6-5/2.png" \* MERGEFORMATINET </w:instrText>
      </w:r>
      <w:r>
        <w:rPr>
          <w:kern w:val="0"/>
        </w:rPr>
        <w:fldChar w:fldCharType="separate"/>
      </w:r>
      <w:r>
        <w:rPr>
          <w:kern w:val="0"/>
        </w:rPr>
        <w:drawing>
          <wp:inline distT="0" distB="0" distL="114300" distR="114300">
            <wp:extent cx="6153150" cy="4924425"/>
            <wp:effectExtent l="0" t="0" r="0" b="9525"/>
            <wp:docPr id="497" name="图片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图片 497"/>
                    <pic:cNvPicPr>
                      <a:picLocks noChangeAspect="1"/>
                    </pic:cNvPicPr>
                  </pic:nvPicPr>
                  <pic:blipFill>
                    <a:blip r:embed="rId925" r:link="rId926"/>
                    <a:stretch>
                      <a:fillRect/>
                    </a:stretch>
                  </pic:blipFill>
                  <pic:spPr>
                    <a:xfrm>
                      <a:off x="0" y="0"/>
                      <a:ext cx="6153150" cy="4924425"/>
                    </a:xfrm>
                    <a:prstGeom prst="rect">
                      <a:avLst/>
                    </a:prstGeom>
                    <a:noFill/>
                    <a:ln>
                      <a:noFill/>
                    </a:ln>
                  </pic:spPr>
                </pic:pic>
              </a:graphicData>
            </a:graphic>
          </wp:inline>
        </w:drawing>
      </w:r>
      <w:r>
        <w:rPr>
          <w:kern w:val="0"/>
        </w:rPr>
        <w:fldChar w:fldCharType="end"/>
      </w:r>
      <w:r>
        <w:rPr>
          <w:kern w:val="0"/>
        </w:rPr>
        <w:fldChar w:fldCharType="end"/>
      </w:r>
      <w:r>
        <w:rPr>
          <w:kern w:val="0"/>
        </w:rPr>
        <w:fldChar w:fldCharType="end"/>
      </w:r>
      <w:r>
        <w:rPr>
          <w:kern w:val="0"/>
        </w:rPr>
        <w:fldChar w:fldCharType="end"/>
      </w:r>
    </w:p>
    <w:p>
      <w:pPr>
        <w:pStyle w:val="34"/>
        <w:rPr>
          <w:kern w:val="0"/>
        </w:rPr>
      </w:pPr>
      <w:r>
        <w:rPr>
          <w:rFonts w:hint="eastAsia"/>
          <w:kern w:val="0"/>
        </w:rPr>
        <w:t>Level2行情逐笔成交统计的大单中单小单的标准: </w:t>
      </w:r>
    </w:p>
    <w:p>
      <w:pPr>
        <w:pStyle w:val="34"/>
        <w:rPr>
          <w:kern w:val="0"/>
        </w:rPr>
      </w:pPr>
      <w:r>
        <w:rPr>
          <w:rFonts w:hint="eastAsia"/>
          <w:kern w:val="0"/>
        </w:rPr>
        <w:t>超大单： 成交量大于或等于3000手 或 成交金额大于或等于90万元。</w:t>
      </w:r>
    </w:p>
    <w:p>
      <w:pPr>
        <w:pStyle w:val="34"/>
        <w:rPr>
          <w:kern w:val="0"/>
        </w:rPr>
      </w:pPr>
      <w:r>
        <w:rPr>
          <w:rFonts w:hint="eastAsia"/>
          <w:kern w:val="0"/>
        </w:rPr>
        <w:t>大单：成交量大于或等于1000手或者成交额大于或者等于30万元。 </w:t>
      </w:r>
    </w:p>
    <w:p>
      <w:pPr>
        <w:pStyle w:val="34"/>
        <w:rPr>
          <w:kern w:val="0"/>
        </w:rPr>
      </w:pPr>
      <w:r>
        <w:rPr>
          <w:rFonts w:hint="eastAsia"/>
          <w:kern w:val="0"/>
        </w:rPr>
        <w:t>中单：成交量大于或等于200手或者成交金额大于或等于6万元。 </w:t>
      </w:r>
    </w:p>
    <w:p>
      <w:pPr>
        <w:pStyle w:val="34"/>
        <w:rPr>
          <w:kern w:val="0"/>
        </w:rPr>
      </w:pPr>
      <w:r>
        <w:rPr>
          <w:rFonts w:hint="eastAsia"/>
          <w:kern w:val="0"/>
        </w:rPr>
        <w:t>小单：其他 。</w:t>
      </w:r>
    </w:p>
    <w:p>
      <w:pPr>
        <w:pStyle w:val="34"/>
        <w:rPr>
          <w:kern w:val="0"/>
        </w:rPr>
      </w:pPr>
      <w:r>
        <w:rPr>
          <w:rFonts w:hint="eastAsia"/>
          <w:kern w:val="0"/>
        </w:rPr>
        <w:t>附：分时成交明细的后面的灰色数字含义</w:t>
      </w:r>
    </w:p>
    <w:p>
      <w:pPr>
        <w:pStyle w:val="34"/>
        <w:rPr>
          <w:kern w:val="0"/>
        </w:rPr>
      </w:pPr>
      <w:r>
        <w:rPr>
          <w:rFonts w:hint="eastAsia"/>
          <w:kern w:val="0"/>
        </w:rPr>
        <w:t> </w:t>
      </w:r>
      <w:r>
        <w:rPr>
          <w:kern w:val="0"/>
        </w:rPr>
        <w:fldChar w:fldCharType="begin"/>
      </w:r>
      <w:r>
        <w:rPr>
          <w:kern w:val="0"/>
        </w:rPr>
        <w:instrText xml:space="preserve"> INCLUDEPICTURE  "https://www.tdx.com.cn/products/helpfile/tdxw/chm/%E7%AC%AC%E5%85%AD%E7%AB%A0  %E5%9F%BA%E7%A1%80%E7%89%88%E5%8A%9F%E8%83%BD/6-5/3.png" \* MERGEFORMATINET </w:instrText>
      </w:r>
      <w:r>
        <w:rPr>
          <w:kern w:val="0"/>
        </w:rPr>
        <w:fldChar w:fldCharType="separate"/>
      </w:r>
      <w:r>
        <w:rPr>
          <w:kern w:val="0"/>
        </w:rPr>
        <w:fldChar w:fldCharType="begin"/>
      </w:r>
      <w:r>
        <w:rPr>
          <w:kern w:val="0"/>
        </w:rPr>
        <w:instrText xml:space="preserve"> INCLUDEPICTURE  "https://www.tdx.com.cn/products/helpfile/tdxw/chm/%E7%AC%AC%E5%85%AD%E7%AB%A0  %E5%9F%BA%E7%A1%80%E7%89%88%E5%8A%9F%E8%83%BD/6-5/3.png" \* MERGEFORMATINET </w:instrText>
      </w:r>
      <w:r>
        <w:rPr>
          <w:kern w:val="0"/>
        </w:rPr>
        <w:fldChar w:fldCharType="separate"/>
      </w:r>
      <w:r>
        <w:rPr>
          <w:kern w:val="0"/>
        </w:rPr>
        <w:fldChar w:fldCharType="begin"/>
      </w:r>
      <w:r>
        <w:rPr>
          <w:kern w:val="0"/>
        </w:rPr>
        <w:instrText xml:space="preserve"> INCLUDEPICTURE  "https://www.tdx.com.cn/products/helpfile/tdxw/chm/%E7%AC%AC%E5%85%AD%E7%AB%A0  %E5%9F%BA%E7%A1%80%E7%89%88%E5%8A%9F%E8%83%BD/6-5/3.png" \* MERGEFORMATINET </w:instrText>
      </w:r>
      <w:r>
        <w:rPr>
          <w:kern w:val="0"/>
        </w:rPr>
        <w:fldChar w:fldCharType="separate"/>
      </w:r>
      <w:r>
        <w:rPr>
          <w:kern w:val="0"/>
        </w:rPr>
        <w:fldChar w:fldCharType="begin"/>
      </w:r>
      <w:r>
        <w:rPr>
          <w:kern w:val="0"/>
        </w:rPr>
        <w:instrText xml:space="preserve"> INCLUDEPICTURE  "https://www.tdx.com.cn/products/helpfile/tdxw/chm/%E7%AC%AC%E5%85%AD%E7%AB%A0  %E5%9F%BA%E7%A1%80%E7%89%88%E5%8A%9F%E8%83%BD/6-5/3.png" \* MERGEFORMATINET </w:instrText>
      </w:r>
      <w:r>
        <w:rPr>
          <w:kern w:val="0"/>
        </w:rPr>
        <w:fldChar w:fldCharType="separate"/>
      </w:r>
      <w:r>
        <w:rPr>
          <w:kern w:val="0"/>
        </w:rPr>
        <w:drawing>
          <wp:inline distT="0" distB="0" distL="114300" distR="114300">
            <wp:extent cx="2276475" cy="1228725"/>
            <wp:effectExtent l="0" t="0" r="9525" b="9525"/>
            <wp:docPr id="498" name="图片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图片 498"/>
                    <pic:cNvPicPr>
                      <a:picLocks noChangeAspect="1"/>
                    </pic:cNvPicPr>
                  </pic:nvPicPr>
                  <pic:blipFill>
                    <a:blip r:embed="rId927" r:link="rId928"/>
                    <a:stretch>
                      <a:fillRect/>
                    </a:stretch>
                  </pic:blipFill>
                  <pic:spPr>
                    <a:xfrm>
                      <a:off x="0" y="0"/>
                      <a:ext cx="2276475" cy="1228725"/>
                    </a:xfrm>
                    <a:prstGeom prst="rect">
                      <a:avLst/>
                    </a:prstGeom>
                    <a:noFill/>
                    <a:ln>
                      <a:noFill/>
                    </a:ln>
                  </pic:spPr>
                </pic:pic>
              </a:graphicData>
            </a:graphic>
          </wp:inline>
        </w:drawing>
      </w:r>
      <w:r>
        <w:rPr>
          <w:kern w:val="0"/>
        </w:rPr>
        <w:fldChar w:fldCharType="end"/>
      </w:r>
      <w:r>
        <w:rPr>
          <w:kern w:val="0"/>
        </w:rPr>
        <w:fldChar w:fldCharType="end"/>
      </w:r>
      <w:r>
        <w:rPr>
          <w:kern w:val="0"/>
        </w:rPr>
        <w:fldChar w:fldCharType="end"/>
      </w:r>
      <w:r>
        <w:rPr>
          <w:kern w:val="0"/>
        </w:rPr>
        <w:fldChar w:fldCharType="end"/>
      </w:r>
    </w:p>
    <w:p>
      <w:pPr>
        <w:pStyle w:val="34"/>
        <w:rPr>
          <w:kern w:val="0"/>
        </w:rPr>
      </w:pPr>
      <w:r>
        <w:rPr>
          <w:rFonts w:hint="eastAsia"/>
          <w:kern w:val="0"/>
        </w:rPr>
        <w:t>灰色数字是成交笔数，或者说成交次数.</w:t>
      </w:r>
    </w:p>
    <w:p>
      <w:pPr>
        <w:pStyle w:val="34"/>
        <w:rPr>
          <w:kern w:val="0"/>
        </w:rPr>
      </w:pPr>
      <w:r>
        <w:rPr>
          <w:rFonts w:hint="eastAsia"/>
          <w:kern w:val="0"/>
        </w:rPr>
        <w:t>0表示成交不足1手</w:t>
      </w:r>
    </w:p>
    <w:p>
      <w:pPr>
        <w:pStyle w:val="34"/>
        <w:rPr>
          <w:kern w:val="0"/>
        </w:rPr>
      </w:pPr>
      <w:r>
        <w:rPr>
          <w:rFonts w:hint="eastAsia"/>
          <w:kern w:val="0"/>
        </w:rPr>
        <w:t>逐笔成交可以设置过滤，在系统设置高级中设置。</w:t>
      </w:r>
    </w:p>
    <w:p>
      <w:pPr>
        <w:pStyle w:val="34"/>
        <w:rPr>
          <w:kern w:val="0"/>
        </w:rPr>
      </w:pPr>
      <w:r>
        <w:rPr>
          <w:rFonts w:hint="eastAsia"/>
          <w:kern w:val="0"/>
        </w:rPr>
        <w:t>根据逐笔成交提示涨跌停</w:t>
      </w:r>
      <w:r>
        <w:rPr>
          <w:kern w:val="0"/>
        </w:rPr>
        <w:t>(提示音)：如果勾选此项，若此股已涨停，则定位在看逐笔成交明细时，最上方会显示“涨/跌停板及时间”，同时会伴有“叮”的声音提醒。</w:t>
      </w:r>
    </w:p>
    <w:p>
      <w:pPr>
        <w:pStyle w:val="34"/>
      </w:pPr>
      <w:r>
        <w:rPr>
          <w:kern w:val="0"/>
        </w:rPr>
        <w:drawing>
          <wp:inline distT="0" distB="0" distL="114300" distR="114300">
            <wp:extent cx="8858250" cy="5734050"/>
            <wp:effectExtent l="0" t="0" r="0" b="0"/>
            <wp:docPr id="499" name="图片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图片 499"/>
                    <pic:cNvPicPr>
                      <a:picLocks noChangeAspect="1"/>
                    </pic:cNvPicPr>
                  </pic:nvPicPr>
                  <pic:blipFill>
                    <a:blip r:embed="rId929"/>
                    <a:stretch>
                      <a:fillRect/>
                    </a:stretch>
                  </pic:blipFill>
                  <pic:spPr>
                    <a:xfrm>
                      <a:off x="0" y="0"/>
                      <a:ext cx="8858250" cy="5734050"/>
                    </a:xfrm>
                    <a:prstGeom prst="rect">
                      <a:avLst/>
                    </a:prstGeom>
                    <a:noFill/>
                    <a:ln>
                      <a:noFill/>
                    </a:ln>
                  </pic:spPr>
                </pic:pic>
              </a:graphicData>
            </a:graphic>
          </wp:inline>
        </w:drawing>
      </w:r>
    </w:p>
    <w:p>
      <w:pPr>
        <w:pStyle w:val="3"/>
      </w:pPr>
      <w:bookmarkStart w:id="75" w:name="_Toc90646196"/>
      <w:r>
        <w:rPr>
          <w:rFonts w:hint="eastAsia"/>
        </w:rPr>
        <w:t>逐笔还原</w:t>
      </w:r>
      <w:bookmarkEnd w:id="75"/>
    </w:p>
    <w:p>
      <w:pPr>
        <w:pStyle w:val="34"/>
        <w:rPr>
          <w:kern w:val="0"/>
        </w:rPr>
      </w:pPr>
      <w:r>
        <w:rPr>
          <w:rFonts w:hint="eastAsia"/>
          <w:kern w:val="0"/>
        </w:rPr>
        <w:t>通达信逐笔明细依托level2行情进行深度数据挖掘，对盘口逐笔成交信息进一笔细分，将盘口撮合零碎的数据进行深度数据拼接，每笔大单进一笔拆解，大资金大单对倒、大资金吃小单吃货等一目了然。 </w:t>
      </w:r>
    </w:p>
    <w:p>
      <w:pPr>
        <w:pStyle w:val="34"/>
        <w:rPr>
          <w:kern w:val="0"/>
        </w:rPr>
      </w:pPr>
      <w:r>
        <w:rPr>
          <w:rFonts w:hint="eastAsia"/>
          <w:kern w:val="0"/>
        </w:rPr>
        <w:t>买方/卖方下单数量并不对等，盘口撮合的时候一笔大单极有可能被分割成几部分成交，逐笔明细真实反映了成交情况，逐笔还原能够清晰的还原出该笔大单内部的的撮合明细。</w:t>
      </w:r>
    </w:p>
    <w:p>
      <w:pPr>
        <w:pStyle w:val="34"/>
        <w:rPr>
          <w:kern w:val="0"/>
        </w:rPr>
      </w:pPr>
      <w:r>
        <w:rPr>
          <w:kern w:val="0"/>
        </w:rPr>
        <w:fldChar w:fldCharType="begin"/>
      </w:r>
      <w:r>
        <w:rPr>
          <w:kern w:val="0"/>
        </w:rPr>
        <w:instrText xml:space="preserve"> INCLUDEPICTURE  "https://www.tdx.com.cn/products/helpfile/tdxw/chm/%E7%AC%AC%E5%85%AD%E7%AB%A0  %E5%9F%BA%E7%A1%80%E7%89%88%E5%8A%9F%E8%83%BD/6-6/1.png" \* MERGEFORMATINET </w:instrText>
      </w:r>
      <w:r>
        <w:rPr>
          <w:kern w:val="0"/>
        </w:rPr>
        <w:fldChar w:fldCharType="separate"/>
      </w:r>
      <w:r>
        <w:rPr>
          <w:kern w:val="0"/>
        </w:rPr>
        <w:fldChar w:fldCharType="begin"/>
      </w:r>
      <w:r>
        <w:rPr>
          <w:kern w:val="0"/>
        </w:rPr>
        <w:instrText xml:space="preserve"> INCLUDEPICTURE  "https://www.tdx.com.cn/products/helpfile/tdxw/chm/%E7%AC%AC%E5%85%AD%E7%AB%A0  %E5%9F%BA%E7%A1%80%E7%89%88%E5%8A%9F%E8%83%BD/6-6/1.png" \* MERGEFORMATINET </w:instrText>
      </w:r>
      <w:r>
        <w:rPr>
          <w:kern w:val="0"/>
        </w:rPr>
        <w:fldChar w:fldCharType="separate"/>
      </w:r>
      <w:r>
        <w:rPr>
          <w:kern w:val="0"/>
        </w:rPr>
        <w:fldChar w:fldCharType="begin"/>
      </w:r>
      <w:r>
        <w:rPr>
          <w:kern w:val="0"/>
        </w:rPr>
        <w:instrText xml:space="preserve"> INCLUDEPICTURE  "https://www.tdx.com.cn/products/helpfile/tdxw/chm/%E7%AC%AC%E5%85%AD%E7%AB%A0  %E5%9F%BA%E7%A1%80%E7%89%88%E5%8A%9F%E8%83%BD/6-6/1.png" \* MERGEFORMATINET </w:instrText>
      </w:r>
      <w:r>
        <w:rPr>
          <w:kern w:val="0"/>
        </w:rPr>
        <w:fldChar w:fldCharType="separate"/>
      </w:r>
      <w:r>
        <w:rPr>
          <w:kern w:val="0"/>
        </w:rPr>
        <w:fldChar w:fldCharType="begin"/>
      </w:r>
      <w:r>
        <w:rPr>
          <w:kern w:val="0"/>
        </w:rPr>
        <w:instrText xml:space="preserve"> INCLUDEPICTURE  "https://www.tdx.com.cn/products/helpfile/tdxw/chm/%E7%AC%AC%E5%85%AD%E7%AB%A0  %E5%9F%BA%E7%A1%80%E7%89%88%E5%8A%9F%E8%83%BD/6-6/1.png" \* MERGEFORMATINET </w:instrText>
      </w:r>
      <w:r>
        <w:rPr>
          <w:kern w:val="0"/>
        </w:rPr>
        <w:fldChar w:fldCharType="separate"/>
      </w:r>
      <w:r>
        <w:rPr>
          <w:kern w:val="0"/>
        </w:rPr>
        <w:drawing>
          <wp:inline distT="0" distB="0" distL="114300" distR="114300">
            <wp:extent cx="5048250" cy="4914900"/>
            <wp:effectExtent l="0" t="0" r="0" b="0"/>
            <wp:docPr id="500" name="图片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图片 500"/>
                    <pic:cNvPicPr>
                      <a:picLocks noChangeAspect="1"/>
                    </pic:cNvPicPr>
                  </pic:nvPicPr>
                  <pic:blipFill>
                    <a:blip r:embed="rId930" r:link="rId931"/>
                    <a:stretch>
                      <a:fillRect/>
                    </a:stretch>
                  </pic:blipFill>
                  <pic:spPr>
                    <a:xfrm>
                      <a:off x="0" y="0"/>
                      <a:ext cx="5048250" cy="4914900"/>
                    </a:xfrm>
                    <a:prstGeom prst="rect">
                      <a:avLst/>
                    </a:prstGeom>
                    <a:noFill/>
                    <a:ln>
                      <a:noFill/>
                    </a:ln>
                  </pic:spPr>
                </pic:pic>
              </a:graphicData>
            </a:graphic>
          </wp:inline>
        </w:drawing>
      </w:r>
      <w:r>
        <w:rPr>
          <w:kern w:val="0"/>
        </w:rPr>
        <w:fldChar w:fldCharType="end"/>
      </w:r>
      <w:r>
        <w:rPr>
          <w:kern w:val="0"/>
        </w:rPr>
        <w:fldChar w:fldCharType="end"/>
      </w:r>
      <w:r>
        <w:rPr>
          <w:kern w:val="0"/>
        </w:rPr>
        <w:fldChar w:fldCharType="end"/>
      </w:r>
      <w:r>
        <w:rPr>
          <w:kern w:val="0"/>
        </w:rPr>
        <w:fldChar w:fldCharType="end"/>
      </w:r>
    </w:p>
    <w:p>
      <w:pPr>
        <w:pStyle w:val="34"/>
        <w:rPr>
          <w:kern w:val="0"/>
        </w:rPr>
      </w:pPr>
      <w:r>
        <w:rPr>
          <w:rFonts w:hint="eastAsia"/>
          <w:kern w:val="0"/>
        </w:rPr>
        <w:t>说明：</w:t>
      </w:r>
    </w:p>
    <w:p>
      <w:pPr>
        <w:pStyle w:val="34"/>
        <w:rPr>
          <w:kern w:val="0"/>
        </w:rPr>
      </w:pPr>
      <w:r>
        <w:rPr>
          <w:rFonts w:hint="eastAsia"/>
          <w:kern w:val="0"/>
        </w:rPr>
        <w:t>1.图C处每笔交易按委托编号详细列出，看的真切。单击右上角的小漏斗可按手数、金额过滤，大单尽收眼底。单击左上角，逐笔明细/逐笔还原之间可以无缝切换。 </w:t>
      </w:r>
    </w:p>
    <w:p>
      <w:pPr>
        <w:pStyle w:val="34"/>
        <w:rPr>
          <w:kern w:val="0"/>
        </w:rPr>
      </w:pPr>
      <w:r>
        <w:rPr>
          <w:rFonts w:hint="eastAsia"/>
          <w:kern w:val="0"/>
        </w:rPr>
        <w:t>2.单击图C处逐笔还原中的某笔大单，可调出图D处的成交追踪，可查看主动买、被动买、撤单等详细数据。</w:t>
      </w:r>
    </w:p>
    <w:p>
      <w:pPr>
        <w:pStyle w:val="34"/>
        <w:rPr>
          <w:kern w:val="0"/>
        </w:rPr>
      </w:pPr>
      <w:r>
        <w:rPr>
          <w:rFonts w:hint="eastAsia"/>
          <w:kern w:val="0"/>
        </w:rPr>
        <w:t> </w:t>
      </w:r>
    </w:p>
    <w:p>
      <w:pPr>
        <w:pStyle w:val="34"/>
        <w:rPr>
          <w:kern w:val="0"/>
        </w:rPr>
      </w:pPr>
      <w:r>
        <w:rPr>
          <w:rFonts w:hint="eastAsia"/>
          <w:kern w:val="0"/>
        </w:rPr>
        <w:t>TIPS： </w:t>
      </w:r>
    </w:p>
    <w:p>
      <w:pPr>
        <w:pStyle w:val="34"/>
        <w:rPr>
          <w:kern w:val="0"/>
        </w:rPr>
      </w:pPr>
      <w:r>
        <w:rPr>
          <w:rFonts w:hint="eastAsia"/>
          <w:kern w:val="0"/>
        </w:rPr>
        <w:t>价格后面的上下箭头表示此笔成交的成交价相对上一笔成交的成交价的上涨或下跌情况。 </w:t>
      </w:r>
    </w:p>
    <w:p>
      <w:pPr>
        <w:pStyle w:val="34"/>
        <w:rPr>
          <w:kern w:val="0"/>
        </w:rPr>
      </w:pPr>
      <w:r>
        <w:rPr>
          <w:rFonts w:hint="eastAsia"/>
          <w:kern w:val="0"/>
        </w:rPr>
        <w:t>成交量后面的BS标识表示此笔成交是主动性买还是主动性卖。 </w:t>
      </w:r>
    </w:p>
    <w:p>
      <w:pPr>
        <w:pStyle w:val="34"/>
        <w:rPr>
          <w:kern w:val="0"/>
        </w:rPr>
      </w:pPr>
      <w:r>
        <w:rPr>
          <w:rFonts w:hint="eastAsia"/>
          <w:kern w:val="0"/>
        </w:rPr>
        <w:t>如果量以万为单位显示,成交量区表示的是成交金额。</w:t>
      </w:r>
    </w:p>
    <w:p>
      <w:pPr>
        <w:pStyle w:val="34"/>
        <w:rPr>
          <w:kern w:val="0"/>
        </w:rPr>
      </w:pPr>
      <w:r>
        <w:rPr>
          <w:rFonts w:hint="eastAsia"/>
          <w:kern w:val="0"/>
        </w:rPr>
        <w:t>逐笔还原时，买量区和卖量区出现方框、暗红绿底框、亮红绿底框，这表示相邻成交单是同一个买委托或卖委托。 </w:t>
      </w:r>
    </w:p>
    <w:p>
      <w:pPr>
        <w:pStyle w:val="34"/>
        <w:rPr>
          <w:kern w:val="0"/>
        </w:rPr>
      </w:pPr>
      <w:r>
        <w:rPr>
          <w:rFonts w:hint="eastAsia"/>
          <w:kern w:val="0"/>
        </w:rPr>
        <w:t>方框中的数字表示合并后的总成交量和成交金额。</w:t>
      </w:r>
    </w:p>
    <w:p>
      <w:pPr>
        <w:pStyle w:val="34"/>
        <w:rPr>
          <w:kern w:val="0"/>
        </w:rPr>
      </w:pPr>
      <w:r>
        <w:rPr>
          <w:rFonts w:hint="eastAsia"/>
          <w:kern w:val="0"/>
        </w:rPr>
        <w:t>超大单还原(如下图亮红/绿底)：成交量大于或等于3000手 或 成交金额大于或等于90万元。 </w:t>
      </w:r>
      <w:r>
        <w:rPr>
          <w:kern w:val="0"/>
        </w:rPr>
        <w:fldChar w:fldCharType="begin"/>
      </w:r>
      <w:r>
        <w:rPr>
          <w:kern w:val="0"/>
        </w:rPr>
        <w:instrText xml:space="preserve"> INCLUDEPICTURE  "https://www.tdx.com.cn/products/helpfile/tdxw/chm/%E7%AC%AC%E5%85%AD%E7%AB%A0  %E5%9F%BA%E7%A1%80%E7%89%88%E5%8A%9F%E8%83%BD/6-6/3.png" \* MERGEFORMATINET </w:instrText>
      </w:r>
      <w:r>
        <w:rPr>
          <w:kern w:val="0"/>
        </w:rPr>
        <w:fldChar w:fldCharType="separate"/>
      </w:r>
      <w:r>
        <w:rPr>
          <w:kern w:val="0"/>
        </w:rPr>
        <w:fldChar w:fldCharType="begin"/>
      </w:r>
      <w:r>
        <w:rPr>
          <w:kern w:val="0"/>
        </w:rPr>
        <w:instrText xml:space="preserve"> INCLUDEPICTURE  "https://www.tdx.com.cn/products/helpfile/tdxw/chm/%E7%AC%AC%E5%85%AD%E7%AB%A0  %E5%9F%BA%E7%A1%80%E7%89%88%E5%8A%9F%E8%83%BD/6-6/3.png" \* MERGEFORMATINET </w:instrText>
      </w:r>
      <w:r>
        <w:rPr>
          <w:kern w:val="0"/>
        </w:rPr>
        <w:fldChar w:fldCharType="separate"/>
      </w:r>
      <w:r>
        <w:rPr>
          <w:kern w:val="0"/>
        </w:rPr>
        <w:fldChar w:fldCharType="begin"/>
      </w:r>
      <w:r>
        <w:rPr>
          <w:kern w:val="0"/>
        </w:rPr>
        <w:instrText xml:space="preserve"> INCLUDEPICTURE  "https://www.tdx.com.cn/products/helpfile/tdxw/chm/%E7%AC%AC%E5%85%AD%E7%AB%A0  %E5%9F%BA%E7%A1%80%E7%89%88%E5%8A%9F%E8%83%BD/6-6/3.png" \* MERGEFORMATINET </w:instrText>
      </w:r>
      <w:r>
        <w:rPr>
          <w:kern w:val="0"/>
        </w:rPr>
        <w:fldChar w:fldCharType="separate"/>
      </w:r>
      <w:r>
        <w:rPr>
          <w:kern w:val="0"/>
        </w:rPr>
        <w:fldChar w:fldCharType="begin"/>
      </w:r>
      <w:r>
        <w:rPr>
          <w:kern w:val="0"/>
        </w:rPr>
        <w:instrText xml:space="preserve"> INCLUDEPICTURE  "https://www.tdx.com.cn/products/helpfile/tdxw/chm/%E7%AC%AC%E5%85%AD%E7%AB%A0  %E5%9F%BA%E7%A1%80%E7%89%88%E5%8A%9F%E8%83%BD/6-6/3.png" \* MERGEFORMATINET </w:instrText>
      </w:r>
      <w:r>
        <w:rPr>
          <w:kern w:val="0"/>
        </w:rPr>
        <w:fldChar w:fldCharType="separate"/>
      </w:r>
      <w:r>
        <w:rPr>
          <w:kern w:val="0"/>
        </w:rPr>
        <w:drawing>
          <wp:inline distT="0" distB="0" distL="114300" distR="114300">
            <wp:extent cx="3409950" cy="628650"/>
            <wp:effectExtent l="0" t="0" r="0" b="0"/>
            <wp:docPr id="501" name="图片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图片 501"/>
                    <pic:cNvPicPr>
                      <a:picLocks noChangeAspect="1"/>
                    </pic:cNvPicPr>
                  </pic:nvPicPr>
                  <pic:blipFill>
                    <a:blip r:embed="rId932" r:link="rId933"/>
                    <a:stretch>
                      <a:fillRect/>
                    </a:stretch>
                  </pic:blipFill>
                  <pic:spPr>
                    <a:xfrm>
                      <a:off x="0" y="0"/>
                      <a:ext cx="3409950" cy="628650"/>
                    </a:xfrm>
                    <a:prstGeom prst="rect">
                      <a:avLst/>
                    </a:prstGeom>
                    <a:noFill/>
                    <a:ln>
                      <a:noFill/>
                    </a:ln>
                  </pic:spPr>
                </pic:pic>
              </a:graphicData>
            </a:graphic>
          </wp:inline>
        </w:drawing>
      </w:r>
      <w:r>
        <w:rPr>
          <w:kern w:val="0"/>
        </w:rPr>
        <w:fldChar w:fldCharType="end"/>
      </w:r>
      <w:r>
        <w:rPr>
          <w:kern w:val="0"/>
        </w:rPr>
        <w:fldChar w:fldCharType="end"/>
      </w:r>
      <w:r>
        <w:rPr>
          <w:kern w:val="0"/>
        </w:rPr>
        <w:fldChar w:fldCharType="end"/>
      </w:r>
      <w:r>
        <w:rPr>
          <w:kern w:val="0"/>
        </w:rPr>
        <w:fldChar w:fldCharType="end"/>
      </w:r>
    </w:p>
    <w:p>
      <w:pPr>
        <w:pStyle w:val="34"/>
        <w:rPr>
          <w:kern w:val="0"/>
        </w:rPr>
      </w:pPr>
      <w:r>
        <w:rPr>
          <w:rFonts w:hint="eastAsia"/>
          <w:kern w:val="0"/>
        </w:rPr>
        <w:t>大单还原(如下图暗红/绿底)：成交量大于或等于1000手 或 成交金额大于或等于30万元。 </w:t>
      </w:r>
      <w:r>
        <w:rPr>
          <w:kern w:val="0"/>
        </w:rPr>
        <w:fldChar w:fldCharType="begin"/>
      </w:r>
      <w:r>
        <w:rPr>
          <w:kern w:val="0"/>
        </w:rPr>
        <w:instrText xml:space="preserve"> INCLUDEPICTURE  "https://www.tdx.com.cn/products/helpfile/tdxw/chm/%E7%AC%AC%E5%85%AD%E7%AB%A0  %E5%9F%BA%E7%A1%80%E7%89%88%E5%8A%9F%E8%83%BD/6-6/4.png" \* MERGEFORMATINET </w:instrText>
      </w:r>
      <w:r>
        <w:rPr>
          <w:kern w:val="0"/>
        </w:rPr>
        <w:fldChar w:fldCharType="separate"/>
      </w:r>
      <w:r>
        <w:rPr>
          <w:kern w:val="0"/>
        </w:rPr>
        <w:fldChar w:fldCharType="begin"/>
      </w:r>
      <w:r>
        <w:rPr>
          <w:kern w:val="0"/>
        </w:rPr>
        <w:instrText xml:space="preserve"> INCLUDEPICTURE  "https://www.tdx.com.cn/products/helpfile/tdxw/chm/%E7%AC%AC%E5%85%AD%E7%AB%A0  %E5%9F%BA%E7%A1%80%E7%89%88%E5%8A%9F%E8%83%BD/6-6/4.png" \* MERGEFORMATINET </w:instrText>
      </w:r>
      <w:r>
        <w:rPr>
          <w:kern w:val="0"/>
        </w:rPr>
        <w:fldChar w:fldCharType="separate"/>
      </w:r>
      <w:r>
        <w:rPr>
          <w:kern w:val="0"/>
        </w:rPr>
        <w:fldChar w:fldCharType="begin"/>
      </w:r>
      <w:r>
        <w:rPr>
          <w:kern w:val="0"/>
        </w:rPr>
        <w:instrText xml:space="preserve"> INCLUDEPICTURE  "https://www.tdx.com.cn/products/helpfile/tdxw/chm/%E7%AC%AC%E5%85%AD%E7%AB%A0  %E5%9F%BA%E7%A1%80%E7%89%88%E5%8A%9F%E8%83%BD/6-6/4.png" \* MERGEFORMATINET </w:instrText>
      </w:r>
      <w:r>
        <w:rPr>
          <w:kern w:val="0"/>
        </w:rPr>
        <w:fldChar w:fldCharType="separate"/>
      </w:r>
      <w:r>
        <w:rPr>
          <w:kern w:val="0"/>
        </w:rPr>
        <w:fldChar w:fldCharType="begin"/>
      </w:r>
      <w:r>
        <w:rPr>
          <w:kern w:val="0"/>
        </w:rPr>
        <w:instrText xml:space="preserve"> INCLUDEPICTURE  "https://www.tdx.com.cn/products/helpfile/tdxw/chm/%E7%AC%AC%E5%85%AD%E7%AB%A0  %E5%9F%BA%E7%A1%80%E7%89%88%E5%8A%9F%E8%83%BD/6-6/4.png" \* MERGEFORMATINET </w:instrText>
      </w:r>
      <w:r>
        <w:rPr>
          <w:kern w:val="0"/>
        </w:rPr>
        <w:fldChar w:fldCharType="separate"/>
      </w:r>
      <w:r>
        <w:rPr>
          <w:kern w:val="0"/>
        </w:rPr>
        <w:drawing>
          <wp:inline distT="0" distB="0" distL="114300" distR="114300">
            <wp:extent cx="3390900" cy="819150"/>
            <wp:effectExtent l="0" t="0" r="0" b="0"/>
            <wp:docPr id="502" name="图片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图片 502"/>
                    <pic:cNvPicPr>
                      <a:picLocks noChangeAspect="1"/>
                    </pic:cNvPicPr>
                  </pic:nvPicPr>
                  <pic:blipFill>
                    <a:blip r:embed="rId934" r:link="rId935"/>
                    <a:stretch>
                      <a:fillRect/>
                    </a:stretch>
                  </pic:blipFill>
                  <pic:spPr>
                    <a:xfrm>
                      <a:off x="0" y="0"/>
                      <a:ext cx="3390900" cy="819150"/>
                    </a:xfrm>
                    <a:prstGeom prst="rect">
                      <a:avLst/>
                    </a:prstGeom>
                    <a:noFill/>
                    <a:ln>
                      <a:noFill/>
                    </a:ln>
                  </pic:spPr>
                </pic:pic>
              </a:graphicData>
            </a:graphic>
          </wp:inline>
        </w:drawing>
      </w:r>
      <w:r>
        <w:rPr>
          <w:kern w:val="0"/>
        </w:rPr>
        <w:fldChar w:fldCharType="end"/>
      </w:r>
      <w:r>
        <w:rPr>
          <w:kern w:val="0"/>
        </w:rPr>
        <w:fldChar w:fldCharType="end"/>
      </w:r>
      <w:r>
        <w:rPr>
          <w:kern w:val="0"/>
        </w:rPr>
        <w:fldChar w:fldCharType="end"/>
      </w:r>
      <w:r>
        <w:rPr>
          <w:kern w:val="0"/>
        </w:rPr>
        <w:fldChar w:fldCharType="end"/>
      </w:r>
    </w:p>
    <w:p>
      <w:pPr>
        <w:pStyle w:val="34"/>
      </w:pPr>
      <w:r>
        <w:rPr>
          <w:rFonts w:hint="eastAsia"/>
          <w:kern w:val="0"/>
        </w:rPr>
        <w:t>普通框表示中单或小单。</w:t>
      </w:r>
    </w:p>
    <w:p>
      <w:pPr>
        <w:pStyle w:val="3"/>
      </w:pPr>
      <w:r>
        <w:rPr>
          <w:rFonts w:hint="eastAsia"/>
        </w:rPr>
        <w:t>历史超盘</w:t>
      </w:r>
    </w:p>
    <w:p>
      <w:pPr>
        <w:pStyle w:val="34"/>
        <w:rPr>
          <w:kern w:val="0"/>
        </w:rPr>
      </w:pPr>
      <w:r>
        <w:rPr>
          <w:rFonts w:hint="eastAsia"/>
        </w:rPr>
        <w:t>打开方式：</w:t>
      </w:r>
      <w:r>
        <w:rPr>
          <w:kern w:val="0"/>
        </w:rPr>
        <w:t xml:space="preserve">A快捷键43 ；B分时图点击“超盘”；C分时图点右键——超级盘回放； D历史K线图右上角——超盘 </w:t>
      </w:r>
    </w:p>
    <w:p>
      <w:pPr>
        <w:pStyle w:val="34"/>
      </w:pPr>
      <w:r>
        <w:rPr>
          <w:rFonts w:hint="eastAsia"/>
        </w:rPr>
        <w:t>释义：用于回溯个股近2年盘口变化，为用户提供完整准确的盘口信息。</w:t>
      </w:r>
    </w:p>
    <w:p>
      <w:pPr>
        <w:pStyle w:val="34"/>
      </w:pPr>
      <w:r>
        <w:rPr>
          <w:rFonts w:hint="eastAsia"/>
        </w:rPr>
        <w:t>【历史操盘及盘口回溯】</w:t>
      </w:r>
    </w:p>
    <w:p>
      <w:pPr>
        <w:pStyle w:val="34"/>
      </w:pPr>
      <w:r>
        <w:fldChar w:fldCharType="begin"/>
      </w:r>
      <w:r>
        <w:instrText xml:space="preserve"> INCLUDEPICTURE  "https://www.tdx.com.cn/products/helpfile/tdxw/chm/%E7%AC%AC%E5%85%AD%E7%AB%A0  %E5%9F%BA%E7%A1%80%E7%89%88%E5%8A%9F%E8%83%BD/6-7/1.png" \* MERGEFORMATINET </w:instrText>
      </w:r>
      <w:r>
        <w:fldChar w:fldCharType="separate"/>
      </w:r>
      <w:r>
        <w:fldChar w:fldCharType="begin"/>
      </w:r>
      <w:r>
        <w:instrText xml:space="preserve"> INCLUDEPICTURE  "https://www.tdx.com.cn/products/helpfile/tdxw/chm/%E7%AC%AC%E5%85%AD%E7%AB%A0  %E5%9F%BA%E7%A1%80%E7%89%88%E5%8A%9F%E8%83%BD/6-7/1.png" \* MERGEFORMATINET </w:instrText>
      </w:r>
      <w:r>
        <w:fldChar w:fldCharType="separate"/>
      </w:r>
      <w:r>
        <w:fldChar w:fldCharType="begin"/>
      </w:r>
      <w:r>
        <w:instrText xml:space="preserve"> INCLUDEPICTURE  "https://www.tdx.com.cn/products/helpfile/tdxw/chm/%E7%AC%AC%E5%85%AD%E7%AB%A0  %E5%9F%BA%E7%A1%80%E7%89%88%E5%8A%9F%E8%83%BD/6-7/1.png" \* MERGEFORMATINET </w:instrText>
      </w:r>
      <w:r>
        <w:fldChar w:fldCharType="separate"/>
      </w:r>
      <w:r>
        <w:fldChar w:fldCharType="begin"/>
      </w:r>
      <w:r>
        <w:instrText xml:space="preserve"> INCLUDEPICTURE  "https://www.tdx.com.cn/products/helpfile/tdxw/chm/%E7%AC%AC%E5%85%AD%E7%AB%A0  %E5%9F%BA%E7%A1%80%E7%89%88%E5%8A%9F%E8%83%BD/6-7/1.png" \* MERGEFORMATINET </w:instrText>
      </w:r>
      <w:r>
        <w:fldChar w:fldCharType="separate"/>
      </w:r>
      <w:r>
        <w:drawing>
          <wp:inline distT="0" distB="0" distL="114300" distR="114300">
            <wp:extent cx="7581900" cy="5324475"/>
            <wp:effectExtent l="0" t="0" r="0" b="9525"/>
            <wp:docPr id="503" name="图片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图片 503"/>
                    <pic:cNvPicPr>
                      <a:picLocks noChangeAspect="1"/>
                    </pic:cNvPicPr>
                  </pic:nvPicPr>
                  <pic:blipFill>
                    <a:blip r:embed="rId936" r:link="rId937"/>
                    <a:stretch>
                      <a:fillRect/>
                    </a:stretch>
                  </pic:blipFill>
                  <pic:spPr>
                    <a:xfrm>
                      <a:off x="0" y="0"/>
                      <a:ext cx="7581900" cy="5324475"/>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说明：</w:t>
      </w:r>
    </w:p>
    <w:p>
      <w:pPr>
        <w:pStyle w:val="34"/>
      </w:pPr>
      <w:r>
        <w:rPr>
          <w:rFonts w:hint="eastAsia"/>
        </w:rPr>
        <w:t>1.界面右上方菜单栏中，点击"超盘"即可进入"超级盘口"功能。</w:t>
      </w:r>
    </w:p>
    <w:p>
      <w:pPr>
        <w:pStyle w:val="34"/>
      </w:pPr>
      <w:r>
        <w:rPr>
          <w:rFonts w:hint="eastAsia"/>
        </w:rPr>
        <w:t>2.用户可通过移动蓝色光标来对任意时点的盘口信息进行全面回溯。</w:t>
      </w:r>
    </w:p>
    <w:p>
      <w:pPr>
        <w:pStyle w:val="34"/>
      </w:pPr>
      <w:r>
        <w:rPr>
          <w:rFonts w:hint="eastAsia"/>
        </w:rPr>
        <w:t>3.行情信息、十档挂单、买卖队列，逐笔成交、逐笔委托数据将会完整呈现。</w:t>
      </w:r>
    </w:p>
    <w:p>
      <w:pPr>
        <w:pStyle w:val="34"/>
      </w:pPr>
      <w:r>
        <w:rPr>
          <w:rFonts w:hint="eastAsia"/>
        </w:rPr>
        <w:t>【多日超盘】</w:t>
      </w:r>
    </w:p>
    <w:p>
      <w:pPr>
        <w:pStyle w:val="34"/>
      </w:pPr>
      <w:r>
        <w:fldChar w:fldCharType="begin"/>
      </w:r>
      <w:r>
        <w:instrText xml:space="preserve"> INCLUDEPICTURE  "https://www.tdx.com.cn/products/helpfile/tdxw/chm/%E7%AC%AC%E5%85%AD%E7%AB%A0  %E5%9F%BA%E7%A1%80%E7%89%88%E5%8A%9F%E8%83%BD/6-7/2.png" \* MERGEFORMATINET </w:instrText>
      </w:r>
      <w:r>
        <w:fldChar w:fldCharType="separate"/>
      </w:r>
      <w:r>
        <w:fldChar w:fldCharType="begin"/>
      </w:r>
      <w:r>
        <w:instrText xml:space="preserve"> INCLUDEPICTURE  "https://www.tdx.com.cn/products/helpfile/tdxw/chm/%E7%AC%AC%E5%85%AD%E7%AB%A0  %E5%9F%BA%E7%A1%80%E7%89%88%E5%8A%9F%E8%83%BD/6-7/2.png" \* MERGEFORMATINET </w:instrText>
      </w:r>
      <w:r>
        <w:fldChar w:fldCharType="separate"/>
      </w:r>
      <w:r>
        <w:fldChar w:fldCharType="begin"/>
      </w:r>
      <w:r>
        <w:instrText xml:space="preserve"> INCLUDEPICTURE  "https://www.tdx.com.cn/products/helpfile/tdxw/chm/%E7%AC%AC%E5%85%AD%E7%AB%A0  %E5%9F%BA%E7%A1%80%E7%89%88%E5%8A%9F%E8%83%BD/6-7/2.png" \* MERGEFORMATINET </w:instrText>
      </w:r>
      <w:r>
        <w:fldChar w:fldCharType="separate"/>
      </w:r>
      <w:r>
        <w:fldChar w:fldCharType="begin"/>
      </w:r>
      <w:r>
        <w:instrText xml:space="preserve"> INCLUDEPICTURE  "https://www.tdx.com.cn/products/helpfile/tdxw/chm/%E7%AC%AC%E5%85%AD%E7%AB%A0  %E5%9F%BA%E7%A1%80%E7%89%88%E5%8A%9F%E8%83%BD/6-7/2.png" \* MERGEFORMATINET </w:instrText>
      </w:r>
      <w:r>
        <w:fldChar w:fldCharType="separate"/>
      </w:r>
      <w:r>
        <w:drawing>
          <wp:inline distT="0" distB="0" distL="114300" distR="114300">
            <wp:extent cx="7562850" cy="5295900"/>
            <wp:effectExtent l="0" t="0" r="0" b="0"/>
            <wp:docPr id="504" name="图片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图片 504"/>
                    <pic:cNvPicPr>
                      <a:picLocks noChangeAspect="1"/>
                    </pic:cNvPicPr>
                  </pic:nvPicPr>
                  <pic:blipFill>
                    <a:blip r:embed="rId938" r:link="rId939"/>
                    <a:stretch>
                      <a:fillRect/>
                    </a:stretch>
                  </pic:blipFill>
                  <pic:spPr>
                    <a:xfrm>
                      <a:off x="0" y="0"/>
                      <a:ext cx="7562850" cy="5295900"/>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说明：</w:t>
      </w:r>
    </w:p>
    <w:p>
      <w:pPr>
        <w:pStyle w:val="34"/>
      </w:pPr>
      <w:r>
        <w:rPr>
          <w:rFonts w:hint="eastAsia"/>
        </w:rPr>
        <w:t>1.在分时图界面点击鼠标右键，在"多日闪电图"中，可选择"最近1-20日"的闪电图进行查看。</w:t>
      </w:r>
    </w:p>
    <w:p>
      <w:pPr>
        <w:pStyle w:val="34"/>
      </w:pPr>
      <w:r>
        <w:rPr>
          <w:rFonts w:hint="eastAsia"/>
        </w:rPr>
        <w:t>2.当选择多日闪电图后（以5日为例），用户依旧可通过移动蓝色光标来查看过去5日内任意时间节点的盘口数据。</w:t>
      </w:r>
    </w:p>
    <w:p>
      <w:pPr>
        <w:pStyle w:val="34"/>
      </w:pPr>
      <w:r>
        <w:rPr>
          <w:rFonts w:hint="eastAsia"/>
        </w:rPr>
        <w:t>【微调模式】</w:t>
      </w:r>
    </w:p>
    <w:p>
      <w:pPr>
        <w:pStyle w:val="34"/>
      </w:pPr>
      <w:r>
        <w:fldChar w:fldCharType="begin"/>
      </w:r>
      <w:r>
        <w:instrText xml:space="preserve"> INCLUDEPICTURE  "https://www.tdx.com.cn/products/helpfile/tdxw/chm/%E7%AC%AC%E5%85%AD%E7%AB%A0  %E5%9F%BA%E7%A1%80%E7%89%88%E5%8A%9F%E8%83%BD/6-7/3.png" \* MERGEFORMATINET </w:instrText>
      </w:r>
      <w:r>
        <w:fldChar w:fldCharType="separate"/>
      </w:r>
      <w:r>
        <w:fldChar w:fldCharType="begin"/>
      </w:r>
      <w:r>
        <w:instrText xml:space="preserve"> INCLUDEPICTURE  "https://www.tdx.com.cn/products/helpfile/tdxw/chm/%E7%AC%AC%E5%85%AD%E7%AB%A0  %E5%9F%BA%E7%A1%80%E7%89%88%E5%8A%9F%E8%83%BD/6-7/3.png" \* MERGEFORMATINET </w:instrText>
      </w:r>
      <w:r>
        <w:fldChar w:fldCharType="separate"/>
      </w:r>
      <w:r>
        <w:fldChar w:fldCharType="begin"/>
      </w:r>
      <w:r>
        <w:instrText xml:space="preserve"> INCLUDEPICTURE  "https://www.tdx.com.cn/products/helpfile/tdxw/chm/%E7%AC%AC%E5%85%AD%E7%AB%A0  %E5%9F%BA%E7%A1%80%E7%89%88%E5%8A%9F%E8%83%BD/6-7/3.png" \* MERGEFORMATINET </w:instrText>
      </w:r>
      <w:r>
        <w:fldChar w:fldCharType="separate"/>
      </w:r>
      <w:r>
        <w:fldChar w:fldCharType="begin"/>
      </w:r>
      <w:r>
        <w:instrText xml:space="preserve"> INCLUDEPICTURE  "https://www.tdx.com.cn/products/helpfile/tdxw/chm/%E7%AC%AC%E5%85%AD%E7%AB%A0  %E5%9F%BA%E7%A1%80%E7%89%88%E5%8A%9F%E8%83%BD/6-7/3.png" \* MERGEFORMATINET </w:instrText>
      </w:r>
      <w:r>
        <w:fldChar w:fldCharType="separate"/>
      </w:r>
      <w:r>
        <w:drawing>
          <wp:inline distT="0" distB="0" distL="114300" distR="114300">
            <wp:extent cx="7200900" cy="5067300"/>
            <wp:effectExtent l="0" t="0" r="0" b="0"/>
            <wp:docPr id="505" name="图片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图片 505"/>
                    <pic:cNvPicPr>
                      <a:picLocks noChangeAspect="1"/>
                    </pic:cNvPicPr>
                  </pic:nvPicPr>
                  <pic:blipFill>
                    <a:blip r:embed="rId940" r:link="rId941"/>
                    <a:stretch>
                      <a:fillRect/>
                    </a:stretch>
                  </pic:blipFill>
                  <pic:spPr>
                    <a:xfrm>
                      <a:off x="0" y="0"/>
                      <a:ext cx="7200900" cy="5067300"/>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说明：</w:t>
      </w:r>
    </w:p>
    <w:p>
      <w:pPr>
        <w:pStyle w:val="34"/>
      </w:pPr>
      <w:r>
        <w:rPr>
          <w:rFonts w:hint="eastAsia"/>
        </w:rPr>
        <w:t>1."超级盘口"默认为"鼠标浏览模式"，当用户需要进行更加精准的时间选择时，可双击鼠标左键进入"微调模式"。</w:t>
      </w:r>
    </w:p>
    <w:p>
      <w:pPr>
        <w:pStyle w:val="34"/>
      </w:pPr>
      <w:r>
        <w:rPr>
          <w:rFonts w:hint="eastAsia"/>
        </w:rPr>
        <w:t>2.在"微调模式"中，可通过键盘按键"←"及"→"以"3秒"为单位逐格移动蓝色光标，精准选择时间节点，也可在按住Ctrl键的同时以键盘按键"←"及"→"快速移动光标。</w:t>
      </w:r>
    </w:p>
    <w:p>
      <w:pPr>
        <w:pStyle w:val="34"/>
      </w:pPr>
      <w:r>
        <w:rPr>
          <w:rFonts w:hint="eastAsia"/>
        </w:rPr>
        <w:t>3.在"鼠标浏览模式"和"微调模式"中，都可通过键盘按键"Home"和"End"来放大及缩小分时图。</w:t>
      </w:r>
    </w:p>
    <w:p>
      <w:pPr>
        <w:pStyle w:val="34"/>
      </w:pPr>
      <w:r>
        <w:rPr>
          <w:rFonts w:hint="eastAsia"/>
        </w:rPr>
        <w:t>【快捷操作】</w:t>
      </w:r>
    </w:p>
    <w:p>
      <w:pPr>
        <w:pStyle w:val="34"/>
      </w:pPr>
      <w:r>
        <w:rPr>
          <w:rFonts w:hint="eastAsia"/>
        </w:rPr>
        <w:t>←：左移光标；</w:t>
      </w:r>
    </w:p>
    <w:p>
      <w:pPr>
        <w:pStyle w:val="34"/>
      </w:pPr>
      <w:r>
        <w:rPr>
          <w:rFonts w:hint="eastAsia"/>
        </w:rPr>
        <w:t>→：右移光标；</w:t>
      </w:r>
    </w:p>
    <w:p>
      <w:pPr>
        <w:pStyle w:val="34"/>
      </w:pPr>
      <w:r>
        <w:rPr>
          <w:rFonts w:hint="eastAsia"/>
        </w:rPr>
        <w:t>Ctrl+←：快速左移光标；</w:t>
      </w:r>
    </w:p>
    <w:p>
      <w:pPr>
        <w:pStyle w:val="34"/>
      </w:pPr>
      <w:r>
        <w:rPr>
          <w:rFonts w:hint="eastAsia"/>
        </w:rPr>
        <w:t>Ctrl+→：快速右移光标；</w:t>
      </w:r>
    </w:p>
    <w:p>
      <w:pPr>
        <w:pStyle w:val="34"/>
      </w:pPr>
      <w:r>
        <w:rPr>
          <w:rFonts w:hint="eastAsia"/>
        </w:rPr>
        <w:t>↑：鼠标移至逐笔还原、逐笔委托窗口，按此键可向上翻页；</w:t>
      </w:r>
    </w:p>
    <w:p>
      <w:pPr>
        <w:pStyle w:val="34"/>
      </w:pPr>
      <w:r>
        <w:rPr>
          <w:rFonts w:hint="eastAsia"/>
        </w:rPr>
        <w:t>↓：鼠标移至逐笔还原、逐笔委托窗口，按此键可向下翻页；</w:t>
      </w:r>
    </w:p>
    <w:p>
      <w:pPr>
        <w:pStyle w:val="34"/>
      </w:pPr>
      <w:r>
        <w:rPr>
          <w:rFonts w:hint="eastAsia"/>
        </w:rPr>
        <w:t>Home：放大分时图；</w:t>
      </w:r>
    </w:p>
    <w:p>
      <w:pPr>
        <w:pStyle w:val="34"/>
      </w:pPr>
      <w:r>
        <w:rPr>
          <w:rFonts w:hint="eastAsia"/>
        </w:rPr>
        <w:t>End：缩小分时图；</w:t>
      </w:r>
    </w:p>
    <w:p>
      <w:pPr>
        <w:pStyle w:val="34"/>
      </w:pPr>
      <w:r>
        <w:rPr>
          <w:rFonts w:hint="eastAsia"/>
        </w:rPr>
        <w:t>Ctrl+ Home：光标跳转至第一个价量点；</w:t>
      </w:r>
    </w:p>
    <w:p>
      <w:pPr>
        <w:pStyle w:val="34"/>
      </w:pPr>
      <w:r>
        <w:rPr>
          <w:rFonts w:hint="eastAsia"/>
        </w:rPr>
        <w:t>Ctrl+ End：光标跳转至最后一个价量点；</w:t>
      </w:r>
    </w:p>
    <w:p>
      <w:pPr>
        <w:pStyle w:val="3"/>
      </w:pPr>
      <w:bookmarkStart w:id="76" w:name="_Toc90646198"/>
      <w:r>
        <w:rPr>
          <w:rFonts w:hint="eastAsia"/>
        </w:rPr>
        <w:t>发现功能</w:t>
      </w:r>
      <w:bookmarkEnd w:id="76"/>
    </w:p>
    <w:p>
      <w:pPr>
        <w:pStyle w:val="34"/>
        <w:rPr>
          <w:kern w:val="0"/>
        </w:rPr>
      </w:pPr>
      <w:r>
        <w:rPr>
          <w:rFonts w:hint="eastAsia"/>
          <w:kern w:val="0"/>
        </w:rPr>
        <w:t>打开方式：</w:t>
      </w:r>
    </w:p>
    <w:p>
      <w:pPr>
        <w:pStyle w:val="34"/>
        <w:rPr>
          <w:kern w:val="0"/>
        </w:rPr>
      </w:pPr>
      <w:r>
        <w:rPr>
          <w:rFonts w:hint="eastAsia"/>
          <w:kern w:val="0"/>
        </w:rPr>
        <w:t>点击菜单栏的“发现”按纽 </w:t>
      </w:r>
      <w:r>
        <w:rPr>
          <w:kern w:val="0"/>
        </w:rPr>
        <w:fldChar w:fldCharType="begin"/>
      </w:r>
      <w:r>
        <w:rPr>
          <w:kern w:val="0"/>
        </w:rPr>
        <w:instrText xml:space="preserve"> INCLUDEPICTURE  "https://www.tdx.com.cn/products/helpfile/tdxw/chm/%E7%AC%AC%E5%85%AD%E7%AB%A0  %E5%9F%BA%E7%A1%80%E7%89%88%E5%8A%9F%E8%83%BD/6-8/0.3.png" \* MERGEFORMATINET </w:instrText>
      </w:r>
      <w:r>
        <w:rPr>
          <w:kern w:val="0"/>
        </w:rPr>
        <w:fldChar w:fldCharType="separate"/>
      </w:r>
      <w:r>
        <w:rPr>
          <w:kern w:val="0"/>
        </w:rPr>
        <w:fldChar w:fldCharType="begin"/>
      </w:r>
      <w:r>
        <w:rPr>
          <w:kern w:val="0"/>
        </w:rPr>
        <w:instrText xml:space="preserve"> INCLUDEPICTURE  "https://www.tdx.com.cn/products/helpfile/tdxw/chm/%E7%AC%AC%E5%85%AD%E7%AB%A0  %E5%9F%BA%E7%A1%80%E7%89%88%E5%8A%9F%E8%83%BD/6-8/0.3.png" \* MERGEFORMATINET </w:instrText>
      </w:r>
      <w:r>
        <w:rPr>
          <w:kern w:val="0"/>
        </w:rPr>
        <w:fldChar w:fldCharType="separate"/>
      </w:r>
      <w:r>
        <w:rPr>
          <w:kern w:val="0"/>
        </w:rPr>
        <w:fldChar w:fldCharType="begin"/>
      </w:r>
      <w:r>
        <w:rPr>
          <w:kern w:val="0"/>
        </w:rPr>
        <w:instrText xml:space="preserve"> INCLUDEPICTURE  "https://www.tdx.com.cn/products/helpfile/tdxw/chm/%E7%AC%AC%E5%85%AD%E7%AB%A0  %E5%9F%BA%E7%A1%80%E7%89%88%E5%8A%9F%E8%83%BD/6-8/0.3.png" \* MERGEFORMATINET </w:instrText>
      </w:r>
      <w:r>
        <w:rPr>
          <w:kern w:val="0"/>
        </w:rPr>
        <w:fldChar w:fldCharType="separate"/>
      </w:r>
      <w:r>
        <w:rPr>
          <w:kern w:val="0"/>
        </w:rPr>
        <w:fldChar w:fldCharType="begin"/>
      </w:r>
      <w:r>
        <w:rPr>
          <w:kern w:val="0"/>
        </w:rPr>
        <w:instrText xml:space="preserve"> INCLUDEPICTURE  "https://www.tdx.com.cn/products/helpfile/tdxw/chm/%E7%AC%AC%E5%85%AD%E7%AB%A0  %E5%9F%BA%E7%A1%80%E7%89%88%E5%8A%9F%E8%83%BD/6-8/0.3.png" \* MERGEFORMATINET </w:instrText>
      </w:r>
      <w:r>
        <w:rPr>
          <w:kern w:val="0"/>
        </w:rPr>
        <w:fldChar w:fldCharType="separate"/>
      </w:r>
      <w:r>
        <w:rPr>
          <w:kern w:val="0"/>
        </w:rPr>
        <w:drawing>
          <wp:inline distT="0" distB="0" distL="114300" distR="114300">
            <wp:extent cx="4562475" cy="276225"/>
            <wp:effectExtent l="0" t="0" r="9525" b="9525"/>
            <wp:docPr id="506" name="图片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图片 506"/>
                    <pic:cNvPicPr>
                      <a:picLocks noChangeAspect="1"/>
                    </pic:cNvPicPr>
                  </pic:nvPicPr>
                  <pic:blipFill>
                    <a:blip r:embed="rId942" r:link="rId943"/>
                    <a:stretch>
                      <a:fillRect/>
                    </a:stretch>
                  </pic:blipFill>
                  <pic:spPr>
                    <a:xfrm>
                      <a:off x="0" y="0"/>
                      <a:ext cx="4562475" cy="276225"/>
                    </a:xfrm>
                    <a:prstGeom prst="rect">
                      <a:avLst/>
                    </a:prstGeom>
                    <a:noFill/>
                    <a:ln>
                      <a:noFill/>
                    </a:ln>
                  </pic:spPr>
                </pic:pic>
              </a:graphicData>
            </a:graphic>
          </wp:inline>
        </w:drawing>
      </w:r>
      <w:r>
        <w:rPr>
          <w:kern w:val="0"/>
        </w:rPr>
        <w:fldChar w:fldCharType="end"/>
      </w:r>
      <w:r>
        <w:rPr>
          <w:kern w:val="0"/>
        </w:rPr>
        <w:fldChar w:fldCharType="end"/>
      </w:r>
      <w:r>
        <w:rPr>
          <w:kern w:val="0"/>
        </w:rPr>
        <w:fldChar w:fldCharType="end"/>
      </w:r>
      <w:r>
        <w:rPr>
          <w:kern w:val="0"/>
        </w:rPr>
        <w:fldChar w:fldCharType="end"/>
      </w:r>
    </w:p>
    <w:p>
      <w:pPr>
        <w:pStyle w:val="34"/>
        <w:ind w:firstLine="482"/>
        <w:rPr>
          <w:kern w:val="0"/>
        </w:rPr>
      </w:pPr>
      <w:r>
        <w:rPr>
          <w:rFonts w:hint="eastAsia"/>
          <w:b/>
          <w:bCs/>
          <w:kern w:val="0"/>
        </w:rPr>
        <w:t>A、功能介绍：</w:t>
      </w:r>
    </w:p>
    <w:p>
      <w:pPr>
        <w:pStyle w:val="34"/>
        <w:rPr>
          <w:kern w:val="0"/>
        </w:rPr>
      </w:pPr>
      <w:r>
        <w:rPr>
          <w:rFonts w:hint="eastAsia"/>
          <w:kern w:val="0"/>
        </w:rPr>
        <w:t>通达信发现功能是基于通达信云为用户提供的大数据功能组件的个性化定制版面聚合。目前发现功能包括</w:t>
      </w:r>
      <w:r>
        <w:rPr>
          <w:rFonts w:hint="eastAsia"/>
          <w:b/>
          <w:bCs/>
          <w:kern w:val="0"/>
        </w:rPr>
        <w:t>重点关注、财经日历、大盘统计、涨停跌停、研报评级、龙虎榜单、融资融券、增持减持、大宗交易等</w:t>
      </w:r>
      <w:r>
        <w:rPr>
          <w:rFonts w:hint="eastAsia"/>
          <w:kern w:val="0"/>
        </w:rPr>
        <w:t>多个大数据功能分类、多组个性化定制版面。</w:t>
      </w:r>
    </w:p>
    <w:p>
      <w:pPr>
        <w:pStyle w:val="34"/>
        <w:ind w:firstLine="482"/>
        <w:rPr>
          <w:kern w:val="0"/>
        </w:rPr>
      </w:pPr>
      <w:r>
        <w:rPr>
          <w:rFonts w:hint="eastAsia"/>
          <w:b/>
          <w:bCs/>
          <w:kern w:val="0"/>
        </w:rPr>
        <w:t>B、功能界面</w:t>
      </w:r>
    </w:p>
    <w:p>
      <w:pPr>
        <w:pStyle w:val="34"/>
        <w:rPr>
          <w:kern w:val="0"/>
        </w:rPr>
      </w:pPr>
      <w:r>
        <w:rPr>
          <w:rFonts w:hint="eastAsia"/>
          <w:kern w:val="0"/>
        </w:rPr>
        <w:t>最新发现：</w:t>
      </w:r>
    </w:p>
    <w:tbl>
      <w:tblPr>
        <w:tblStyle w:val="25"/>
        <w:tblW w:w="0" w:type="auto"/>
        <w:tblCellSpacing w:w="0" w:type="dxa"/>
        <w:tblInd w:w="0" w:type="dxa"/>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Layout w:type="autofit"/>
        <w:tblCellMar>
          <w:top w:w="0" w:type="dxa"/>
          <w:left w:w="0" w:type="dxa"/>
          <w:bottom w:w="0" w:type="dxa"/>
          <w:right w:w="0" w:type="dxa"/>
        </w:tblCellMar>
      </w:tblPr>
      <w:tblGrid>
        <w:gridCol w:w="1050"/>
        <w:gridCol w:w="11415"/>
      </w:tblGrid>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PrEx>
        <w:trPr>
          <w:tblCellSpacing w:w="0" w:type="dxa"/>
        </w:trPr>
        <w:tc>
          <w:tcPr>
            <w:tcW w:w="1050" w:type="dxa"/>
            <w:tcBorders>
              <w:top w:val="outset" w:color="000000" w:sz="6" w:space="0"/>
              <w:left w:val="outset" w:color="000000" w:sz="6" w:space="0"/>
              <w:bottom w:val="outset" w:color="000000" w:sz="6" w:space="0"/>
              <w:right w:val="outset" w:color="000000" w:sz="6" w:space="0"/>
            </w:tcBorders>
            <w:vAlign w:val="center"/>
          </w:tcPr>
          <w:p>
            <w:pPr>
              <w:pStyle w:val="31"/>
              <w:rPr>
                <w:kern w:val="0"/>
              </w:rPr>
            </w:pPr>
            <w:r>
              <w:rPr>
                <w:rFonts w:hint="eastAsia"/>
                <w:kern w:val="0"/>
              </w:rPr>
              <w:t>最新发现</w:t>
            </w:r>
          </w:p>
        </w:tc>
        <w:tc>
          <w:tcPr>
            <w:tcW w:w="11415" w:type="dxa"/>
            <w:tcBorders>
              <w:top w:val="outset" w:color="000000" w:sz="6" w:space="0"/>
              <w:left w:val="outset" w:color="000000" w:sz="6" w:space="0"/>
              <w:bottom w:val="outset" w:color="000000" w:sz="6" w:space="0"/>
              <w:right w:val="outset" w:color="000000" w:sz="6" w:space="0"/>
            </w:tcBorders>
            <w:vAlign w:val="center"/>
          </w:tcPr>
          <w:p>
            <w:pPr>
              <w:pStyle w:val="31"/>
              <w:rPr>
                <w:kern w:val="0"/>
              </w:rPr>
            </w:pPr>
            <w:r>
              <w:rPr>
                <w:rFonts w:hint="eastAsia"/>
                <w:kern w:val="0"/>
              </w:rPr>
              <w:t>即整个发现功能的一个全景图，用户可点击板块名称直接跳转到相应功能界面。左上角可点击“帮助说明”查看发现具体的说明书。</w:t>
            </w:r>
          </w:p>
        </w:tc>
      </w:tr>
    </w:tbl>
    <w:p>
      <w:pPr>
        <w:pStyle w:val="34"/>
        <w:ind w:firstLine="540"/>
        <w:rPr>
          <w:kern w:val="0"/>
          <w:sz w:val="27"/>
          <w:szCs w:val="27"/>
        </w:rPr>
      </w:pPr>
      <w:r>
        <w:rPr>
          <w:kern w:val="0"/>
          <w:sz w:val="27"/>
          <w:szCs w:val="27"/>
        </w:rPr>
        <w:drawing>
          <wp:inline distT="0" distB="0" distL="114300" distR="114300">
            <wp:extent cx="6743700" cy="4857750"/>
            <wp:effectExtent l="0" t="0" r="0" b="0"/>
            <wp:docPr id="507" name="图片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图片 507"/>
                    <pic:cNvPicPr>
                      <a:picLocks noChangeAspect="1"/>
                    </pic:cNvPicPr>
                  </pic:nvPicPr>
                  <pic:blipFill>
                    <a:blip r:embed="rId944"/>
                    <a:stretch>
                      <a:fillRect/>
                    </a:stretch>
                  </pic:blipFill>
                  <pic:spPr>
                    <a:xfrm>
                      <a:off x="0" y="0"/>
                      <a:ext cx="6743700" cy="4857750"/>
                    </a:xfrm>
                    <a:prstGeom prst="rect">
                      <a:avLst/>
                    </a:prstGeom>
                    <a:noFill/>
                    <a:ln>
                      <a:noFill/>
                    </a:ln>
                  </pic:spPr>
                </pic:pic>
              </a:graphicData>
            </a:graphic>
          </wp:inline>
        </w:drawing>
      </w:r>
    </w:p>
    <w:p>
      <w:pPr>
        <w:pStyle w:val="34"/>
      </w:pPr>
      <w:r>
        <w:rPr>
          <w:rFonts w:hint="eastAsia"/>
        </w:rPr>
        <w:t>板块解读：</w:t>
      </w:r>
    </w:p>
    <w:p>
      <w:pPr>
        <w:pStyle w:val="34"/>
      </w:pPr>
      <w:r>
        <w:rPr>
          <w:rFonts w:hint="eastAsia"/>
        </w:rPr>
        <w:t>“板块解读”该功能主要针对近期热点的宏观、市场、行业、公司方面的信息，进行深度分析板块，阐述相关事件背后的逻辑，让投资者对当下的热点有一个清晰的思路，该功能根据事件信息的性质，分为利好、利空、中性三个方面。</w:t>
      </w:r>
    </w:p>
    <w:p>
      <w:pPr>
        <w:pStyle w:val="34"/>
        <w:rPr>
          <w:kern w:val="0"/>
        </w:rPr>
      </w:pPr>
    </w:p>
    <w:p>
      <w:pPr>
        <w:pStyle w:val="34"/>
        <w:rPr>
          <w:kern w:val="0"/>
        </w:rPr>
      </w:pPr>
      <w:r>
        <w:rPr>
          <w:kern w:val="0"/>
        </w:rPr>
        <w:drawing>
          <wp:inline distT="0" distB="0" distL="114300" distR="114300">
            <wp:extent cx="8562975" cy="6181725"/>
            <wp:effectExtent l="0" t="0" r="9525" b="9525"/>
            <wp:docPr id="508" name="图片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图片 508"/>
                    <pic:cNvPicPr>
                      <a:picLocks noChangeAspect="1"/>
                    </pic:cNvPicPr>
                  </pic:nvPicPr>
                  <pic:blipFill>
                    <a:blip r:embed="rId945"/>
                    <a:stretch>
                      <a:fillRect/>
                    </a:stretch>
                  </pic:blipFill>
                  <pic:spPr>
                    <a:xfrm>
                      <a:off x="0" y="0"/>
                      <a:ext cx="8562975" cy="6181725"/>
                    </a:xfrm>
                    <a:prstGeom prst="rect">
                      <a:avLst/>
                    </a:prstGeom>
                    <a:noFill/>
                    <a:ln>
                      <a:noFill/>
                    </a:ln>
                  </pic:spPr>
                </pic:pic>
              </a:graphicData>
            </a:graphic>
          </wp:inline>
        </w:drawing>
      </w:r>
      <w:r>
        <w:rPr>
          <w:rFonts w:hint="eastAsia"/>
          <w:kern w:val="0"/>
        </w:rPr>
        <w:t>重点关注：</w:t>
      </w:r>
    </w:p>
    <w:tbl>
      <w:tblPr>
        <w:tblStyle w:val="25"/>
        <w:tblW w:w="0" w:type="auto"/>
        <w:tblCellSpacing w:w="0" w:type="dxa"/>
        <w:tblInd w:w="0" w:type="dxa"/>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Layout w:type="autofit"/>
        <w:tblCellMar>
          <w:top w:w="0" w:type="dxa"/>
          <w:left w:w="0" w:type="dxa"/>
          <w:bottom w:w="0" w:type="dxa"/>
          <w:right w:w="0" w:type="dxa"/>
        </w:tblCellMar>
      </w:tblPr>
      <w:tblGrid>
        <w:gridCol w:w="1149"/>
        <w:gridCol w:w="1276"/>
        <w:gridCol w:w="1418"/>
        <w:gridCol w:w="10145"/>
      </w:tblGrid>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149" w:type="dxa"/>
            <w:vMerge w:val="restart"/>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重点关注</w:t>
            </w:r>
          </w:p>
        </w:tc>
        <w:tc>
          <w:tcPr>
            <w:tcW w:w="1276" w:type="dxa"/>
            <w:vMerge w:val="restart"/>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投资机会</w:t>
            </w:r>
          </w:p>
        </w:tc>
        <w:tc>
          <w:tcPr>
            <w:tcW w:w="1418" w:type="dxa"/>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绩价背离</w:t>
            </w:r>
          </w:p>
        </w:tc>
        <w:tc>
          <w:tcPr>
            <w:tcW w:w="10145" w:type="dxa"/>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筛选出公司业绩与股价走势相反的个股，供投资者参考。</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149" w:type="dxa"/>
            <w:vMerge w:val="continue"/>
            <w:tcBorders>
              <w:top w:val="outset" w:color="000000" w:sz="6" w:space="0"/>
              <w:left w:val="outset" w:color="000000" w:sz="6" w:space="0"/>
              <w:bottom w:val="outset" w:color="000000" w:sz="6" w:space="0"/>
              <w:right w:val="outset" w:color="000000" w:sz="6" w:space="0"/>
            </w:tcBorders>
            <w:vAlign w:val="center"/>
          </w:tcPr>
          <w:p>
            <w:pPr>
              <w:rPr>
                <w:kern w:val="0"/>
              </w:rPr>
            </w:pPr>
          </w:p>
        </w:tc>
        <w:tc>
          <w:tcPr>
            <w:tcW w:w="1276" w:type="dxa"/>
            <w:vMerge w:val="continue"/>
            <w:tcBorders>
              <w:top w:val="outset" w:color="000000" w:sz="6" w:space="0"/>
              <w:left w:val="outset" w:color="000000" w:sz="6" w:space="0"/>
              <w:bottom w:val="outset" w:color="000000" w:sz="6" w:space="0"/>
              <w:right w:val="outset" w:color="000000" w:sz="6" w:space="0"/>
            </w:tcBorders>
            <w:vAlign w:val="center"/>
          </w:tcPr>
          <w:p>
            <w:pPr>
              <w:rPr>
                <w:kern w:val="0"/>
              </w:rPr>
            </w:pPr>
          </w:p>
        </w:tc>
        <w:tc>
          <w:tcPr>
            <w:tcW w:w="1418" w:type="dxa"/>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小盘成长</w:t>
            </w:r>
          </w:p>
        </w:tc>
        <w:tc>
          <w:tcPr>
            <w:tcW w:w="10145" w:type="dxa"/>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扣非净利润符合增长率靠前的小流通市值个股</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149" w:type="dxa"/>
            <w:vMerge w:val="continue"/>
            <w:tcBorders>
              <w:top w:val="outset" w:color="000000" w:sz="6" w:space="0"/>
              <w:left w:val="outset" w:color="000000" w:sz="6" w:space="0"/>
              <w:bottom w:val="outset" w:color="000000" w:sz="6" w:space="0"/>
              <w:right w:val="outset" w:color="000000" w:sz="6" w:space="0"/>
            </w:tcBorders>
            <w:vAlign w:val="center"/>
          </w:tcPr>
          <w:p>
            <w:pPr>
              <w:rPr>
                <w:kern w:val="0"/>
              </w:rPr>
            </w:pPr>
          </w:p>
        </w:tc>
        <w:tc>
          <w:tcPr>
            <w:tcW w:w="1276" w:type="dxa"/>
            <w:vMerge w:val="continue"/>
            <w:tcBorders>
              <w:top w:val="outset" w:color="000000" w:sz="6" w:space="0"/>
              <w:left w:val="outset" w:color="000000" w:sz="6" w:space="0"/>
              <w:bottom w:val="outset" w:color="000000" w:sz="6" w:space="0"/>
              <w:right w:val="outset" w:color="000000" w:sz="6" w:space="0"/>
            </w:tcBorders>
            <w:vAlign w:val="center"/>
          </w:tcPr>
          <w:p>
            <w:pPr>
              <w:rPr>
                <w:kern w:val="0"/>
              </w:rPr>
            </w:pPr>
          </w:p>
        </w:tc>
        <w:tc>
          <w:tcPr>
            <w:tcW w:w="1418" w:type="dxa"/>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摘星摘帽</w:t>
            </w:r>
          </w:p>
        </w:tc>
        <w:tc>
          <w:tcPr>
            <w:tcW w:w="10145" w:type="dxa"/>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上市公司最近年度财务状况恢复正常、审计结果表明退市风险警示所列情形已消除，并且满足一定条件，证交所在收到上市公司提交的申请及必要年度审计报告后，审核批注对其予以撤销退市风险警示及其他特别处理。</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149" w:type="dxa"/>
            <w:vMerge w:val="continue"/>
            <w:tcBorders>
              <w:top w:val="outset" w:color="000000" w:sz="6" w:space="0"/>
              <w:left w:val="outset" w:color="000000" w:sz="6" w:space="0"/>
              <w:bottom w:val="outset" w:color="000000" w:sz="6" w:space="0"/>
              <w:right w:val="outset" w:color="000000" w:sz="6" w:space="0"/>
            </w:tcBorders>
            <w:vAlign w:val="center"/>
          </w:tcPr>
          <w:p>
            <w:pPr>
              <w:rPr>
                <w:kern w:val="0"/>
              </w:rPr>
            </w:pPr>
          </w:p>
        </w:tc>
        <w:tc>
          <w:tcPr>
            <w:tcW w:w="1276" w:type="dxa"/>
            <w:vMerge w:val="restart"/>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风险关注</w:t>
            </w:r>
          </w:p>
        </w:tc>
        <w:tc>
          <w:tcPr>
            <w:tcW w:w="1418" w:type="dxa"/>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可能*ST</w:t>
            </w:r>
          </w:p>
        </w:tc>
        <w:tc>
          <w:tcPr>
            <w:tcW w:w="10145" w:type="dxa"/>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净利润继续是负值或者净资产/营业收入低于特定值，则股票简称前会被冠以*ST（退市风险警示）的股票，提醒投资者注意风险。</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149" w:type="dxa"/>
            <w:vMerge w:val="continue"/>
            <w:tcBorders>
              <w:top w:val="outset" w:color="000000" w:sz="6" w:space="0"/>
              <w:left w:val="outset" w:color="000000" w:sz="6" w:space="0"/>
              <w:bottom w:val="outset" w:color="000000" w:sz="6" w:space="0"/>
              <w:right w:val="outset" w:color="000000" w:sz="6" w:space="0"/>
            </w:tcBorders>
            <w:vAlign w:val="center"/>
          </w:tcPr>
          <w:p>
            <w:pPr>
              <w:rPr>
                <w:kern w:val="0"/>
              </w:rPr>
            </w:pPr>
          </w:p>
        </w:tc>
        <w:tc>
          <w:tcPr>
            <w:tcW w:w="1276" w:type="dxa"/>
            <w:vMerge w:val="continue"/>
            <w:tcBorders>
              <w:top w:val="outset" w:color="000000" w:sz="6" w:space="0"/>
              <w:left w:val="outset" w:color="000000" w:sz="6" w:space="0"/>
              <w:bottom w:val="outset" w:color="000000" w:sz="6" w:space="0"/>
              <w:right w:val="outset" w:color="000000" w:sz="6" w:space="0"/>
            </w:tcBorders>
            <w:vAlign w:val="center"/>
          </w:tcPr>
          <w:p>
            <w:pPr>
              <w:rPr>
                <w:kern w:val="0"/>
              </w:rPr>
            </w:pPr>
          </w:p>
        </w:tc>
        <w:tc>
          <w:tcPr>
            <w:tcW w:w="1418" w:type="dxa"/>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商誉风险</w:t>
            </w:r>
          </w:p>
        </w:tc>
        <w:tc>
          <w:tcPr>
            <w:tcW w:w="10145" w:type="dxa"/>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指组织的商誉可能面对的一些损失，它可能损毁企业的公众形象，迫使企业卷入代价昂贵的诉讼案件，并导致收入损失以及客户或者骨干员工的流失。</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149" w:type="dxa"/>
            <w:vMerge w:val="continue"/>
            <w:tcBorders>
              <w:top w:val="outset" w:color="000000" w:sz="6" w:space="0"/>
              <w:left w:val="outset" w:color="000000" w:sz="6" w:space="0"/>
              <w:bottom w:val="outset" w:color="000000" w:sz="6" w:space="0"/>
              <w:right w:val="outset" w:color="000000" w:sz="6" w:space="0"/>
            </w:tcBorders>
            <w:vAlign w:val="center"/>
          </w:tcPr>
          <w:p>
            <w:pPr>
              <w:rPr>
                <w:kern w:val="0"/>
              </w:rPr>
            </w:pPr>
          </w:p>
        </w:tc>
        <w:tc>
          <w:tcPr>
            <w:tcW w:w="1276" w:type="dxa"/>
            <w:vMerge w:val="continue"/>
            <w:tcBorders>
              <w:top w:val="outset" w:color="000000" w:sz="6" w:space="0"/>
              <w:left w:val="outset" w:color="000000" w:sz="6" w:space="0"/>
              <w:bottom w:val="outset" w:color="000000" w:sz="6" w:space="0"/>
              <w:right w:val="outset" w:color="000000" w:sz="6" w:space="0"/>
            </w:tcBorders>
            <w:vAlign w:val="center"/>
          </w:tcPr>
          <w:p>
            <w:pPr>
              <w:rPr>
                <w:kern w:val="0"/>
              </w:rPr>
            </w:pPr>
          </w:p>
        </w:tc>
        <w:tc>
          <w:tcPr>
            <w:tcW w:w="1418" w:type="dxa"/>
            <w:vMerge w:val="restart"/>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近期大比例解禁</w:t>
            </w:r>
          </w:p>
        </w:tc>
        <w:tc>
          <w:tcPr>
            <w:tcW w:w="10145" w:type="dxa"/>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基于国家“不减持”禁令于2016年1月8日解除，投资者需要提前预防，我们筛选出未来三月内，解禁股份占总股本比例在10%以上的公司的解禁相关数据，供投资者判断和参考。</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149" w:type="dxa"/>
            <w:vMerge w:val="continue"/>
            <w:tcBorders>
              <w:top w:val="outset" w:color="000000" w:sz="6" w:space="0"/>
              <w:left w:val="outset" w:color="000000" w:sz="6" w:space="0"/>
              <w:bottom w:val="outset" w:color="000000" w:sz="6" w:space="0"/>
              <w:right w:val="outset" w:color="000000" w:sz="6" w:space="0"/>
            </w:tcBorders>
            <w:vAlign w:val="center"/>
          </w:tcPr>
          <w:p>
            <w:pPr>
              <w:rPr>
                <w:kern w:val="0"/>
              </w:rPr>
            </w:pPr>
          </w:p>
        </w:tc>
        <w:tc>
          <w:tcPr>
            <w:tcW w:w="1276" w:type="dxa"/>
            <w:vMerge w:val="continue"/>
            <w:tcBorders>
              <w:top w:val="outset" w:color="000000" w:sz="6" w:space="0"/>
              <w:left w:val="outset" w:color="000000" w:sz="6" w:space="0"/>
              <w:bottom w:val="outset" w:color="000000" w:sz="6" w:space="0"/>
              <w:right w:val="outset" w:color="000000" w:sz="6" w:space="0"/>
            </w:tcBorders>
            <w:vAlign w:val="center"/>
          </w:tcPr>
          <w:p>
            <w:pPr>
              <w:rPr>
                <w:kern w:val="0"/>
              </w:rPr>
            </w:pPr>
          </w:p>
        </w:tc>
        <w:tc>
          <w:tcPr>
            <w:tcW w:w="1418" w:type="dxa"/>
            <w:vMerge w:val="continue"/>
            <w:tcBorders>
              <w:top w:val="outset" w:color="000000" w:sz="6" w:space="0"/>
              <w:left w:val="outset" w:color="000000" w:sz="6" w:space="0"/>
              <w:bottom w:val="outset" w:color="000000" w:sz="6" w:space="0"/>
              <w:right w:val="outset" w:color="000000" w:sz="6" w:space="0"/>
            </w:tcBorders>
            <w:vAlign w:val="center"/>
          </w:tcPr>
          <w:p>
            <w:pPr>
              <w:rPr>
                <w:kern w:val="0"/>
              </w:rPr>
            </w:pPr>
          </w:p>
        </w:tc>
        <w:tc>
          <w:tcPr>
            <w:tcW w:w="10145" w:type="dxa"/>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国家“不减持”禁令：2015年7月股市剧烈调整期间，证监会出台禁令限制重要股东减持行为，从公告之日起6个月内，上市公司控股股东和持股5%以上股东及董监高不得通过二级市场减持本公司股份。</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149" w:type="dxa"/>
            <w:vMerge w:val="continue"/>
            <w:tcBorders>
              <w:top w:val="outset" w:color="000000" w:sz="6" w:space="0"/>
              <w:left w:val="outset" w:color="000000" w:sz="6" w:space="0"/>
              <w:bottom w:val="outset" w:color="000000" w:sz="6" w:space="0"/>
              <w:right w:val="outset" w:color="000000" w:sz="6" w:space="0"/>
            </w:tcBorders>
            <w:vAlign w:val="center"/>
          </w:tcPr>
          <w:p>
            <w:pPr>
              <w:rPr>
                <w:kern w:val="0"/>
              </w:rPr>
            </w:pPr>
          </w:p>
        </w:tc>
        <w:tc>
          <w:tcPr>
            <w:tcW w:w="1276" w:type="dxa"/>
            <w:vMerge w:val="restart"/>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价值挖掘</w:t>
            </w:r>
          </w:p>
        </w:tc>
        <w:tc>
          <w:tcPr>
            <w:tcW w:w="1418" w:type="dxa"/>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跌破近期股权激励价</w:t>
            </w:r>
          </w:p>
        </w:tc>
        <w:tc>
          <w:tcPr>
            <w:tcW w:w="10145" w:type="dxa"/>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展示股价（昨日收盘价）跌破最近一年内的股权激励价的股票信息。</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149" w:type="dxa"/>
            <w:vMerge w:val="continue"/>
            <w:tcBorders>
              <w:top w:val="outset" w:color="000000" w:sz="6" w:space="0"/>
              <w:left w:val="outset" w:color="000000" w:sz="6" w:space="0"/>
              <w:bottom w:val="outset" w:color="000000" w:sz="6" w:space="0"/>
              <w:right w:val="outset" w:color="000000" w:sz="6" w:space="0"/>
            </w:tcBorders>
            <w:vAlign w:val="center"/>
          </w:tcPr>
          <w:p>
            <w:pPr>
              <w:rPr>
                <w:kern w:val="0"/>
              </w:rPr>
            </w:pPr>
          </w:p>
        </w:tc>
        <w:tc>
          <w:tcPr>
            <w:tcW w:w="1276" w:type="dxa"/>
            <w:vMerge w:val="continue"/>
            <w:tcBorders>
              <w:top w:val="outset" w:color="000000" w:sz="6" w:space="0"/>
              <w:left w:val="outset" w:color="000000" w:sz="6" w:space="0"/>
              <w:bottom w:val="outset" w:color="000000" w:sz="6" w:space="0"/>
              <w:right w:val="outset" w:color="000000" w:sz="6" w:space="0"/>
            </w:tcBorders>
            <w:vAlign w:val="center"/>
          </w:tcPr>
          <w:p>
            <w:pPr>
              <w:rPr>
                <w:kern w:val="0"/>
              </w:rPr>
            </w:pPr>
          </w:p>
        </w:tc>
        <w:tc>
          <w:tcPr>
            <w:tcW w:w="1418" w:type="dxa"/>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跌破首次公开发行价</w:t>
            </w:r>
          </w:p>
        </w:tc>
        <w:tc>
          <w:tcPr>
            <w:tcW w:w="10145" w:type="dxa"/>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展示股价（昨日收盘价）跌破发行价格的股票信息。</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149" w:type="dxa"/>
            <w:vMerge w:val="continue"/>
            <w:tcBorders>
              <w:top w:val="outset" w:color="000000" w:sz="6" w:space="0"/>
              <w:left w:val="outset" w:color="000000" w:sz="6" w:space="0"/>
              <w:bottom w:val="outset" w:color="000000" w:sz="6" w:space="0"/>
              <w:right w:val="outset" w:color="000000" w:sz="6" w:space="0"/>
            </w:tcBorders>
            <w:vAlign w:val="center"/>
          </w:tcPr>
          <w:p>
            <w:pPr>
              <w:rPr>
                <w:kern w:val="0"/>
              </w:rPr>
            </w:pPr>
          </w:p>
        </w:tc>
        <w:tc>
          <w:tcPr>
            <w:tcW w:w="1276" w:type="dxa"/>
            <w:vMerge w:val="continue"/>
            <w:tcBorders>
              <w:top w:val="outset" w:color="000000" w:sz="6" w:space="0"/>
              <w:left w:val="outset" w:color="000000" w:sz="6" w:space="0"/>
              <w:bottom w:val="outset" w:color="000000" w:sz="6" w:space="0"/>
              <w:right w:val="outset" w:color="000000" w:sz="6" w:space="0"/>
            </w:tcBorders>
            <w:vAlign w:val="center"/>
          </w:tcPr>
          <w:p>
            <w:pPr>
              <w:rPr>
                <w:kern w:val="0"/>
              </w:rPr>
            </w:pPr>
          </w:p>
        </w:tc>
        <w:tc>
          <w:tcPr>
            <w:tcW w:w="1418" w:type="dxa"/>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跌破最低股份回购价</w:t>
            </w:r>
          </w:p>
        </w:tc>
        <w:tc>
          <w:tcPr>
            <w:tcW w:w="10145" w:type="dxa"/>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展示股价（昨日收盘价）跌破最近一年内最低的回购价的股票信息。</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149" w:type="dxa"/>
            <w:vMerge w:val="continue"/>
            <w:tcBorders>
              <w:top w:val="outset" w:color="000000" w:sz="6" w:space="0"/>
              <w:left w:val="outset" w:color="000000" w:sz="6" w:space="0"/>
              <w:bottom w:val="outset" w:color="000000" w:sz="6" w:space="0"/>
              <w:right w:val="outset" w:color="000000" w:sz="6" w:space="0"/>
            </w:tcBorders>
            <w:vAlign w:val="center"/>
          </w:tcPr>
          <w:p>
            <w:pPr>
              <w:rPr>
                <w:kern w:val="0"/>
              </w:rPr>
            </w:pPr>
          </w:p>
        </w:tc>
        <w:tc>
          <w:tcPr>
            <w:tcW w:w="1276" w:type="dxa"/>
            <w:vMerge w:val="continue"/>
            <w:tcBorders>
              <w:top w:val="outset" w:color="000000" w:sz="6" w:space="0"/>
              <w:left w:val="outset" w:color="000000" w:sz="6" w:space="0"/>
              <w:bottom w:val="outset" w:color="000000" w:sz="6" w:space="0"/>
              <w:right w:val="outset" w:color="000000" w:sz="6" w:space="0"/>
            </w:tcBorders>
            <w:vAlign w:val="center"/>
          </w:tcPr>
          <w:p>
            <w:pPr>
              <w:rPr>
                <w:kern w:val="0"/>
              </w:rPr>
            </w:pPr>
          </w:p>
        </w:tc>
        <w:tc>
          <w:tcPr>
            <w:tcW w:w="1418" w:type="dxa"/>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跌破最新每股净资产</w:t>
            </w:r>
          </w:p>
        </w:tc>
        <w:tc>
          <w:tcPr>
            <w:tcW w:w="10145" w:type="dxa"/>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展示股价（昨日收盘价）跌破最近一个报告期每股净资产的股票信息。</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149" w:type="dxa"/>
            <w:vMerge w:val="continue"/>
            <w:tcBorders>
              <w:top w:val="outset" w:color="000000" w:sz="6" w:space="0"/>
              <w:left w:val="outset" w:color="000000" w:sz="6" w:space="0"/>
              <w:bottom w:val="outset" w:color="000000" w:sz="6" w:space="0"/>
              <w:right w:val="outset" w:color="000000" w:sz="6" w:space="0"/>
            </w:tcBorders>
            <w:vAlign w:val="center"/>
          </w:tcPr>
          <w:p>
            <w:pPr>
              <w:rPr>
                <w:kern w:val="0"/>
              </w:rPr>
            </w:pPr>
          </w:p>
        </w:tc>
        <w:tc>
          <w:tcPr>
            <w:tcW w:w="1276" w:type="dxa"/>
            <w:vMerge w:val="continue"/>
            <w:tcBorders>
              <w:top w:val="outset" w:color="000000" w:sz="6" w:space="0"/>
              <w:left w:val="outset" w:color="000000" w:sz="6" w:space="0"/>
              <w:bottom w:val="outset" w:color="000000" w:sz="6" w:space="0"/>
              <w:right w:val="outset" w:color="000000" w:sz="6" w:space="0"/>
            </w:tcBorders>
            <w:vAlign w:val="center"/>
          </w:tcPr>
          <w:p>
            <w:pPr>
              <w:rPr>
                <w:kern w:val="0"/>
              </w:rPr>
            </w:pPr>
          </w:p>
        </w:tc>
        <w:tc>
          <w:tcPr>
            <w:tcW w:w="1418" w:type="dxa"/>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跌破近期定向增发价</w:t>
            </w:r>
          </w:p>
        </w:tc>
        <w:tc>
          <w:tcPr>
            <w:tcW w:w="10145" w:type="dxa"/>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展示股价（昨日收盘价）跌破最近一年内实施非公开发行的公司的发行价的股票信息。</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149" w:type="dxa"/>
            <w:vMerge w:val="continue"/>
            <w:tcBorders>
              <w:top w:val="outset" w:color="000000" w:sz="6" w:space="0"/>
              <w:left w:val="outset" w:color="000000" w:sz="6" w:space="0"/>
              <w:bottom w:val="outset" w:color="000000" w:sz="6" w:space="0"/>
              <w:right w:val="outset" w:color="000000" w:sz="6" w:space="0"/>
            </w:tcBorders>
            <w:vAlign w:val="center"/>
          </w:tcPr>
          <w:p>
            <w:pPr>
              <w:rPr>
                <w:kern w:val="0"/>
              </w:rPr>
            </w:pPr>
          </w:p>
        </w:tc>
        <w:tc>
          <w:tcPr>
            <w:tcW w:w="1276" w:type="dxa"/>
            <w:vMerge w:val="continue"/>
            <w:tcBorders>
              <w:top w:val="outset" w:color="000000" w:sz="6" w:space="0"/>
              <w:left w:val="outset" w:color="000000" w:sz="6" w:space="0"/>
              <w:bottom w:val="outset" w:color="000000" w:sz="6" w:space="0"/>
              <w:right w:val="outset" w:color="000000" w:sz="6" w:space="0"/>
            </w:tcBorders>
            <w:vAlign w:val="center"/>
          </w:tcPr>
          <w:p>
            <w:pPr>
              <w:rPr>
                <w:kern w:val="0"/>
              </w:rPr>
            </w:pPr>
          </w:p>
        </w:tc>
        <w:tc>
          <w:tcPr>
            <w:tcW w:w="1418" w:type="dxa"/>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跌破第一大股东增持价</w:t>
            </w:r>
          </w:p>
        </w:tc>
        <w:tc>
          <w:tcPr>
            <w:tcW w:w="10145" w:type="dxa"/>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展示最近一年内第一大股东增持超过一万股的增持行动中，股价（昨日收盘价）跌破其增持价的股票信息。</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149" w:type="dxa"/>
            <w:vMerge w:val="continue"/>
            <w:tcBorders>
              <w:top w:val="outset" w:color="000000" w:sz="6" w:space="0"/>
              <w:left w:val="outset" w:color="000000" w:sz="6" w:space="0"/>
              <w:bottom w:val="outset" w:color="000000" w:sz="6" w:space="0"/>
              <w:right w:val="outset" w:color="000000" w:sz="6" w:space="0"/>
            </w:tcBorders>
            <w:vAlign w:val="center"/>
          </w:tcPr>
          <w:p>
            <w:pPr>
              <w:rPr>
                <w:kern w:val="0"/>
              </w:rPr>
            </w:pPr>
          </w:p>
        </w:tc>
        <w:tc>
          <w:tcPr>
            <w:tcW w:w="1276" w:type="dxa"/>
            <w:vMerge w:val="continue"/>
            <w:tcBorders>
              <w:top w:val="outset" w:color="000000" w:sz="6" w:space="0"/>
              <w:left w:val="outset" w:color="000000" w:sz="6" w:space="0"/>
              <w:bottom w:val="outset" w:color="000000" w:sz="6" w:space="0"/>
              <w:right w:val="outset" w:color="000000" w:sz="6" w:space="0"/>
            </w:tcBorders>
            <w:vAlign w:val="center"/>
          </w:tcPr>
          <w:p>
            <w:pPr>
              <w:rPr>
                <w:kern w:val="0"/>
              </w:rPr>
            </w:pPr>
          </w:p>
        </w:tc>
        <w:tc>
          <w:tcPr>
            <w:tcW w:w="1418" w:type="dxa"/>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跌破近期最低增持价</w:t>
            </w:r>
          </w:p>
        </w:tc>
        <w:tc>
          <w:tcPr>
            <w:tcW w:w="10145" w:type="dxa"/>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展示股价（昨日收盘价）跌破最近一年内重要股东的最低增持价的股票信息。</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149" w:type="dxa"/>
            <w:vMerge w:val="continue"/>
            <w:tcBorders>
              <w:top w:val="outset" w:color="000000" w:sz="6" w:space="0"/>
              <w:left w:val="outset" w:color="000000" w:sz="6" w:space="0"/>
              <w:bottom w:val="outset" w:color="000000" w:sz="6" w:space="0"/>
              <w:right w:val="outset" w:color="000000" w:sz="6" w:space="0"/>
            </w:tcBorders>
            <w:vAlign w:val="center"/>
          </w:tcPr>
          <w:p>
            <w:pPr>
              <w:rPr>
                <w:kern w:val="0"/>
              </w:rPr>
            </w:pPr>
          </w:p>
        </w:tc>
        <w:tc>
          <w:tcPr>
            <w:tcW w:w="1276" w:type="dxa"/>
            <w:vMerge w:val="continue"/>
            <w:tcBorders>
              <w:top w:val="outset" w:color="000000" w:sz="6" w:space="0"/>
              <w:left w:val="outset" w:color="000000" w:sz="6" w:space="0"/>
              <w:bottom w:val="outset" w:color="000000" w:sz="6" w:space="0"/>
              <w:right w:val="outset" w:color="000000" w:sz="6" w:space="0"/>
            </w:tcBorders>
            <w:vAlign w:val="center"/>
          </w:tcPr>
          <w:p>
            <w:pPr>
              <w:rPr>
                <w:kern w:val="0"/>
              </w:rPr>
            </w:pPr>
          </w:p>
        </w:tc>
        <w:tc>
          <w:tcPr>
            <w:tcW w:w="1418" w:type="dxa"/>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跌破近期员工持股均价</w:t>
            </w:r>
          </w:p>
        </w:tc>
        <w:tc>
          <w:tcPr>
            <w:tcW w:w="10145" w:type="dxa"/>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展示股价（昨日收盘价）跌破最近一年内实施员工持股计划的公司的持股均价的股票信息。</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149" w:type="dxa"/>
            <w:vMerge w:val="continue"/>
            <w:tcBorders>
              <w:top w:val="outset" w:color="000000" w:sz="6" w:space="0"/>
              <w:left w:val="outset" w:color="000000" w:sz="6" w:space="0"/>
              <w:bottom w:val="outset" w:color="000000" w:sz="6" w:space="0"/>
              <w:right w:val="outset" w:color="000000" w:sz="6" w:space="0"/>
            </w:tcBorders>
            <w:vAlign w:val="center"/>
          </w:tcPr>
          <w:p>
            <w:pPr>
              <w:rPr>
                <w:kern w:val="0"/>
              </w:rPr>
            </w:pPr>
          </w:p>
        </w:tc>
        <w:tc>
          <w:tcPr>
            <w:tcW w:w="1276" w:type="dxa"/>
            <w:vMerge w:val="restart"/>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个股资金流向</w:t>
            </w:r>
          </w:p>
        </w:tc>
        <w:tc>
          <w:tcPr>
            <w:tcW w:w="1418" w:type="dxa"/>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5日资金强势</w:t>
            </w:r>
          </w:p>
        </w:tc>
        <w:tc>
          <w:tcPr>
            <w:tcW w:w="10145" w:type="dxa"/>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展示最近5日主力净流入排名靠前的100只个股。</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149" w:type="dxa"/>
            <w:vMerge w:val="continue"/>
            <w:tcBorders>
              <w:top w:val="outset" w:color="000000" w:sz="6" w:space="0"/>
              <w:left w:val="outset" w:color="000000" w:sz="6" w:space="0"/>
              <w:bottom w:val="outset" w:color="000000" w:sz="6" w:space="0"/>
              <w:right w:val="outset" w:color="000000" w:sz="6" w:space="0"/>
            </w:tcBorders>
            <w:vAlign w:val="center"/>
          </w:tcPr>
          <w:p>
            <w:pPr>
              <w:rPr>
                <w:kern w:val="0"/>
              </w:rPr>
            </w:pPr>
          </w:p>
        </w:tc>
        <w:tc>
          <w:tcPr>
            <w:tcW w:w="1276" w:type="dxa"/>
            <w:vMerge w:val="continue"/>
            <w:tcBorders>
              <w:top w:val="outset" w:color="000000" w:sz="6" w:space="0"/>
              <w:left w:val="outset" w:color="000000" w:sz="6" w:space="0"/>
              <w:bottom w:val="outset" w:color="000000" w:sz="6" w:space="0"/>
              <w:right w:val="outset" w:color="000000" w:sz="6" w:space="0"/>
            </w:tcBorders>
            <w:vAlign w:val="center"/>
          </w:tcPr>
          <w:p>
            <w:pPr>
              <w:rPr>
                <w:kern w:val="0"/>
              </w:rPr>
            </w:pPr>
          </w:p>
        </w:tc>
        <w:tc>
          <w:tcPr>
            <w:tcW w:w="1418" w:type="dxa"/>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10日资金强势</w:t>
            </w:r>
          </w:p>
        </w:tc>
        <w:tc>
          <w:tcPr>
            <w:tcW w:w="10145" w:type="dxa"/>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展示最近10日主力净流入排名靠前的100只个股。</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149" w:type="dxa"/>
            <w:vMerge w:val="continue"/>
            <w:tcBorders>
              <w:top w:val="outset" w:color="000000" w:sz="6" w:space="0"/>
              <w:left w:val="outset" w:color="000000" w:sz="6" w:space="0"/>
              <w:bottom w:val="outset" w:color="000000" w:sz="6" w:space="0"/>
              <w:right w:val="outset" w:color="000000" w:sz="6" w:space="0"/>
            </w:tcBorders>
            <w:vAlign w:val="center"/>
          </w:tcPr>
          <w:p>
            <w:pPr>
              <w:rPr>
                <w:kern w:val="0"/>
              </w:rPr>
            </w:pPr>
          </w:p>
        </w:tc>
        <w:tc>
          <w:tcPr>
            <w:tcW w:w="1276" w:type="dxa"/>
            <w:vMerge w:val="continue"/>
            <w:tcBorders>
              <w:top w:val="outset" w:color="000000" w:sz="6" w:space="0"/>
              <w:left w:val="outset" w:color="000000" w:sz="6" w:space="0"/>
              <w:bottom w:val="outset" w:color="000000" w:sz="6" w:space="0"/>
              <w:right w:val="outset" w:color="000000" w:sz="6" w:space="0"/>
            </w:tcBorders>
            <w:vAlign w:val="center"/>
          </w:tcPr>
          <w:p>
            <w:pPr>
              <w:rPr>
                <w:kern w:val="0"/>
              </w:rPr>
            </w:pPr>
          </w:p>
        </w:tc>
        <w:tc>
          <w:tcPr>
            <w:tcW w:w="1418" w:type="dxa"/>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20日资金强势</w:t>
            </w:r>
          </w:p>
        </w:tc>
        <w:tc>
          <w:tcPr>
            <w:tcW w:w="10145" w:type="dxa"/>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展示最近20日主力净流入排名靠前的100只个股。</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149" w:type="dxa"/>
            <w:vMerge w:val="continue"/>
            <w:tcBorders>
              <w:top w:val="outset" w:color="000000" w:sz="6" w:space="0"/>
              <w:left w:val="outset" w:color="000000" w:sz="6" w:space="0"/>
              <w:bottom w:val="outset" w:color="000000" w:sz="6" w:space="0"/>
              <w:right w:val="outset" w:color="000000" w:sz="6" w:space="0"/>
            </w:tcBorders>
            <w:vAlign w:val="center"/>
          </w:tcPr>
          <w:p>
            <w:pPr>
              <w:rPr>
                <w:kern w:val="0"/>
              </w:rPr>
            </w:pPr>
          </w:p>
        </w:tc>
        <w:tc>
          <w:tcPr>
            <w:tcW w:w="1276" w:type="dxa"/>
            <w:vMerge w:val="continue"/>
            <w:tcBorders>
              <w:top w:val="outset" w:color="000000" w:sz="6" w:space="0"/>
              <w:left w:val="outset" w:color="000000" w:sz="6" w:space="0"/>
              <w:bottom w:val="outset" w:color="000000" w:sz="6" w:space="0"/>
              <w:right w:val="outset" w:color="000000" w:sz="6" w:space="0"/>
            </w:tcBorders>
            <w:vAlign w:val="center"/>
          </w:tcPr>
          <w:p>
            <w:pPr>
              <w:rPr>
                <w:kern w:val="0"/>
              </w:rPr>
            </w:pPr>
          </w:p>
        </w:tc>
        <w:tc>
          <w:tcPr>
            <w:tcW w:w="1418" w:type="dxa"/>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30日资金强势</w:t>
            </w:r>
          </w:p>
        </w:tc>
        <w:tc>
          <w:tcPr>
            <w:tcW w:w="10145" w:type="dxa"/>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展示最近30日主力净流入排名靠前的100只个股。</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149" w:type="dxa"/>
            <w:vMerge w:val="continue"/>
            <w:tcBorders>
              <w:top w:val="outset" w:color="000000" w:sz="6" w:space="0"/>
              <w:left w:val="outset" w:color="000000" w:sz="6" w:space="0"/>
              <w:bottom w:val="outset" w:color="000000" w:sz="6" w:space="0"/>
              <w:right w:val="outset" w:color="000000" w:sz="6" w:space="0"/>
            </w:tcBorders>
            <w:vAlign w:val="center"/>
          </w:tcPr>
          <w:p>
            <w:pPr>
              <w:rPr>
                <w:kern w:val="0"/>
              </w:rPr>
            </w:pPr>
          </w:p>
        </w:tc>
        <w:tc>
          <w:tcPr>
            <w:tcW w:w="1276" w:type="dxa"/>
            <w:vMerge w:val="restart"/>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触发监管</w:t>
            </w:r>
          </w:p>
        </w:tc>
        <w:tc>
          <w:tcPr>
            <w:tcW w:w="1418" w:type="dxa"/>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被立案调查</w:t>
            </w:r>
          </w:p>
        </w:tc>
        <w:tc>
          <w:tcPr>
            <w:tcW w:w="10145" w:type="dxa"/>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因信披、董监高违法违规被证监会立案调查的公司。</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149" w:type="dxa"/>
            <w:vMerge w:val="continue"/>
            <w:tcBorders>
              <w:top w:val="outset" w:color="000000" w:sz="6" w:space="0"/>
              <w:left w:val="outset" w:color="000000" w:sz="6" w:space="0"/>
              <w:bottom w:val="outset" w:color="000000" w:sz="6" w:space="0"/>
              <w:right w:val="outset" w:color="000000" w:sz="6" w:space="0"/>
            </w:tcBorders>
            <w:vAlign w:val="center"/>
          </w:tcPr>
          <w:p>
            <w:pPr>
              <w:rPr>
                <w:kern w:val="0"/>
              </w:rPr>
            </w:pPr>
          </w:p>
        </w:tc>
        <w:tc>
          <w:tcPr>
            <w:tcW w:w="1276" w:type="dxa"/>
            <w:vMerge w:val="continue"/>
            <w:tcBorders>
              <w:top w:val="outset" w:color="000000" w:sz="6" w:space="0"/>
              <w:left w:val="outset" w:color="000000" w:sz="6" w:space="0"/>
              <w:bottom w:val="outset" w:color="000000" w:sz="6" w:space="0"/>
              <w:right w:val="outset" w:color="000000" w:sz="6" w:space="0"/>
            </w:tcBorders>
            <w:vAlign w:val="center"/>
          </w:tcPr>
          <w:p>
            <w:pPr>
              <w:rPr>
                <w:kern w:val="0"/>
              </w:rPr>
            </w:pPr>
          </w:p>
        </w:tc>
        <w:tc>
          <w:tcPr>
            <w:tcW w:w="1418" w:type="dxa"/>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交易所问询</w:t>
            </w:r>
          </w:p>
        </w:tc>
        <w:tc>
          <w:tcPr>
            <w:tcW w:w="10145" w:type="dxa"/>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交易所发问询函了解重组进程（重组问询函）、要求补充（半）年报应披露而未披露或者披露不够详细的部分（年报问询函）或股价异常波动原因（一般问询函）等。</w:t>
            </w:r>
          </w:p>
        </w:tc>
      </w:tr>
    </w:tbl>
    <w:p>
      <w:pPr>
        <w:pStyle w:val="34"/>
        <w:rPr>
          <w:kern w:val="0"/>
        </w:rPr>
      </w:pPr>
    </w:p>
    <w:p>
      <w:pPr>
        <w:pStyle w:val="34"/>
        <w:ind w:firstLine="540"/>
        <w:rPr>
          <w:kern w:val="0"/>
          <w:sz w:val="27"/>
          <w:szCs w:val="27"/>
        </w:rPr>
      </w:pPr>
      <w:r>
        <w:rPr>
          <w:kern w:val="0"/>
          <w:sz w:val="27"/>
          <w:szCs w:val="27"/>
        </w:rPr>
        <w:drawing>
          <wp:inline distT="0" distB="0" distL="114300" distR="114300">
            <wp:extent cx="8562975" cy="5781675"/>
            <wp:effectExtent l="0" t="0" r="9525" b="9525"/>
            <wp:docPr id="509" name="图片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图片 509"/>
                    <pic:cNvPicPr>
                      <a:picLocks noChangeAspect="1"/>
                    </pic:cNvPicPr>
                  </pic:nvPicPr>
                  <pic:blipFill>
                    <a:blip r:embed="rId946"/>
                    <a:stretch>
                      <a:fillRect/>
                    </a:stretch>
                  </pic:blipFill>
                  <pic:spPr>
                    <a:xfrm>
                      <a:off x="0" y="0"/>
                      <a:ext cx="8562975" cy="5781675"/>
                    </a:xfrm>
                    <a:prstGeom prst="rect">
                      <a:avLst/>
                    </a:prstGeom>
                    <a:noFill/>
                    <a:ln>
                      <a:noFill/>
                    </a:ln>
                  </pic:spPr>
                </pic:pic>
              </a:graphicData>
            </a:graphic>
          </wp:inline>
        </w:drawing>
      </w:r>
    </w:p>
    <w:p>
      <w:pPr>
        <w:pStyle w:val="34"/>
        <w:ind w:firstLine="540"/>
        <w:rPr>
          <w:kern w:val="0"/>
          <w:sz w:val="27"/>
          <w:szCs w:val="27"/>
        </w:rPr>
      </w:pPr>
    </w:p>
    <w:p>
      <w:pPr>
        <w:pStyle w:val="34"/>
        <w:rPr>
          <w:kern w:val="0"/>
        </w:rPr>
      </w:pPr>
      <w:r>
        <w:rPr>
          <w:rFonts w:hint="eastAsia"/>
          <w:kern w:val="0"/>
        </w:rPr>
        <w:t>大盘统计：</w:t>
      </w:r>
    </w:p>
    <w:tbl>
      <w:tblPr>
        <w:tblStyle w:val="25"/>
        <w:tblW w:w="0" w:type="auto"/>
        <w:tblCellSpacing w:w="0" w:type="dxa"/>
        <w:tblInd w:w="0" w:type="dxa"/>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Layout w:type="autofit"/>
        <w:tblCellMar>
          <w:top w:w="0" w:type="dxa"/>
          <w:left w:w="0" w:type="dxa"/>
          <w:bottom w:w="0" w:type="dxa"/>
          <w:right w:w="0" w:type="dxa"/>
        </w:tblCellMar>
      </w:tblPr>
      <w:tblGrid>
        <w:gridCol w:w="1080"/>
        <w:gridCol w:w="1380"/>
        <w:gridCol w:w="7605"/>
      </w:tblGrid>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080" w:type="dxa"/>
            <w:vMerge w:val="restart"/>
            <w:tcBorders>
              <w:top w:val="outset" w:color="000000" w:sz="6" w:space="0"/>
              <w:left w:val="outset" w:color="000000" w:sz="6" w:space="0"/>
              <w:bottom w:val="outset" w:color="000000" w:sz="6" w:space="0"/>
              <w:right w:val="outset" w:color="000000" w:sz="6" w:space="0"/>
            </w:tcBorders>
            <w:vAlign w:val="center"/>
          </w:tcPr>
          <w:p>
            <w:pPr>
              <w:pStyle w:val="31"/>
              <w:rPr>
                <w:kern w:val="0"/>
              </w:rPr>
            </w:pPr>
            <w:r>
              <w:rPr>
                <w:rFonts w:hint="eastAsia"/>
                <w:kern w:val="0"/>
              </w:rPr>
              <w:t>大盘统计</w:t>
            </w:r>
          </w:p>
        </w:tc>
        <w:tc>
          <w:tcPr>
            <w:tcW w:w="1380" w:type="dxa"/>
            <w:tcBorders>
              <w:top w:val="outset" w:color="000000" w:sz="6" w:space="0"/>
              <w:left w:val="outset" w:color="000000" w:sz="6" w:space="0"/>
              <w:bottom w:val="outset" w:color="000000" w:sz="6" w:space="0"/>
              <w:right w:val="outset" w:color="000000" w:sz="6" w:space="0"/>
            </w:tcBorders>
            <w:vAlign w:val="center"/>
          </w:tcPr>
          <w:p>
            <w:pPr>
              <w:pStyle w:val="31"/>
              <w:rPr>
                <w:kern w:val="0"/>
              </w:rPr>
            </w:pPr>
            <w:r>
              <w:rPr>
                <w:rFonts w:hint="eastAsia"/>
                <w:kern w:val="0"/>
              </w:rPr>
              <w:t>市场指标</w:t>
            </w:r>
          </w:p>
        </w:tc>
        <w:tc>
          <w:tcPr>
            <w:tcW w:w="7605" w:type="dxa"/>
            <w:tcBorders>
              <w:top w:val="outset" w:color="000000" w:sz="6" w:space="0"/>
              <w:left w:val="outset" w:color="000000" w:sz="6" w:space="0"/>
              <w:bottom w:val="outset" w:color="000000" w:sz="6" w:space="0"/>
              <w:right w:val="outset" w:color="000000" w:sz="6" w:space="0"/>
            </w:tcBorders>
            <w:vAlign w:val="center"/>
          </w:tcPr>
          <w:p>
            <w:pPr>
              <w:pStyle w:val="31"/>
              <w:rPr>
                <w:kern w:val="0"/>
              </w:rPr>
            </w:pPr>
            <w:r>
              <w:rPr>
                <w:rFonts w:hint="eastAsia"/>
                <w:kern w:val="0"/>
              </w:rPr>
              <w:t>对影响大盘的重要因素做出利好或者利空分析，并展示出各个指标的走势图，供投资者分析大盘时做决策参考</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vMerge w:val="continue"/>
            <w:tcBorders>
              <w:top w:val="outset" w:color="000000" w:sz="6" w:space="0"/>
              <w:left w:val="outset" w:color="000000" w:sz="6" w:space="0"/>
              <w:bottom w:val="outset" w:color="000000" w:sz="6" w:space="0"/>
              <w:right w:val="outset" w:color="000000" w:sz="6" w:space="0"/>
            </w:tcBorders>
            <w:vAlign w:val="center"/>
          </w:tcPr>
          <w:p>
            <w:pPr>
              <w:pStyle w:val="31"/>
              <w:rPr>
                <w:kern w:val="0"/>
              </w:rPr>
            </w:pPr>
          </w:p>
        </w:tc>
        <w:tc>
          <w:tcPr>
            <w:tcW w:w="1380" w:type="dxa"/>
            <w:tcBorders>
              <w:top w:val="outset" w:color="000000" w:sz="6" w:space="0"/>
              <w:left w:val="outset" w:color="000000" w:sz="6" w:space="0"/>
              <w:bottom w:val="outset" w:color="000000" w:sz="6" w:space="0"/>
              <w:right w:val="outset" w:color="000000" w:sz="6" w:space="0"/>
            </w:tcBorders>
            <w:vAlign w:val="center"/>
          </w:tcPr>
          <w:p>
            <w:pPr>
              <w:pStyle w:val="31"/>
              <w:rPr>
                <w:kern w:val="0"/>
              </w:rPr>
            </w:pPr>
            <w:r>
              <w:rPr>
                <w:rFonts w:hint="eastAsia"/>
                <w:kern w:val="0"/>
              </w:rPr>
              <w:t>市场估值</w:t>
            </w:r>
          </w:p>
        </w:tc>
        <w:tc>
          <w:tcPr>
            <w:tcW w:w="7605" w:type="dxa"/>
            <w:tcBorders>
              <w:top w:val="outset" w:color="000000" w:sz="6" w:space="0"/>
              <w:left w:val="outset" w:color="000000" w:sz="6" w:space="0"/>
              <w:bottom w:val="outset" w:color="000000" w:sz="6" w:space="0"/>
              <w:right w:val="outset" w:color="000000" w:sz="6" w:space="0"/>
            </w:tcBorders>
            <w:vAlign w:val="center"/>
          </w:tcPr>
          <w:p>
            <w:pPr>
              <w:pStyle w:val="31"/>
              <w:rPr>
                <w:kern w:val="0"/>
              </w:rPr>
            </w:pPr>
            <w:r>
              <w:rPr>
                <w:rFonts w:hint="eastAsia"/>
                <w:kern w:val="0"/>
              </w:rPr>
              <w:t>对沪深A股、深市主板、创业板等进行估值分析，包括：静态市盈率、滚动市盈率、平均市净率等字段。</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vMerge w:val="continue"/>
            <w:tcBorders>
              <w:top w:val="outset" w:color="000000" w:sz="6" w:space="0"/>
              <w:left w:val="outset" w:color="000000" w:sz="6" w:space="0"/>
              <w:bottom w:val="outset" w:color="000000" w:sz="6" w:space="0"/>
              <w:right w:val="outset" w:color="000000" w:sz="6" w:space="0"/>
            </w:tcBorders>
            <w:vAlign w:val="center"/>
          </w:tcPr>
          <w:p>
            <w:pPr>
              <w:pStyle w:val="31"/>
              <w:rPr>
                <w:kern w:val="0"/>
              </w:rPr>
            </w:pPr>
          </w:p>
        </w:tc>
        <w:tc>
          <w:tcPr>
            <w:tcW w:w="1380" w:type="dxa"/>
            <w:tcBorders>
              <w:top w:val="outset" w:color="000000" w:sz="6" w:space="0"/>
              <w:left w:val="outset" w:color="000000" w:sz="6" w:space="0"/>
              <w:bottom w:val="outset" w:color="000000" w:sz="6" w:space="0"/>
              <w:right w:val="outset" w:color="000000" w:sz="6" w:space="0"/>
            </w:tcBorders>
            <w:vAlign w:val="center"/>
          </w:tcPr>
          <w:p>
            <w:pPr>
              <w:pStyle w:val="31"/>
              <w:rPr>
                <w:kern w:val="0"/>
              </w:rPr>
            </w:pPr>
            <w:r>
              <w:rPr>
                <w:rFonts w:hint="eastAsia"/>
                <w:kern w:val="0"/>
              </w:rPr>
              <w:t>大盘异动</w:t>
            </w:r>
          </w:p>
        </w:tc>
        <w:tc>
          <w:tcPr>
            <w:tcW w:w="7605" w:type="dxa"/>
            <w:tcBorders>
              <w:top w:val="outset" w:color="000000" w:sz="6" w:space="0"/>
              <w:left w:val="outset" w:color="000000" w:sz="6" w:space="0"/>
              <w:bottom w:val="outset" w:color="000000" w:sz="6" w:space="0"/>
              <w:right w:val="outset" w:color="000000" w:sz="6" w:space="0"/>
            </w:tcBorders>
            <w:vAlign w:val="center"/>
          </w:tcPr>
          <w:p>
            <w:pPr>
              <w:pStyle w:val="31"/>
              <w:rPr>
                <w:kern w:val="0"/>
              </w:rPr>
            </w:pPr>
            <w:r>
              <w:rPr>
                <w:rFonts w:hint="eastAsia"/>
                <w:kern w:val="0"/>
              </w:rPr>
              <w:t>自2008年以来市场重要异动统计</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vMerge w:val="continue"/>
            <w:tcBorders>
              <w:top w:val="outset" w:color="000000" w:sz="6" w:space="0"/>
              <w:left w:val="outset" w:color="000000" w:sz="6" w:space="0"/>
              <w:bottom w:val="outset" w:color="000000" w:sz="6" w:space="0"/>
              <w:right w:val="outset" w:color="000000" w:sz="6" w:space="0"/>
            </w:tcBorders>
            <w:vAlign w:val="center"/>
          </w:tcPr>
          <w:p>
            <w:pPr>
              <w:pStyle w:val="31"/>
              <w:rPr>
                <w:kern w:val="0"/>
              </w:rPr>
            </w:pPr>
          </w:p>
        </w:tc>
        <w:tc>
          <w:tcPr>
            <w:tcW w:w="1380" w:type="dxa"/>
            <w:tcBorders>
              <w:top w:val="outset" w:color="000000" w:sz="6" w:space="0"/>
              <w:left w:val="outset" w:color="000000" w:sz="6" w:space="0"/>
              <w:bottom w:val="outset" w:color="000000" w:sz="6" w:space="0"/>
              <w:right w:val="outset" w:color="000000" w:sz="6" w:space="0"/>
            </w:tcBorders>
            <w:vAlign w:val="center"/>
          </w:tcPr>
          <w:p>
            <w:pPr>
              <w:pStyle w:val="31"/>
              <w:rPr>
                <w:kern w:val="0"/>
              </w:rPr>
            </w:pPr>
            <w:r>
              <w:rPr>
                <w:rFonts w:hint="eastAsia"/>
                <w:kern w:val="0"/>
              </w:rPr>
              <w:t>事件回顾</w:t>
            </w:r>
          </w:p>
        </w:tc>
        <w:tc>
          <w:tcPr>
            <w:tcW w:w="7605" w:type="dxa"/>
            <w:tcBorders>
              <w:top w:val="outset" w:color="000000" w:sz="6" w:space="0"/>
              <w:left w:val="outset" w:color="000000" w:sz="6" w:space="0"/>
              <w:bottom w:val="outset" w:color="000000" w:sz="6" w:space="0"/>
              <w:right w:val="outset" w:color="000000" w:sz="6" w:space="0"/>
            </w:tcBorders>
            <w:vAlign w:val="center"/>
          </w:tcPr>
          <w:p>
            <w:pPr>
              <w:pStyle w:val="31"/>
              <w:rPr>
                <w:kern w:val="0"/>
              </w:rPr>
            </w:pPr>
            <w:r>
              <w:rPr>
                <w:rFonts w:hint="eastAsia"/>
                <w:kern w:val="0"/>
              </w:rPr>
              <w:t>逢节假日、存款准备金率调整、降息加息、党代会期间,上证指数前后走势情况。</w:t>
            </w:r>
          </w:p>
        </w:tc>
      </w:tr>
    </w:tbl>
    <w:p>
      <w:pPr>
        <w:pStyle w:val="34"/>
        <w:ind w:firstLine="540"/>
        <w:rPr>
          <w:kern w:val="0"/>
          <w:sz w:val="27"/>
          <w:szCs w:val="27"/>
        </w:rPr>
      </w:pPr>
      <w:r>
        <w:rPr>
          <w:kern w:val="0"/>
          <w:sz w:val="27"/>
          <w:szCs w:val="27"/>
        </w:rPr>
        <w:drawing>
          <wp:inline distT="0" distB="0" distL="114300" distR="114300">
            <wp:extent cx="7829550" cy="5648325"/>
            <wp:effectExtent l="0" t="0" r="0" b="9525"/>
            <wp:docPr id="510" name="图片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图片 510"/>
                    <pic:cNvPicPr>
                      <a:picLocks noChangeAspect="1"/>
                    </pic:cNvPicPr>
                  </pic:nvPicPr>
                  <pic:blipFill>
                    <a:blip r:embed="rId947"/>
                    <a:stretch>
                      <a:fillRect/>
                    </a:stretch>
                  </pic:blipFill>
                  <pic:spPr>
                    <a:xfrm>
                      <a:off x="0" y="0"/>
                      <a:ext cx="7829550" cy="5648325"/>
                    </a:xfrm>
                    <a:prstGeom prst="rect">
                      <a:avLst/>
                    </a:prstGeom>
                    <a:noFill/>
                    <a:ln>
                      <a:noFill/>
                    </a:ln>
                  </pic:spPr>
                </pic:pic>
              </a:graphicData>
            </a:graphic>
          </wp:inline>
        </w:drawing>
      </w:r>
    </w:p>
    <w:p>
      <w:pPr>
        <w:pStyle w:val="34"/>
        <w:rPr>
          <w:kern w:val="0"/>
        </w:rPr>
      </w:pPr>
      <w:r>
        <w:rPr>
          <w:rFonts w:hint="eastAsia"/>
          <w:kern w:val="0"/>
        </w:rPr>
        <w:t>涨停跌停：</w:t>
      </w:r>
    </w:p>
    <w:tbl>
      <w:tblPr>
        <w:tblStyle w:val="25"/>
        <w:tblW w:w="0" w:type="auto"/>
        <w:tblCellSpacing w:w="0" w:type="dxa"/>
        <w:tblInd w:w="0" w:type="dxa"/>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Layout w:type="autofit"/>
        <w:tblCellMar>
          <w:top w:w="0" w:type="dxa"/>
          <w:left w:w="0" w:type="dxa"/>
          <w:bottom w:w="0" w:type="dxa"/>
          <w:right w:w="0" w:type="dxa"/>
        </w:tblCellMar>
      </w:tblPr>
      <w:tblGrid>
        <w:gridCol w:w="1080"/>
        <w:gridCol w:w="1380"/>
        <w:gridCol w:w="8430"/>
      </w:tblGrid>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080" w:type="dxa"/>
            <w:vMerge w:val="restart"/>
            <w:tcBorders>
              <w:top w:val="outset" w:color="000000" w:sz="6" w:space="0"/>
              <w:left w:val="outset" w:color="000000" w:sz="6" w:space="0"/>
              <w:bottom w:val="outset" w:color="000000" w:sz="6" w:space="0"/>
              <w:right w:val="outset" w:color="000000" w:sz="6" w:space="0"/>
            </w:tcBorders>
            <w:vAlign w:val="center"/>
          </w:tcPr>
          <w:p>
            <w:pPr>
              <w:pStyle w:val="31"/>
              <w:rPr>
                <w:kern w:val="0"/>
              </w:rPr>
            </w:pPr>
            <w:r>
              <w:rPr>
                <w:rFonts w:hint="eastAsia"/>
                <w:kern w:val="0"/>
              </w:rPr>
              <w:t>涨停跌停</w:t>
            </w:r>
          </w:p>
        </w:tc>
        <w:tc>
          <w:tcPr>
            <w:tcW w:w="1380" w:type="dxa"/>
            <w:tcBorders>
              <w:top w:val="outset" w:color="000000" w:sz="6" w:space="0"/>
              <w:left w:val="outset" w:color="000000" w:sz="6" w:space="0"/>
              <w:bottom w:val="outset" w:color="000000" w:sz="6" w:space="0"/>
              <w:right w:val="outset" w:color="000000" w:sz="6" w:space="0"/>
            </w:tcBorders>
            <w:vAlign w:val="center"/>
          </w:tcPr>
          <w:p>
            <w:pPr>
              <w:pStyle w:val="31"/>
              <w:rPr>
                <w:kern w:val="0"/>
              </w:rPr>
            </w:pPr>
            <w:r>
              <w:rPr>
                <w:rFonts w:hint="eastAsia"/>
                <w:kern w:val="0"/>
              </w:rPr>
              <w:t>当日涨停</w:t>
            </w:r>
          </w:p>
        </w:tc>
        <w:tc>
          <w:tcPr>
            <w:tcW w:w="8430" w:type="dxa"/>
            <w:tcBorders>
              <w:top w:val="outset" w:color="000000" w:sz="6" w:space="0"/>
              <w:left w:val="outset" w:color="000000" w:sz="6" w:space="0"/>
              <w:bottom w:val="outset" w:color="000000" w:sz="6" w:space="0"/>
              <w:right w:val="outset" w:color="000000" w:sz="6" w:space="0"/>
            </w:tcBorders>
            <w:vAlign w:val="center"/>
          </w:tcPr>
          <w:p>
            <w:pPr>
              <w:pStyle w:val="31"/>
              <w:rPr>
                <w:kern w:val="0"/>
              </w:rPr>
            </w:pPr>
            <w:r>
              <w:rPr>
                <w:rFonts w:hint="eastAsia"/>
                <w:kern w:val="0"/>
              </w:rPr>
              <w:t>当前交易日涨停股票原因分析。</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vMerge w:val="continue"/>
            <w:tcBorders>
              <w:top w:val="outset" w:color="000000" w:sz="6" w:space="0"/>
              <w:left w:val="outset" w:color="000000" w:sz="6" w:space="0"/>
              <w:bottom w:val="outset" w:color="000000" w:sz="6" w:space="0"/>
              <w:right w:val="outset" w:color="000000" w:sz="6" w:space="0"/>
            </w:tcBorders>
            <w:vAlign w:val="center"/>
          </w:tcPr>
          <w:p>
            <w:pPr>
              <w:pStyle w:val="31"/>
              <w:rPr>
                <w:kern w:val="0"/>
              </w:rPr>
            </w:pPr>
          </w:p>
        </w:tc>
        <w:tc>
          <w:tcPr>
            <w:tcW w:w="1380" w:type="dxa"/>
            <w:tcBorders>
              <w:top w:val="outset" w:color="000000" w:sz="6" w:space="0"/>
              <w:left w:val="outset" w:color="000000" w:sz="6" w:space="0"/>
              <w:bottom w:val="outset" w:color="000000" w:sz="6" w:space="0"/>
              <w:right w:val="outset" w:color="000000" w:sz="6" w:space="0"/>
            </w:tcBorders>
            <w:vAlign w:val="center"/>
          </w:tcPr>
          <w:p>
            <w:pPr>
              <w:pStyle w:val="31"/>
              <w:rPr>
                <w:kern w:val="0"/>
              </w:rPr>
            </w:pPr>
            <w:r>
              <w:rPr>
                <w:rFonts w:hint="eastAsia"/>
                <w:kern w:val="0"/>
              </w:rPr>
              <w:t>当日跌停</w:t>
            </w:r>
          </w:p>
        </w:tc>
        <w:tc>
          <w:tcPr>
            <w:tcW w:w="8430" w:type="dxa"/>
            <w:tcBorders>
              <w:top w:val="outset" w:color="000000" w:sz="6" w:space="0"/>
              <w:left w:val="outset" w:color="000000" w:sz="6" w:space="0"/>
              <w:bottom w:val="outset" w:color="000000" w:sz="6" w:space="0"/>
              <w:right w:val="outset" w:color="000000" w:sz="6" w:space="0"/>
            </w:tcBorders>
            <w:vAlign w:val="center"/>
          </w:tcPr>
          <w:p>
            <w:pPr>
              <w:pStyle w:val="31"/>
              <w:rPr>
                <w:kern w:val="0"/>
              </w:rPr>
            </w:pPr>
            <w:r>
              <w:rPr>
                <w:rFonts w:hint="eastAsia"/>
                <w:kern w:val="0"/>
              </w:rPr>
              <w:t>当前交易日跌停股票原因分析。</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vMerge w:val="continue"/>
            <w:tcBorders>
              <w:top w:val="outset" w:color="000000" w:sz="6" w:space="0"/>
              <w:left w:val="outset" w:color="000000" w:sz="6" w:space="0"/>
              <w:bottom w:val="outset" w:color="000000" w:sz="6" w:space="0"/>
              <w:right w:val="outset" w:color="000000" w:sz="6" w:space="0"/>
            </w:tcBorders>
            <w:vAlign w:val="center"/>
          </w:tcPr>
          <w:p>
            <w:pPr>
              <w:pStyle w:val="31"/>
              <w:rPr>
                <w:kern w:val="0"/>
              </w:rPr>
            </w:pPr>
          </w:p>
        </w:tc>
        <w:tc>
          <w:tcPr>
            <w:tcW w:w="1380" w:type="dxa"/>
            <w:tcBorders>
              <w:top w:val="outset" w:color="000000" w:sz="6" w:space="0"/>
              <w:left w:val="outset" w:color="000000" w:sz="6" w:space="0"/>
              <w:bottom w:val="outset" w:color="000000" w:sz="6" w:space="0"/>
              <w:right w:val="outset" w:color="000000" w:sz="6" w:space="0"/>
            </w:tcBorders>
            <w:vAlign w:val="center"/>
          </w:tcPr>
          <w:p>
            <w:pPr>
              <w:pStyle w:val="31"/>
              <w:rPr>
                <w:kern w:val="0"/>
              </w:rPr>
            </w:pPr>
            <w:r>
              <w:rPr>
                <w:rFonts w:hint="eastAsia"/>
                <w:kern w:val="0"/>
              </w:rPr>
              <w:t>历史涨跌停</w:t>
            </w:r>
          </w:p>
        </w:tc>
        <w:tc>
          <w:tcPr>
            <w:tcW w:w="8430" w:type="dxa"/>
            <w:tcBorders>
              <w:top w:val="outset" w:color="000000" w:sz="6" w:space="0"/>
              <w:left w:val="outset" w:color="000000" w:sz="6" w:space="0"/>
              <w:bottom w:val="outset" w:color="000000" w:sz="6" w:space="0"/>
              <w:right w:val="outset" w:color="000000" w:sz="6" w:space="0"/>
            </w:tcBorders>
            <w:vAlign w:val="center"/>
          </w:tcPr>
          <w:p>
            <w:pPr>
              <w:pStyle w:val="31"/>
              <w:rPr>
                <w:kern w:val="0"/>
              </w:rPr>
            </w:pPr>
            <w:r>
              <w:rPr>
                <w:rFonts w:hint="eastAsia"/>
                <w:kern w:val="0"/>
              </w:rPr>
              <w:t>展示个股半年内涨跌停情况。</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vMerge w:val="continue"/>
            <w:tcBorders>
              <w:top w:val="outset" w:color="000000" w:sz="6" w:space="0"/>
              <w:left w:val="outset" w:color="000000" w:sz="6" w:space="0"/>
              <w:bottom w:val="outset" w:color="000000" w:sz="6" w:space="0"/>
              <w:right w:val="outset" w:color="000000" w:sz="6" w:space="0"/>
            </w:tcBorders>
            <w:vAlign w:val="center"/>
          </w:tcPr>
          <w:p>
            <w:pPr>
              <w:pStyle w:val="31"/>
              <w:rPr>
                <w:kern w:val="0"/>
              </w:rPr>
            </w:pPr>
          </w:p>
        </w:tc>
        <w:tc>
          <w:tcPr>
            <w:tcW w:w="0" w:type="auto"/>
            <w:tcBorders>
              <w:top w:val="outset" w:color="000000" w:sz="6" w:space="0"/>
              <w:left w:val="outset" w:color="000000" w:sz="6" w:space="0"/>
              <w:bottom w:val="outset" w:color="000000" w:sz="6" w:space="0"/>
              <w:right w:val="outset" w:color="000000" w:sz="6" w:space="0"/>
            </w:tcBorders>
            <w:vAlign w:val="center"/>
          </w:tcPr>
          <w:p>
            <w:pPr>
              <w:pStyle w:val="31"/>
              <w:rPr>
                <w:kern w:val="0"/>
              </w:rPr>
            </w:pPr>
            <w:r>
              <w:rPr>
                <w:rFonts w:hint="eastAsia"/>
                <w:kern w:val="0"/>
              </w:rPr>
              <w:t>涨跌停榜单</w:t>
            </w:r>
          </w:p>
        </w:tc>
        <w:tc>
          <w:tcPr>
            <w:tcW w:w="0" w:type="auto"/>
            <w:tcBorders>
              <w:top w:val="outset" w:color="000000" w:sz="6" w:space="0"/>
              <w:left w:val="outset" w:color="000000" w:sz="6" w:space="0"/>
              <w:bottom w:val="outset" w:color="000000" w:sz="6" w:space="0"/>
              <w:right w:val="outset" w:color="000000" w:sz="6" w:space="0"/>
            </w:tcBorders>
            <w:vAlign w:val="center"/>
          </w:tcPr>
          <w:p>
            <w:pPr>
              <w:pStyle w:val="31"/>
              <w:rPr>
                <w:kern w:val="0"/>
              </w:rPr>
            </w:pPr>
            <w:r>
              <w:rPr>
                <w:rFonts w:hint="eastAsia"/>
                <w:kern w:val="0"/>
              </w:rPr>
              <w:t>一年中涨停或跌停比较频繁的股票信息，并统计涨停次日高开（高收）的概率。</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vMerge w:val="continue"/>
            <w:tcBorders>
              <w:top w:val="outset" w:color="000000" w:sz="6" w:space="0"/>
              <w:left w:val="outset" w:color="000000" w:sz="6" w:space="0"/>
              <w:bottom w:val="outset" w:color="000000" w:sz="6" w:space="0"/>
              <w:right w:val="outset" w:color="000000" w:sz="6" w:space="0"/>
            </w:tcBorders>
            <w:vAlign w:val="center"/>
          </w:tcPr>
          <w:p>
            <w:pPr>
              <w:pStyle w:val="31"/>
              <w:rPr>
                <w:kern w:val="0"/>
              </w:rPr>
            </w:pPr>
          </w:p>
        </w:tc>
        <w:tc>
          <w:tcPr>
            <w:tcW w:w="1380" w:type="dxa"/>
            <w:tcBorders>
              <w:top w:val="outset" w:color="000000" w:sz="6" w:space="0"/>
              <w:left w:val="outset" w:color="000000" w:sz="6" w:space="0"/>
              <w:bottom w:val="outset" w:color="000000" w:sz="6" w:space="0"/>
              <w:right w:val="outset" w:color="000000" w:sz="6" w:space="0"/>
            </w:tcBorders>
            <w:vAlign w:val="center"/>
          </w:tcPr>
          <w:p>
            <w:pPr>
              <w:pStyle w:val="31"/>
              <w:rPr>
                <w:kern w:val="0"/>
              </w:rPr>
            </w:pPr>
            <w:r>
              <w:rPr>
                <w:rFonts w:hint="eastAsia"/>
                <w:kern w:val="0"/>
              </w:rPr>
              <w:t>强势股分析</w:t>
            </w:r>
          </w:p>
        </w:tc>
        <w:tc>
          <w:tcPr>
            <w:tcW w:w="8430" w:type="dxa"/>
            <w:tcBorders>
              <w:top w:val="outset" w:color="000000" w:sz="6" w:space="0"/>
              <w:left w:val="outset" w:color="000000" w:sz="6" w:space="0"/>
              <w:bottom w:val="outset" w:color="000000" w:sz="6" w:space="0"/>
              <w:right w:val="outset" w:color="000000" w:sz="6" w:space="0"/>
            </w:tcBorders>
            <w:vAlign w:val="center"/>
          </w:tcPr>
          <w:p>
            <w:pPr>
              <w:pStyle w:val="31"/>
              <w:rPr>
                <w:kern w:val="0"/>
              </w:rPr>
            </w:pPr>
            <w:r>
              <w:rPr>
                <w:rFonts w:hint="eastAsia"/>
                <w:kern w:val="0"/>
              </w:rPr>
              <w:t>强势股明细总览</w:t>
            </w:r>
          </w:p>
        </w:tc>
      </w:tr>
    </w:tbl>
    <w:p>
      <w:pPr>
        <w:pStyle w:val="34"/>
        <w:ind w:firstLine="540"/>
        <w:rPr>
          <w:kern w:val="0"/>
          <w:sz w:val="27"/>
          <w:szCs w:val="27"/>
        </w:rPr>
      </w:pPr>
      <w:r>
        <w:rPr>
          <w:kern w:val="0"/>
          <w:sz w:val="27"/>
          <w:szCs w:val="27"/>
        </w:rPr>
        <w:drawing>
          <wp:inline distT="0" distB="0" distL="114300" distR="114300">
            <wp:extent cx="7600950" cy="5534025"/>
            <wp:effectExtent l="0" t="0" r="0" b="9525"/>
            <wp:docPr id="511" name="图片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图片 511"/>
                    <pic:cNvPicPr>
                      <a:picLocks noChangeAspect="1"/>
                    </pic:cNvPicPr>
                  </pic:nvPicPr>
                  <pic:blipFill>
                    <a:blip r:embed="rId948"/>
                    <a:stretch>
                      <a:fillRect/>
                    </a:stretch>
                  </pic:blipFill>
                  <pic:spPr>
                    <a:xfrm>
                      <a:off x="0" y="0"/>
                      <a:ext cx="7600950" cy="5534025"/>
                    </a:xfrm>
                    <a:prstGeom prst="rect">
                      <a:avLst/>
                    </a:prstGeom>
                    <a:noFill/>
                    <a:ln>
                      <a:noFill/>
                    </a:ln>
                  </pic:spPr>
                </pic:pic>
              </a:graphicData>
            </a:graphic>
          </wp:inline>
        </w:drawing>
      </w:r>
    </w:p>
    <w:p>
      <w:pPr>
        <w:pStyle w:val="34"/>
        <w:rPr>
          <w:kern w:val="0"/>
        </w:rPr>
      </w:pPr>
      <w:r>
        <w:rPr>
          <w:rFonts w:hint="eastAsia"/>
          <w:kern w:val="0"/>
        </w:rPr>
        <w:t>研报评级：</w:t>
      </w:r>
    </w:p>
    <w:tbl>
      <w:tblPr>
        <w:tblStyle w:val="25"/>
        <w:tblW w:w="0" w:type="auto"/>
        <w:tblCellSpacing w:w="0" w:type="dxa"/>
        <w:tblInd w:w="0" w:type="dxa"/>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Layout w:type="autofit"/>
        <w:tblCellMar>
          <w:top w:w="0" w:type="dxa"/>
          <w:left w:w="0" w:type="dxa"/>
          <w:bottom w:w="0" w:type="dxa"/>
          <w:right w:w="0" w:type="dxa"/>
        </w:tblCellMar>
      </w:tblPr>
      <w:tblGrid>
        <w:gridCol w:w="1035"/>
        <w:gridCol w:w="1905"/>
        <w:gridCol w:w="9315"/>
      </w:tblGrid>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035" w:type="dxa"/>
            <w:vMerge w:val="restart"/>
            <w:tcBorders>
              <w:top w:val="outset" w:color="000000" w:sz="6" w:space="0"/>
              <w:left w:val="outset" w:color="000000" w:sz="6" w:space="0"/>
              <w:bottom w:val="outset" w:color="000000" w:sz="6" w:space="0"/>
              <w:right w:val="outset" w:color="000000" w:sz="6" w:space="0"/>
            </w:tcBorders>
            <w:vAlign w:val="center"/>
          </w:tcPr>
          <w:p>
            <w:pPr>
              <w:pStyle w:val="31"/>
              <w:rPr>
                <w:kern w:val="0"/>
              </w:rPr>
            </w:pPr>
            <w:r>
              <w:rPr>
                <w:rFonts w:hint="eastAsia"/>
                <w:kern w:val="0"/>
              </w:rPr>
              <w:t>一致预期</w:t>
            </w:r>
          </w:p>
        </w:tc>
        <w:tc>
          <w:tcPr>
            <w:tcW w:w="1905" w:type="dxa"/>
            <w:tcBorders>
              <w:top w:val="outset" w:color="000000" w:sz="6" w:space="0"/>
              <w:left w:val="outset" w:color="000000" w:sz="6" w:space="0"/>
              <w:bottom w:val="outset" w:color="000000" w:sz="6" w:space="0"/>
              <w:right w:val="outset" w:color="000000" w:sz="6" w:space="0"/>
            </w:tcBorders>
            <w:vAlign w:val="center"/>
          </w:tcPr>
          <w:p>
            <w:pPr>
              <w:pStyle w:val="31"/>
              <w:rPr>
                <w:kern w:val="0"/>
              </w:rPr>
            </w:pPr>
            <w:r>
              <w:rPr>
                <w:rFonts w:hint="eastAsia"/>
                <w:kern w:val="0"/>
              </w:rPr>
              <w:t>最新一致预期</w:t>
            </w:r>
          </w:p>
        </w:tc>
        <w:tc>
          <w:tcPr>
            <w:tcW w:w="9315" w:type="dxa"/>
            <w:tcBorders>
              <w:top w:val="outset" w:color="000000" w:sz="6" w:space="0"/>
              <w:left w:val="outset" w:color="000000" w:sz="6" w:space="0"/>
              <w:bottom w:val="outset" w:color="000000" w:sz="6" w:space="0"/>
              <w:right w:val="outset" w:color="000000" w:sz="6" w:space="0"/>
            </w:tcBorders>
            <w:vAlign w:val="center"/>
          </w:tcPr>
          <w:p>
            <w:pPr>
              <w:pStyle w:val="31"/>
              <w:rPr>
                <w:kern w:val="0"/>
              </w:rPr>
            </w:pPr>
            <w:r>
              <w:rPr>
                <w:rFonts w:hint="eastAsia"/>
                <w:kern w:val="0"/>
              </w:rPr>
              <w:t>最近十五天，被研究机构分析师调查的个股评级情况，包括：调查机构数、综合评级、目标价、目标涨幅、预测每股收益、预测净利润、预测营业收入以及各机构调查的详细情况等内容。</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vMerge w:val="continue"/>
            <w:tcBorders>
              <w:top w:val="outset" w:color="000000" w:sz="6" w:space="0"/>
              <w:left w:val="outset" w:color="000000" w:sz="6" w:space="0"/>
              <w:bottom w:val="outset" w:color="000000" w:sz="6" w:space="0"/>
              <w:right w:val="outset" w:color="000000" w:sz="6" w:space="0"/>
            </w:tcBorders>
            <w:vAlign w:val="center"/>
          </w:tcPr>
          <w:p>
            <w:pPr>
              <w:pStyle w:val="31"/>
              <w:rPr>
                <w:kern w:val="0"/>
              </w:rPr>
            </w:pPr>
          </w:p>
        </w:tc>
        <w:tc>
          <w:tcPr>
            <w:tcW w:w="1905" w:type="dxa"/>
            <w:tcBorders>
              <w:top w:val="outset" w:color="000000" w:sz="6" w:space="0"/>
              <w:left w:val="outset" w:color="000000" w:sz="6" w:space="0"/>
              <w:bottom w:val="outset" w:color="000000" w:sz="6" w:space="0"/>
              <w:right w:val="outset" w:color="000000" w:sz="6" w:space="0"/>
            </w:tcBorders>
            <w:vAlign w:val="center"/>
          </w:tcPr>
          <w:p>
            <w:pPr>
              <w:pStyle w:val="31"/>
              <w:rPr>
                <w:kern w:val="0"/>
              </w:rPr>
            </w:pPr>
            <w:r>
              <w:rPr>
                <w:rFonts w:hint="eastAsia"/>
                <w:kern w:val="0"/>
              </w:rPr>
              <w:t>最新调高评级</w:t>
            </w:r>
          </w:p>
        </w:tc>
        <w:tc>
          <w:tcPr>
            <w:tcW w:w="9315" w:type="dxa"/>
            <w:tcBorders>
              <w:top w:val="outset" w:color="000000" w:sz="6" w:space="0"/>
              <w:left w:val="outset" w:color="000000" w:sz="6" w:space="0"/>
              <w:bottom w:val="outset" w:color="000000" w:sz="6" w:space="0"/>
              <w:right w:val="outset" w:color="000000" w:sz="6" w:space="0"/>
            </w:tcBorders>
            <w:vAlign w:val="center"/>
          </w:tcPr>
          <w:p>
            <w:pPr>
              <w:pStyle w:val="31"/>
              <w:rPr>
                <w:kern w:val="0"/>
              </w:rPr>
            </w:pPr>
            <w:r>
              <w:rPr>
                <w:rFonts w:hint="eastAsia"/>
                <w:kern w:val="0"/>
              </w:rPr>
              <w:t>最近十五天，被研究机构分析师调高评级的个股信息，具体评级情况同上。</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vMerge w:val="continue"/>
            <w:tcBorders>
              <w:top w:val="outset" w:color="000000" w:sz="6" w:space="0"/>
              <w:left w:val="outset" w:color="000000" w:sz="6" w:space="0"/>
              <w:bottom w:val="outset" w:color="000000" w:sz="6" w:space="0"/>
              <w:right w:val="outset" w:color="000000" w:sz="6" w:space="0"/>
            </w:tcBorders>
            <w:vAlign w:val="center"/>
          </w:tcPr>
          <w:p>
            <w:pPr>
              <w:pStyle w:val="31"/>
              <w:rPr>
                <w:kern w:val="0"/>
              </w:rPr>
            </w:pPr>
          </w:p>
        </w:tc>
        <w:tc>
          <w:tcPr>
            <w:tcW w:w="1905" w:type="dxa"/>
            <w:tcBorders>
              <w:top w:val="outset" w:color="000000" w:sz="6" w:space="0"/>
              <w:left w:val="outset" w:color="000000" w:sz="6" w:space="0"/>
              <w:bottom w:val="outset" w:color="000000" w:sz="6" w:space="0"/>
              <w:right w:val="outset" w:color="000000" w:sz="6" w:space="0"/>
            </w:tcBorders>
            <w:vAlign w:val="center"/>
          </w:tcPr>
          <w:p>
            <w:pPr>
              <w:pStyle w:val="31"/>
              <w:rPr>
                <w:kern w:val="0"/>
              </w:rPr>
            </w:pPr>
            <w:r>
              <w:rPr>
                <w:rFonts w:hint="eastAsia"/>
                <w:kern w:val="0"/>
              </w:rPr>
              <w:t>机构首次评级</w:t>
            </w:r>
          </w:p>
        </w:tc>
        <w:tc>
          <w:tcPr>
            <w:tcW w:w="9315" w:type="dxa"/>
            <w:tcBorders>
              <w:top w:val="outset" w:color="000000" w:sz="6" w:space="0"/>
              <w:left w:val="outset" w:color="000000" w:sz="6" w:space="0"/>
              <w:bottom w:val="outset" w:color="000000" w:sz="6" w:space="0"/>
              <w:right w:val="outset" w:color="000000" w:sz="6" w:space="0"/>
            </w:tcBorders>
            <w:vAlign w:val="center"/>
          </w:tcPr>
          <w:p>
            <w:pPr>
              <w:pStyle w:val="31"/>
              <w:rPr>
                <w:kern w:val="0"/>
              </w:rPr>
            </w:pPr>
            <w:r>
              <w:rPr>
                <w:rFonts w:hint="eastAsia"/>
                <w:kern w:val="0"/>
              </w:rPr>
              <w:t>最近十五天，首次被研究机构分析师评级的个股信息，具体评级情况同上。</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vMerge w:val="continue"/>
            <w:tcBorders>
              <w:top w:val="outset" w:color="000000" w:sz="6" w:space="0"/>
              <w:left w:val="outset" w:color="000000" w:sz="6" w:space="0"/>
              <w:bottom w:val="outset" w:color="000000" w:sz="6" w:space="0"/>
              <w:right w:val="outset" w:color="000000" w:sz="6" w:space="0"/>
            </w:tcBorders>
            <w:vAlign w:val="center"/>
          </w:tcPr>
          <w:p>
            <w:pPr>
              <w:pStyle w:val="31"/>
              <w:rPr>
                <w:kern w:val="0"/>
              </w:rPr>
            </w:pPr>
          </w:p>
        </w:tc>
        <w:tc>
          <w:tcPr>
            <w:tcW w:w="1905" w:type="dxa"/>
            <w:tcBorders>
              <w:top w:val="outset" w:color="000000" w:sz="6" w:space="0"/>
              <w:left w:val="outset" w:color="000000" w:sz="6" w:space="0"/>
              <w:bottom w:val="outset" w:color="000000" w:sz="6" w:space="0"/>
              <w:right w:val="outset" w:color="000000" w:sz="6" w:space="0"/>
            </w:tcBorders>
            <w:vAlign w:val="center"/>
          </w:tcPr>
          <w:p>
            <w:pPr>
              <w:pStyle w:val="31"/>
              <w:rPr>
                <w:kern w:val="0"/>
              </w:rPr>
            </w:pPr>
            <w:r>
              <w:rPr>
                <w:rFonts w:hint="eastAsia"/>
                <w:kern w:val="0"/>
              </w:rPr>
              <w:t>营收复合增速Top100</w:t>
            </w:r>
          </w:p>
        </w:tc>
        <w:tc>
          <w:tcPr>
            <w:tcW w:w="9315" w:type="dxa"/>
            <w:tcBorders>
              <w:top w:val="outset" w:color="000000" w:sz="6" w:space="0"/>
              <w:left w:val="outset" w:color="000000" w:sz="6" w:space="0"/>
              <w:bottom w:val="outset" w:color="000000" w:sz="6" w:space="0"/>
              <w:right w:val="outset" w:color="000000" w:sz="6" w:space="0"/>
            </w:tcBorders>
            <w:vAlign w:val="center"/>
          </w:tcPr>
          <w:p>
            <w:pPr>
              <w:pStyle w:val="31"/>
              <w:rPr>
                <w:kern w:val="0"/>
              </w:rPr>
            </w:pPr>
            <w:r>
              <w:rPr>
                <w:rFonts w:hint="eastAsia"/>
                <w:kern w:val="0"/>
              </w:rPr>
              <w:t>展示被研究机构调研评级的个股中，预计从T年开始，三年的营业收入复合增长率从大到小前100名的个股评级信息，包括：调查机构数、综合评级、目标价、目标涨幅、营业收入复合增长率、营业利润复合增长率以及相关上市公司的近六月内的机构评级明细与分析图。</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vMerge w:val="continue"/>
            <w:tcBorders>
              <w:top w:val="outset" w:color="000000" w:sz="6" w:space="0"/>
              <w:left w:val="outset" w:color="000000" w:sz="6" w:space="0"/>
              <w:bottom w:val="outset" w:color="000000" w:sz="6" w:space="0"/>
              <w:right w:val="outset" w:color="000000" w:sz="6" w:space="0"/>
            </w:tcBorders>
            <w:vAlign w:val="center"/>
          </w:tcPr>
          <w:p>
            <w:pPr>
              <w:pStyle w:val="31"/>
              <w:rPr>
                <w:kern w:val="0"/>
              </w:rPr>
            </w:pPr>
          </w:p>
        </w:tc>
        <w:tc>
          <w:tcPr>
            <w:tcW w:w="1905" w:type="dxa"/>
            <w:vMerge w:val="restart"/>
            <w:tcBorders>
              <w:top w:val="outset" w:color="000000" w:sz="6" w:space="0"/>
              <w:left w:val="outset" w:color="000000" w:sz="6" w:space="0"/>
              <w:bottom w:val="outset" w:color="000000" w:sz="6" w:space="0"/>
              <w:right w:val="outset" w:color="000000" w:sz="6" w:space="0"/>
            </w:tcBorders>
            <w:vAlign w:val="center"/>
          </w:tcPr>
          <w:p>
            <w:pPr>
              <w:pStyle w:val="31"/>
              <w:rPr>
                <w:kern w:val="0"/>
              </w:rPr>
            </w:pPr>
            <w:r>
              <w:rPr>
                <w:rFonts w:hint="eastAsia"/>
                <w:kern w:val="0"/>
              </w:rPr>
              <w:t>净利复合增速Top100</w:t>
            </w:r>
          </w:p>
        </w:tc>
        <w:tc>
          <w:tcPr>
            <w:tcW w:w="9315" w:type="dxa"/>
            <w:tcBorders>
              <w:top w:val="outset" w:color="000000" w:sz="6" w:space="0"/>
              <w:left w:val="outset" w:color="000000" w:sz="6" w:space="0"/>
              <w:bottom w:val="outset" w:color="000000" w:sz="6" w:space="0"/>
              <w:right w:val="outset" w:color="000000" w:sz="6" w:space="0"/>
            </w:tcBorders>
            <w:vAlign w:val="center"/>
          </w:tcPr>
          <w:p>
            <w:pPr>
              <w:pStyle w:val="31"/>
              <w:rPr>
                <w:kern w:val="0"/>
              </w:rPr>
            </w:pPr>
            <w:r>
              <w:rPr>
                <w:rFonts w:hint="eastAsia"/>
                <w:kern w:val="0"/>
              </w:rPr>
              <w:t>被研究机构调研评级的个股中，预计从T年开始，三年的净利润复合增长率从大到小前100名的个股评级信息，具体评级情况同上。</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vMerge w:val="continue"/>
            <w:tcBorders>
              <w:top w:val="outset" w:color="000000" w:sz="6" w:space="0"/>
              <w:left w:val="outset" w:color="000000" w:sz="6" w:space="0"/>
              <w:bottom w:val="outset" w:color="000000" w:sz="6" w:space="0"/>
              <w:right w:val="outset" w:color="000000" w:sz="6" w:space="0"/>
            </w:tcBorders>
            <w:vAlign w:val="center"/>
          </w:tcPr>
          <w:p>
            <w:pPr>
              <w:pStyle w:val="31"/>
              <w:rPr>
                <w:kern w:val="0"/>
              </w:rPr>
            </w:pPr>
          </w:p>
        </w:tc>
        <w:tc>
          <w:tcPr>
            <w:tcW w:w="0" w:type="auto"/>
            <w:vMerge w:val="continue"/>
            <w:tcBorders>
              <w:top w:val="outset" w:color="000000" w:sz="6" w:space="0"/>
              <w:left w:val="outset" w:color="000000" w:sz="6" w:space="0"/>
              <w:bottom w:val="outset" w:color="000000" w:sz="6" w:space="0"/>
              <w:right w:val="outset" w:color="000000" w:sz="6" w:space="0"/>
            </w:tcBorders>
            <w:vAlign w:val="center"/>
          </w:tcPr>
          <w:p>
            <w:pPr>
              <w:pStyle w:val="31"/>
              <w:rPr>
                <w:kern w:val="0"/>
              </w:rPr>
            </w:pPr>
          </w:p>
        </w:tc>
        <w:tc>
          <w:tcPr>
            <w:tcW w:w="9315" w:type="dxa"/>
            <w:tcBorders>
              <w:top w:val="outset" w:color="000000" w:sz="6" w:space="0"/>
              <w:left w:val="outset" w:color="000000" w:sz="6" w:space="0"/>
              <w:bottom w:val="outset" w:color="000000" w:sz="6" w:space="0"/>
              <w:right w:val="outset" w:color="000000" w:sz="6" w:space="0"/>
            </w:tcBorders>
            <w:vAlign w:val="center"/>
          </w:tcPr>
          <w:p>
            <w:pPr>
              <w:pStyle w:val="31"/>
              <w:rPr>
                <w:kern w:val="0"/>
              </w:rPr>
            </w:pPr>
            <w:r>
              <w:rPr>
                <w:rFonts w:hint="eastAsia"/>
                <w:kern w:val="0"/>
              </w:rPr>
              <w:t>复合增长率：是描述一个投资回报率转变成一个较稳定的投资回报所得到的预想值，计算方法为总增长率百分比的n方根，n相等于有关时期内的年数，公式为：(现有价值/基础价值)^(1/年数) – 1。</w:t>
            </w:r>
          </w:p>
        </w:tc>
      </w:tr>
    </w:tbl>
    <w:p>
      <w:pPr>
        <w:pStyle w:val="31"/>
        <w:rPr>
          <w:kern w:val="0"/>
        </w:rPr>
      </w:pPr>
      <w:r>
        <w:rPr>
          <w:kern w:val="0"/>
        </w:rPr>
        <w:drawing>
          <wp:inline distT="0" distB="0" distL="114300" distR="114300">
            <wp:extent cx="8458200" cy="6181725"/>
            <wp:effectExtent l="0" t="0" r="0" b="9525"/>
            <wp:docPr id="512" name="图片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图片 512"/>
                    <pic:cNvPicPr>
                      <a:picLocks noChangeAspect="1"/>
                    </pic:cNvPicPr>
                  </pic:nvPicPr>
                  <pic:blipFill>
                    <a:blip r:embed="rId949"/>
                    <a:stretch>
                      <a:fillRect/>
                    </a:stretch>
                  </pic:blipFill>
                  <pic:spPr>
                    <a:xfrm>
                      <a:off x="0" y="0"/>
                      <a:ext cx="8458200" cy="6181725"/>
                    </a:xfrm>
                    <a:prstGeom prst="rect">
                      <a:avLst/>
                    </a:prstGeom>
                    <a:noFill/>
                    <a:ln>
                      <a:noFill/>
                    </a:ln>
                  </pic:spPr>
                </pic:pic>
              </a:graphicData>
            </a:graphic>
          </wp:inline>
        </w:drawing>
      </w:r>
    </w:p>
    <w:p>
      <w:pPr>
        <w:pStyle w:val="34"/>
        <w:rPr>
          <w:kern w:val="0"/>
        </w:rPr>
      </w:pPr>
      <w:r>
        <w:rPr>
          <w:rFonts w:hint="eastAsia"/>
          <w:kern w:val="0"/>
        </w:rPr>
        <w:t>龙虎榜单：</w:t>
      </w:r>
    </w:p>
    <w:tbl>
      <w:tblPr>
        <w:tblStyle w:val="25"/>
        <w:tblW w:w="0" w:type="auto"/>
        <w:tblCellSpacing w:w="0" w:type="dxa"/>
        <w:tblInd w:w="0" w:type="dxa"/>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Layout w:type="autofit"/>
        <w:tblCellMar>
          <w:top w:w="0" w:type="dxa"/>
          <w:left w:w="0" w:type="dxa"/>
          <w:bottom w:w="0" w:type="dxa"/>
          <w:right w:w="0" w:type="dxa"/>
        </w:tblCellMar>
      </w:tblPr>
      <w:tblGrid>
        <w:gridCol w:w="1080"/>
        <w:gridCol w:w="1380"/>
        <w:gridCol w:w="6060"/>
      </w:tblGrid>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080" w:type="dxa"/>
            <w:vMerge w:val="restart"/>
            <w:tcBorders>
              <w:top w:val="outset" w:color="000000" w:sz="6" w:space="0"/>
              <w:left w:val="outset" w:color="000000" w:sz="6" w:space="0"/>
              <w:bottom w:val="outset" w:color="000000" w:sz="6" w:space="0"/>
              <w:right w:val="outset" w:color="000000" w:sz="6" w:space="0"/>
            </w:tcBorders>
            <w:vAlign w:val="center"/>
          </w:tcPr>
          <w:p>
            <w:pPr>
              <w:pStyle w:val="31"/>
              <w:rPr>
                <w:kern w:val="0"/>
              </w:rPr>
            </w:pPr>
            <w:r>
              <w:rPr>
                <w:rFonts w:hint="eastAsia"/>
                <w:kern w:val="0"/>
              </w:rPr>
              <w:t>龙虎榜单</w:t>
            </w:r>
          </w:p>
        </w:tc>
        <w:tc>
          <w:tcPr>
            <w:tcW w:w="0" w:type="auto"/>
            <w:tcBorders>
              <w:top w:val="outset" w:color="000000" w:sz="6" w:space="0"/>
              <w:left w:val="outset" w:color="000000" w:sz="6" w:space="0"/>
              <w:bottom w:val="outset" w:color="000000" w:sz="6" w:space="0"/>
              <w:right w:val="outset" w:color="000000" w:sz="6" w:space="0"/>
            </w:tcBorders>
            <w:vAlign w:val="center"/>
          </w:tcPr>
          <w:p>
            <w:pPr>
              <w:pStyle w:val="31"/>
              <w:rPr>
                <w:kern w:val="0"/>
              </w:rPr>
            </w:pPr>
            <w:r>
              <w:rPr>
                <w:rFonts w:hint="eastAsia"/>
                <w:kern w:val="0"/>
              </w:rPr>
              <w:t>游资龙虎榜</w:t>
            </w:r>
          </w:p>
        </w:tc>
        <w:tc>
          <w:tcPr>
            <w:tcW w:w="6060" w:type="dxa"/>
            <w:tcBorders>
              <w:top w:val="outset" w:color="000000" w:sz="6" w:space="0"/>
              <w:left w:val="outset" w:color="000000" w:sz="6" w:space="0"/>
              <w:bottom w:val="outset" w:color="000000" w:sz="6" w:space="0"/>
              <w:right w:val="outset" w:color="000000" w:sz="6" w:space="0"/>
            </w:tcBorders>
            <w:vAlign w:val="center"/>
          </w:tcPr>
          <w:p>
            <w:pPr>
              <w:pStyle w:val="31"/>
              <w:rPr>
                <w:kern w:val="0"/>
              </w:rPr>
            </w:pPr>
            <w:r>
              <w:rPr>
                <w:rFonts w:hint="eastAsia"/>
                <w:kern w:val="0"/>
              </w:rPr>
              <w:t>展示相应游资历史交易情况</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vMerge w:val="continue"/>
            <w:tcBorders>
              <w:top w:val="outset" w:color="000000" w:sz="6" w:space="0"/>
              <w:left w:val="outset" w:color="000000" w:sz="6" w:space="0"/>
              <w:bottom w:val="outset" w:color="000000" w:sz="6" w:space="0"/>
              <w:right w:val="outset" w:color="000000" w:sz="6" w:space="0"/>
            </w:tcBorders>
            <w:vAlign w:val="center"/>
          </w:tcPr>
          <w:p>
            <w:pPr>
              <w:pStyle w:val="31"/>
              <w:rPr>
                <w:kern w:val="0"/>
              </w:rPr>
            </w:pPr>
          </w:p>
        </w:tc>
        <w:tc>
          <w:tcPr>
            <w:tcW w:w="1380" w:type="dxa"/>
            <w:tcBorders>
              <w:top w:val="outset" w:color="000000" w:sz="6" w:space="0"/>
              <w:left w:val="outset" w:color="000000" w:sz="6" w:space="0"/>
              <w:bottom w:val="outset" w:color="000000" w:sz="6" w:space="0"/>
              <w:right w:val="outset" w:color="000000" w:sz="6" w:space="0"/>
            </w:tcBorders>
            <w:vAlign w:val="center"/>
          </w:tcPr>
          <w:p>
            <w:pPr>
              <w:pStyle w:val="31"/>
              <w:rPr>
                <w:kern w:val="0"/>
              </w:rPr>
            </w:pPr>
            <w:r>
              <w:rPr>
                <w:rFonts w:hint="eastAsia"/>
                <w:kern w:val="0"/>
              </w:rPr>
              <w:t>最新活跃龙虎榜</w:t>
            </w:r>
          </w:p>
        </w:tc>
        <w:tc>
          <w:tcPr>
            <w:tcW w:w="6060" w:type="dxa"/>
            <w:tcBorders>
              <w:top w:val="outset" w:color="000000" w:sz="6" w:space="0"/>
              <w:left w:val="outset" w:color="000000" w:sz="6" w:space="0"/>
              <w:bottom w:val="outset" w:color="000000" w:sz="6" w:space="0"/>
              <w:right w:val="outset" w:color="000000" w:sz="6" w:space="0"/>
            </w:tcBorders>
            <w:vAlign w:val="center"/>
          </w:tcPr>
          <w:p>
            <w:pPr>
              <w:pStyle w:val="31"/>
              <w:rPr>
                <w:kern w:val="0"/>
              </w:rPr>
            </w:pPr>
            <w:r>
              <w:rPr>
                <w:rFonts w:hint="eastAsia"/>
                <w:kern w:val="0"/>
              </w:rPr>
              <w:t>最近一个交易日交易所公布的异动个股，及个股所对应的买卖营业部数据。</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vMerge w:val="continue"/>
            <w:tcBorders>
              <w:top w:val="outset" w:color="000000" w:sz="6" w:space="0"/>
              <w:left w:val="outset" w:color="000000" w:sz="6" w:space="0"/>
              <w:bottom w:val="outset" w:color="000000" w:sz="6" w:space="0"/>
              <w:right w:val="outset" w:color="000000" w:sz="6" w:space="0"/>
            </w:tcBorders>
            <w:vAlign w:val="center"/>
          </w:tcPr>
          <w:p>
            <w:pPr>
              <w:pStyle w:val="31"/>
              <w:rPr>
                <w:kern w:val="0"/>
              </w:rPr>
            </w:pPr>
          </w:p>
        </w:tc>
        <w:tc>
          <w:tcPr>
            <w:tcW w:w="1380" w:type="dxa"/>
            <w:tcBorders>
              <w:top w:val="outset" w:color="000000" w:sz="6" w:space="0"/>
              <w:left w:val="outset" w:color="000000" w:sz="6" w:space="0"/>
              <w:bottom w:val="outset" w:color="000000" w:sz="6" w:space="0"/>
              <w:right w:val="outset" w:color="000000" w:sz="6" w:space="0"/>
            </w:tcBorders>
            <w:vAlign w:val="center"/>
          </w:tcPr>
          <w:p>
            <w:pPr>
              <w:pStyle w:val="31"/>
              <w:rPr>
                <w:kern w:val="0"/>
              </w:rPr>
            </w:pPr>
            <w:r>
              <w:rPr>
                <w:rFonts w:hint="eastAsia"/>
                <w:kern w:val="0"/>
              </w:rPr>
              <w:t>近5日/近一月/近半年活跃龙虎榜</w:t>
            </w:r>
          </w:p>
        </w:tc>
        <w:tc>
          <w:tcPr>
            <w:tcW w:w="6060" w:type="dxa"/>
            <w:tcBorders>
              <w:top w:val="outset" w:color="000000" w:sz="6" w:space="0"/>
              <w:left w:val="outset" w:color="000000" w:sz="6" w:space="0"/>
              <w:bottom w:val="outset" w:color="000000" w:sz="6" w:space="0"/>
              <w:right w:val="outset" w:color="000000" w:sz="6" w:space="0"/>
            </w:tcBorders>
            <w:vAlign w:val="center"/>
          </w:tcPr>
          <w:p>
            <w:pPr>
              <w:pStyle w:val="31"/>
              <w:rPr>
                <w:kern w:val="0"/>
              </w:rPr>
            </w:pPr>
            <w:r>
              <w:rPr>
                <w:rFonts w:hint="eastAsia"/>
                <w:kern w:val="0"/>
              </w:rPr>
              <w:t>统计最近近5个交易日、近一个月、近半年上榜次数最多的前50只个股，展示其异动类型、累计买入额、累计卖出额、买卖比等信息。</w:t>
            </w:r>
          </w:p>
        </w:tc>
      </w:tr>
    </w:tbl>
    <w:p>
      <w:pPr>
        <w:pStyle w:val="34"/>
        <w:ind w:firstLine="540"/>
        <w:rPr>
          <w:kern w:val="0"/>
          <w:sz w:val="27"/>
          <w:szCs w:val="27"/>
        </w:rPr>
      </w:pPr>
      <w:r>
        <w:rPr>
          <w:kern w:val="0"/>
          <w:sz w:val="27"/>
          <w:szCs w:val="27"/>
        </w:rPr>
        <w:drawing>
          <wp:inline distT="0" distB="0" distL="114300" distR="114300">
            <wp:extent cx="8277225" cy="6010275"/>
            <wp:effectExtent l="0" t="0" r="9525" b="9525"/>
            <wp:docPr id="513" name="图片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图片 513"/>
                    <pic:cNvPicPr>
                      <a:picLocks noChangeAspect="1"/>
                    </pic:cNvPicPr>
                  </pic:nvPicPr>
                  <pic:blipFill>
                    <a:blip r:embed="rId950"/>
                    <a:stretch>
                      <a:fillRect/>
                    </a:stretch>
                  </pic:blipFill>
                  <pic:spPr>
                    <a:xfrm>
                      <a:off x="0" y="0"/>
                      <a:ext cx="8277225" cy="6010275"/>
                    </a:xfrm>
                    <a:prstGeom prst="rect">
                      <a:avLst/>
                    </a:prstGeom>
                    <a:noFill/>
                    <a:ln>
                      <a:noFill/>
                    </a:ln>
                  </pic:spPr>
                </pic:pic>
              </a:graphicData>
            </a:graphic>
          </wp:inline>
        </w:drawing>
      </w:r>
    </w:p>
    <w:p>
      <w:pPr>
        <w:pStyle w:val="34"/>
        <w:rPr>
          <w:kern w:val="0"/>
        </w:rPr>
      </w:pPr>
      <w:r>
        <w:rPr>
          <w:rFonts w:hint="eastAsia"/>
          <w:kern w:val="0"/>
        </w:rPr>
        <w:t>融资融券：</w:t>
      </w:r>
    </w:p>
    <w:tbl>
      <w:tblPr>
        <w:tblStyle w:val="25"/>
        <w:tblW w:w="0" w:type="auto"/>
        <w:tblCellSpacing w:w="0" w:type="dxa"/>
        <w:tblInd w:w="0" w:type="dxa"/>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Layout w:type="autofit"/>
        <w:tblCellMar>
          <w:top w:w="0" w:type="dxa"/>
          <w:left w:w="0" w:type="dxa"/>
          <w:bottom w:w="0" w:type="dxa"/>
          <w:right w:w="0" w:type="dxa"/>
        </w:tblCellMar>
      </w:tblPr>
      <w:tblGrid>
        <w:gridCol w:w="1003"/>
        <w:gridCol w:w="748"/>
        <w:gridCol w:w="1920"/>
        <w:gridCol w:w="10317"/>
      </w:tblGrid>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004" w:type="dxa"/>
            <w:vMerge w:val="restart"/>
            <w:tcBorders>
              <w:top w:val="outset" w:color="000000" w:sz="6" w:space="0"/>
              <w:left w:val="outset" w:color="000000" w:sz="6" w:space="0"/>
              <w:bottom w:val="outset" w:color="000000" w:sz="6" w:space="0"/>
              <w:right w:val="outset" w:color="000000" w:sz="6" w:space="0"/>
            </w:tcBorders>
            <w:vAlign w:val="center"/>
          </w:tcPr>
          <w:p>
            <w:pPr>
              <w:pStyle w:val="31"/>
              <w:rPr>
                <w:kern w:val="0"/>
              </w:rPr>
            </w:pPr>
            <w:r>
              <w:rPr>
                <w:rFonts w:hint="eastAsia"/>
                <w:kern w:val="0"/>
              </w:rPr>
              <w:t>融资融券</w:t>
            </w:r>
          </w:p>
        </w:tc>
        <w:tc>
          <w:tcPr>
            <w:tcW w:w="745" w:type="dxa"/>
            <w:vMerge w:val="restart"/>
            <w:tcBorders>
              <w:top w:val="outset" w:color="000000" w:sz="6" w:space="0"/>
              <w:left w:val="outset" w:color="000000" w:sz="6" w:space="0"/>
              <w:bottom w:val="outset" w:color="000000" w:sz="6" w:space="0"/>
              <w:right w:val="outset" w:color="000000" w:sz="6" w:space="0"/>
            </w:tcBorders>
            <w:vAlign w:val="center"/>
          </w:tcPr>
          <w:p>
            <w:pPr>
              <w:pStyle w:val="31"/>
              <w:rPr>
                <w:kern w:val="0"/>
              </w:rPr>
            </w:pPr>
            <w:r>
              <w:rPr>
                <w:rFonts w:hint="eastAsia"/>
                <w:kern w:val="0"/>
              </w:rPr>
              <w:t>两融异动</w:t>
            </w:r>
          </w:p>
        </w:tc>
        <w:tc>
          <w:tcPr>
            <w:tcW w:w="1913" w:type="dxa"/>
            <w:tcBorders>
              <w:top w:val="outset" w:color="000000" w:sz="6" w:space="0"/>
              <w:left w:val="outset" w:color="000000" w:sz="6" w:space="0"/>
              <w:bottom w:val="outset" w:color="000000" w:sz="6" w:space="0"/>
              <w:right w:val="outset" w:color="000000" w:sz="6" w:space="0"/>
            </w:tcBorders>
            <w:vAlign w:val="center"/>
          </w:tcPr>
          <w:p>
            <w:pPr>
              <w:pStyle w:val="31"/>
              <w:rPr>
                <w:kern w:val="0"/>
              </w:rPr>
            </w:pPr>
            <w:r>
              <w:rPr>
                <w:rFonts w:hint="eastAsia"/>
                <w:kern w:val="0"/>
              </w:rPr>
              <w:t>融资余额占比最高</w:t>
            </w:r>
          </w:p>
        </w:tc>
        <w:tc>
          <w:tcPr>
            <w:tcW w:w="10326" w:type="dxa"/>
            <w:tcBorders>
              <w:top w:val="outset" w:color="000000" w:sz="6" w:space="0"/>
              <w:left w:val="outset" w:color="000000" w:sz="6" w:space="0"/>
              <w:bottom w:val="outset" w:color="000000" w:sz="6" w:space="0"/>
              <w:right w:val="outset" w:color="000000" w:sz="6" w:space="0"/>
            </w:tcBorders>
            <w:vAlign w:val="center"/>
          </w:tcPr>
          <w:p>
            <w:pPr>
              <w:pStyle w:val="31"/>
              <w:rPr>
                <w:kern w:val="0"/>
              </w:rPr>
            </w:pPr>
            <w:r>
              <w:rPr>
                <w:rFonts w:hint="eastAsia"/>
                <w:kern w:val="0"/>
              </w:rPr>
              <w:t>取出统计日期当日融资买入额占比最高的前100只个股。</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vMerge w:val="continue"/>
            <w:tcBorders>
              <w:top w:val="outset" w:color="000000" w:sz="6" w:space="0"/>
              <w:left w:val="outset" w:color="000000" w:sz="6" w:space="0"/>
              <w:bottom w:val="outset" w:color="000000" w:sz="6" w:space="0"/>
              <w:right w:val="outset" w:color="000000" w:sz="6" w:space="0"/>
            </w:tcBorders>
            <w:vAlign w:val="center"/>
          </w:tcPr>
          <w:p>
            <w:pPr>
              <w:pStyle w:val="31"/>
              <w:rPr>
                <w:kern w:val="0"/>
              </w:rPr>
            </w:pPr>
          </w:p>
        </w:tc>
        <w:tc>
          <w:tcPr>
            <w:tcW w:w="0" w:type="auto"/>
            <w:vMerge w:val="continue"/>
            <w:tcBorders>
              <w:top w:val="outset" w:color="000000" w:sz="6" w:space="0"/>
              <w:left w:val="outset" w:color="000000" w:sz="6" w:space="0"/>
              <w:bottom w:val="outset" w:color="000000" w:sz="6" w:space="0"/>
              <w:right w:val="outset" w:color="000000" w:sz="6" w:space="0"/>
            </w:tcBorders>
            <w:vAlign w:val="center"/>
          </w:tcPr>
          <w:p>
            <w:pPr>
              <w:pStyle w:val="31"/>
              <w:rPr>
                <w:kern w:val="0"/>
              </w:rPr>
            </w:pPr>
          </w:p>
        </w:tc>
        <w:tc>
          <w:tcPr>
            <w:tcW w:w="1913" w:type="dxa"/>
            <w:tcBorders>
              <w:top w:val="outset" w:color="000000" w:sz="6" w:space="0"/>
              <w:left w:val="outset" w:color="000000" w:sz="6" w:space="0"/>
              <w:bottom w:val="outset" w:color="000000" w:sz="6" w:space="0"/>
              <w:right w:val="outset" w:color="000000" w:sz="6" w:space="0"/>
            </w:tcBorders>
            <w:vAlign w:val="center"/>
          </w:tcPr>
          <w:p>
            <w:pPr>
              <w:pStyle w:val="31"/>
              <w:rPr>
                <w:kern w:val="0"/>
              </w:rPr>
            </w:pPr>
            <w:r>
              <w:rPr>
                <w:rFonts w:hint="eastAsia"/>
                <w:kern w:val="0"/>
              </w:rPr>
              <w:t>融券余量占比最高</w:t>
            </w:r>
          </w:p>
        </w:tc>
        <w:tc>
          <w:tcPr>
            <w:tcW w:w="10326" w:type="dxa"/>
            <w:tcBorders>
              <w:top w:val="outset" w:color="000000" w:sz="6" w:space="0"/>
              <w:left w:val="outset" w:color="000000" w:sz="6" w:space="0"/>
              <w:bottom w:val="outset" w:color="000000" w:sz="6" w:space="0"/>
              <w:right w:val="outset" w:color="000000" w:sz="6" w:space="0"/>
            </w:tcBorders>
            <w:vAlign w:val="center"/>
          </w:tcPr>
          <w:p>
            <w:pPr>
              <w:pStyle w:val="31"/>
              <w:rPr>
                <w:kern w:val="0"/>
              </w:rPr>
            </w:pPr>
            <w:r>
              <w:rPr>
                <w:rFonts w:hint="eastAsia"/>
                <w:kern w:val="0"/>
              </w:rPr>
              <w:t>取出统计日期当日还没被卖出的证券量占比最高的前100只个股。</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vMerge w:val="continue"/>
            <w:tcBorders>
              <w:top w:val="outset" w:color="000000" w:sz="6" w:space="0"/>
              <w:left w:val="outset" w:color="000000" w:sz="6" w:space="0"/>
              <w:bottom w:val="outset" w:color="000000" w:sz="6" w:space="0"/>
              <w:right w:val="outset" w:color="000000" w:sz="6" w:space="0"/>
            </w:tcBorders>
            <w:vAlign w:val="center"/>
          </w:tcPr>
          <w:p>
            <w:pPr>
              <w:pStyle w:val="31"/>
              <w:rPr>
                <w:kern w:val="0"/>
              </w:rPr>
            </w:pPr>
          </w:p>
        </w:tc>
        <w:tc>
          <w:tcPr>
            <w:tcW w:w="0" w:type="auto"/>
            <w:vMerge w:val="continue"/>
            <w:tcBorders>
              <w:top w:val="outset" w:color="000000" w:sz="6" w:space="0"/>
              <w:left w:val="outset" w:color="000000" w:sz="6" w:space="0"/>
              <w:bottom w:val="outset" w:color="000000" w:sz="6" w:space="0"/>
              <w:right w:val="outset" w:color="000000" w:sz="6" w:space="0"/>
            </w:tcBorders>
            <w:vAlign w:val="center"/>
          </w:tcPr>
          <w:p>
            <w:pPr>
              <w:pStyle w:val="31"/>
              <w:rPr>
                <w:kern w:val="0"/>
              </w:rPr>
            </w:pPr>
          </w:p>
        </w:tc>
        <w:tc>
          <w:tcPr>
            <w:tcW w:w="1913" w:type="dxa"/>
            <w:tcBorders>
              <w:top w:val="outset" w:color="000000" w:sz="6" w:space="0"/>
              <w:left w:val="outset" w:color="000000" w:sz="6" w:space="0"/>
              <w:bottom w:val="outset" w:color="000000" w:sz="6" w:space="0"/>
              <w:right w:val="outset" w:color="000000" w:sz="6" w:space="0"/>
            </w:tcBorders>
            <w:vAlign w:val="center"/>
          </w:tcPr>
          <w:p>
            <w:pPr>
              <w:pStyle w:val="31"/>
              <w:rPr>
                <w:kern w:val="0"/>
              </w:rPr>
            </w:pPr>
            <w:r>
              <w:rPr>
                <w:rFonts w:hint="eastAsia"/>
                <w:kern w:val="0"/>
              </w:rPr>
              <w:t>两融差额最大</w:t>
            </w:r>
          </w:p>
        </w:tc>
        <w:tc>
          <w:tcPr>
            <w:tcW w:w="10326" w:type="dxa"/>
            <w:tcBorders>
              <w:top w:val="outset" w:color="000000" w:sz="6" w:space="0"/>
              <w:left w:val="outset" w:color="000000" w:sz="6" w:space="0"/>
              <w:bottom w:val="outset" w:color="000000" w:sz="6" w:space="0"/>
              <w:right w:val="outset" w:color="000000" w:sz="6" w:space="0"/>
            </w:tcBorders>
            <w:vAlign w:val="center"/>
          </w:tcPr>
          <w:p>
            <w:pPr>
              <w:pStyle w:val="31"/>
              <w:rPr>
                <w:kern w:val="0"/>
              </w:rPr>
            </w:pPr>
            <w:r>
              <w:rPr>
                <w:rFonts w:hint="eastAsia"/>
                <w:kern w:val="0"/>
              </w:rPr>
              <w:t>取出统计日期当日融资融券差额（融资余额 – 融券余额）最高的前100只个股。</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vMerge w:val="continue"/>
            <w:tcBorders>
              <w:top w:val="outset" w:color="000000" w:sz="6" w:space="0"/>
              <w:left w:val="outset" w:color="000000" w:sz="6" w:space="0"/>
              <w:bottom w:val="outset" w:color="000000" w:sz="6" w:space="0"/>
              <w:right w:val="outset" w:color="000000" w:sz="6" w:space="0"/>
            </w:tcBorders>
            <w:vAlign w:val="center"/>
          </w:tcPr>
          <w:p>
            <w:pPr>
              <w:pStyle w:val="31"/>
              <w:rPr>
                <w:kern w:val="0"/>
              </w:rPr>
            </w:pPr>
          </w:p>
        </w:tc>
        <w:tc>
          <w:tcPr>
            <w:tcW w:w="0" w:type="auto"/>
            <w:gridSpan w:val="2"/>
            <w:tcBorders>
              <w:top w:val="outset" w:color="000000" w:sz="6" w:space="0"/>
              <w:left w:val="outset" w:color="000000" w:sz="6" w:space="0"/>
              <w:bottom w:val="outset" w:color="000000" w:sz="6" w:space="0"/>
              <w:right w:val="outset" w:color="000000" w:sz="6" w:space="0"/>
            </w:tcBorders>
            <w:vAlign w:val="center"/>
          </w:tcPr>
          <w:p>
            <w:pPr>
              <w:pStyle w:val="31"/>
              <w:rPr>
                <w:kern w:val="0"/>
              </w:rPr>
            </w:pPr>
            <w:r>
              <w:rPr>
                <w:rFonts w:hint="eastAsia"/>
                <w:kern w:val="0"/>
              </w:rPr>
              <w:t>两融ETF</w:t>
            </w:r>
          </w:p>
        </w:tc>
        <w:tc>
          <w:tcPr>
            <w:tcW w:w="10326" w:type="dxa"/>
            <w:tcBorders>
              <w:top w:val="outset" w:color="000000" w:sz="6" w:space="0"/>
              <w:left w:val="outset" w:color="000000" w:sz="6" w:space="0"/>
              <w:bottom w:val="outset" w:color="000000" w:sz="6" w:space="0"/>
              <w:right w:val="outset" w:color="000000" w:sz="6" w:space="0"/>
            </w:tcBorders>
            <w:vAlign w:val="center"/>
          </w:tcPr>
          <w:p>
            <w:pPr>
              <w:pStyle w:val="31"/>
              <w:rPr>
                <w:kern w:val="0"/>
              </w:rPr>
            </w:pPr>
            <w:r>
              <w:rPr>
                <w:rFonts w:hint="eastAsia"/>
                <w:kern w:val="0"/>
              </w:rPr>
              <w:t>按ETF展示市场融资融券信息。ETF：交易型开放式指数基金，通常又被称为交易所交易基金（Exchange Traded Funds，简称“ETF”），是一种在交易所上市交易的、基金份额可变的一种开放式基金。</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vMerge w:val="continue"/>
            <w:tcBorders>
              <w:top w:val="outset" w:color="000000" w:sz="6" w:space="0"/>
              <w:left w:val="outset" w:color="000000" w:sz="6" w:space="0"/>
              <w:bottom w:val="outset" w:color="000000" w:sz="6" w:space="0"/>
              <w:right w:val="outset" w:color="000000" w:sz="6" w:space="0"/>
            </w:tcBorders>
            <w:vAlign w:val="center"/>
          </w:tcPr>
          <w:p>
            <w:pPr>
              <w:pStyle w:val="31"/>
              <w:rPr>
                <w:kern w:val="0"/>
              </w:rPr>
            </w:pPr>
          </w:p>
        </w:tc>
        <w:tc>
          <w:tcPr>
            <w:tcW w:w="0" w:type="auto"/>
            <w:gridSpan w:val="2"/>
            <w:tcBorders>
              <w:top w:val="outset" w:color="000000" w:sz="6" w:space="0"/>
              <w:left w:val="outset" w:color="000000" w:sz="6" w:space="0"/>
              <w:bottom w:val="outset" w:color="000000" w:sz="6" w:space="0"/>
              <w:right w:val="outset" w:color="000000" w:sz="6" w:space="0"/>
            </w:tcBorders>
            <w:vAlign w:val="center"/>
          </w:tcPr>
          <w:p>
            <w:pPr>
              <w:pStyle w:val="31"/>
              <w:rPr>
                <w:kern w:val="0"/>
              </w:rPr>
            </w:pPr>
            <w:r>
              <w:rPr>
                <w:rFonts w:hint="eastAsia"/>
                <w:kern w:val="0"/>
              </w:rPr>
              <w:t>两融规模——按市场统计</w:t>
            </w:r>
          </w:p>
        </w:tc>
        <w:tc>
          <w:tcPr>
            <w:tcW w:w="10326" w:type="dxa"/>
            <w:tcBorders>
              <w:top w:val="outset" w:color="000000" w:sz="6" w:space="0"/>
              <w:left w:val="outset" w:color="000000" w:sz="6" w:space="0"/>
              <w:bottom w:val="outset" w:color="000000" w:sz="6" w:space="0"/>
              <w:right w:val="outset" w:color="000000" w:sz="6" w:space="0"/>
            </w:tcBorders>
            <w:vAlign w:val="center"/>
          </w:tcPr>
          <w:p>
            <w:pPr>
              <w:pStyle w:val="31"/>
              <w:rPr>
                <w:kern w:val="0"/>
              </w:rPr>
            </w:pPr>
            <w:r>
              <w:rPr>
                <w:rFonts w:hint="eastAsia"/>
                <w:kern w:val="0"/>
              </w:rPr>
              <w:t>展示的是最近一段时期内市场整体的融资余额与融券余额。</w:t>
            </w:r>
          </w:p>
        </w:tc>
      </w:tr>
    </w:tbl>
    <w:p>
      <w:pPr>
        <w:pStyle w:val="34"/>
        <w:ind w:firstLine="540"/>
        <w:rPr>
          <w:kern w:val="0"/>
          <w:sz w:val="27"/>
          <w:szCs w:val="27"/>
        </w:rPr>
      </w:pPr>
      <w:r>
        <w:rPr>
          <w:kern w:val="0"/>
          <w:sz w:val="27"/>
          <w:szCs w:val="27"/>
        </w:rPr>
        <w:drawing>
          <wp:inline distT="0" distB="0" distL="114300" distR="114300">
            <wp:extent cx="8086725" cy="5838825"/>
            <wp:effectExtent l="0" t="0" r="9525" b="9525"/>
            <wp:docPr id="514" name="图片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图片 514"/>
                    <pic:cNvPicPr>
                      <a:picLocks noChangeAspect="1"/>
                    </pic:cNvPicPr>
                  </pic:nvPicPr>
                  <pic:blipFill>
                    <a:blip r:embed="rId951"/>
                    <a:stretch>
                      <a:fillRect/>
                    </a:stretch>
                  </pic:blipFill>
                  <pic:spPr>
                    <a:xfrm>
                      <a:off x="0" y="0"/>
                      <a:ext cx="8086725" cy="5838825"/>
                    </a:xfrm>
                    <a:prstGeom prst="rect">
                      <a:avLst/>
                    </a:prstGeom>
                    <a:noFill/>
                    <a:ln>
                      <a:noFill/>
                    </a:ln>
                  </pic:spPr>
                </pic:pic>
              </a:graphicData>
            </a:graphic>
          </wp:inline>
        </w:drawing>
      </w:r>
    </w:p>
    <w:p>
      <w:pPr>
        <w:pStyle w:val="34"/>
        <w:rPr>
          <w:kern w:val="0"/>
        </w:rPr>
      </w:pPr>
      <w:r>
        <w:rPr>
          <w:rFonts w:hint="eastAsia"/>
          <w:kern w:val="0"/>
        </w:rPr>
        <w:t>增持减持：</w:t>
      </w:r>
    </w:p>
    <w:tbl>
      <w:tblPr>
        <w:tblStyle w:val="25"/>
        <w:tblW w:w="0" w:type="auto"/>
        <w:tblCellSpacing w:w="0" w:type="dxa"/>
        <w:tblInd w:w="0" w:type="dxa"/>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Layout w:type="autofit"/>
        <w:tblCellMar>
          <w:top w:w="0" w:type="dxa"/>
          <w:left w:w="0" w:type="dxa"/>
          <w:bottom w:w="0" w:type="dxa"/>
          <w:right w:w="0" w:type="dxa"/>
        </w:tblCellMar>
      </w:tblPr>
      <w:tblGrid>
        <w:gridCol w:w="1080"/>
        <w:gridCol w:w="1380"/>
        <w:gridCol w:w="1230"/>
        <w:gridCol w:w="9465"/>
      </w:tblGrid>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080" w:type="dxa"/>
            <w:vMerge w:val="restart"/>
            <w:tcBorders>
              <w:top w:val="outset" w:color="000000" w:sz="6" w:space="0"/>
              <w:left w:val="outset" w:color="000000" w:sz="6" w:space="0"/>
              <w:bottom w:val="outset" w:color="000000" w:sz="6" w:space="0"/>
              <w:right w:val="outset" w:color="000000" w:sz="6" w:space="0"/>
            </w:tcBorders>
            <w:vAlign w:val="center"/>
          </w:tcPr>
          <w:p>
            <w:pPr>
              <w:pStyle w:val="31"/>
              <w:rPr>
                <w:kern w:val="0"/>
              </w:rPr>
            </w:pPr>
            <w:r>
              <w:rPr>
                <w:rFonts w:hint="eastAsia"/>
                <w:kern w:val="0"/>
              </w:rPr>
              <w:t>增持减持</w:t>
            </w:r>
          </w:p>
        </w:tc>
        <w:tc>
          <w:tcPr>
            <w:tcW w:w="1380" w:type="dxa"/>
            <w:vMerge w:val="restart"/>
            <w:tcBorders>
              <w:top w:val="outset" w:color="000000" w:sz="6" w:space="0"/>
              <w:left w:val="outset" w:color="000000" w:sz="6" w:space="0"/>
              <w:bottom w:val="outset" w:color="000000" w:sz="6" w:space="0"/>
              <w:right w:val="outset" w:color="000000" w:sz="6" w:space="0"/>
            </w:tcBorders>
            <w:vAlign w:val="center"/>
          </w:tcPr>
          <w:p>
            <w:pPr>
              <w:pStyle w:val="31"/>
              <w:rPr>
                <w:kern w:val="0"/>
              </w:rPr>
            </w:pPr>
            <w:r>
              <w:rPr>
                <w:rFonts w:hint="eastAsia"/>
                <w:kern w:val="0"/>
              </w:rPr>
              <w:t>股东增持</w:t>
            </w:r>
          </w:p>
        </w:tc>
        <w:tc>
          <w:tcPr>
            <w:tcW w:w="1230" w:type="dxa"/>
            <w:tcBorders>
              <w:top w:val="outset" w:color="000000" w:sz="6" w:space="0"/>
              <w:left w:val="outset" w:color="000000" w:sz="6" w:space="0"/>
              <w:bottom w:val="outset" w:color="000000" w:sz="6" w:space="0"/>
              <w:right w:val="outset" w:color="000000" w:sz="6" w:space="0"/>
            </w:tcBorders>
            <w:vAlign w:val="center"/>
          </w:tcPr>
          <w:p>
            <w:pPr>
              <w:pStyle w:val="31"/>
              <w:rPr>
                <w:kern w:val="0"/>
              </w:rPr>
            </w:pPr>
            <w:r>
              <w:rPr>
                <w:rFonts w:hint="eastAsia"/>
                <w:kern w:val="0"/>
              </w:rPr>
              <w:t>最新增持</w:t>
            </w:r>
          </w:p>
        </w:tc>
        <w:tc>
          <w:tcPr>
            <w:tcW w:w="9465" w:type="dxa"/>
            <w:tcBorders>
              <w:top w:val="outset" w:color="000000" w:sz="6" w:space="0"/>
              <w:left w:val="outset" w:color="000000" w:sz="6" w:space="0"/>
              <w:bottom w:val="outset" w:color="000000" w:sz="6" w:space="0"/>
              <w:right w:val="outset" w:color="000000" w:sz="6" w:space="0"/>
            </w:tcBorders>
            <w:vAlign w:val="center"/>
          </w:tcPr>
          <w:p>
            <w:pPr>
              <w:pStyle w:val="31"/>
              <w:rPr>
                <w:kern w:val="0"/>
              </w:rPr>
            </w:pPr>
            <w:r>
              <w:rPr>
                <w:rFonts w:hint="eastAsia"/>
                <w:kern w:val="0"/>
              </w:rPr>
              <w:t>上市公司重要股东最新增持数据，包括变动股数、变动人、变动后持股等信息等，按截止日期倒序排列。</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vMerge w:val="continue"/>
            <w:tcBorders>
              <w:top w:val="outset" w:color="000000" w:sz="6" w:space="0"/>
              <w:left w:val="outset" w:color="000000" w:sz="6" w:space="0"/>
              <w:bottom w:val="outset" w:color="000000" w:sz="6" w:space="0"/>
              <w:right w:val="outset" w:color="000000" w:sz="6" w:space="0"/>
            </w:tcBorders>
            <w:vAlign w:val="center"/>
          </w:tcPr>
          <w:p>
            <w:pPr>
              <w:pStyle w:val="31"/>
              <w:rPr>
                <w:kern w:val="0"/>
              </w:rPr>
            </w:pPr>
          </w:p>
        </w:tc>
        <w:tc>
          <w:tcPr>
            <w:tcW w:w="0" w:type="auto"/>
            <w:vMerge w:val="continue"/>
            <w:tcBorders>
              <w:top w:val="outset" w:color="000000" w:sz="6" w:space="0"/>
              <w:left w:val="outset" w:color="000000" w:sz="6" w:space="0"/>
              <w:bottom w:val="outset" w:color="000000" w:sz="6" w:space="0"/>
              <w:right w:val="outset" w:color="000000" w:sz="6" w:space="0"/>
            </w:tcBorders>
            <w:vAlign w:val="center"/>
          </w:tcPr>
          <w:p>
            <w:pPr>
              <w:pStyle w:val="31"/>
              <w:rPr>
                <w:kern w:val="0"/>
              </w:rPr>
            </w:pPr>
          </w:p>
        </w:tc>
        <w:tc>
          <w:tcPr>
            <w:tcW w:w="1230" w:type="dxa"/>
            <w:tcBorders>
              <w:top w:val="outset" w:color="000000" w:sz="6" w:space="0"/>
              <w:left w:val="outset" w:color="000000" w:sz="6" w:space="0"/>
              <w:bottom w:val="outset" w:color="000000" w:sz="6" w:space="0"/>
              <w:right w:val="outset" w:color="000000" w:sz="6" w:space="0"/>
            </w:tcBorders>
            <w:vAlign w:val="center"/>
          </w:tcPr>
          <w:p>
            <w:pPr>
              <w:pStyle w:val="31"/>
              <w:rPr>
                <w:kern w:val="0"/>
              </w:rPr>
            </w:pPr>
            <w:r>
              <w:rPr>
                <w:rFonts w:hint="eastAsia"/>
                <w:kern w:val="0"/>
              </w:rPr>
              <w:t>比例最高</w:t>
            </w:r>
          </w:p>
        </w:tc>
        <w:tc>
          <w:tcPr>
            <w:tcW w:w="9465" w:type="dxa"/>
            <w:tcBorders>
              <w:top w:val="outset" w:color="000000" w:sz="6" w:space="0"/>
              <w:left w:val="outset" w:color="000000" w:sz="6" w:space="0"/>
              <w:bottom w:val="outset" w:color="000000" w:sz="6" w:space="0"/>
              <w:right w:val="outset" w:color="000000" w:sz="6" w:space="0"/>
            </w:tcBorders>
            <w:vAlign w:val="center"/>
          </w:tcPr>
          <w:p>
            <w:pPr>
              <w:pStyle w:val="31"/>
              <w:rPr>
                <w:kern w:val="0"/>
              </w:rPr>
            </w:pPr>
            <w:r>
              <w:rPr>
                <w:rFonts w:hint="eastAsia"/>
                <w:kern w:val="0"/>
              </w:rPr>
              <w:t>重要股东净增持比例((增持数-减持数)/流通股本) 最高的前100名上市公司。</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vMerge w:val="continue"/>
            <w:tcBorders>
              <w:top w:val="outset" w:color="000000" w:sz="6" w:space="0"/>
              <w:left w:val="outset" w:color="000000" w:sz="6" w:space="0"/>
              <w:bottom w:val="outset" w:color="000000" w:sz="6" w:space="0"/>
              <w:right w:val="outset" w:color="000000" w:sz="6" w:space="0"/>
            </w:tcBorders>
            <w:vAlign w:val="center"/>
          </w:tcPr>
          <w:p>
            <w:pPr>
              <w:pStyle w:val="31"/>
              <w:rPr>
                <w:kern w:val="0"/>
              </w:rPr>
            </w:pPr>
          </w:p>
        </w:tc>
        <w:tc>
          <w:tcPr>
            <w:tcW w:w="0" w:type="auto"/>
            <w:vMerge w:val="continue"/>
            <w:tcBorders>
              <w:top w:val="outset" w:color="000000" w:sz="6" w:space="0"/>
              <w:left w:val="outset" w:color="000000" w:sz="6" w:space="0"/>
              <w:bottom w:val="outset" w:color="000000" w:sz="6" w:space="0"/>
              <w:right w:val="outset" w:color="000000" w:sz="6" w:space="0"/>
            </w:tcBorders>
            <w:vAlign w:val="center"/>
          </w:tcPr>
          <w:p>
            <w:pPr>
              <w:pStyle w:val="31"/>
              <w:rPr>
                <w:kern w:val="0"/>
              </w:rPr>
            </w:pPr>
          </w:p>
        </w:tc>
        <w:tc>
          <w:tcPr>
            <w:tcW w:w="1230" w:type="dxa"/>
            <w:tcBorders>
              <w:top w:val="outset" w:color="000000" w:sz="6" w:space="0"/>
              <w:left w:val="outset" w:color="000000" w:sz="6" w:space="0"/>
              <w:bottom w:val="outset" w:color="000000" w:sz="6" w:space="0"/>
              <w:right w:val="outset" w:color="000000" w:sz="6" w:space="0"/>
            </w:tcBorders>
            <w:vAlign w:val="center"/>
          </w:tcPr>
          <w:p>
            <w:pPr>
              <w:pStyle w:val="31"/>
              <w:rPr>
                <w:kern w:val="0"/>
              </w:rPr>
            </w:pPr>
            <w:r>
              <w:rPr>
                <w:rFonts w:hint="eastAsia"/>
                <w:kern w:val="0"/>
              </w:rPr>
              <w:t>市值最高</w:t>
            </w:r>
          </w:p>
        </w:tc>
        <w:tc>
          <w:tcPr>
            <w:tcW w:w="9465" w:type="dxa"/>
            <w:tcBorders>
              <w:top w:val="outset" w:color="000000" w:sz="6" w:space="0"/>
              <w:left w:val="outset" w:color="000000" w:sz="6" w:space="0"/>
              <w:bottom w:val="outset" w:color="000000" w:sz="6" w:space="0"/>
              <w:right w:val="outset" w:color="000000" w:sz="6" w:space="0"/>
            </w:tcBorders>
            <w:vAlign w:val="center"/>
          </w:tcPr>
          <w:p>
            <w:pPr>
              <w:pStyle w:val="31"/>
              <w:rPr>
                <w:kern w:val="0"/>
              </w:rPr>
            </w:pPr>
            <w:r>
              <w:rPr>
                <w:rFonts w:hint="eastAsia"/>
                <w:kern w:val="0"/>
              </w:rPr>
              <w:t>股东增持市值最高的100只个股。</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vMerge w:val="continue"/>
            <w:tcBorders>
              <w:top w:val="outset" w:color="000000" w:sz="6" w:space="0"/>
              <w:left w:val="outset" w:color="000000" w:sz="6" w:space="0"/>
              <w:bottom w:val="outset" w:color="000000" w:sz="6" w:space="0"/>
              <w:right w:val="outset" w:color="000000" w:sz="6" w:space="0"/>
            </w:tcBorders>
            <w:vAlign w:val="center"/>
          </w:tcPr>
          <w:p>
            <w:pPr>
              <w:pStyle w:val="31"/>
              <w:rPr>
                <w:kern w:val="0"/>
              </w:rPr>
            </w:pPr>
          </w:p>
        </w:tc>
        <w:tc>
          <w:tcPr>
            <w:tcW w:w="0" w:type="auto"/>
            <w:vMerge w:val="continue"/>
            <w:tcBorders>
              <w:top w:val="outset" w:color="000000" w:sz="6" w:space="0"/>
              <w:left w:val="outset" w:color="000000" w:sz="6" w:space="0"/>
              <w:bottom w:val="outset" w:color="000000" w:sz="6" w:space="0"/>
              <w:right w:val="outset" w:color="000000" w:sz="6" w:space="0"/>
            </w:tcBorders>
            <w:vAlign w:val="center"/>
          </w:tcPr>
          <w:p>
            <w:pPr>
              <w:pStyle w:val="31"/>
              <w:rPr>
                <w:kern w:val="0"/>
              </w:rPr>
            </w:pPr>
          </w:p>
        </w:tc>
        <w:tc>
          <w:tcPr>
            <w:tcW w:w="1230" w:type="dxa"/>
            <w:tcBorders>
              <w:top w:val="outset" w:color="000000" w:sz="6" w:space="0"/>
              <w:left w:val="outset" w:color="000000" w:sz="6" w:space="0"/>
              <w:bottom w:val="outset" w:color="000000" w:sz="6" w:space="0"/>
              <w:right w:val="outset" w:color="000000" w:sz="6" w:space="0"/>
            </w:tcBorders>
            <w:vAlign w:val="center"/>
          </w:tcPr>
          <w:p>
            <w:pPr>
              <w:pStyle w:val="31"/>
              <w:rPr>
                <w:kern w:val="0"/>
              </w:rPr>
            </w:pPr>
            <w:r>
              <w:rPr>
                <w:rFonts w:hint="eastAsia"/>
                <w:kern w:val="0"/>
              </w:rPr>
              <w:t>次数最多</w:t>
            </w:r>
          </w:p>
        </w:tc>
        <w:tc>
          <w:tcPr>
            <w:tcW w:w="9465" w:type="dxa"/>
            <w:tcBorders>
              <w:top w:val="outset" w:color="000000" w:sz="6" w:space="0"/>
              <w:left w:val="outset" w:color="000000" w:sz="6" w:space="0"/>
              <w:bottom w:val="outset" w:color="000000" w:sz="6" w:space="0"/>
              <w:right w:val="outset" w:color="000000" w:sz="6" w:space="0"/>
            </w:tcBorders>
            <w:vAlign w:val="center"/>
          </w:tcPr>
          <w:p>
            <w:pPr>
              <w:pStyle w:val="31"/>
              <w:rPr>
                <w:kern w:val="0"/>
              </w:rPr>
            </w:pPr>
            <w:r>
              <w:rPr>
                <w:rFonts w:hint="eastAsia"/>
                <w:kern w:val="0"/>
              </w:rPr>
              <w:t>最近一段时期内增持次数最多的100家上市公司。</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vMerge w:val="continue"/>
            <w:tcBorders>
              <w:top w:val="outset" w:color="000000" w:sz="6" w:space="0"/>
              <w:left w:val="outset" w:color="000000" w:sz="6" w:space="0"/>
              <w:bottom w:val="outset" w:color="000000" w:sz="6" w:space="0"/>
              <w:right w:val="outset" w:color="000000" w:sz="6" w:space="0"/>
            </w:tcBorders>
            <w:vAlign w:val="center"/>
          </w:tcPr>
          <w:p>
            <w:pPr>
              <w:pStyle w:val="31"/>
              <w:rPr>
                <w:kern w:val="0"/>
              </w:rPr>
            </w:pPr>
          </w:p>
        </w:tc>
        <w:tc>
          <w:tcPr>
            <w:tcW w:w="0" w:type="auto"/>
            <w:vMerge w:val="continue"/>
            <w:tcBorders>
              <w:top w:val="outset" w:color="000000" w:sz="6" w:space="0"/>
              <w:left w:val="outset" w:color="000000" w:sz="6" w:space="0"/>
              <w:bottom w:val="outset" w:color="000000" w:sz="6" w:space="0"/>
              <w:right w:val="outset" w:color="000000" w:sz="6" w:space="0"/>
            </w:tcBorders>
            <w:vAlign w:val="center"/>
          </w:tcPr>
          <w:p>
            <w:pPr>
              <w:pStyle w:val="31"/>
              <w:rPr>
                <w:kern w:val="0"/>
              </w:rPr>
            </w:pPr>
          </w:p>
        </w:tc>
        <w:tc>
          <w:tcPr>
            <w:tcW w:w="1230" w:type="dxa"/>
            <w:tcBorders>
              <w:top w:val="outset" w:color="000000" w:sz="6" w:space="0"/>
              <w:left w:val="outset" w:color="000000" w:sz="6" w:space="0"/>
              <w:bottom w:val="outset" w:color="000000" w:sz="6" w:space="0"/>
              <w:right w:val="outset" w:color="000000" w:sz="6" w:space="0"/>
            </w:tcBorders>
            <w:vAlign w:val="center"/>
          </w:tcPr>
          <w:p>
            <w:pPr>
              <w:pStyle w:val="31"/>
              <w:rPr>
                <w:kern w:val="0"/>
              </w:rPr>
            </w:pPr>
            <w:r>
              <w:rPr>
                <w:rFonts w:hint="eastAsia"/>
                <w:kern w:val="0"/>
              </w:rPr>
              <w:t>拟增持</w:t>
            </w:r>
          </w:p>
        </w:tc>
        <w:tc>
          <w:tcPr>
            <w:tcW w:w="9465" w:type="dxa"/>
            <w:tcBorders>
              <w:top w:val="outset" w:color="000000" w:sz="6" w:space="0"/>
              <w:left w:val="outset" w:color="000000" w:sz="6" w:space="0"/>
              <w:bottom w:val="outset" w:color="000000" w:sz="6" w:space="0"/>
              <w:right w:val="outset" w:color="000000" w:sz="6" w:space="0"/>
            </w:tcBorders>
            <w:vAlign w:val="center"/>
          </w:tcPr>
          <w:p>
            <w:pPr>
              <w:pStyle w:val="31"/>
              <w:rPr>
                <w:kern w:val="0"/>
              </w:rPr>
            </w:pPr>
            <w:r>
              <w:rPr>
                <w:rFonts w:hint="eastAsia"/>
                <w:kern w:val="0"/>
              </w:rPr>
              <w:t>未来一段时期内打算增持的股数。</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vMerge w:val="continue"/>
            <w:tcBorders>
              <w:top w:val="outset" w:color="000000" w:sz="6" w:space="0"/>
              <w:left w:val="outset" w:color="000000" w:sz="6" w:space="0"/>
              <w:bottom w:val="outset" w:color="000000" w:sz="6" w:space="0"/>
              <w:right w:val="outset" w:color="000000" w:sz="6" w:space="0"/>
            </w:tcBorders>
            <w:vAlign w:val="center"/>
          </w:tcPr>
          <w:p>
            <w:pPr>
              <w:pStyle w:val="31"/>
              <w:rPr>
                <w:kern w:val="0"/>
              </w:rPr>
            </w:pPr>
          </w:p>
        </w:tc>
        <w:tc>
          <w:tcPr>
            <w:tcW w:w="0" w:type="auto"/>
            <w:vMerge w:val="continue"/>
            <w:tcBorders>
              <w:top w:val="outset" w:color="000000" w:sz="6" w:space="0"/>
              <w:left w:val="outset" w:color="000000" w:sz="6" w:space="0"/>
              <w:bottom w:val="outset" w:color="000000" w:sz="6" w:space="0"/>
              <w:right w:val="outset" w:color="000000" w:sz="6" w:space="0"/>
            </w:tcBorders>
            <w:vAlign w:val="center"/>
          </w:tcPr>
          <w:p>
            <w:pPr>
              <w:pStyle w:val="31"/>
              <w:rPr>
                <w:kern w:val="0"/>
              </w:rPr>
            </w:pPr>
          </w:p>
        </w:tc>
        <w:tc>
          <w:tcPr>
            <w:tcW w:w="1230" w:type="dxa"/>
            <w:tcBorders>
              <w:top w:val="outset" w:color="000000" w:sz="6" w:space="0"/>
              <w:left w:val="outset" w:color="000000" w:sz="6" w:space="0"/>
              <w:bottom w:val="outset" w:color="000000" w:sz="6" w:space="0"/>
              <w:right w:val="outset" w:color="000000" w:sz="6" w:space="0"/>
            </w:tcBorders>
            <w:vAlign w:val="center"/>
          </w:tcPr>
          <w:p>
            <w:pPr>
              <w:pStyle w:val="31"/>
              <w:rPr>
                <w:kern w:val="0"/>
              </w:rPr>
            </w:pPr>
            <w:r>
              <w:rPr>
                <w:rFonts w:hint="eastAsia"/>
                <w:kern w:val="0"/>
              </w:rPr>
              <w:t>承诺不减</w:t>
            </w:r>
          </w:p>
        </w:tc>
        <w:tc>
          <w:tcPr>
            <w:tcW w:w="9465" w:type="dxa"/>
            <w:tcBorders>
              <w:top w:val="outset" w:color="000000" w:sz="6" w:space="0"/>
              <w:left w:val="outset" w:color="000000" w:sz="6" w:space="0"/>
              <w:bottom w:val="outset" w:color="000000" w:sz="6" w:space="0"/>
              <w:right w:val="outset" w:color="000000" w:sz="6" w:space="0"/>
            </w:tcBorders>
            <w:vAlign w:val="center"/>
          </w:tcPr>
          <w:p>
            <w:pPr>
              <w:pStyle w:val="31"/>
              <w:rPr>
                <w:kern w:val="0"/>
              </w:rPr>
            </w:pPr>
            <w:r>
              <w:rPr>
                <w:rFonts w:hint="eastAsia"/>
                <w:kern w:val="0"/>
              </w:rPr>
              <w:t>承诺在未来一段时期内不减持上市公司股票。</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vMerge w:val="continue"/>
            <w:tcBorders>
              <w:top w:val="outset" w:color="000000" w:sz="6" w:space="0"/>
              <w:left w:val="outset" w:color="000000" w:sz="6" w:space="0"/>
              <w:bottom w:val="outset" w:color="000000" w:sz="6" w:space="0"/>
              <w:right w:val="outset" w:color="000000" w:sz="6" w:space="0"/>
            </w:tcBorders>
            <w:vAlign w:val="center"/>
          </w:tcPr>
          <w:p>
            <w:pPr>
              <w:pStyle w:val="31"/>
              <w:rPr>
                <w:kern w:val="0"/>
              </w:rPr>
            </w:pPr>
          </w:p>
        </w:tc>
        <w:tc>
          <w:tcPr>
            <w:tcW w:w="1380" w:type="dxa"/>
            <w:vMerge w:val="restart"/>
            <w:tcBorders>
              <w:top w:val="outset" w:color="000000" w:sz="6" w:space="0"/>
              <w:left w:val="outset" w:color="000000" w:sz="6" w:space="0"/>
              <w:bottom w:val="outset" w:color="000000" w:sz="6" w:space="0"/>
              <w:right w:val="outset" w:color="000000" w:sz="6" w:space="0"/>
            </w:tcBorders>
            <w:vAlign w:val="center"/>
          </w:tcPr>
          <w:p>
            <w:pPr>
              <w:pStyle w:val="31"/>
              <w:rPr>
                <w:kern w:val="0"/>
              </w:rPr>
            </w:pPr>
            <w:r>
              <w:rPr>
                <w:rFonts w:hint="eastAsia"/>
                <w:kern w:val="0"/>
              </w:rPr>
              <w:t>股东减持</w:t>
            </w:r>
          </w:p>
        </w:tc>
        <w:tc>
          <w:tcPr>
            <w:tcW w:w="1230" w:type="dxa"/>
            <w:tcBorders>
              <w:top w:val="outset" w:color="000000" w:sz="6" w:space="0"/>
              <w:left w:val="outset" w:color="000000" w:sz="6" w:space="0"/>
              <w:bottom w:val="outset" w:color="000000" w:sz="6" w:space="0"/>
              <w:right w:val="outset" w:color="000000" w:sz="6" w:space="0"/>
            </w:tcBorders>
            <w:vAlign w:val="center"/>
          </w:tcPr>
          <w:p>
            <w:pPr>
              <w:pStyle w:val="31"/>
              <w:rPr>
                <w:kern w:val="0"/>
              </w:rPr>
            </w:pPr>
            <w:r>
              <w:rPr>
                <w:rFonts w:hint="eastAsia"/>
                <w:kern w:val="0"/>
              </w:rPr>
              <w:t>最新减持</w:t>
            </w:r>
          </w:p>
        </w:tc>
        <w:tc>
          <w:tcPr>
            <w:tcW w:w="9465" w:type="dxa"/>
            <w:tcBorders>
              <w:top w:val="outset" w:color="000000" w:sz="6" w:space="0"/>
              <w:left w:val="outset" w:color="000000" w:sz="6" w:space="0"/>
              <w:bottom w:val="outset" w:color="000000" w:sz="6" w:space="0"/>
              <w:right w:val="outset" w:color="000000" w:sz="6" w:space="0"/>
            </w:tcBorders>
            <w:vAlign w:val="center"/>
          </w:tcPr>
          <w:p>
            <w:pPr>
              <w:pStyle w:val="31"/>
              <w:rPr>
                <w:kern w:val="0"/>
              </w:rPr>
            </w:pPr>
            <w:r>
              <w:rPr>
                <w:rFonts w:hint="eastAsia"/>
                <w:kern w:val="0"/>
              </w:rPr>
              <w:t>上市公司重要股东最新减持数据，包括变动股数、变动人、变动后持股等信息等，按截止日期倒序排列。</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vMerge w:val="continue"/>
            <w:tcBorders>
              <w:top w:val="outset" w:color="000000" w:sz="6" w:space="0"/>
              <w:left w:val="outset" w:color="000000" w:sz="6" w:space="0"/>
              <w:bottom w:val="outset" w:color="000000" w:sz="6" w:space="0"/>
              <w:right w:val="outset" w:color="000000" w:sz="6" w:space="0"/>
            </w:tcBorders>
            <w:vAlign w:val="center"/>
          </w:tcPr>
          <w:p>
            <w:pPr>
              <w:pStyle w:val="31"/>
              <w:rPr>
                <w:kern w:val="0"/>
              </w:rPr>
            </w:pPr>
          </w:p>
        </w:tc>
        <w:tc>
          <w:tcPr>
            <w:tcW w:w="0" w:type="auto"/>
            <w:vMerge w:val="continue"/>
            <w:tcBorders>
              <w:top w:val="outset" w:color="000000" w:sz="6" w:space="0"/>
              <w:left w:val="outset" w:color="000000" w:sz="6" w:space="0"/>
              <w:bottom w:val="outset" w:color="000000" w:sz="6" w:space="0"/>
              <w:right w:val="outset" w:color="000000" w:sz="6" w:space="0"/>
            </w:tcBorders>
            <w:vAlign w:val="center"/>
          </w:tcPr>
          <w:p>
            <w:pPr>
              <w:pStyle w:val="31"/>
              <w:rPr>
                <w:kern w:val="0"/>
              </w:rPr>
            </w:pPr>
          </w:p>
        </w:tc>
        <w:tc>
          <w:tcPr>
            <w:tcW w:w="1230" w:type="dxa"/>
            <w:tcBorders>
              <w:top w:val="outset" w:color="000000" w:sz="6" w:space="0"/>
              <w:left w:val="outset" w:color="000000" w:sz="6" w:space="0"/>
              <w:bottom w:val="outset" w:color="000000" w:sz="6" w:space="0"/>
              <w:right w:val="outset" w:color="000000" w:sz="6" w:space="0"/>
            </w:tcBorders>
            <w:vAlign w:val="center"/>
          </w:tcPr>
          <w:p>
            <w:pPr>
              <w:pStyle w:val="31"/>
              <w:rPr>
                <w:kern w:val="0"/>
              </w:rPr>
            </w:pPr>
            <w:r>
              <w:rPr>
                <w:rFonts w:hint="eastAsia"/>
                <w:kern w:val="0"/>
              </w:rPr>
              <w:t>比例最高</w:t>
            </w:r>
          </w:p>
        </w:tc>
        <w:tc>
          <w:tcPr>
            <w:tcW w:w="9465" w:type="dxa"/>
            <w:tcBorders>
              <w:top w:val="outset" w:color="000000" w:sz="6" w:space="0"/>
              <w:left w:val="outset" w:color="000000" w:sz="6" w:space="0"/>
              <w:bottom w:val="outset" w:color="000000" w:sz="6" w:space="0"/>
              <w:right w:val="outset" w:color="000000" w:sz="6" w:space="0"/>
            </w:tcBorders>
            <w:vAlign w:val="center"/>
          </w:tcPr>
          <w:p>
            <w:pPr>
              <w:pStyle w:val="31"/>
              <w:rPr>
                <w:kern w:val="0"/>
              </w:rPr>
            </w:pPr>
            <w:r>
              <w:rPr>
                <w:rFonts w:hint="eastAsia"/>
                <w:kern w:val="0"/>
              </w:rPr>
              <w:t>重要股东净减持比例((减持数-增持数)/流通股本) 最高的前100名上市公司。</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vMerge w:val="continue"/>
            <w:tcBorders>
              <w:top w:val="outset" w:color="000000" w:sz="6" w:space="0"/>
              <w:left w:val="outset" w:color="000000" w:sz="6" w:space="0"/>
              <w:bottom w:val="outset" w:color="000000" w:sz="6" w:space="0"/>
              <w:right w:val="outset" w:color="000000" w:sz="6" w:space="0"/>
            </w:tcBorders>
            <w:vAlign w:val="center"/>
          </w:tcPr>
          <w:p>
            <w:pPr>
              <w:pStyle w:val="31"/>
              <w:rPr>
                <w:kern w:val="0"/>
              </w:rPr>
            </w:pPr>
          </w:p>
        </w:tc>
        <w:tc>
          <w:tcPr>
            <w:tcW w:w="0" w:type="auto"/>
            <w:vMerge w:val="continue"/>
            <w:tcBorders>
              <w:top w:val="outset" w:color="000000" w:sz="6" w:space="0"/>
              <w:left w:val="outset" w:color="000000" w:sz="6" w:space="0"/>
              <w:bottom w:val="outset" w:color="000000" w:sz="6" w:space="0"/>
              <w:right w:val="outset" w:color="000000" w:sz="6" w:space="0"/>
            </w:tcBorders>
            <w:vAlign w:val="center"/>
          </w:tcPr>
          <w:p>
            <w:pPr>
              <w:pStyle w:val="31"/>
              <w:rPr>
                <w:kern w:val="0"/>
              </w:rPr>
            </w:pPr>
          </w:p>
        </w:tc>
        <w:tc>
          <w:tcPr>
            <w:tcW w:w="1230" w:type="dxa"/>
            <w:tcBorders>
              <w:top w:val="outset" w:color="000000" w:sz="6" w:space="0"/>
              <w:left w:val="outset" w:color="000000" w:sz="6" w:space="0"/>
              <w:bottom w:val="outset" w:color="000000" w:sz="6" w:space="0"/>
              <w:right w:val="outset" w:color="000000" w:sz="6" w:space="0"/>
            </w:tcBorders>
            <w:vAlign w:val="center"/>
          </w:tcPr>
          <w:p>
            <w:pPr>
              <w:pStyle w:val="31"/>
              <w:rPr>
                <w:kern w:val="0"/>
              </w:rPr>
            </w:pPr>
            <w:r>
              <w:rPr>
                <w:rFonts w:hint="eastAsia"/>
                <w:kern w:val="0"/>
              </w:rPr>
              <w:t>市值最高</w:t>
            </w:r>
          </w:p>
        </w:tc>
        <w:tc>
          <w:tcPr>
            <w:tcW w:w="9465" w:type="dxa"/>
            <w:tcBorders>
              <w:top w:val="outset" w:color="000000" w:sz="6" w:space="0"/>
              <w:left w:val="outset" w:color="000000" w:sz="6" w:space="0"/>
              <w:bottom w:val="outset" w:color="000000" w:sz="6" w:space="0"/>
              <w:right w:val="outset" w:color="000000" w:sz="6" w:space="0"/>
            </w:tcBorders>
            <w:vAlign w:val="center"/>
          </w:tcPr>
          <w:p>
            <w:pPr>
              <w:pStyle w:val="31"/>
              <w:rPr>
                <w:kern w:val="0"/>
              </w:rPr>
            </w:pPr>
            <w:r>
              <w:rPr>
                <w:rFonts w:hint="eastAsia"/>
                <w:kern w:val="0"/>
              </w:rPr>
              <w:t>股东减持市值最高的100只个股。</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vMerge w:val="continue"/>
            <w:tcBorders>
              <w:top w:val="outset" w:color="000000" w:sz="6" w:space="0"/>
              <w:left w:val="outset" w:color="000000" w:sz="6" w:space="0"/>
              <w:bottom w:val="outset" w:color="000000" w:sz="6" w:space="0"/>
              <w:right w:val="outset" w:color="000000" w:sz="6" w:space="0"/>
            </w:tcBorders>
            <w:vAlign w:val="center"/>
          </w:tcPr>
          <w:p>
            <w:pPr>
              <w:pStyle w:val="31"/>
              <w:rPr>
                <w:kern w:val="0"/>
              </w:rPr>
            </w:pPr>
          </w:p>
        </w:tc>
        <w:tc>
          <w:tcPr>
            <w:tcW w:w="0" w:type="auto"/>
            <w:vMerge w:val="continue"/>
            <w:tcBorders>
              <w:top w:val="outset" w:color="000000" w:sz="6" w:space="0"/>
              <w:left w:val="outset" w:color="000000" w:sz="6" w:space="0"/>
              <w:bottom w:val="outset" w:color="000000" w:sz="6" w:space="0"/>
              <w:right w:val="outset" w:color="000000" w:sz="6" w:space="0"/>
            </w:tcBorders>
            <w:vAlign w:val="center"/>
          </w:tcPr>
          <w:p>
            <w:pPr>
              <w:pStyle w:val="31"/>
              <w:rPr>
                <w:kern w:val="0"/>
              </w:rPr>
            </w:pPr>
          </w:p>
        </w:tc>
        <w:tc>
          <w:tcPr>
            <w:tcW w:w="1230" w:type="dxa"/>
            <w:tcBorders>
              <w:top w:val="outset" w:color="000000" w:sz="6" w:space="0"/>
              <w:left w:val="outset" w:color="000000" w:sz="6" w:space="0"/>
              <w:bottom w:val="outset" w:color="000000" w:sz="6" w:space="0"/>
              <w:right w:val="outset" w:color="000000" w:sz="6" w:space="0"/>
            </w:tcBorders>
            <w:vAlign w:val="center"/>
          </w:tcPr>
          <w:p>
            <w:pPr>
              <w:pStyle w:val="31"/>
              <w:rPr>
                <w:kern w:val="0"/>
              </w:rPr>
            </w:pPr>
            <w:r>
              <w:rPr>
                <w:rFonts w:hint="eastAsia"/>
                <w:kern w:val="0"/>
              </w:rPr>
              <w:t>次数最多</w:t>
            </w:r>
          </w:p>
        </w:tc>
        <w:tc>
          <w:tcPr>
            <w:tcW w:w="9465" w:type="dxa"/>
            <w:tcBorders>
              <w:top w:val="outset" w:color="000000" w:sz="6" w:space="0"/>
              <w:left w:val="outset" w:color="000000" w:sz="6" w:space="0"/>
              <w:bottom w:val="outset" w:color="000000" w:sz="6" w:space="0"/>
              <w:right w:val="outset" w:color="000000" w:sz="6" w:space="0"/>
            </w:tcBorders>
            <w:vAlign w:val="center"/>
          </w:tcPr>
          <w:p>
            <w:pPr>
              <w:pStyle w:val="31"/>
              <w:rPr>
                <w:kern w:val="0"/>
              </w:rPr>
            </w:pPr>
            <w:r>
              <w:rPr>
                <w:rFonts w:hint="eastAsia"/>
                <w:kern w:val="0"/>
              </w:rPr>
              <w:t>最近一段时期内减持次数最多的100家上市公司。</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vMerge w:val="continue"/>
            <w:tcBorders>
              <w:top w:val="outset" w:color="000000" w:sz="6" w:space="0"/>
              <w:left w:val="outset" w:color="000000" w:sz="6" w:space="0"/>
              <w:bottom w:val="outset" w:color="000000" w:sz="6" w:space="0"/>
              <w:right w:val="outset" w:color="000000" w:sz="6" w:space="0"/>
            </w:tcBorders>
            <w:vAlign w:val="center"/>
          </w:tcPr>
          <w:p>
            <w:pPr>
              <w:pStyle w:val="31"/>
              <w:rPr>
                <w:kern w:val="0"/>
              </w:rPr>
            </w:pPr>
          </w:p>
        </w:tc>
        <w:tc>
          <w:tcPr>
            <w:tcW w:w="0" w:type="auto"/>
            <w:vMerge w:val="continue"/>
            <w:tcBorders>
              <w:top w:val="outset" w:color="000000" w:sz="6" w:space="0"/>
              <w:left w:val="outset" w:color="000000" w:sz="6" w:space="0"/>
              <w:bottom w:val="outset" w:color="000000" w:sz="6" w:space="0"/>
              <w:right w:val="outset" w:color="000000" w:sz="6" w:space="0"/>
            </w:tcBorders>
            <w:vAlign w:val="center"/>
          </w:tcPr>
          <w:p>
            <w:pPr>
              <w:pStyle w:val="31"/>
              <w:rPr>
                <w:kern w:val="0"/>
              </w:rPr>
            </w:pPr>
          </w:p>
        </w:tc>
        <w:tc>
          <w:tcPr>
            <w:tcW w:w="1230" w:type="dxa"/>
            <w:tcBorders>
              <w:top w:val="outset" w:color="000000" w:sz="6" w:space="0"/>
              <w:left w:val="outset" w:color="000000" w:sz="6" w:space="0"/>
              <w:bottom w:val="outset" w:color="000000" w:sz="6" w:space="0"/>
              <w:right w:val="outset" w:color="000000" w:sz="6" w:space="0"/>
            </w:tcBorders>
            <w:vAlign w:val="center"/>
          </w:tcPr>
          <w:p>
            <w:pPr>
              <w:pStyle w:val="31"/>
              <w:rPr>
                <w:kern w:val="0"/>
              </w:rPr>
            </w:pPr>
            <w:r>
              <w:rPr>
                <w:rFonts w:hint="eastAsia"/>
                <w:kern w:val="0"/>
              </w:rPr>
              <w:t>拟减持</w:t>
            </w:r>
          </w:p>
        </w:tc>
        <w:tc>
          <w:tcPr>
            <w:tcW w:w="9465" w:type="dxa"/>
            <w:tcBorders>
              <w:top w:val="outset" w:color="000000" w:sz="6" w:space="0"/>
              <w:left w:val="outset" w:color="000000" w:sz="6" w:space="0"/>
              <w:bottom w:val="outset" w:color="000000" w:sz="6" w:space="0"/>
              <w:right w:val="outset" w:color="000000" w:sz="6" w:space="0"/>
            </w:tcBorders>
            <w:vAlign w:val="center"/>
          </w:tcPr>
          <w:p>
            <w:pPr>
              <w:pStyle w:val="31"/>
              <w:rPr>
                <w:kern w:val="0"/>
              </w:rPr>
            </w:pPr>
            <w:r>
              <w:rPr>
                <w:rFonts w:hint="eastAsia"/>
                <w:kern w:val="0"/>
              </w:rPr>
              <w:t>未来一段时期内打算减持的股数。</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vMerge w:val="continue"/>
            <w:tcBorders>
              <w:top w:val="outset" w:color="000000" w:sz="6" w:space="0"/>
              <w:left w:val="outset" w:color="000000" w:sz="6" w:space="0"/>
              <w:bottom w:val="outset" w:color="000000" w:sz="6" w:space="0"/>
              <w:right w:val="outset" w:color="000000" w:sz="6" w:space="0"/>
            </w:tcBorders>
            <w:vAlign w:val="center"/>
          </w:tcPr>
          <w:p>
            <w:pPr>
              <w:pStyle w:val="31"/>
              <w:rPr>
                <w:kern w:val="0"/>
              </w:rPr>
            </w:pPr>
          </w:p>
        </w:tc>
        <w:tc>
          <w:tcPr>
            <w:tcW w:w="0" w:type="auto"/>
            <w:gridSpan w:val="2"/>
            <w:tcBorders>
              <w:top w:val="outset" w:color="000000" w:sz="6" w:space="0"/>
              <w:left w:val="outset" w:color="000000" w:sz="6" w:space="0"/>
              <w:bottom w:val="outset" w:color="000000" w:sz="6" w:space="0"/>
              <w:right w:val="outset" w:color="000000" w:sz="6" w:space="0"/>
            </w:tcBorders>
            <w:vAlign w:val="center"/>
          </w:tcPr>
          <w:p>
            <w:pPr>
              <w:pStyle w:val="31"/>
              <w:rPr>
                <w:kern w:val="0"/>
              </w:rPr>
            </w:pPr>
            <w:r>
              <w:rPr>
                <w:rFonts w:hint="eastAsia"/>
                <w:kern w:val="0"/>
              </w:rPr>
              <w:t>增减持统计</w:t>
            </w:r>
          </w:p>
        </w:tc>
        <w:tc>
          <w:tcPr>
            <w:tcW w:w="9465" w:type="dxa"/>
            <w:tcBorders>
              <w:top w:val="outset" w:color="000000" w:sz="6" w:space="0"/>
              <w:left w:val="outset" w:color="000000" w:sz="6" w:space="0"/>
              <w:bottom w:val="outset" w:color="000000" w:sz="6" w:space="0"/>
              <w:right w:val="outset" w:color="000000" w:sz="6" w:space="0"/>
            </w:tcBorders>
            <w:vAlign w:val="center"/>
          </w:tcPr>
          <w:p>
            <w:pPr>
              <w:pStyle w:val="31"/>
              <w:rPr>
                <w:kern w:val="0"/>
              </w:rPr>
            </w:pPr>
            <w:r>
              <w:rPr>
                <w:rFonts w:hint="eastAsia"/>
                <w:kern w:val="0"/>
              </w:rPr>
              <w:t>按月份（201408至今）倒序排列统计增（减）持额、增（减）持家数。</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vMerge w:val="continue"/>
            <w:tcBorders>
              <w:top w:val="outset" w:color="000000" w:sz="6" w:space="0"/>
              <w:left w:val="outset" w:color="000000" w:sz="6" w:space="0"/>
              <w:bottom w:val="outset" w:color="000000" w:sz="6" w:space="0"/>
              <w:right w:val="outset" w:color="000000" w:sz="6" w:space="0"/>
            </w:tcBorders>
            <w:vAlign w:val="center"/>
          </w:tcPr>
          <w:p>
            <w:pPr>
              <w:pStyle w:val="31"/>
              <w:rPr>
                <w:kern w:val="0"/>
              </w:rPr>
            </w:pPr>
          </w:p>
        </w:tc>
        <w:tc>
          <w:tcPr>
            <w:tcW w:w="0" w:type="auto"/>
            <w:gridSpan w:val="2"/>
            <w:tcBorders>
              <w:top w:val="outset" w:color="000000" w:sz="6" w:space="0"/>
              <w:left w:val="outset" w:color="000000" w:sz="6" w:space="0"/>
              <w:bottom w:val="outset" w:color="000000" w:sz="6" w:space="0"/>
              <w:right w:val="outset" w:color="000000" w:sz="6" w:space="0"/>
            </w:tcBorders>
            <w:vAlign w:val="center"/>
          </w:tcPr>
          <w:p>
            <w:pPr>
              <w:pStyle w:val="31"/>
              <w:rPr>
                <w:kern w:val="0"/>
              </w:rPr>
            </w:pPr>
            <w:r>
              <w:rPr>
                <w:rFonts w:hint="eastAsia"/>
                <w:kern w:val="0"/>
              </w:rPr>
              <w:t>解禁规模</w:t>
            </w:r>
          </w:p>
        </w:tc>
        <w:tc>
          <w:tcPr>
            <w:tcW w:w="0" w:type="auto"/>
            <w:tcBorders>
              <w:top w:val="outset" w:color="000000" w:sz="6" w:space="0"/>
              <w:left w:val="outset" w:color="000000" w:sz="6" w:space="0"/>
              <w:bottom w:val="outset" w:color="000000" w:sz="6" w:space="0"/>
              <w:right w:val="outset" w:color="000000" w:sz="6" w:space="0"/>
            </w:tcBorders>
            <w:vAlign w:val="center"/>
          </w:tcPr>
          <w:p>
            <w:pPr>
              <w:pStyle w:val="31"/>
              <w:rPr>
                <w:kern w:val="0"/>
              </w:rPr>
            </w:pPr>
            <w:r>
              <w:rPr>
                <w:rFonts w:hint="eastAsia"/>
                <w:kern w:val="0"/>
              </w:rPr>
              <w:t>揭示沪市、深市的股票解禁信息。包括解禁日期、解禁数量、解禁市值。</w:t>
            </w:r>
          </w:p>
        </w:tc>
      </w:tr>
    </w:tbl>
    <w:p>
      <w:pPr>
        <w:pStyle w:val="34"/>
        <w:ind w:firstLine="540"/>
        <w:rPr>
          <w:kern w:val="0"/>
          <w:sz w:val="27"/>
          <w:szCs w:val="27"/>
        </w:rPr>
      </w:pPr>
      <w:r>
        <w:rPr>
          <w:kern w:val="0"/>
          <w:sz w:val="27"/>
          <w:szCs w:val="27"/>
        </w:rPr>
        <w:drawing>
          <wp:inline distT="0" distB="0" distL="114300" distR="114300">
            <wp:extent cx="8229600" cy="6000750"/>
            <wp:effectExtent l="0" t="0" r="0" b="0"/>
            <wp:docPr id="515" name="图片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图片 515"/>
                    <pic:cNvPicPr>
                      <a:picLocks noChangeAspect="1"/>
                    </pic:cNvPicPr>
                  </pic:nvPicPr>
                  <pic:blipFill>
                    <a:blip r:embed="rId952"/>
                    <a:stretch>
                      <a:fillRect/>
                    </a:stretch>
                  </pic:blipFill>
                  <pic:spPr>
                    <a:xfrm>
                      <a:off x="0" y="0"/>
                      <a:ext cx="8229600" cy="6000750"/>
                    </a:xfrm>
                    <a:prstGeom prst="rect">
                      <a:avLst/>
                    </a:prstGeom>
                    <a:noFill/>
                    <a:ln>
                      <a:noFill/>
                    </a:ln>
                  </pic:spPr>
                </pic:pic>
              </a:graphicData>
            </a:graphic>
          </wp:inline>
        </w:drawing>
      </w:r>
    </w:p>
    <w:p>
      <w:pPr>
        <w:pStyle w:val="34"/>
        <w:rPr>
          <w:kern w:val="0"/>
        </w:rPr>
      </w:pPr>
      <w:r>
        <w:rPr>
          <w:rFonts w:hint="eastAsia"/>
          <w:kern w:val="0"/>
        </w:rPr>
        <w:t>盘中统计：</w:t>
      </w:r>
    </w:p>
    <w:tbl>
      <w:tblPr>
        <w:tblStyle w:val="25"/>
        <w:tblW w:w="0" w:type="auto"/>
        <w:tblCellSpacing w:w="0" w:type="dxa"/>
        <w:tblInd w:w="0" w:type="dxa"/>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Layout w:type="autofit"/>
        <w:tblCellMar>
          <w:top w:w="0" w:type="dxa"/>
          <w:left w:w="0" w:type="dxa"/>
          <w:bottom w:w="0" w:type="dxa"/>
          <w:right w:w="0" w:type="dxa"/>
        </w:tblCellMar>
      </w:tblPr>
      <w:tblGrid>
        <w:gridCol w:w="1076"/>
        <w:gridCol w:w="1376"/>
        <w:gridCol w:w="11536"/>
      </w:tblGrid>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076" w:type="dxa"/>
            <w:vMerge w:val="restart"/>
            <w:tcBorders>
              <w:top w:val="outset" w:color="000000" w:sz="6" w:space="0"/>
              <w:left w:val="outset" w:color="000000" w:sz="6" w:space="0"/>
              <w:bottom w:val="outset" w:color="000000" w:sz="6" w:space="0"/>
              <w:right w:val="outset" w:color="000000" w:sz="6" w:space="0"/>
            </w:tcBorders>
            <w:vAlign w:val="center"/>
          </w:tcPr>
          <w:p>
            <w:pPr>
              <w:pStyle w:val="31"/>
              <w:rPr>
                <w:kern w:val="0"/>
              </w:rPr>
            </w:pPr>
            <w:r>
              <w:rPr>
                <w:rFonts w:hint="eastAsia"/>
                <w:kern w:val="0"/>
              </w:rPr>
              <w:t>盘中统计</w:t>
            </w:r>
          </w:p>
        </w:tc>
        <w:tc>
          <w:tcPr>
            <w:tcW w:w="1376" w:type="dxa"/>
            <w:tcBorders>
              <w:top w:val="outset" w:color="000000" w:sz="6" w:space="0"/>
              <w:left w:val="outset" w:color="000000" w:sz="6" w:space="0"/>
              <w:bottom w:val="outset" w:color="000000" w:sz="6" w:space="0"/>
              <w:right w:val="outset" w:color="000000" w:sz="6" w:space="0"/>
            </w:tcBorders>
            <w:vAlign w:val="center"/>
          </w:tcPr>
          <w:p>
            <w:pPr>
              <w:pStyle w:val="31"/>
              <w:rPr>
                <w:kern w:val="0"/>
              </w:rPr>
            </w:pPr>
            <w:r>
              <w:rPr>
                <w:rFonts w:hint="eastAsia"/>
                <w:kern w:val="0"/>
              </w:rPr>
              <w:t>9点35分放量</w:t>
            </w:r>
          </w:p>
        </w:tc>
        <w:tc>
          <w:tcPr>
            <w:tcW w:w="11536" w:type="dxa"/>
            <w:tcBorders>
              <w:top w:val="outset" w:color="000000" w:sz="6" w:space="0"/>
              <w:left w:val="outset" w:color="000000" w:sz="6" w:space="0"/>
              <w:bottom w:val="outset" w:color="000000" w:sz="6" w:space="0"/>
              <w:right w:val="outset" w:color="000000" w:sz="6" w:space="0"/>
            </w:tcBorders>
            <w:vAlign w:val="center"/>
          </w:tcPr>
          <w:p>
            <w:pPr>
              <w:pStyle w:val="31"/>
              <w:rPr>
                <w:kern w:val="0"/>
              </w:rPr>
            </w:pPr>
            <w:r>
              <w:rPr>
                <w:rFonts w:hint="eastAsia"/>
                <w:kern w:val="0"/>
              </w:rPr>
              <w:t>展示9:35分时，成交量比较大的个股。</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vMerge w:val="continue"/>
            <w:tcBorders>
              <w:top w:val="outset" w:color="000000" w:sz="6" w:space="0"/>
              <w:left w:val="outset" w:color="000000" w:sz="6" w:space="0"/>
              <w:bottom w:val="outset" w:color="000000" w:sz="6" w:space="0"/>
              <w:right w:val="outset" w:color="000000" w:sz="6" w:space="0"/>
            </w:tcBorders>
            <w:vAlign w:val="center"/>
          </w:tcPr>
          <w:p>
            <w:pPr>
              <w:pStyle w:val="31"/>
              <w:rPr>
                <w:kern w:val="0"/>
              </w:rPr>
            </w:pPr>
          </w:p>
        </w:tc>
        <w:tc>
          <w:tcPr>
            <w:tcW w:w="1376" w:type="dxa"/>
            <w:tcBorders>
              <w:top w:val="outset" w:color="000000" w:sz="6" w:space="0"/>
              <w:left w:val="outset" w:color="000000" w:sz="6" w:space="0"/>
              <w:bottom w:val="outset" w:color="000000" w:sz="6" w:space="0"/>
              <w:right w:val="outset" w:color="000000" w:sz="6" w:space="0"/>
            </w:tcBorders>
            <w:vAlign w:val="center"/>
          </w:tcPr>
          <w:p>
            <w:pPr>
              <w:pStyle w:val="31"/>
              <w:rPr>
                <w:kern w:val="0"/>
              </w:rPr>
            </w:pPr>
            <w:r>
              <w:rPr>
                <w:rFonts w:hint="eastAsia"/>
                <w:kern w:val="0"/>
              </w:rPr>
              <w:t>突破开盘区间</w:t>
            </w:r>
          </w:p>
        </w:tc>
        <w:tc>
          <w:tcPr>
            <w:tcW w:w="11536" w:type="dxa"/>
            <w:tcBorders>
              <w:top w:val="outset" w:color="000000" w:sz="6" w:space="0"/>
              <w:left w:val="outset" w:color="000000" w:sz="6" w:space="0"/>
              <w:bottom w:val="outset" w:color="000000" w:sz="6" w:space="0"/>
              <w:right w:val="outset" w:color="000000" w:sz="6" w:space="0"/>
            </w:tcBorders>
            <w:vAlign w:val="center"/>
          </w:tcPr>
          <w:p>
            <w:pPr>
              <w:pStyle w:val="31"/>
              <w:rPr>
                <w:kern w:val="0"/>
              </w:rPr>
            </w:pPr>
            <w:r>
              <w:rPr>
                <w:rFonts w:hint="eastAsia"/>
                <w:kern w:val="0"/>
              </w:rPr>
              <w:t>展示开盘区间为9:30--9:45，突破开盘区间最高价的2%涨幅的个股。</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vMerge w:val="continue"/>
            <w:tcBorders>
              <w:top w:val="outset" w:color="000000" w:sz="6" w:space="0"/>
              <w:left w:val="outset" w:color="000000" w:sz="6" w:space="0"/>
              <w:bottom w:val="outset" w:color="000000" w:sz="6" w:space="0"/>
              <w:right w:val="outset" w:color="000000" w:sz="6" w:space="0"/>
            </w:tcBorders>
            <w:vAlign w:val="center"/>
          </w:tcPr>
          <w:p>
            <w:pPr>
              <w:pStyle w:val="31"/>
              <w:rPr>
                <w:kern w:val="0"/>
              </w:rPr>
            </w:pPr>
          </w:p>
        </w:tc>
        <w:tc>
          <w:tcPr>
            <w:tcW w:w="1376" w:type="dxa"/>
            <w:tcBorders>
              <w:top w:val="outset" w:color="000000" w:sz="6" w:space="0"/>
              <w:left w:val="outset" w:color="000000" w:sz="6" w:space="0"/>
              <w:bottom w:val="outset" w:color="000000" w:sz="6" w:space="0"/>
              <w:right w:val="outset" w:color="000000" w:sz="6" w:space="0"/>
            </w:tcBorders>
            <w:vAlign w:val="center"/>
          </w:tcPr>
          <w:p>
            <w:pPr>
              <w:pStyle w:val="31"/>
              <w:rPr>
                <w:kern w:val="0"/>
              </w:rPr>
            </w:pPr>
            <w:r>
              <w:rPr>
                <w:rFonts w:hint="eastAsia"/>
                <w:kern w:val="0"/>
              </w:rPr>
              <w:t>开盘快速拉升</w:t>
            </w:r>
          </w:p>
        </w:tc>
        <w:tc>
          <w:tcPr>
            <w:tcW w:w="11536" w:type="dxa"/>
            <w:tcBorders>
              <w:top w:val="outset" w:color="000000" w:sz="6" w:space="0"/>
              <w:left w:val="outset" w:color="000000" w:sz="6" w:space="0"/>
              <w:bottom w:val="outset" w:color="000000" w:sz="6" w:space="0"/>
              <w:right w:val="outset" w:color="000000" w:sz="6" w:space="0"/>
            </w:tcBorders>
            <w:vAlign w:val="center"/>
          </w:tcPr>
          <w:p>
            <w:pPr>
              <w:pStyle w:val="31"/>
              <w:rPr>
                <w:kern w:val="0"/>
              </w:rPr>
            </w:pPr>
            <w:r>
              <w:rPr>
                <w:rFonts w:hint="eastAsia"/>
                <w:kern w:val="0"/>
              </w:rPr>
              <w:t>展示开盘区间为9:30 -- 9:45，由涨跌幅&gt;-1.5%，拉升到开盘价的5%涨幅的个股。</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vMerge w:val="continue"/>
            <w:tcBorders>
              <w:top w:val="outset" w:color="000000" w:sz="6" w:space="0"/>
              <w:left w:val="outset" w:color="000000" w:sz="6" w:space="0"/>
              <w:bottom w:val="outset" w:color="000000" w:sz="6" w:space="0"/>
              <w:right w:val="outset" w:color="000000" w:sz="6" w:space="0"/>
            </w:tcBorders>
            <w:vAlign w:val="center"/>
          </w:tcPr>
          <w:p>
            <w:pPr>
              <w:pStyle w:val="31"/>
              <w:rPr>
                <w:kern w:val="0"/>
              </w:rPr>
            </w:pPr>
          </w:p>
        </w:tc>
        <w:tc>
          <w:tcPr>
            <w:tcW w:w="1376" w:type="dxa"/>
            <w:tcBorders>
              <w:top w:val="outset" w:color="000000" w:sz="6" w:space="0"/>
              <w:left w:val="outset" w:color="000000" w:sz="6" w:space="0"/>
              <w:bottom w:val="outset" w:color="000000" w:sz="6" w:space="0"/>
              <w:right w:val="outset" w:color="000000" w:sz="6" w:space="0"/>
            </w:tcBorders>
            <w:vAlign w:val="center"/>
          </w:tcPr>
          <w:p>
            <w:pPr>
              <w:pStyle w:val="31"/>
              <w:rPr>
                <w:kern w:val="0"/>
              </w:rPr>
            </w:pPr>
            <w:r>
              <w:rPr>
                <w:rFonts w:hint="eastAsia"/>
                <w:kern w:val="0"/>
              </w:rPr>
              <w:t>盘中快速拉升</w:t>
            </w:r>
          </w:p>
        </w:tc>
        <w:tc>
          <w:tcPr>
            <w:tcW w:w="11536" w:type="dxa"/>
            <w:tcBorders>
              <w:top w:val="outset" w:color="000000" w:sz="6" w:space="0"/>
              <w:left w:val="outset" w:color="000000" w:sz="6" w:space="0"/>
              <w:bottom w:val="outset" w:color="000000" w:sz="6" w:space="0"/>
              <w:right w:val="outset" w:color="000000" w:sz="6" w:space="0"/>
            </w:tcBorders>
            <w:vAlign w:val="center"/>
          </w:tcPr>
          <w:p>
            <w:pPr>
              <w:pStyle w:val="31"/>
              <w:rPr>
                <w:kern w:val="0"/>
              </w:rPr>
            </w:pPr>
            <w:r>
              <w:rPr>
                <w:rFonts w:hint="eastAsia"/>
                <w:kern w:val="0"/>
              </w:rPr>
              <w:t>展示9:30以后，1分钟内涨幅达到3%的个股。</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vMerge w:val="continue"/>
            <w:tcBorders>
              <w:top w:val="outset" w:color="000000" w:sz="6" w:space="0"/>
              <w:left w:val="outset" w:color="000000" w:sz="6" w:space="0"/>
              <w:bottom w:val="outset" w:color="000000" w:sz="6" w:space="0"/>
              <w:right w:val="outset" w:color="000000" w:sz="6" w:space="0"/>
            </w:tcBorders>
            <w:vAlign w:val="center"/>
          </w:tcPr>
          <w:p>
            <w:pPr>
              <w:pStyle w:val="31"/>
              <w:rPr>
                <w:kern w:val="0"/>
              </w:rPr>
            </w:pPr>
          </w:p>
        </w:tc>
        <w:tc>
          <w:tcPr>
            <w:tcW w:w="1376" w:type="dxa"/>
            <w:tcBorders>
              <w:top w:val="outset" w:color="000000" w:sz="6" w:space="0"/>
              <w:left w:val="outset" w:color="000000" w:sz="6" w:space="0"/>
              <w:bottom w:val="outset" w:color="000000" w:sz="6" w:space="0"/>
              <w:right w:val="outset" w:color="000000" w:sz="6" w:space="0"/>
            </w:tcBorders>
            <w:vAlign w:val="center"/>
          </w:tcPr>
          <w:p>
            <w:pPr>
              <w:pStyle w:val="31"/>
              <w:rPr>
                <w:kern w:val="0"/>
              </w:rPr>
            </w:pPr>
            <w:r>
              <w:rPr>
                <w:rFonts w:hint="eastAsia"/>
                <w:kern w:val="0"/>
              </w:rPr>
              <w:t>盘中放量拉升</w:t>
            </w:r>
          </w:p>
        </w:tc>
        <w:tc>
          <w:tcPr>
            <w:tcW w:w="11536" w:type="dxa"/>
            <w:tcBorders>
              <w:top w:val="outset" w:color="000000" w:sz="6" w:space="0"/>
              <w:left w:val="outset" w:color="000000" w:sz="6" w:space="0"/>
              <w:bottom w:val="outset" w:color="000000" w:sz="6" w:space="0"/>
              <w:right w:val="outset" w:color="000000" w:sz="6" w:space="0"/>
            </w:tcBorders>
            <w:vAlign w:val="center"/>
          </w:tcPr>
          <w:p>
            <w:pPr>
              <w:pStyle w:val="31"/>
              <w:rPr>
                <w:kern w:val="0"/>
              </w:rPr>
            </w:pPr>
            <w:r>
              <w:rPr>
                <w:rFonts w:hint="eastAsia"/>
                <w:kern w:val="0"/>
              </w:rPr>
              <w:t>展示9:30以后，5分钟内涨幅达到2%，最近5分钟均量为当日均量的3倍，预警价格站在当日均价线以上的个股。</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vMerge w:val="continue"/>
            <w:tcBorders>
              <w:top w:val="outset" w:color="000000" w:sz="6" w:space="0"/>
              <w:left w:val="outset" w:color="000000" w:sz="6" w:space="0"/>
              <w:bottom w:val="outset" w:color="000000" w:sz="6" w:space="0"/>
              <w:right w:val="outset" w:color="000000" w:sz="6" w:space="0"/>
            </w:tcBorders>
            <w:vAlign w:val="center"/>
          </w:tcPr>
          <w:p>
            <w:pPr>
              <w:pStyle w:val="31"/>
              <w:rPr>
                <w:kern w:val="0"/>
              </w:rPr>
            </w:pPr>
          </w:p>
        </w:tc>
        <w:tc>
          <w:tcPr>
            <w:tcW w:w="1376" w:type="dxa"/>
            <w:tcBorders>
              <w:top w:val="outset" w:color="000000" w:sz="6" w:space="0"/>
              <w:left w:val="outset" w:color="000000" w:sz="6" w:space="0"/>
              <w:bottom w:val="outset" w:color="000000" w:sz="6" w:space="0"/>
              <w:right w:val="outset" w:color="000000" w:sz="6" w:space="0"/>
            </w:tcBorders>
            <w:vAlign w:val="center"/>
          </w:tcPr>
          <w:p>
            <w:pPr>
              <w:pStyle w:val="31"/>
              <w:rPr>
                <w:kern w:val="0"/>
              </w:rPr>
            </w:pPr>
            <w:r>
              <w:rPr>
                <w:rFonts w:hint="eastAsia"/>
                <w:kern w:val="0"/>
              </w:rPr>
              <w:t>盘中行业异动</w:t>
            </w:r>
          </w:p>
        </w:tc>
        <w:tc>
          <w:tcPr>
            <w:tcW w:w="11536" w:type="dxa"/>
            <w:tcBorders>
              <w:top w:val="outset" w:color="000000" w:sz="6" w:space="0"/>
              <w:left w:val="outset" w:color="000000" w:sz="6" w:space="0"/>
              <w:bottom w:val="outset" w:color="000000" w:sz="6" w:space="0"/>
              <w:right w:val="outset" w:color="000000" w:sz="6" w:space="0"/>
            </w:tcBorders>
            <w:vAlign w:val="center"/>
          </w:tcPr>
          <w:p>
            <w:pPr>
              <w:pStyle w:val="31"/>
              <w:rPr>
                <w:kern w:val="0"/>
              </w:rPr>
            </w:pPr>
            <w:r>
              <w:rPr>
                <w:rFonts w:hint="eastAsia"/>
                <w:kern w:val="0"/>
              </w:rPr>
              <w:t>展示9:30以后，3分钟内涨跌幅达到1.8%的个股。</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vMerge w:val="continue"/>
            <w:tcBorders>
              <w:top w:val="outset" w:color="000000" w:sz="6" w:space="0"/>
              <w:left w:val="outset" w:color="000000" w:sz="6" w:space="0"/>
              <w:bottom w:val="outset" w:color="000000" w:sz="6" w:space="0"/>
              <w:right w:val="outset" w:color="000000" w:sz="6" w:space="0"/>
            </w:tcBorders>
            <w:vAlign w:val="center"/>
          </w:tcPr>
          <w:p>
            <w:pPr>
              <w:pStyle w:val="31"/>
              <w:rPr>
                <w:kern w:val="0"/>
              </w:rPr>
            </w:pPr>
          </w:p>
        </w:tc>
        <w:tc>
          <w:tcPr>
            <w:tcW w:w="1376" w:type="dxa"/>
            <w:tcBorders>
              <w:top w:val="outset" w:color="000000" w:sz="6" w:space="0"/>
              <w:left w:val="outset" w:color="000000" w:sz="6" w:space="0"/>
              <w:bottom w:val="outset" w:color="000000" w:sz="6" w:space="0"/>
              <w:right w:val="outset" w:color="000000" w:sz="6" w:space="0"/>
            </w:tcBorders>
            <w:vAlign w:val="center"/>
          </w:tcPr>
          <w:p>
            <w:pPr>
              <w:pStyle w:val="31"/>
              <w:rPr>
                <w:kern w:val="0"/>
              </w:rPr>
            </w:pPr>
            <w:r>
              <w:rPr>
                <w:rFonts w:hint="eastAsia"/>
                <w:kern w:val="0"/>
              </w:rPr>
              <w:t>高开回补缺口，再创当日新高</w:t>
            </w:r>
          </w:p>
        </w:tc>
        <w:tc>
          <w:tcPr>
            <w:tcW w:w="11536" w:type="dxa"/>
            <w:tcBorders>
              <w:top w:val="outset" w:color="000000" w:sz="6" w:space="0"/>
              <w:left w:val="outset" w:color="000000" w:sz="6" w:space="0"/>
              <w:bottom w:val="outset" w:color="000000" w:sz="6" w:space="0"/>
              <w:right w:val="outset" w:color="000000" w:sz="6" w:space="0"/>
            </w:tcBorders>
            <w:vAlign w:val="center"/>
          </w:tcPr>
          <w:p>
            <w:pPr>
              <w:pStyle w:val="31"/>
              <w:rPr>
                <w:kern w:val="0"/>
              </w:rPr>
            </w:pPr>
            <w:r>
              <w:rPr>
                <w:rFonts w:hint="eastAsia"/>
                <w:kern w:val="0"/>
              </w:rPr>
              <w:t>开盘价大于昨高的2%，向下回补缺口后，再创当日新高价的个股。</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vMerge w:val="continue"/>
            <w:tcBorders>
              <w:top w:val="outset" w:color="000000" w:sz="6" w:space="0"/>
              <w:left w:val="outset" w:color="000000" w:sz="6" w:space="0"/>
              <w:bottom w:val="outset" w:color="000000" w:sz="6" w:space="0"/>
              <w:right w:val="outset" w:color="000000" w:sz="6" w:space="0"/>
            </w:tcBorders>
            <w:vAlign w:val="center"/>
          </w:tcPr>
          <w:p>
            <w:pPr>
              <w:pStyle w:val="31"/>
              <w:rPr>
                <w:kern w:val="0"/>
              </w:rPr>
            </w:pPr>
          </w:p>
        </w:tc>
        <w:tc>
          <w:tcPr>
            <w:tcW w:w="1376" w:type="dxa"/>
            <w:tcBorders>
              <w:top w:val="outset" w:color="000000" w:sz="6" w:space="0"/>
              <w:left w:val="outset" w:color="000000" w:sz="6" w:space="0"/>
              <w:bottom w:val="outset" w:color="000000" w:sz="6" w:space="0"/>
              <w:right w:val="outset" w:color="000000" w:sz="6" w:space="0"/>
            </w:tcBorders>
            <w:vAlign w:val="center"/>
          </w:tcPr>
          <w:p>
            <w:pPr>
              <w:pStyle w:val="31"/>
              <w:rPr>
                <w:kern w:val="0"/>
              </w:rPr>
            </w:pPr>
            <w:r>
              <w:rPr>
                <w:rFonts w:hint="eastAsia"/>
                <w:kern w:val="0"/>
              </w:rPr>
              <w:t>创近5日新高/低</w:t>
            </w:r>
          </w:p>
        </w:tc>
        <w:tc>
          <w:tcPr>
            <w:tcW w:w="11536" w:type="dxa"/>
            <w:tcBorders>
              <w:top w:val="outset" w:color="000000" w:sz="6" w:space="0"/>
              <w:left w:val="outset" w:color="000000" w:sz="6" w:space="0"/>
              <w:bottom w:val="outset" w:color="000000" w:sz="6" w:space="0"/>
              <w:right w:val="outset" w:color="000000" w:sz="6" w:space="0"/>
            </w:tcBorders>
            <w:vAlign w:val="center"/>
          </w:tcPr>
          <w:p>
            <w:pPr>
              <w:pStyle w:val="31"/>
              <w:rPr>
                <w:kern w:val="0"/>
              </w:rPr>
            </w:pPr>
            <w:r>
              <w:rPr>
                <w:rFonts w:hint="eastAsia"/>
                <w:kern w:val="0"/>
              </w:rPr>
              <w:t>现价大于前5个交易日的最高/低价的个股。</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vMerge w:val="continue"/>
            <w:tcBorders>
              <w:top w:val="outset" w:color="000000" w:sz="6" w:space="0"/>
              <w:left w:val="outset" w:color="000000" w:sz="6" w:space="0"/>
              <w:bottom w:val="outset" w:color="000000" w:sz="6" w:space="0"/>
              <w:right w:val="outset" w:color="000000" w:sz="6" w:space="0"/>
            </w:tcBorders>
            <w:vAlign w:val="center"/>
          </w:tcPr>
          <w:p>
            <w:pPr>
              <w:pStyle w:val="31"/>
              <w:rPr>
                <w:kern w:val="0"/>
              </w:rPr>
            </w:pPr>
          </w:p>
        </w:tc>
        <w:tc>
          <w:tcPr>
            <w:tcW w:w="0" w:type="auto"/>
            <w:tcBorders>
              <w:top w:val="outset" w:color="000000" w:sz="6" w:space="0"/>
              <w:left w:val="outset" w:color="000000" w:sz="6" w:space="0"/>
              <w:bottom w:val="outset" w:color="000000" w:sz="6" w:space="0"/>
              <w:right w:val="outset" w:color="000000" w:sz="6" w:space="0"/>
            </w:tcBorders>
            <w:vAlign w:val="center"/>
          </w:tcPr>
          <w:p>
            <w:pPr>
              <w:pStyle w:val="31"/>
              <w:rPr>
                <w:kern w:val="0"/>
              </w:rPr>
            </w:pPr>
            <w:r>
              <w:rPr>
                <w:rFonts w:hint="eastAsia"/>
                <w:kern w:val="0"/>
              </w:rPr>
              <w:t>尾盘拉升</w:t>
            </w:r>
          </w:p>
        </w:tc>
        <w:tc>
          <w:tcPr>
            <w:tcW w:w="0" w:type="auto"/>
            <w:tcBorders>
              <w:top w:val="outset" w:color="000000" w:sz="6" w:space="0"/>
              <w:left w:val="outset" w:color="000000" w:sz="6" w:space="0"/>
              <w:bottom w:val="outset" w:color="000000" w:sz="6" w:space="0"/>
              <w:right w:val="outset" w:color="000000" w:sz="6" w:space="0"/>
            </w:tcBorders>
            <w:vAlign w:val="center"/>
          </w:tcPr>
          <w:p>
            <w:pPr>
              <w:pStyle w:val="31"/>
              <w:rPr>
                <w:kern w:val="0"/>
              </w:rPr>
            </w:pPr>
            <w:r>
              <w:rPr>
                <w:rFonts w:hint="eastAsia"/>
                <w:kern w:val="0"/>
              </w:rPr>
              <w:t>展示时间区间为14:40--15:00，3分钟内涨幅达到3%的个股。</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vMerge w:val="continue"/>
            <w:tcBorders>
              <w:top w:val="outset" w:color="000000" w:sz="6" w:space="0"/>
              <w:left w:val="outset" w:color="000000" w:sz="6" w:space="0"/>
              <w:bottom w:val="outset" w:color="000000" w:sz="6" w:space="0"/>
              <w:right w:val="outset" w:color="000000" w:sz="6" w:space="0"/>
            </w:tcBorders>
            <w:vAlign w:val="center"/>
          </w:tcPr>
          <w:p>
            <w:pPr>
              <w:pStyle w:val="31"/>
              <w:rPr>
                <w:kern w:val="0"/>
              </w:rPr>
            </w:pPr>
          </w:p>
        </w:tc>
        <w:tc>
          <w:tcPr>
            <w:tcW w:w="1376" w:type="dxa"/>
            <w:tcBorders>
              <w:top w:val="outset" w:color="000000" w:sz="6" w:space="0"/>
              <w:left w:val="outset" w:color="000000" w:sz="6" w:space="0"/>
              <w:bottom w:val="outset" w:color="000000" w:sz="6" w:space="0"/>
              <w:right w:val="outset" w:color="000000" w:sz="6" w:space="0"/>
            </w:tcBorders>
            <w:vAlign w:val="center"/>
          </w:tcPr>
          <w:p>
            <w:pPr>
              <w:pStyle w:val="31"/>
              <w:rPr>
                <w:kern w:val="0"/>
              </w:rPr>
            </w:pPr>
            <w:r>
              <w:rPr>
                <w:rFonts w:hint="eastAsia"/>
                <w:kern w:val="0"/>
              </w:rPr>
              <w:t>积/突信号</w:t>
            </w:r>
          </w:p>
        </w:tc>
        <w:tc>
          <w:tcPr>
            <w:tcW w:w="11536" w:type="dxa"/>
            <w:tcBorders>
              <w:top w:val="outset" w:color="000000" w:sz="6" w:space="0"/>
              <w:left w:val="outset" w:color="000000" w:sz="6" w:space="0"/>
              <w:bottom w:val="outset" w:color="000000" w:sz="6" w:space="0"/>
              <w:right w:val="outset" w:color="000000" w:sz="6" w:space="0"/>
            </w:tcBorders>
            <w:vAlign w:val="center"/>
          </w:tcPr>
          <w:p>
            <w:pPr>
              <w:pStyle w:val="31"/>
              <w:rPr>
                <w:kern w:val="0"/>
              </w:rPr>
            </w:pPr>
            <w:r>
              <w:rPr>
                <w:rFonts w:hint="eastAsia"/>
                <w:kern w:val="0"/>
              </w:rPr>
              <w:t>开盘一段时间且离收盘还有一段时间，连续分钟数内成交量上扬，分时成交均价上扬，现价创新高，且涨幅在一定范围(保证既已经上涨且还有继续上涨的空间)，振幅和涨速满足一定条件，即记录为"积"信号；在满足"积"信号的情况下，再次满足上述条件，即为"突"信号。</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gridSpan w:val="2"/>
            <w:tcBorders>
              <w:top w:val="outset" w:color="000000" w:sz="6" w:space="0"/>
              <w:left w:val="outset" w:color="000000" w:sz="6" w:space="0"/>
              <w:bottom w:val="outset" w:color="000000" w:sz="6" w:space="0"/>
              <w:right w:val="outset" w:color="000000" w:sz="6" w:space="0"/>
            </w:tcBorders>
            <w:vAlign w:val="center"/>
          </w:tcPr>
          <w:p>
            <w:pPr>
              <w:pStyle w:val="31"/>
              <w:rPr>
                <w:kern w:val="0"/>
              </w:rPr>
            </w:pPr>
            <w:r>
              <w:rPr>
                <w:rFonts w:hint="eastAsia"/>
                <w:kern w:val="0"/>
              </w:rPr>
              <w:t>主力监控</w:t>
            </w:r>
          </w:p>
        </w:tc>
        <w:tc>
          <w:tcPr>
            <w:tcW w:w="11536" w:type="dxa"/>
            <w:tcBorders>
              <w:top w:val="outset" w:color="000000" w:sz="6" w:space="0"/>
              <w:left w:val="outset" w:color="000000" w:sz="6" w:space="0"/>
              <w:bottom w:val="outset" w:color="000000" w:sz="6" w:space="0"/>
              <w:right w:val="outset" w:color="000000" w:sz="6" w:space="0"/>
            </w:tcBorders>
            <w:vAlign w:val="center"/>
          </w:tcPr>
          <w:p>
            <w:pPr>
              <w:pStyle w:val="31"/>
              <w:rPr>
                <w:kern w:val="0"/>
              </w:rPr>
            </w:pPr>
            <w:r>
              <w:rPr>
                <w:rFonts w:hint="eastAsia"/>
                <w:kern w:val="0"/>
              </w:rPr>
              <w:t>个股每日异动情况统计</w:t>
            </w:r>
          </w:p>
        </w:tc>
      </w:tr>
    </w:tbl>
    <w:p>
      <w:pPr>
        <w:widowControl/>
        <w:spacing w:before="100" w:beforeAutospacing="1" w:after="100" w:afterAutospacing="1" w:line="240" w:lineRule="auto"/>
        <w:jc w:val="left"/>
        <w:rPr>
          <w:rFonts w:ascii="微软雅黑" w:hAnsi="微软雅黑" w:eastAsia="微软雅黑" w:cs="宋体"/>
          <w:color w:val="000000"/>
          <w:kern w:val="0"/>
          <w:sz w:val="27"/>
          <w:szCs w:val="27"/>
        </w:rPr>
      </w:pPr>
      <w:r>
        <w:rPr>
          <w:rFonts w:ascii="微软雅黑" w:hAnsi="微软雅黑" w:eastAsia="微软雅黑" w:cs="宋体"/>
          <w:color w:val="000000"/>
          <w:kern w:val="0"/>
          <w:sz w:val="27"/>
          <w:szCs w:val="27"/>
        </w:rPr>
        <w:drawing>
          <wp:inline distT="0" distB="0" distL="114300" distR="114300">
            <wp:extent cx="8201025" cy="5962650"/>
            <wp:effectExtent l="0" t="0" r="9525" b="0"/>
            <wp:docPr id="516" name="图片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图片 516"/>
                    <pic:cNvPicPr>
                      <a:picLocks noChangeAspect="1"/>
                    </pic:cNvPicPr>
                  </pic:nvPicPr>
                  <pic:blipFill>
                    <a:blip r:embed="rId953"/>
                    <a:stretch>
                      <a:fillRect/>
                    </a:stretch>
                  </pic:blipFill>
                  <pic:spPr>
                    <a:xfrm>
                      <a:off x="0" y="0"/>
                      <a:ext cx="8201025" cy="5962650"/>
                    </a:xfrm>
                    <a:prstGeom prst="rect">
                      <a:avLst/>
                    </a:prstGeom>
                    <a:noFill/>
                    <a:ln>
                      <a:noFill/>
                    </a:ln>
                  </pic:spPr>
                </pic:pic>
              </a:graphicData>
            </a:graphic>
          </wp:inline>
        </w:drawing>
      </w:r>
    </w:p>
    <w:p/>
    <w:p>
      <w:pPr>
        <w:pStyle w:val="3"/>
      </w:pPr>
      <w:bookmarkStart w:id="77" w:name="_Toc90646199"/>
      <w:r>
        <w:rPr>
          <w:rFonts w:hint="eastAsia"/>
        </w:rPr>
        <w:t>资金流向分布</w:t>
      </w:r>
      <w:bookmarkEnd w:id="77"/>
    </w:p>
    <w:p>
      <w:pPr>
        <w:pStyle w:val="34"/>
        <w:rPr>
          <w:kern w:val="0"/>
        </w:rPr>
      </w:pPr>
      <w:r>
        <w:rPr>
          <w:kern w:val="0"/>
        </w:rPr>
        <w:t>资金流向展示证券当日和近5日的资金流向情况，掌握主力资金和主动资金的操作动向。 </w:t>
      </w:r>
    </w:p>
    <w:p>
      <w:pPr>
        <w:pStyle w:val="34"/>
        <w:rPr>
          <w:kern w:val="0"/>
        </w:rPr>
      </w:pPr>
      <w:r>
        <w:rPr>
          <w:kern w:val="0"/>
        </w:rPr>
        <w:t>上方为主力净额，下方为主买净额。</w:t>
      </w:r>
      <w:r>
        <w:rPr>
          <w:b/>
          <w:bCs/>
          <w:color w:val="FF0000"/>
          <w:kern w:val="0"/>
        </w:rPr>
        <w:t>（二者的区别在于：主力净额是统计超大单和大单，同时主动和被动均考虑；主买净额是统计超大单，大单，中单，小单，但仅考虑主动性）</w:t>
      </w:r>
      <w:r>
        <w:rPr>
          <w:kern w:val="0"/>
        </w:rPr>
        <w:t xml:space="preserve"> </w:t>
      </w:r>
    </w:p>
    <w:p>
      <w:pPr>
        <w:pStyle w:val="34"/>
        <w:rPr>
          <w:kern w:val="0"/>
        </w:rPr>
      </w:pPr>
      <w:r>
        <w:rPr>
          <w:kern w:val="0"/>
        </w:rPr>
        <w:t>主力净额统计大单净买额，数值越高主力参与度越高，红色表示看多，绿色表示看空；主买净额越大，表示主动性买入证券的资金越多，占比越高表示看多交易多。</w:t>
      </w:r>
    </w:p>
    <w:p>
      <w:pPr>
        <w:widowControl/>
        <w:spacing w:before="100" w:beforeAutospacing="1" w:after="100" w:afterAutospacing="1" w:line="240" w:lineRule="auto"/>
        <w:jc w:val="left"/>
        <w:rPr>
          <w:rFonts w:ascii="微软雅黑" w:hAnsi="微软雅黑" w:eastAsia="微软雅黑" w:cs="宋体"/>
          <w:color w:val="000000"/>
          <w:kern w:val="0"/>
          <w:sz w:val="27"/>
          <w:szCs w:val="27"/>
        </w:rPr>
      </w:pPr>
      <w:r>
        <w:rPr>
          <w:rFonts w:ascii="微软雅黑" w:hAnsi="微软雅黑" w:eastAsia="微软雅黑" w:cs="宋体"/>
          <w:color w:val="000000"/>
          <w:kern w:val="0"/>
          <w:sz w:val="27"/>
          <w:szCs w:val="27"/>
        </w:rPr>
        <w:drawing>
          <wp:inline distT="0" distB="0" distL="114300" distR="114300">
            <wp:extent cx="7124700" cy="3009900"/>
            <wp:effectExtent l="0" t="0" r="0" b="0"/>
            <wp:docPr id="517" name="图片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图片 517"/>
                    <pic:cNvPicPr>
                      <a:picLocks noChangeAspect="1"/>
                    </pic:cNvPicPr>
                  </pic:nvPicPr>
                  <pic:blipFill>
                    <a:blip r:embed="rId954"/>
                    <a:stretch>
                      <a:fillRect/>
                    </a:stretch>
                  </pic:blipFill>
                  <pic:spPr>
                    <a:xfrm>
                      <a:off x="0" y="0"/>
                      <a:ext cx="7124700" cy="3009900"/>
                    </a:xfrm>
                    <a:prstGeom prst="rect">
                      <a:avLst/>
                    </a:prstGeom>
                    <a:noFill/>
                    <a:ln>
                      <a:noFill/>
                    </a:ln>
                  </pic:spPr>
                </pic:pic>
              </a:graphicData>
            </a:graphic>
          </wp:inline>
        </w:drawing>
      </w:r>
    </w:p>
    <w:p>
      <w:pPr>
        <w:pStyle w:val="3"/>
      </w:pPr>
      <w:bookmarkStart w:id="78" w:name="_Toc90646200"/>
      <w:r>
        <w:rPr>
          <w:rFonts w:hint="eastAsia"/>
        </w:rPr>
        <w:t>板块指数</w:t>
      </w:r>
      <w:bookmarkEnd w:id="78"/>
    </w:p>
    <w:p>
      <w:pPr>
        <w:pStyle w:val="34"/>
      </w:pPr>
      <w:r>
        <w:rPr>
          <w:rFonts w:hint="eastAsia"/>
        </w:rPr>
        <w:t>打开方式：标签界面点击“板块指数”</w:t>
      </w:r>
    </w:p>
    <w:p>
      <w:pPr>
        <w:pStyle w:val="34"/>
      </w:pPr>
      <w:r>
        <w:rPr>
          <w:rFonts w:hint="eastAsia"/>
        </w:rPr>
        <w:t>采用通达信新行业分类标准，并且推出了风格板块等类型，支持显示所属的细分行业和地域。</w:t>
      </w:r>
    </w:p>
    <w:p>
      <w:pPr>
        <w:pStyle w:val="34"/>
      </w:pPr>
      <w:r>
        <w:rPr>
          <w:rFonts w:hint="eastAsia"/>
        </w:rPr>
        <w:t>板块指数的分类有通达信行业 / 通达信细分行业 / 研究行业、概念板块、风格板块、地区板块、统计指数。通过最右边的“设置”按钮可以选择行业分类。</w:t>
      </w:r>
    </w:p>
    <w:p>
      <w:pPr>
        <w:pStyle w:val="34"/>
      </w:pPr>
      <w:r>
        <w:rPr>
          <w:rFonts w:hint="eastAsia"/>
        </w:rPr>
        <w:t>涨速：(现价-N分钟前的价格)*100/N分钟前的价格,涨速的N值可在系统设置1涨速周期分钟数地方设置</w:t>
      </w:r>
    </w:p>
    <w:p>
      <w:pPr>
        <w:pStyle w:val="34"/>
      </w:pPr>
      <w:r>
        <w:rPr>
          <w:rFonts w:hint="eastAsia"/>
        </w:rPr>
        <w:t>量比：开市后每分钟的平均成交量与过去5个交易日每分钟平均成交量之比 </w:t>
      </w:r>
    </w:p>
    <w:p>
      <w:pPr>
        <w:pStyle w:val="34"/>
      </w:pPr>
      <w:r>
        <w:rPr>
          <w:rFonts w:hint="eastAsia"/>
        </w:rPr>
        <w:t>换手：成交量/流通股本*100</w:t>
      </w:r>
    </w:p>
    <w:p>
      <w:pPr>
        <w:pStyle w:val="34"/>
      </w:pPr>
      <w:r>
        <w:rPr>
          <w:rFonts w:hint="eastAsia"/>
        </w:rPr>
        <w:t>涨跌数：该指数成份股中上涨家数和下跌家数</w:t>
      </w:r>
    </w:p>
    <w:p>
      <w:pPr>
        <w:pStyle w:val="34"/>
      </w:pPr>
      <w:r>
        <w:rPr>
          <w:rFonts w:hint="eastAsia"/>
        </w:rPr>
        <w:t>涨停数：该指数成份股中封涨停的家数,如果多于5家,高亮显示</w:t>
      </w:r>
    </w:p>
    <w:p>
      <w:pPr>
        <w:pStyle w:val="34"/>
      </w:pPr>
      <w:r>
        <w:rPr>
          <w:rFonts w:hint="eastAsia"/>
        </w:rPr>
        <w:t>跌停数：该指数成份股中封跌停的家数,如果多于5家,高亮显示</w:t>
      </w:r>
    </w:p>
    <w:p>
      <w:pPr>
        <w:pStyle w:val="34"/>
      </w:pPr>
      <w:r>
        <w:rPr>
          <w:rFonts w:hint="eastAsia"/>
        </w:rPr>
        <w:t>开盘金额：该指数所有成份股的早盘集合竞价时的成交金额</w:t>
      </w:r>
    </w:p>
    <w:p>
      <w:pPr>
        <w:pStyle w:val="34"/>
      </w:pPr>
      <w:r>
        <w:rPr>
          <w:rFonts w:hint="eastAsia"/>
        </w:rPr>
        <w:t>开盘换手Z：该指数所有成份股的集合竞价成交量/该指数成份股总的流通股本</w:t>
      </w:r>
    </w:p>
    <w:p>
      <w:pPr>
        <w:pStyle w:val="34"/>
      </w:pPr>
      <w:r>
        <w:rPr>
          <w:rFonts w:hint="eastAsia"/>
        </w:rPr>
        <w:t>量涨速%：最近N分钟的放量比率,涨速的N值可在系统设置1涨速周期分钟数地方设置</w:t>
      </w:r>
    </w:p>
    <w:p>
      <w:pPr>
        <w:pStyle w:val="34"/>
      </w:pPr>
      <w:r>
        <w:rPr>
          <w:rFonts w:hint="eastAsia"/>
        </w:rPr>
        <w:t>短换手%：最近N分钟的换手</w:t>
      </w:r>
    </w:p>
    <w:p>
      <w:pPr>
        <w:pStyle w:val="34"/>
      </w:pPr>
      <w:r>
        <w:rPr>
          <w:rFonts w:hint="eastAsia"/>
        </w:rPr>
        <w:t>2分钟金额：最近2分钟的成交金额</w:t>
      </w:r>
    </w:p>
    <w:p>
      <w:pPr>
        <w:pStyle w:val="34"/>
      </w:pPr>
      <w:r>
        <w:rPr>
          <w:rFonts w:hint="eastAsia"/>
        </w:rPr>
        <w:t>主力净额：超大单和大单买入成交金额-超大单和大单卖出成交金额</w:t>
      </w:r>
    </w:p>
    <w:p>
      <w:pPr>
        <w:pStyle w:val="34"/>
      </w:pPr>
      <w:r>
        <w:rPr>
          <w:rFonts w:hint="eastAsia"/>
        </w:rPr>
        <w:t>主力净比：主力净额/流通市值*100</w:t>
      </w:r>
    </w:p>
    <w:p>
      <w:pPr>
        <w:pStyle w:val="34"/>
      </w:pPr>
      <w:r>
        <w:rPr>
          <w:rFonts w:hint="eastAsia"/>
        </w:rPr>
        <w:t>开盘%：(开盘-昨收)/昨收*100</w:t>
      </w:r>
    </w:p>
    <w:p>
      <w:pPr>
        <w:pStyle w:val="34"/>
      </w:pPr>
      <w:r>
        <w:rPr>
          <w:rFonts w:hint="eastAsia"/>
        </w:rPr>
        <w:t>最高%：(最高-昨收)/昨收*100</w:t>
      </w:r>
    </w:p>
    <w:p>
      <w:pPr>
        <w:pStyle w:val="34"/>
      </w:pPr>
      <w:r>
        <w:rPr>
          <w:rFonts w:hint="eastAsia"/>
        </w:rPr>
        <w:t>最低%：(最低-昨收)/昨收*100</w:t>
      </w:r>
    </w:p>
    <w:p>
      <w:pPr>
        <w:pStyle w:val="34"/>
      </w:pPr>
      <w:r>
        <w:rPr>
          <w:rFonts w:hint="eastAsia"/>
        </w:rPr>
        <w:t>均涨幅：(均价-昨收)/昨收*100</w:t>
      </w:r>
    </w:p>
    <w:p>
      <w:pPr>
        <w:pStyle w:val="34"/>
      </w:pPr>
      <w:r>
        <w:rPr>
          <w:rFonts w:hint="eastAsia"/>
        </w:rPr>
        <w:t>实体涨幅：(现价-今开)/今开*100</w:t>
      </w:r>
    </w:p>
    <w:p>
      <w:pPr>
        <w:pStyle w:val="34"/>
      </w:pPr>
      <w:r>
        <w:rPr>
          <w:rFonts w:hint="eastAsia"/>
        </w:rPr>
        <w:t>回头波：(现价-最高)/最高*100,即当日的最大回撤</w:t>
      </w:r>
    </w:p>
    <w:p>
      <w:pPr>
        <w:pStyle w:val="34"/>
      </w:pPr>
      <w:r>
        <w:rPr>
          <w:rFonts w:hint="eastAsia"/>
        </w:rPr>
        <w:t>攻击波：(现价-最低)/最低*100,即当日的最大收益</w:t>
      </w:r>
    </w:p>
    <w:p>
      <w:pPr>
        <w:pStyle w:val="34"/>
      </w:pPr>
      <w:r>
        <w:rPr>
          <w:rFonts w:hint="eastAsia"/>
        </w:rPr>
        <w:t>总市值：所有A股的总市值,单位为百亿</w:t>
      </w:r>
    </w:p>
    <w:p>
      <w:pPr>
        <w:pStyle w:val="34"/>
      </w:pPr>
      <w:r>
        <w:rPr>
          <w:rFonts w:hint="eastAsia"/>
        </w:rPr>
        <w:t>流通市值：所有A股的流通市值,单位为百亿</w:t>
      </w:r>
    </w:p>
    <w:p>
      <w:pPr>
        <w:pStyle w:val="34"/>
      </w:pPr>
      <w:r>
        <w:rPr>
          <w:rFonts w:hint="eastAsia"/>
        </w:rPr>
        <w:t>活筹市值：所有A股的自由流通股本的市值,单位为百亿,相当于市场活跃的市值</w:t>
      </w:r>
    </w:p>
    <w:p>
      <w:pPr>
        <w:pStyle w:val="34"/>
      </w:pPr>
      <w:r>
        <w:rPr>
          <w:rFonts w:hint="eastAsia"/>
        </w:rPr>
        <w:t>平均股价：所有A股的股价的算术平均值</w:t>
      </w:r>
    </w:p>
    <w:p>
      <w:pPr>
        <w:pStyle w:val="34"/>
      </w:pPr>
      <w:r>
        <w:rPr>
          <w:rFonts w:hint="eastAsia"/>
        </w:rPr>
        <w:t>成交均价：所有A股的总成交金额除以总成交量</w:t>
      </w:r>
    </w:p>
    <w:p>
      <w:pPr>
        <w:pStyle w:val="34"/>
      </w:pPr>
      <w:r>
        <w:rPr>
          <w:rFonts w:hint="eastAsia"/>
        </w:rPr>
        <w:t>涨跌家数：所有A股中的涨跌比例统计 白线(现价)为上涨家数 黄线为下跌家数 分时中轴价为股票总数的一半</w:t>
      </w:r>
    </w:p>
    <w:p>
      <w:pPr>
        <w:pStyle w:val="34"/>
      </w:pPr>
      <w:r>
        <w:rPr>
          <w:rFonts w:hint="eastAsia"/>
        </w:rPr>
        <w:t>停板家数：所有A股中的涨跌比例统计 白线(现价)为涨停家数 黄线为跌停家数 分时中轴价为上个交易日的涨停家数</w:t>
      </w:r>
    </w:p>
    <w:p>
      <w:pPr>
        <w:pStyle w:val="34"/>
      </w:pPr>
      <w:r>
        <w:rPr>
          <w:rFonts w:hint="eastAsia"/>
        </w:rPr>
        <w:t>(在涨跌家数指标的日K线中，开盘价格是当日下跌家数，收盘价格是当日上涨家数，最高价格是当日股票总数，最低价格是当日平盘家数；股票总数=上涨家数+下跌家数+平盘家数+当日无成交家数)</w:t>
      </w:r>
    </w:p>
    <w:p>
      <w:pPr>
        <w:pStyle w:val="34"/>
      </w:pPr>
      <w:r>
        <w:rPr>
          <w:rFonts w:hint="eastAsia"/>
        </w:rPr>
        <w:t>全Ａ等权：所有上市满一年A股的等权重(平均涨幅)指数</w:t>
      </w:r>
    </w:p>
    <w:p>
      <w:pPr>
        <w:pStyle w:val="34"/>
      </w:pPr>
      <w:r>
        <w:rPr>
          <w:rFonts w:hint="eastAsia"/>
        </w:rPr>
        <w:t>其它为细分统计指数，按主板、创业板进行细分。</w:t>
      </w:r>
    </w:p>
    <w:p>
      <w:pPr>
        <w:pStyle w:val="34"/>
      </w:pPr>
      <w:r>
        <w:rPr>
          <w:rFonts w:hint="eastAsia"/>
        </w:rPr>
        <w:t>注意：统计指数不包括B股部分</w:t>
      </w:r>
    </w:p>
    <w:p>
      <w:pPr>
        <w:pStyle w:val="34"/>
      </w:pPr>
      <w:r>
        <w:rPr>
          <w:rFonts w:hint="eastAsia"/>
        </w:rPr>
        <w:t>可转债和逆回购为平均价格指数：白线为平均价格线，黄线为平均涨幅线</w:t>
      </w:r>
    </w:p>
    <w:p>
      <w:pPr>
        <w:pStyle w:val="34"/>
      </w:pPr>
      <w:r>
        <w:rPr>
          <w:rFonts w:hint="eastAsia"/>
        </w:rPr>
        <w:t>按回车或F5可进入统计指数的分时图和分析图。</w:t>
      </w:r>
    </w:p>
    <w:p>
      <w:pPr>
        <w:pStyle w:val="34"/>
      </w:pPr>
      <w:r>
        <w:rPr>
          <w:rFonts w:hint="eastAsia"/>
        </w:rPr>
        <w:t>板块指数中的涨停数统计不包括未开板次新股。</w:t>
      </w:r>
    </w:p>
    <w:p>
      <w:pPr>
        <w:pStyle w:val="34"/>
      </w:pPr>
      <w:r>
        <w:rPr>
          <w:rFonts w:hint="eastAsia"/>
        </w:rPr>
        <w:t>全部板块中不包括"昨日涨停,最近闪拉"等影响排名的部分行情特征风格板块。</w:t>
      </w:r>
    </w:p>
    <w:p>
      <w:pPr>
        <w:pStyle w:val="34"/>
      </w:pPr>
      <w:r>
        <w:drawing>
          <wp:inline distT="0" distB="0" distL="114300" distR="114300">
            <wp:extent cx="8858250" cy="4229100"/>
            <wp:effectExtent l="0" t="0" r="0" b="0"/>
            <wp:docPr id="518" name="图片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图片 518"/>
                    <pic:cNvPicPr>
                      <a:picLocks noChangeAspect="1"/>
                    </pic:cNvPicPr>
                  </pic:nvPicPr>
                  <pic:blipFill>
                    <a:blip r:embed="rId955"/>
                    <a:stretch>
                      <a:fillRect/>
                    </a:stretch>
                  </pic:blipFill>
                  <pic:spPr>
                    <a:xfrm>
                      <a:off x="0" y="0"/>
                      <a:ext cx="8858250" cy="4229100"/>
                    </a:xfrm>
                    <a:prstGeom prst="rect">
                      <a:avLst/>
                    </a:prstGeom>
                    <a:noFill/>
                    <a:ln>
                      <a:noFill/>
                    </a:ln>
                  </pic:spPr>
                </pic:pic>
              </a:graphicData>
            </a:graphic>
          </wp:inline>
        </w:drawing>
      </w:r>
    </w:p>
    <w:p>
      <w:pPr>
        <w:pStyle w:val="34"/>
        <w:ind w:firstLine="542"/>
        <w:rPr>
          <w:b/>
          <w:bCs/>
          <w:color w:val="FF0000"/>
          <w:sz w:val="27"/>
          <w:szCs w:val="27"/>
        </w:rPr>
      </w:pPr>
      <w:r>
        <w:rPr>
          <w:rFonts w:hint="eastAsia"/>
          <w:b/>
          <w:bCs/>
          <w:color w:val="FF0000"/>
          <w:sz w:val="27"/>
          <w:szCs w:val="27"/>
        </w:rPr>
        <w:t>板块指数的资金驱动力</w:t>
      </w:r>
    </w:p>
    <w:p>
      <w:pPr>
        <w:pStyle w:val="34"/>
      </w:pPr>
      <w:r>
        <w:rPr>
          <w:rFonts w:hint="eastAsia"/>
        </w:rPr>
        <w:t>板块指数的划分有行业、概念板块、风格板块、地区板块、统计指数五大类，其中行业可以设置为通达信行业、通达信细分行业、研究行业三类。通过资金驱动力专题可以分别看这些板块的资金流情况（即所有资金驱动力数据栏目的信息）。</w:t>
      </w:r>
    </w:p>
    <w:p>
      <w:pPr>
        <w:pStyle w:val="34"/>
      </w:pPr>
      <w:r>
        <w:drawing>
          <wp:inline distT="0" distB="0" distL="114300" distR="114300">
            <wp:extent cx="8848725" cy="4210050"/>
            <wp:effectExtent l="0" t="0" r="9525" b="0"/>
            <wp:docPr id="519" name="图片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图片 519"/>
                    <pic:cNvPicPr>
                      <a:picLocks noChangeAspect="1"/>
                    </pic:cNvPicPr>
                  </pic:nvPicPr>
                  <pic:blipFill>
                    <a:blip r:embed="rId956"/>
                    <a:stretch>
                      <a:fillRect/>
                    </a:stretch>
                  </pic:blipFill>
                  <pic:spPr>
                    <a:xfrm>
                      <a:off x="0" y="0"/>
                      <a:ext cx="8848725" cy="4210050"/>
                    </a:xfrm>
                    <a:prstGeom prst="rect">
                      <a:avLst/>
                    </a:prstGeom>
                    <a:noFill/>
                    <a:ln>
                      <a:noFill/>
                    </a:ln>
                  </pic:spPr>
                </pic:pic>
              </a:graphicData>
            </a:graphic>
          </wp:inline>
        </w:drawing>
      </w:r>
    </w:p>
    <w:p>
      <w:pPr>
        <w:pStyle w:val="34"/>
        <w:ind w:firstLine="542"/>
        <w:rPr>
          <w:b/>
          <w:bCs/>
          <w:color w:val="FF0000"/>
          <w:sz w:val="27"/>
          <w:szCs w:val="27"/>
        </w:rPr>
      </w:pPr>
      <w:r>
        <w:rPr>
          <w:rFonts w:hint="eastAsia"/>
          <w:b/>
          <w:bCs/>
          <w:color w:val="FF0000"/>
          <w:sz w:val="27"/>
          <w:szCs w:val="27"/>
        </w:rPr>
        <w:t>板块指数的资金博弈</w:t>
      </w:r>
    </w:p>
    <w:p>
      <w:pPr>
        <w:pStyle w:val="34"/>
      </w:pPr>
      <w:r>
        <w:rPr>
          <w:rFonts w:hint="eastAsia"/>
        </w:rPr>
        <w:t>板块指数的划分有行业、概念板块、风格板块、地区板块、统计指数五大类，其中行业可以设置为通达信行业、通达信细分行业、研究行业三类。通过资金博弈专题可以分别看这些板块的资金流情况（即所有资金博弈数据栏目的信息）。</w:t>
      </w:r>
    </w:p>
    <w:p>
      <w:pPr>
        <w:pStyle w:val="34"/>
      </w:pPr>
      <w:r>
        <w:drawing>
          <wp:inline distT="0" distB="0" distL="114300" distR="114300">
            <wp:extent cx="8858250" cy="4248150"/>
            <wp:effectExtent l="0" t="0" r="0" b="0"/>
            <wp:docPr id="520" name="图片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图片 520"/>
                    <pic:cNvPicPr>
                      <a:picLocks noChangeAspect="1"/>
                    </pic:cNvPicPr>
                  </pic:nvPicPr>
                  <pic:blipFill>
                    <a:blip r:embed="rId957"/>
                    <a:stretch>
                      <a:fillRect/>
                    </a:stretch>
                  </pic:blipFill>
                  <pic:spPr>
                    <a:xfrm>
                      <a:off x="0" y="0"/>
                      <a:ext cx="8858250" cy="4248150"/>
                    </a:xfrm>
                    <a:prstGeom prst="rect">
                      <a:avLst/>
                    </a:prstGeom>
                    <a:noFill/>
                    <a:ln>
                      <a:noFill/>
                    </a:ln>
                  </pic:spPr>
                </pic:pic>
              </a:graphicData>
            </a:graphic>
          </wp:inline>
        </w:drawing>
      </w:r>
    </w:p>
    <w:p>
      <w:pPr>
        <w:pStyle w:val="34"/>
        <w:ind w:firstLine="542"/>
        <w:rPr>
          <w:b/>
          <w:bCs/>
          <w:color w:val="FF0000"/>
          <w:sz w:val="27"/>
          <w:szCs w:val="27"/>
        </w:rPr>
      </w:pPr>
      <w:r>
        <w:rPr>
          <w:rFonts w:hint="eastAsia"/>
          <w:b/>
          <w:bCs/>
          <w:color w:val="FF0000"/>
          <w:sz w:val="27"/>
          <w:szCs w:val="27"/>
        </w:rPr>
        <w:t>板块指数的 DDE 排名</w:t>
      </w:r>
    </w:p>
    <w:p>
      <w:pPr>
        <w:pStyle w:val="34"/>
      </w:pPr>
      <w:r>
        <w:rPr>
          <w:rFonts w:hint="eastAsia"/>
        </w:rPr>
        <w:t>板块指数的划分有行业、概念板块、风格板块、地区板块、统计指数五大类，其中行业可以设置为通达信行业、通达信细分行业、研究行业三类。通过 DDE 决策专题可以分别看这些板块的资金流情况（即所有 DDE 决策数据栏目的信息）。</w:t>
      </w:r>
    </w:p>
    <w:p>
      <w:pPr>
        <w:pStyle w:val="34"/>
      </w:pPr>
      <w:r>
        <w:drawing>
          <wp:inline distT="0" distB="0" distL="114300" distR="114300">
            <wp:extent cx="8858250" cy="4229100"/>
            <wp:effectExtent l="0" t="0" r="0" b="0"/>
            <wp:docPr id="521" name="图片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图片 521"/>
                    <pic:cNvPicPr>
                      <a:picLocks noChangeAspect="1"/>
                    </pic:cNvPicPr>
                  </pic:nvPicPr>
                  <pic:blipFill>
                    <a:blip r:embed="rId958"/>
                    <a:stretch>
                      <a:fillRect/>
                    </a:stretch>
                  </pic:blipFill>
                  <pic:spPr>
                    <a:xfrm>
                      <a:off x="0" y="0"/>
                      <a:ext cx="8858250" cy="4229100"/>
                    </a:xfrm>
                    <a:prstGeom prst="rect">
                      <a:avLst/>
                    </a:prstGeom>
                    <a:noFill/>
                    <a:ln>
                      <a:noFill/>
                    </a:ln>
                  </pic:spPr>
                </pic:pic>
              </a:graphicData>
            </a:graphic>
          </wp:inline>
        </w:drawing>
      </w:r>
    </w:p>
    <w:p>
      <w:pPr>
        <w:pStyle w:val="3"/>
      </w:pPr>
      <w:bookmarkStart w:id="79" w:name="_Toc90646201"/>
      <w:r>
        <w:rPr>
          <w:rFonts w:hint="eastAsia"/>
        </w:rPr>
        <w:t>DDE和SUP决策</w:t>
      </w:r>
      <w:bookmarkEnd w:id="79"/>
    </w:p>
    <w:p>
      <w:pPr>
        <w:pStyle w:val="34"/>
      </w:pPr>
      <w:r>
        <w:rPr>
          <w:rFonts w:hint="eastAsia"/>
        </w:rPr>
        <w:t>DDE 决策专题通过展示 DDE 决策数据栏目信息，让用户知道个股的主力买卖情况。/SUP 决策包括主力集散线 SUPL 、主力净买量 SUPV 、主力活跃度 SUPH 三个指标。</w:t>
      </w:r>
    </w:p>
    <w:p>
      <w:pPr>
        <w:pStyle w:val="34"/>
      </w:pPr>
      <w:r>
        <w:rPr>
          <w:rFonts w:hint="eastAsia"/>
        </w:rPr>
        <w:t>★</w:t>
      </w:r>
      <w:r>
        <w:rPr>
          <w:rStyle w:val="28"/>
          <w:rFonts w:hint="eastAsia"/>
          <w:b w:val="0"/>
          <w:bCs w:val="0"/>
          <w:szCs w:val="18"/>
        </w:rPr>
        <w:t>进入行情报价界面</w:t>
      </w:r>
      <w:r>
        <w:rPr>
          <w:rFonts w:hint="eastAsia"/>
        </w:rPr>
        <w:t>★：</w:t>
      </w:r>
    </w:p>
    <w:p>
      <w:pPr>
        <w:pStyle w:val="34"/>
      </w:pPr>
      <w:r>
        <w:fldChar w:fldCharType="begin"/>
      </w:r>
      <w:r>
        <w:instrText xml:space="preserve"> INCLUDEPICTURE  "https://www.tdx.com.cn/products/helpfile/tdxw/chm/%E7%AC%AC%E5%85%AD%E7%AB%A0  %E5%9F%BA%E7%A1%80%E7%89%88%E5%8A%9F%E8%83%BD/6-11/1.png" \* MERGEFORMATINET </w:instrText>
      </w:r>
      <w:r>
        <w:fldChar w:fldCharType="separate"/>
      </w:r>
      <w:r>
        <w:fldChar w:fldCharType="begin"/>
      </w:r>
      <w:r>
        <w:instrText xml:space="preserve"> INCLUDEPICTURE  "https://www.tdx.com.cn/products/helpfile/tdxw/chm/%E7%AC%AC%E5%85%AD%E7%AB%A0  %E5%9F%BA%E7%A1%80%E7%89%88%E5%8A%9F%E8%83%BD/6-11/1.png" \* MERGEFORMATINET </w:instrText>
      </w:r>
      <w:r>
        <w:fldChar w:fldCharType="separate"/>
      </w:r>
      <w:r>
        <w:fldChar w:fldCharType="begin"/>
      </w:r>
      <w:r>
        <w:instrText xml:space="preserve"> INCLUDEPICTURE  "https://www.tdx.com.cn/products/helpfile/tdxw/chm/%E7%AC%AC%E5%85%AD%E7%AB%A0  %E5%9F%BA%E7%A1%80%E7%89%88%E5%8A%9F%E8%83%BD/6-11/1.png" \* MERGEFORMATINET </w:instrText>
      </w:r>
      <w:r>
        <w:fldChar w:fldCharType="separate"/>
      </w:r>
      <w:r>
        <w:fldChar w:fldCharType="begin"/>
      </w:r>
      <w:r>
        <w:instrText xml:space="preserve"> INCLUDEPICTURE  "https://www.tdx.com.cn/products/helpfile/tdxw/chm/%E7%AC%AC%E5%85%AD%E7%AB%A0  %E5%9F%BA%E7%A1%80%E7%89%88%E5%8A%9F%E8%83%BD/6-11/1.png" \* MERGEFORMATINET </w:instrText>
      </w:r>
      <w:r>
        <w:fldChar w:fldCharType="separate"/>
      </w:r>
      <w:r>
        <w:drawing>
          <wp:inline distT="0" distB="0" distL="114300" distR="114300">
            <wp:extent cx="5886450" cy="3581400"/>
            <wp:effectExtent l="0" t="0" r="0" b="0"/>
            <wp:docPr id="522" name="图片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图片 522"/>
                    <pic:cNvPicPr>
                      <a:picLocks noChangeAspect="1"/>
                    </pic:cNvPicPr>
                  </pic:nvPicPr>
                  <pic:blipFill>
                    <a:blip r:embed="rId959" r:link="rId960"/>
                    <a:stretch>
                      <a:fillRect/>
                    </a:stretch>
                  </pic:blipFill>
                  <pic:spPr>
                    <a:xfrm>
                      <a:off x="0" y="0"/>
                      <a:ext cx="5886450" cy="3581400"/>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DDX：即大单动向，(超大单和大单买入成交量-超大单和大单卖出成交量)/流通股本*100</w:t>
      </w:r>
    </w:p>
    <w:p>
      <w:pPr>
        <w:pStyle w:val="34"/>
      </w:pPr>
      <w:r>
        <w:rPr>
          <w:rFonts w:hint="eastAsia"/>
        </w:rPr>
        <w:t>DDY：即涨跌动因，(逐笔卖出成交单数-逐笔买入成交单数)/总成交单数*100</w:t>
      </w:r>
    </w:p>
    <w:p>
      <w:pPr>
        <w:pStyle w:val="34"/>
      </w:pPr>
      <w:r>
        <w:rPr>
          <w:rFonts w:hint="eastAsia"/>
        </w:rPr>
        <w:t>DDZ：即大单差分，(逐笔买入超大单和大单成交单数-逐笔卖出超大单和大单成交单数)/总成交单数*100</w:t>
      </w:r>
    </w:p>
    <w:p>
      <w:pPr>
        <w:pStyle w:val="34"/>
      </w:pPr>
      <w:r>
        <w:rPr>
          <w:rFonts w:hint="eastAsia"/>
        </w:rPr>
        <w:t>DDF：即大单频率，逐笔买入超大单和大单成交单数/总成交单数*100</w:t>
      </w:r>
    </w:p>
    <w:p>
      <w:pPr>
        <w:pStyle w:val="34"/>
      </w:pPr>
      <w:r>
        <w:rPr>
          <w:rFonts w:hint="eastAsia"/>
        </w:rPr>
        <w:t>大单买入%：超大单和大单买入成交量/总成交量*100</w:t>
      </w:r>
    </w:p>
    <w:p>
      <w:pPr>
        <w:pStyle w:val="34"/>
      </w:pPr>
      <w:r>
        <w:rPr>
          <w:rFonts w:hint="eastAsia"/>
        </w:rPr>
        <w:t>大单卖出%：超大单和大单卖出成交量/总成交量*100</w:t>
      </w:r>
    </w:p>
    <w:p>
      <w:pPr>
        <w:pStyle w:val="34"/>
      </w:pPr>
      <w:r>
        <w:rPr>
          <w:rFonts w:hint="eastAsia"/>
        </w:rPr>
        <w:t>主力净买：超大单和大单买入成交金额-超大单和大单卖出成交金额</w:t>
      </w:r>
    </w:p>
    <w:p>
      <w:pPr>
        <w:pStyle w:val="34"/>
      </w:pPr>
      <w:r>
        <w:rPr>
          <w:rFonts w:hint="eastAsia"/>
        </w:rPr>
        <w:t>主力活跃：(超大单和大单买入成交总量+超大单和大单卖出成交量(手))*100/(2*流通股本(股))*100 也即(逐笔买入大单成交+逐笔卖出大单成交(手))*100/(2*流通股本(股))*100</w:t>
      </w:r>
    </w:p>
    <w:p>
      <w:pPr>
        <w:pStyle w:val="34"/>
      </w:pPr>
      <w:r>
        <w:rPr>
          <w:rFonts w:hint="eastAsia"/>
        </w:rPr>
        <w:t>主力净买和大宗净流入的区别在于主力净买考虑到买卖(主买,被买,主卖,被卖)，而大宗净流入只考虑主动性(主买,主卖)。</w:t>
      </w:r>
    </w:p>
    <w:p>
      <w:pPr>
        <w:pStyle w:val="34"/>
      </w:pPr>
      <w:r>
        <w:rPr>
          <w:rFonts w:hint="eastAsia"/>
        </w:rPr>
        <w:t>★</w:t>
      </w:r>
      <w:r>
        <w:rPr>
          <w:rStyle w:val="28"/>
          <w:rFonts w:hint="eastAsia"/>
          <w:b w:val="0"/>
          <w:bCs w:val="0"/>
          <w:szCs w:val="18"/>
        </w:rPr>
        <w:t>进入个股K线界面</w:t>
      </w:r>
      <w:r>
        <w:rPr>
          <w:rFonts w:hint="eastAsia"/>
        </w:rPr>
        <w:t>★：</w:t>
      </w:r>
    </w:p>
    <w:p>
      <w:pPr>
        <w:pStyle w:val="34"/>
      </w:pPr>
      <w:r>
        <w:rPr>
          <w:rFonts w:hint="eastAsia"/>
        </w:rPr>
        <w:t>1、DDE 决策包括大单动向 DDX 、涨跌动因 DDY 、大单差分 DDZ 三个指标，当然也可以在趋势导航条中的 DDE 决策中对 DDX 、 DDY 、 DDZ 由大到小排序，查看它们的值。 (K线图指标仅支持日线，近16个月日线数据，不支持短周期)</w:t>
      </w:r>
    </w:p>
    <w:p>
      <w:pPr>
        <w:pStyle w:val="34"/>
      </w:pPr>
      <w:r>
        <w:fldChar w:fldCharType="begin"/>
      </w:r>
      <w:r>
        <w:instrText xml:space="preserve"> INCLUDEPICTURE  "https://www.tdx.com.cn/products/helpfile/tdxw/chm/%E7%AC%AC%E5%85%AD%E7%AB%A0  %E5%9F%BA%E7%A1%80%E7%89%88%E5%8A%9F%E8%83%BD/6-11/2.png" \* MERGEFORMATINET </w:instrText>
      </w:r>
      <w:r>
        <w:fldChar w:fldCharType="separate"/>
      </w:r>
      <w:r>
        <w:fldChar w:fldCharType="begin"/>
      </w:r>
      <w:r>
        <w:instrText xml:space="preserve"> INCLUDEPICTURE  "https://www.tdx.com.cn/products/helpfile/tdxw/chm/%E7%AC%AC%E5%85%AD%E7%AB%A0  %E5%9F%BA%E7%A1%80%E7%89%88%E5%8A%9F%E8%83%BD/6-11/2.png" \* MERGEFORMATINET </w:instrText>
      </w:r>
      <w:r>
        <w:fldChar w:fldCharType="separate"/>
      </w:r>
      <w:r>
        <w:fldChar w:fldCharType="begin"/>
      </w:r>
      <w:r>
        <w:instrText xml:space="preserve"> INCLUDEPICTURE  "https://www.tdx.com.cn/products/helpfile/tdxw/chm/%E7%AC%AC%E5%85%AD%E7%AB%A0  %E5%9F%BA%E7%A1%80%E7%89%88%E5%8A%9F%E8%83%BD/6-11/2.png" \* MERGEFORMATINET </w:instrText>
      </w:r>
      <w:r>
        <w:fldChar w:fldCharType="separate"/>
      </w:r>
      <w:r>
        <w:fldChar w:fldCharType="begin"/>
      </w:r>
      <w:r>
        <w:instrText xml:space="preserve"> INCLUDEPICTURE  "https://www.tdx.com.cn/products/helpfile/tdxw/chm/%E7%AC%AC%E5%85%AD%E7%AB%A0  %E5%9F%BA%E7%A1%80%E7%89%88%E5%8A%9F%E8%83%BD/6-11/2.png" \* MERGEFORMATINET </w:instrText>
      </w:r>
      <w:r>
        <w:fldChar w:fldCharType="separate"/>
      </w:r>
      <w:r>
        <w:drawing>
          <wp:inline distT="0" distB="0" distL="114300" distR="114300">
            <wp:extent cx="5372100" cy="4610100"/>
            <wp:effectExtent l="0" t="0" r="0" b="0"/>
            <wp:docPr id="523" name="图片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图片 523"/>
                    <pic:cNvPicPr>
                      <a:picLocks noChangeAspect="1"/>
                    </pic:cNvPicPr>
                  </pic:nvPicPr>
                  <pic:blipFill>
                    <a:blip r:embed="rId961" r:link="rId962"/>
                    <a:stretch>
                      <a:fillRect/>
                    </a:stretch>
                  </pic:blipFill>
                  <pic:spPr>
                    <a:xfrm>
                      <a:off x="0" y="0"/>
                      <a:ext cx="5372100" cy="4610100"/>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大单动向 DDX ——大单动向以大单成交量为研究对象的； </w:t>
      </w:r>
    </w:p>
    <w:p>
      <w:pPr>
        <w:pStyle w:val="34"/>
      </w:pPr>
      <w:r>
        <w:rPr>
          <w:rFonts w:hint="eastAsia"/>
        </w:rPr>
        <w:t>大单动向 = ( 逐笔买入大单成交量 - 逐笔卖出大单成交量 )*10000/ 流通股本 ( 股 ) ； </w:t>
      </w:r>
    </w:p>
    <w:p>
      <w:pPr>
        <w:pStyle w:val="34"/>
      </w:pPr>
      <w:r>
        <w:rPr>
          <w:rFonts w:hint="eastAsia"/>
        </w:rPr>
        <w:t>　　　　——黄线是大单动向的 N 日移动平均，可以揭示历史时间段大单动向大小变化趋势；柱表示大单动向的大小，红柱是表示大单动向为正、当日大单买入较多，青柱表示大单动向为负、当日大单卖出较多。</w:t>
      </w:r>
    </w:p>
    <w:p>
      <w:pPr>
        <w:pStyle w:val="34"/>
      </w:pPr>
      <w:r>
        <w:rPr>
          <w:rFonts w:hint="eastAsia"/>
        </w:rPr>
        <w:t>涨跌动因 DDY ——涨跌动因以成交单数为研究对象的； </w:t>
      </w:r>
    </w:p>
    <w:p>
      <w:pPr>
        <w:pStyle w:val="34"/>
      </w:pPr>
      <w:r>
        <w:rPr>
          <w:rFonts w:hint="eastAsia"/>
        </w:rPr>
        <w:t>涨跌动因 = ( 逐笔卖出成交单数 - 逐笔买入成交单数 )*100/ 逐笔总成交单数； </w:t>
      </w:r>
    </w:p>
    <w:p>
      <w:pPr>
        <w:pStyle w:val="34"/>
      </w:pPr>
      <w:r>
        <w:rPr>
          <w:rFonts w:hint="eastAsia"/>
        </w:rPr>
        <w:t>黄线是涨跌动因的 N 日简单移动平均的 3 倍，揭示历史时间段涨跌动因的大小变化趋势； </w:t>
      </w:r>
    </w:p>
    <w:p>
      <w:pPr>
        <w:pStyle w:val="34"/>
      </w:pPr>
      <w:r>
        <w:rPr>
          <w:rFonts w:hint="eastAsia"/>
        </w:rPr>
        <w:t>　　　　——柱表示涨跌动因的大小，红柱是表示涨跌动因为正，青柱表示涨跌动因为负。</w:t>
      </w:r>
    </w:p>
    <w:p>
      <w:pPr>
        <w:pStyle w:val="34"/>
      </w:pPr>
      <w:r>
        <w:rPr>
          <w:rFonts w:hint="eastAsia"/>
        </w:rPr>
        <w:t>大单差分 DDZ ——大单差分以大单成交单数为研究对象的； </w:t>
      </w:r>
    </w:p>
    <w:p>
      <w:pPr>
        <w:pStyle w:val="34"/>
      </w:pPr>
      <w:r>
        <w:rPr>
          <w:rFonts w:hint="eastAsia"/>
        </w:rPr>
        <w:t>大单差分 = ( 逐笔买入大单成交 - 逐笔卖出大单成交 )/ 总成交单数 *100 ； </w:t>
      </w:r>
    </w:p>
    <w:p>
      <w:pPr>
        <w:pStyle w:val="34"/>
      </w:pPr>
      <w:r>
        <w:rPr>
          <w:rFonts w:hint="eastAsia"/>
        </w:rPr>
        <w:t>　　　　——如果是红色表示大单差分为正，逐笔买入大单成交单数比逐笔卖出大单成交单数要大；为青色大单差分为负，逐笔卖出大单成交单数比逐笔买入大单成交单数要大。</w:t>
      </w:r>
    </w:p>
    <w:p>
      <w:pPr>
        <w:pStyle w:val="34"/>
      </w:pPr>
      <w:r>
        <w:rPr>
          <w:rFonts w:hint="eastAsia"/>
        </w:rPr>
        <w:t>2、SUP 决策包括主力集散线 SUPL 、主力净买量 SUPV 、主力活跃度 SUPH 三个指标。(K线图指标仅支持日线，近16个月日线数据，不支持短周期)</w:t>
      </w:r>
    </w:p>
    <w:p>
      <w:pPr>
        <w:pStyle w:val="34"/>
      </w:pPr>
      <w:r>
        <w:fldChar w:fldCharType="begin"/>
      </w:r>
      <w:r>
        <w:instrText xml:space="preserve"> INCLUDEPICTURE  "https://www.tdx.com.cn/products/helpfile/tdxw/chm/%E7%AC%AC%E5%85%AD%E7%AB%A0  %E5%9F%BA%E7%A1%80%E7%89%88%E5%8A%9F%E8%83%BD/6-11/3.png" \* MERGEFORMATINET </w:instrText>
      </w:r>
      <w:r>
        <w:fldChar w:fldCharType="separate"/>
      </w:r>
      <w:r>
        <w:fldChar w:fldCharType="begin"/>
      </w:r>
      <w:r>
        <w:instrText xml:space="preserve"> INCLUDEPICTURE  "https://www.tdx.com.cn/products/helpfile/tdxw/chm/%E7%AC%AC%E5%85%AD%E7%AB%A0  %E5%9F%BA%E7%A1%80%E7%89%88%E5%8A%9F%E8%83%BD/6-11/3.png" \* MERGEFORMATINET </w:instrText>
      </w:r>
      <w:r>
        <w:fldChar w:fldCharType="separate"/>
      </w:r>
      <w:r>
        <w:fldChar w:fldCharType="begin"/>
      </w:r>
      <w:r>
        <w:instrText xml:space="preserve"> INCLUDEPICTURE  "https://www.tdx.com.cn/products/helpfile/tdxw/chm/%E7%AC%AC%E5%85%AD%E7%AB%A0  %E5%9F%BA%E7%A1%80%E7%89%88%E5%8A%9F%E8%83%BD/6-11/3.png" \* MERGEFORMATINET </w:instrText>
      </w:r>
      <w:r>
        <w:fldChar w:fldCharType="separate"/>
      </w:r>
      <w:r>
        <w:fldChar w:fldCharType="begin"/>
      </w:r>
      <w:r>
        <w:instrText xml:space="preserve"> INCLUDEPICTURE  "https://www.tdx.com.cn/products/helpfile/tdxw/chm/%E7%AC%AC%E5%85%AD%E7%AB%A0  %E5%9F%BA%E7%A1%80%E7%89%88%E5%8A%9F%E8%83%BD/6-11/3.png" \* MERGEFORMATINET </w:instrText>
      </w:r>
      <w:r>
        <w:fldChar w:fldCharType="separate"/>
      </w:r>
      <w:r>
        <w:drawing>
          <wp:inline distT="0" distB="0" distL="114300" distR="114300">
            <wp:extent cx="5943600" cy="5048250"/>
            <wp:effectExtent l="0" t="0" r="0" b="0"/>
            <wp:docPr id="524" name="图片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图片 524"/>
                    <pic:cNvPicPr>
                      <a:picLocks noChangeAspect="1"/>
                    </pic:cNvPicPr>
                  </pic:nvPicPr>
                  <pic:blipFill>
                    <a:blip r:embed="rId963" r:link="rId964"/>
                    <a:stretch>
                      <a:fillRect/>
                    </a:stretch>
                  </pic:blipFill>
                  <pic:spPr>
                    <a:xfrm>
                      <a:off x="0" y="0"/>
                      <a:ext cx="5943600" cy="5048250"/>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SUPL指标称为主力资金线指标, 基于LEVEL2数据的逐单分析, 用大单买入净量的历史累计和计算主力资金线值, 这是一个中长线的技术指标；MA1是主力资金线值的N日均值(参数N可调,默认参数为10)。</w:t>
      </w:r>
    </w:p>
    <w:p>
      <w:pPr>
        <w:pStyle w:val="34"/>
      </w:pPr>
      <w:r>
        <w:rPr>
          <w:rFonts w:hint="eastAsia"/>
        </w:rPr>
        <w:t>　　　　——当主力资金线持续向上走时,主力资金流入;反之,主力资金流出。</w:t>
      </w:r>
    </w:p>
    <w:p>
      <w:pPr>
        <w:pStyle w:val="34"/>
      </w:pPr>
      <w:r>
        <w:rPr>
          <w:rFonts w:hint="eastAsia"/>
        </w:rPr>
        <w:t>SUPV指标称为主力净买量, 基于LEVEL2数据的逐单分析,分别计算出买量,主力买量,卖量,主力卖量,主力净买量。</w:t>
      </w:r>
    </w:p>
    <w:p>
      <w:pPr>
        <w:pStyle w:val="34"/>
      </w:pPr>
      <w:r>
        <w:rPr>
          <w:rFonts w:hint="eastAsia"/>
        </w:rPr>
        <w:t>　　　　——柱状图上面红色为主力买量,上面棕色为总买量,下面绿色为主力卖量,下面棕色为总卖量;通过红色柱状与绿色柱状的长度的比较确定主力买量与主力卖量的强弱,通过红色柱状占上面棕色柱状的比值,确定主力买量占总买量的比值, 通过绿色柱状占下面棕色柱状的比值,确定主力卖量占?</w:t>
      </w:r>
    </w:p>
    <w:p>
      <w:pPr>
        <w:pStyle w:val="34"/>
      </w:pPr>
      <w:r>
        <w:rPr>
          <w:rFonts w:hint="eastAsia"/>
        </w:rPr>
        <w:t>卖量的比值。</w:t>
      </w:r>
    </w:p>
    <w:p>
      <w:pPr>
        <w:pStyle w:val="34"/>
      </w:pPr>
      <w:r>
        <w:rPr>
          <w:rFonts w:hint="eastAsia"/>
        </w:rPr>
        <w:t>SUPH指标称为主力活跃度, 基于LEVEL2数据的逐单分析,用逐笔成交大单之和除以2倍流通盘。</w:t>
      </w:r>
    </w:p>
    <w:p>
      <w:pPr>
        <w:pStyle w:val="34"/>
        <w:rPr>
          <w:szCs w:val="18"/>
        </w:rPr>
      </w:pPr>
      <w:r>
        <w:rPr>
          <w:rFonts w:hint="eastAsia"/>
        </w:rPr>
        <w:t>　　　　——柱状图为红色表示当逐笔成交买入大单大于逐笔成交卖出大单, 柱状图为绿色表示当逐笔成交买入大单小于逐笔成交</w:t>
      </w:r>
      <w:r>
        <w:rPr>
          <w:rFonts w:hint="eastAsia"/>
          <w:szCs w:val="18"/>
        </w:rPr>
        <w:t>卖出大单,通过观察柱状图的颜色及长度来确定主力活跃度。</w:t>
      </w:r>
    </w:p>
    <w:p>
      <w:pPr>
        <w:pStyle w:val="34"/>
        <w:rPr>
          <w:szCs w:val="18"/>
        </w:rPr>
      </w:pPr>
      <w:r>
        <w:rPr>
          <w:rStyle w:val="28"/>
          <w:rFonts w:hint="eastAsia"/>
          <w:b w:val="0"/>
          <w:bCs w:val="0"/>
          <w:szCs w:val="18"/>
        </w:rPr>
        <w:t>★进入个股分时界面</w:t>
      </w:r>
      <w:r>
        <w:rPr>
          <w:rFonts w:hint="eastAsia"/>
          <w:szCs w:val="18"/>
        </w:rPr>
        <w:t>★：</w:t>
      </w:r>
    </w:p>
    <w:p>
      <w:pPr>
        <w:pStyle w:val="34"/>
      </w:pPr>
      <w:r>
        <w:rPr>
          <w:rFonts w:hint="eastAsia"/>
          <w:szCs w:val="18"/>
        </w:rPr>
        <w:t>1</w:t>
      </w:r>
      <w:r>
        <w:rPr>
          <w:rStyle w:val="28"/>
          <w:rFonts w:hint="eastAsia"/>
          <w:b w:val="0"/>
          <w:bCs w:val="0"/>
          <w:szCs w:val="18"/>
        </w:rPr>
        <w:t>大单动向</w:t>
      </w:r>
      <w:r>
        <w:rPr>
          <w:rFonts w:hint="eastAsia"/>
          <w:szCs w:val="18"/>
        </w:rPr>
        <w:t>展示了买入累计大单量、卖出累计大单量，柱状表示买入累计大单量和卖出累计大单量的差值，也即逐笔大单净买量（这里的大单包括超大单和大单部</w:t>
      </w:r>
      <w:r>
        <w:rPr>
          <w:rFonts w:hint="eastAsia"/>
        </w:rPr>
        <w:t>分）。此值为正值时为红柱在纵轴中线以上，此值为负值时为绿柱在纵轴中线以下。</w:t>
      </w:r>
    </w:p>
    <w:p>
      <w:pPr>
        <w:pStyle w:val="34"/>
      </w:pPr>
      <w:r>
        <w:fldChar w:fldCharType="begin"/>
      </w:r>
      <w:r>
        <w:instrText xml:space="preserve"> INCLUDEPICTURE  "https://www.tdx.com.cn/products/helpfile/tdxw/chm/%E7%AC%AC%E5%85%AD%E7%AB%A0  %E5%9F%BA%E7%A1%80%E7%89%88%E5%8A%9F%E8%83%BD/6-11/4.png" \* MERGEFORMATINET </w:instrText>
      </w:r>
      <w:r>
        <w:fldChar w:fldCharType="separate"/>
      </w:r>
      <w:r>
        <w:fldChar w:fldCharType="begin"/>
      </w:r>
      <w:r>
        <w:instrText xml:space="preserve"> INCLUDEPICTURE  "https://www.tdx.com.cn/products/helpfile/tdxw/chm/%E7%AC%AC%E5%85%AD%E7%AB%A0  %E5%9F%BA%E7%A1%80%E7%89%88%E5%8A%9F%E8%83%BD/6-11/4.png" \* MERGEFORMATINET </w:instrText>
      </w:r>
      <w:r>
        <w:fldChar w:fldCharType="separate"/>
      </w:r>
      <w:r>
        <w:fldChar w:fldCharType="begin"/>
      </w:r>
      <w:r>
        <w:instrText xml:space="preserve"> INCLUDEPICTURE  "https://www.tdx.com.cn/products/helpfile/tdxw/chm/%E7%AC%AC%E5%85%AD%E7%AB%A0  %E5%9F%BA%E7%A1%80%E7%89%88%E5%8A%9F%E8%83%BD/6-11/4.png" \* MERGEFORMATINET </w:instrText>
      </w:r>
      <w:r>
        <w:fldChar w:fldCharType="separate"/>
      </w:r>
      <w:r>
        <w:fldChar w:fldCharType="begin"/>
      </w:r>
      <w:r>
        <w:instrText xml:space="preserve"> INCLUDEPICTURE  "https://www.tdx.com.cn/products/helpfile/tdxw/chm/%E7%AC%AC%E5%85%AD%E7%AB%A0  %E5%9F%BA%E7%A1%80%E7%89%88%E5%8A%9F%E8%83%BD/6-11/4.png" \* MERGEFORMATINET </w:instrText>
      </w:r>
      <w:r>
        <w:fldChar w:fldCharType="separate"/>
      </w:r>
      <w:r>
        <w:drawing>
          <wp:inline distT="0" distB="0" distL="114300" distR="114300">
            <wp:extent cx="5543550" cy="4695825"/>
            <wp:effectExtent l="0" t="0" r="0" b="9525"/>
            <wp:docPr id="525" name="图片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图片 525"/>
                    <pic:cNvPicPr>
                      <a:picLocks noChangeAspect="1"/>
                    </pic:cNvPicPr>
                  </pic:nvPicPr>
                  <pic:blipFill>
                    <a:blip r:embed="rId965" r:link="rId966"/>
                    <a:stretch>
                      <a:fillRect/>
                    </a:stretch>
                  </pic:blipFill>
                  <pic:spPr>
                    <a:xfrm>
                      <a:off x="0" y="0"/>
                      <a:ext cx="5543550" cy="4695825"/>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2涨跌动因展示买入总单数、卖出总单数，柱是卖出总单数减去买入总单数的差值，买入总单数小于卖出总单数时红柱在纵轴中轴下方、买入总单数大于卖出总单数时绿柱在纵轴中轴上方。</w:t>
      </w:r>
    </w:p>
    <w:p>
      <w:pPr>
        <w:pStyle w:val="34"/>
      </w:pPr>
      <w:r>
        <w:fldChar w:fldCharType="begin"/>
      </w:r>
      <w:r>
        <w:instrText xml:space="preserve"> INCLUDEPICTURE  "https://www.tdx.com.cn/products/helpfile/tdxw/chm/%E7%AC%AC%E5%85%AD%E7%AB%A0  %E5%9F%BA%E7%A1%80%E7%89%88%E5%8A%9F%E8%83%BD/6-11/5.png" \* MERGEFORMATINET </w:instrText>
      </w:r>
      <w:r>
        <w:fldChar w:fldCharType="separate"/>
      </w:r>
      <w:r>
        <w:fldChar w:fldCharType="begin"/>
      </w:r>
      <w:r>
        <w:instrText xml:space="preserve"> INCLUDEPICTURE  "https://www.tdx.com.cn/products/helpfile/tdxw/chm/%E7%AC%AC%E5%85%AD%E7%AB%A0  %E5%9F%BA%E7%A1%80%E7%89%88%E5%8A%9F%E8%83%BD/6-11/5.png" \* MERGEFORMATINET </w:instrText>
      </w:r>
      <w:r>
        <w:fldChar w:fldCharType="separate"/>
      </w:r>
      <w:r>
        <w:fldChar w:fldCharType="begin"/>
      </w:r>
      <w:r>
        <w:instrText xml:space="preserve"> INCLUDEPICTURE  "https://www.tdx.com.cn/products/helpfile/tdxw/chm/%E7%AC%AC%E5%85%AD%E7%AB%A0  %E5%9F%BA%E7%A1%80%E7%89%88%E5%8A%9F%E8%83%BD/6-11/5.png" \* MERGEFORMATINET </w:instrText>
      </w:r>
      <w:r>
        <w:fldChar w:fldCharType="separate"/>
      </w:r>
      <w:r>
        <w:fldChar w:fldCharType="begin"/>
      </w:r>
      <w:r>
        <w:instrText xml:space="preserve"> INCLUDEPICTURE  "https://www.tdx.com.cn/products/helpfile/tdxw/chm/%E7%AC%AC%E5%85%AD%E7%AB%A0  %E5%9F%BA%E7%A1%80%E7%89%88%E5%8A%9F%E8%83%BD/6-11/5.png" \* MERGEFORMATINET </w:instrText>
      </w:r>
      <w:r>
        <w:fldChar w:fldCharType="separate"/>
      </w:r>
      <w:r>
        <w:drawing>
          <wp:inline distT="0" distB="0" distL="114300" distR="114300">
            <wp:extent cx="5924550" cy="5057775"/>
            <wp:effectExtent l="0" t="0" r="0" b="9525"/>
            <wp:docPr id="526" name="图片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图片 526"/>
                    <pic:cNvPicPr>
                      <a:picLocks noChangeAspect="1"/>
                    </pic:cNvPicPr>
                  </pic:nvPicPr>
                  <pic:blipFill>
                    <a:blip r:embed="rId967" r:link="rId968"/>
                    <a:stretch>
                      <a:fillRect/>
                    </a:stretch>
                  </pic:blipFill>
                  <pic:spPr>
                    <a:xfrm>
                      <a:off x="0" y="0"/>
                      <a:ext cx="5924550" cy="5057775"/>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3大单差分统计的有买入大单总单数和卖出大单总单数，柱高为买入大单总单数 - 卖出大单总单数，此值大于零时为红柱在中轴上方，此值小于零时为绿柱在中轴下方。</w:t>
      </w:r>
    </w:p>
    <w:p>
      <w:pPr>
        <w:pStyle w:val="34"/>
      </w:pPr>
      <w:r>
        <w:fldChar w:fldCharType="begin"/>
      </w:r>
      <w:r>
        <w:instrText xml:space="preserve"> INCLUDEPICTURE  "https://www.tdx.com.cn/products/helpfile/tdxw/chm/%E7%AC%AC%E5%85%AD%E7%AB%A0  %E5%9F%BA%E7%A1%80%E7%89%88%E5%8A%9F%E8%83%BD/6-11/6.png" \* MERGEFORMATINET </w:instrText>
      </w:r>
      <w:r>
        <w:fldChar w:fldCharType="separate"/>
      </w:r>
      <w:r>
        <w:fldChar w:fldCharType="begin"/>
      </w:r>
      <w:r>
        <w:instrText xml:space="preserve"> INCLUDEPICTURE  "https://www.tdx.com.cn/products/helpfile/tdxw/chm/%E7%AC%AC%E5%85%AD%E7%AB%A0  %E5%9F%BA%E7%A1%80%E7%89%88%E5%8A%9F%E8%83%BD/6-11/6.png" \* MERGEFORMATINET </w:instrText>
      </w:r>
      <w:r>
        <w:fldChar w:fldCharType="separate"/>
      </w:r>
      <w:r>
        <w:fldChar w:fldCharType="begin"/>
      </w:r>
      <w:r>
        <w:instrText xml:space="preserve"> INCLUDEPICTURE  "https://www.tdx.com.cn/products/helpfile/tdxw/chm/%E7%AC%AC%E5%85%AD%E7%AB%A0  %E5%9F%BA%E7%A1%80%E7%89%88%E5%8A%9F%E8%83%BD/6-11/6.png" \* MERGEFORMATINET </w:instrText>
      </w:r>
      <w:r>
        <w:fldChar w:fldCharType="separate"/>
      </w:r>
      <w:r>
        <w:fldChar w:fldCharType="begin"/>
      </w:r>
      <w:r>
        <w:instrText xml:space="preserve"> INCLUDEPICTURE  "https://www.tdx.com.cn/products/helpfile/tdxw/chm/%E7%AC%AC%E5%85%AD%E7%AB%A0  %E5%9F%BA%E7%A1%80%E7%89%88%E5%8A%9F%E8%83%BD/6-11/6.png" \* MERGEFORMATINET </w:instrText>
      </w:r>
      <w:r>
        <w:fldChar w:fldCharType="separate"/>
      </w:r>
      <w:r>
        <w:drawing>
          <wp:inline distT="0" distB="0" distL="114300" distR="114300">
            <wp:extent cx="5819775" cy="4943475"/>
            <wp:effectExtent l="0" t="0" r="9525" b="9525"/>
            <wp:docPr id="527" name="图片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图片 527"/>
                    <pic:cNvPicPr>
                      <a:picLocks noChangeAspect="1"/>
                    </pic:cNvPicPr>
                  </pic:nvPicPr>
                  <pic:blipFill>
                    <a:blip r:embed="rId969" r:link="rId970"/>
                    <a:stretch>
                      <a:fillRect/>
                    </a:stretch>
                  </pic:blipFill>
                  <pic:spPr>
                    <a:xfrm>
                      <a:off x="0" y="0"/>
                      <a:ext cx="5819775" cy="4943475"/>
                    </a:xfrm>
                    <a:prstGeom prst="rect">
                      <a:avLst/>
                    </a:prstGeom>
                    <a:noFill/>
                    <a:ln>
                      <a:noFill/>
                    </a:ln>
                  </pic:spPr>
                </pic:pic>
              </a:graphicData>
            </a:graphic>
          </wp:inline>
        </w:drawing>
      </w:r>
      <w:r>
        <w:fldChar w:fldCharType="end"/>
      </w:r>
      <w:r>
        <w:fldChar w:fldCharType="end"/>
      </w:r>
      <w:r>
        <w:fldChar w:fldCharType="end"/>
      </w:r>
      <w:r>
        <w:fldChar w:fldCharType="end"/>
      </w:r>
    </w:p>
    <w:p>
      <w:pPr>
        <w:pStyle w:val="3"/>
      </w:pPr>
      <w:bookmarkStart w:id="80" w:name="_Toc90646202"/>
      <w:r>
        <w:rPr>
          <w:rFonts w:hint="eastAsia"/>
        </w:rPr>
        <w:t>资金决策</w:t>
      </w:r>
      <w:bookmarkEnd w:id="80"/>
    </w:p>
    <w:p>
      <w:pPr>
        <w:pStyle w:val="34"/>
      </w:pPr>
      <w:r>
        <w:rPr>
          <w:rFonts w:hint="eastAsia"/>
        </w:rPr>
        <w:t>资金决策包括资金驱动力 ZJQDL 、资金流向ZJLX 、资金博弈 ZJBY三个指标。(K线图指标仅支持日线，不支持短周期)</w:t>
      </w:r>
    </w:p>
    <w:p>
      <w:pPr>
        <w:pStyle w:val="34"/>
      </w:pPr>
      <w:r>
        <w:rPr>
          <w:rFonts w:hint="eastAsia"/>
        </w:rPr>
        <w:t>★</w:t>
      </w:r>
      <w:r>
        <w:rPr>
          <w:rStyle w:val="28"/>
          <w:rFonts w:hint="eastAsia"/>
          <w:b w:val="0"/>
          <w:bCs w:val="0"/>
          <w:szCs w:val="18"/>
        </w:rPr>
        <w:t>进入行情报价界面</w:t>
      </w:r>
      <w:r>
        <w:rPr>
          <w:rFonts w:hint="eastAsia"/>
        </w:rPr>
        <w:t>★：</w:t>
      </w:r>
    </w:p>
    <w:p>
      <w:pPr>
        <w:pStyle w:val="34"/>
      </w:pPr>
      <w:r>
        <w:rPr>
          <w:rFonts w:hint="eastAsia"/>
        </w:rPr>
        <w:t>1</w:t>
      </w:r>
      <w:r>
        <w:rPr>
          <w:rStyle w:val="28"/>
          <w:rFonts w:hint="eastAsia"/>
          <w:b w:val="0"/>
          <w:bCs w:val="0"/>
          <w:szCs w:val="18"/>
        </w:rPr>
        <w:t>资金驱动力</w:t>
      </w:r>
      <w:r>
        <w:rPr>
          <w:rFonts w:hint="eastAsia"/>
        </w:rPr>
        <w:t>专题通过展示资金驱动力数据栏目信息，让用户知道个股的资金流入流出情况。</w:t>
      </w:r>
    </w:p>
    <w:p>
      <w:pPr>
        <w:pStyle w:val="34"/>
      </w:pPr>
      <w:r>
        <w:fldChar w:fldCharType="begin"/>
      </w:r>
      <w:r>
        <w:instrText xml:space="preserve"> INCLUDEPICTURE  "https://www.tdx.com.cn/products/helpfile/tdxw/chm/%E7%AC%AC%E5%85%AD%E7%AB%A0  %E5%9F%BA%E7%A1%80%E7%89%88%E5%8A%9F%E8%83%BD/6-12/1.png" \* MERGEFORMATINET </w:instrText>
      </w:r>
      <w:r>
        <w:fldChar w:fldCharType="separate"/>
      </w:r>
      <w:r>
        <w:fldChar w:fldCharType="begin"/>
      </w:r>
      <w:r>
        <w:instrText xml:space="preserve"> INCLUDEPICTURE  "https://www.tdx.com.cn/products/helpfile/tdxw/chm/%E7%AC%AC%E5%85%AD%E7%AB%A0  %E5%9F%BA%E7%A1%80%E7%89%88%E5%8A%9F%E8%83%BD/6-12/1.png" \* MERGEFORMATINET </w:instrText>
      </w:r>
      <w:r>
        <w:fldChar w:fldCharType="separate"/>
      </w:r>
      <w:r>
        <w:fldChar w:fldCharType="begin"/>
      </w:r>
      <w:r>
        <w:instrText xml:space="preserve"> INCLUDEPICTURE  "https://www.tdx.com.cn/products/helpfile/tdxw/chm/%E7%AC%AC%E5%85%AD%E7%AB%A0  %E5%9F%BA%E7%A1%80%E7%89%88%E5%8A%9F%E8%83%BD/6-12/1.png" \* MERGEFORMATINET </w:instrText>
      </w:r>
      <w:r>
        <w:fldChar w:fldCharType="separate"/>
      </w:r>
      <w:r>
        <w:fldChar w:fldCharType="begin"/>
      </w:r>
      <w:r>
        <w:instrText xml:space="preserve"> INCLUDEPICTURE  "https://www.tdx.com.cn/products/helpfile/tdxw/chm/%E7%AC%AC%E5%85%AD%E7%AB%A0  %E5%9F%BA%E7%A1%80%E7%89%88%E5%8A%9F%E8%83%BD/6-12/1.png" \* MERGEFORMATINET </w:instrText>
      </w:r>
      <w:r>
        <w:fldChar w:fldCharType="separate"/>
      </w:r>
      <w:r>
        <w:drawing>
          <wp:inline distT="0" distB="0" distL="114300" distR="114300">
            <wp:extent cx="8839200" cy="4791075"/>
            <wp:effectExtent l="0" t="0" r="0" b="9525"/>
            <wp:docPr id="528" name="图片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图片 528"/>
                    <pic:cNvPicPr>
                      <a:picLocks noChangeAspect="1"/>
                    </pic:cNvPicPr>
                  </pic:nvPicPr>
                  <pic:blipFill>
                    <a:blip r:embed="rId971" r:link="rId972"/>
                    <a:stretch>
                      <a:fillRect/>
                    </a:stretch>
                  </pic:blipFill>
                  <pic:spPr>
                    <a:xfrm>
                      <a:off x="0" y="0"/>
                      <a:ext cx="8839200" cy="4791075"/>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量涨速%：最近N分钟的放量比率,涨速的N值可在系统设置1涨速周期分钟数地方设置</w:t>
      </w:r>
    </w:p>
    <w:p>
      <w:pPr>
        <w:pStyle w:val="34"/>
      </w:pPr>
      <w:r>
        <w:rPr>
          <w:rFonts w:hint="eastAsia"/>
        </w:rPr>
        <w:t>短换手%：最近N分钟的换手(股本使用自由流通股本)</w:t>
      </w:r>
    </w:p>
    <w:p>
      <w:pPr>
        <w:pStyle w:val="34"/>
      </w:pPr>
      <w:r>
        <w:rPr>
          <w:rFonts w:hint="eastAsia"/>
        </w:rPr>
        <w:t>2分钟金额：最近2分钟的成交金额</w:t>
      </w:r>
    </w:p>
    <w:p>
      <w:pPr>
        <w:pStyle w:val="34"/>
      </w:pPr>
      <w:r>
        <w:rPr>
          <w:rFonts w:hint="eastAsia"/>
        </w:rPr>
        <w:t>主力净额：超大单和大单买入成交金额-超大单和大单卖出成交金额</w:t>
      </w:r>
    </w:p>
    <w:p>
      <w:pPr>
        <w:pStyle w:val="34"/>
      </w:pPr>
      <w:r>
        <w:rPr>
          <w:rFonts w:hint="eastAsia"/>
        </w:rPr>
        <w:t>主力占比：主力净额/总金额*100</w:t>
      </w:r>
    </w:p>
    <w:p>
      <w:pPr>
        <w:pStyle w:val="34"/>
      </w:pPr>
      <w:r>
        <w:rPr>
          <w:rFonts w:hint="eastAsia"/>
        </w:rPr>
        <w:t>主力净比：主力净额/自由流通市值*100</w:t>
      </w:r>
    </w:p>
    <w:p>
      <w:pPr>
        <w:pStyle w:val="34"/>
      </w:pPr>
      <w:r>
        <w:rPr>
          <w:rFonts w:hint="eastAsia"/>
        </w:rPr>
        <w:t>主买净额：主动性买的成交金额-主动性卖的成交金额</w:t>
      </w:r>
    </w:p>
    <w:p>
      <w:pPr>
        <w:pStyle w:val="34"/>
      </w:pPr>
      <w:r>
        <w:rPr>
          <w:rFonts w:hint="eastAsia"/>
        </w:rPr>
        <w:t>主买占比：主买净额/总金额*100</w:t>
      </w:r>
    </w:p>
    <w:p>
      <w:pPr>
        <w:pStyle w:val="34"/>
      </w:pPr>
      <w:r>
        <w:rPr>
          <w:rFonts w:hint="eastAsia"/>
        </w:rPr>
        <w:t>净买率：主买净额/自由流通市值*100</w:t>
      </w:r>
    </w:p>
    <w:p>
      <w:pPr>
        <w:pStyle w:val="34"/>
      </w:pPr>
      <w:r>
        <w:rPr>
          <w:rFonts w:hint="eastAsia"/>
        </w:rPr>
        <w:t>委比%：(五个买盘之和-五个卖盘之和)/(五个买盘之和+五个卖盘之和)*100</w:t>
      </w:r>
    </w:p>
    <w:p>
      <w:pPr>
        <w:pStyle w:val="34"/>
      </w:pPr>
      <w:r>
        <w:rPr>
          <w:rFonts w:hint="eastAsia"/>
        </w:rPr>
        <w:t>总委比%：(总委买量-总委卖量)/(总委买量+总委卖量)*100</w:t>
      </w:r>
    </w:p>
    <w:p>
      <w:pPr>
        <w:pStyle w:val="34"/>
      </w:pPr>
      <w:r>
        <w:rPr>
          <w:rFonts w:hint="eastAsia"/>
        </w:rPr>
        <w:t>总盘委量差：总委买量-总委卖量</w:t>
      </w:r>
    </w:p>
    <w:p>
      <w:pPr>
        <w:pStyle w:val="34"/>
      </w:pPr>
      <w:r>
        <w:rPr>
          <w:rFonts w:hint="eastAsia"/>
        </w:rPr>
        <w:t>总卖占比%：总委卖量/自由流通股本*100</w:t>
      </w:r>
    </w:p>
    <w:p>
      <w:pPr>
        <w:pStyle w:val="34"/>
      </w:pPr>
      <w:r>
        <w:rPr>
          <w:rFonts w:hint="eastAsia"/>
        </w:rPr>
        <w:t>总撤委比%：(总撤买量-总撤卖量)/(总撤买量+总撤卖量)*100</w:t>
      </w:r>
    </w:p>
    <w:p>
      <w:pPr>
        <w:pStyle w:val="34"/>
      </w:pPr>
      <w:r>
        <w:rPr>
          <w:rFonts w:hint="eastAsia"/>
        </w:rPr>
        <w:t>逐笔均量：成交总量/总成交笔数</w:t>
      </w:r>
    </w:p>
    <w:p>
      <w:pPr>
        <w:pStyle w:val="34"/>
      </w:pPr>
      <w:r>
        <w:rPr>
          <w:rFonts w:hint="eastAsia"/>
        </w:rPr>
        <w:t>2资金博弈专题通过展示资金博弈数据栏目信息，让用户知道个股的资金流入流出情况。</w:t>
      </w:r>
    </w:p>
    <w:p>
      <w:pPr>
        <w:pStyle w:val="34"/>
      </w:pPr>
      <w:r>
        <w:fldChar w:fldCharType="begin"/>
      </w:r>
      <w:r>
        <w:instrText xml:space="preserve"> INCLUDEPICTURE  "https://www.tdx.com.cn/products/helpfile/tdxw/chm/%E7%AC%AC%E5%85%AD%E7%AB%A0  %E5%9F%BA%E7%A1%80%E7%89%88%E5%8A%9F%E8%83%BD/6-12/2.png" \* MERGEFORMATINET </w:instrText>
      </w:r>
      <w:r>
        <w:fldChar w:fldCharType="separate"/>
      </w:r>
      <w:r>
        <w:fldChar w:fldCharType="begin"/>
      </w:r>
      <w:r>
        <w:instrText xml:space="preserve"> INCLUDEPICTURE  "https://www.tdx.com.cn/products/helpfile/tdxw/chm/%E7%AC%AC%E5%85%AD%E7%AB%A0  %E5%9F%BA%E7%A1%80%E7%89%88%E5%8A%9F%E8%83%BD/6-12/2.png" \* MERGEFORMATINET </w:instrText>
      </w:r>
      <w:r>
        <w:fldChar w:fldCharType="separate"/>
      </w:r>
      <w:r>
        <w:fldChar w:fldCharType="begin"/>
      </w:r>
      <w:r>
        <w:instrText xml:space="preserve"> INCLUDEPICTURE  "https://www.tdx.com.cn/products/helpfile/tdxw/chm/%E7%AC%AC%E5%85%AD%E7%AB%A0  %E5%9F%BA%E7%A1%80%E7%89%88%E5%8A%9F%E8%83%BD/6-12/2.png" \* MERGEFORMATINET </w:instrText>
      </w:r>
      <w:r>
        <w:fldChar w:fldCharType="separate"/>
      </w:r>
      <w:r>
        <w:fldChar w:fldCharType="begin"/>
      </w:r>
      <w:r>
        <w:instrText xml:space="preserve"> INCLUDEPICTURE  "https://www.tdx.com.cn/products/helpfile/tdxw/chm/%E7%AC%AC%E5%85%AD%E7%AB%A0  %E5%9F%BA%E7%A1%80%E7%89%88%E5%8A%9F%E8%83%BD/6-12/2.png" \* MERGEFORMATINET </w:instrText>
      </w:r>
      <w:r>
        <w:fldChar w:fldCharType="separate"/>
      </w:r>
      <w:r>
        <w:drawing>
          <wp:inline distT="0" distB="0" distL="114300" distR="114300">
            <wp:extent cx="11172825" cy="6057900"/>
            <wp:effectExtent l="0" t="0" r="9525" b="0"/>
            <wp:docPr id="529" name="图片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图片 529"/>
                    <pic:cNvPicPr>
                      <a:picLocks noChangeAspect="1"/>
                    </pic:cNvPicPr>
                  </pic:nvPicPr>
                  <pic:blipFill>
                    <a:blip r:embed="rId973" r:link="rId974"/>
                    <a:stretch>
                      <a:fillRect/>
                    </a:stretch>
                  </pic:blipFill>
                  <pic:spPr>
                    <a:xfrm>
                      <a:off x="0" y="0"/>
                      <a:ext cx="11172825" cy="6057900"/>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主力净额：超大单和大单买入成交金额-超大单和大单卖出成交金额</w:t>
      </w:r>
    </w:p>
    <w:p>
      <w:pPr>
        <w:pStyle w:val="34"/>
      </w:pPr>
      <w:r>
        <w:rPr>
          <w:rFonts w:hint="eastAsia"/>
        </w:rPr>
        <w:t>主力占比：主力净额/总金额*100</w:t>
      </w:r>
    </w:p>
    <w:p>
      <w:pPr>
        <w:pStyle w:val="34"/>
      </w:pPr>
      <w:r>
        <w:rPr>
          <w:rFonts w:hint="eastAsia"/>
        </w:rPr>
        <w:t>主力净比：主力净额/自由流通市值*100</w:t>
      </w:r>
    </w:p>
    <w:p>
      <w:pPr>
        <w:pStyle w:val="34"/>
      </w:pPr>
      <w:r>
        <w:rPr>
          <w:rFonts w:hint="eastAsia"/>
        </w:rPr>
        <w:t>散户单增比：(逐笔卖出超大单和大单成交单数-逐笔买入超大单和大单成交单数)/(自由流通股本/(总成交量/总成交笔数))*1000000，对于指数：(逐笔卖出超大单和大单成交单数-逐笔买入超大单和大单成交单数)</w:t>
      </w:r>
    </w:p>
    <w:p>
      <w:pPr>
        <w:pStyle w:val="34"/>
      </w:pPr>
      <w:r>
        <w:rPr>
          <w:rFonts w:hint="eastAsia"/>
        </w:rPr>
        <w:t>当日超大单：当日超大单净额(超大单买入金额-超大单卖出金额)</w:t>
      </w:r>
    </w:p>
    <w:p>
      <w:pPr>
        <w:pStyle w:val="34"/>
      </w:pPr>
      <w:r>
        <w:rPr>
          <w:rFonts w:hint="eastAsia"/>
        </w:rPr>
        <w:t>当日大单：当日大单净额(大单买入金额-大单卖出金额)</w:t>
      </w:r>
    </w:p>
    <w:p>
      <w:pPr>
        <w:pStyle w:val="34"/>
      </w:pPr>
      <w:r>
        <w:rPr>
          <w:rFonts w:hint="eastAsia"/>
        </w:rPr>
        <w:t>当日中单：当日中单净额(中单买入金额-中单卖出金额)</w:t>
      </w:r>
    </w:p>
    <w:p>
      <w:pPr>
        <w:pStyle w:val="34"/>
      </w:pPr>
      <w:r>
        <w:rPr>
          <w:rFonts w:hint="eastAsia"/>
        </w:rPr>
        <w:t>当日小单：当日小单净额(小单买入金额-小单卖出金额)</w:t>
      </w:r>
    </w:p>
    <w:p>
      <w:pPr>
        <w:pStyle w:val="34"/>
      </w:pPr>
      <w:r>
        <w:rPr>
          <w:rFonts w:hint="eastAsia"/>
        </w:rPr>
        <w:t>N分钟主力净额：N分钟内的(超大单和大单买入成交金额-超大单和大单卖出成交金额)</w:t>
      </w:r>
    </w:p>
    <w:p>
      <w:pPr>
        <w:pStyle w:val="34"/>
      </w:pPr>
      <w:r>
        <w:rPr>
          <w:rFonts w:hint="eastAsia"/>
        </w:rPr>
        <w:t>N分钟超大单：N分钟内的超大单部分 </w:t>
      </w:r>
    </w:p>
    <w:p>
      <w:pPr>
        <w:pStyle w:val="34"/>
      </w:pPr>
      <w:r>
        <w:rPr>
          <w:rFonts w:hint="eastAsia"/>
        </w:rPr>
        <w:t>N分钟大单：N分钟内的大单部分 </w:t>
      </w:r>
    </w:p>
    <w:p>
      <w:pPr>
        <w:pStyle w:val="34"/>
      </w:pPr>
      <w:r>
        <w:rPr>
          <w:rFonts w:hint="eastAsia"/>
        </w:rPr>
        <w:t>N分钟中单：N分钟内的中单部分 </w:t>
      </w:r>
    </w:p>
    <w:p>
      <w:pPr>
        <w:pStyle w:val="34"/>
      </w:pPr>
      <w:r>
        <w:rPr>
          <w:rFonts w:hint="eastAsia"/>
        </w:rPr>
        <w:t>N分钟小单：N分钟内的小单部分</w:t>
      </w:r>
    </w:p>
    <w:p>
      <w:pPr>
        <w:pStyle w:val="34"/>
      </w:pPr>
      <w:r>
        <w:rPr>
          <w:rFonts w:hint="eastAsia"/>
        </w:rPr>
        <w:t>注意：N分钟的N值可以在客户端系统设置1的涨速周期分钟数地方设置</w:t>
      </w:r>
    </w:p>
    <w:p>
      <w:pPr>
        <w:pStyle w:val="34"/>
      </w:pPr>
      <w:r>
        <w:rPr>
          <w:rFonts w:hint="eastAsia"/>
        </w:rPr>
        <w:t>N日主力净额：N日内的(超大单和大单买入成交金额-超大单和大单卖出成交金额)</w:t>
      </w:r>
    </w:p>
    <w:p>
      <w:pPr>
        <w:pStyle w:val="34"/>
      </w:pPr>
      <w:r>
        <w:rPr>
          <w:rFonts w:hint="eastAsia"/>
        </w:rPr>
        <w:t>N日超大单：N日内的超大单部分 </w:t>
      </w:r>
    </w:p>
    <w:p>
      <w:pPr>
        <w:pStyle w:val="34"/>
      </w:pPr>
      <w:r>
        <w:rPr>
          <w:rFonts w:hint="eastAsia"/>
        </w:rPr>
        <w:t>N日大单：N日内的大单部分 </w:t>
      </w:r>
    </w:p>
    <w:p>
      <w:pPr>
        <w:pStyle w:val="34"/>
      </w:pPr>
      <w:r>
        <w:rPr>
          <w:rFonts w:hint="eastAsia"/>
        </w:rPr>
        <w:t>N日中单：N日内的中单部分 </w:t>
      </w:r>
    </w:p>
    <w:p>
      <w:pPr>
        <w:pStyle w:val="34"/>
      </w:pPr>
      <w:r>
        <w:rPr>
          <w:rFonts w:hint="eastAsia"/>
        </w:rPr>
        <w:t>N日小单：N日内的小单部分</w:t>
      </w:r>
    </w:p>
    <w:p>
      <w:pPr>
        <w:pStyle w:val="34"/>
      </w:pPr>
      <w:r>
        <w:rPr>
          <w:rFonts w:hint="eastAsia"/>
        </w:rPr>
        <w:t>★</w:t>
      </w:r>
      <w:r>
        <w:rPr>
          <w:rStyle w:val="28"/>
          <w:rFonts w:hint="eastAsia"/>
          <w:b w:val="0"/>
          <w:bCs w:val="0"/>
          <w:szCs w:val="18"/>
        </w:rPr>
        <w:t>进入个股K线界面</w:t>
      </w:r>
      <w:r>
        <w:rPr>
          <w:rFonts w:hint="eastAsia"/>
        </w:rPr>
        <w:t>★：</w:t>
      </w:r>
    </w:p>
    <w:p>
      <w:pPr>
        <w:pStyle w:val="34"/>
      </w:pPr>
      <w:r>
        <w:fldChar w:fldCharType="begin"/>
      </w:r>
      <w:r>
        <w:instrText xml:space="preserve"> INCLUDEPICTURE  "https://www.tdx.com.cn/products/helpfile/tdxw/chm/%E7%AC%AC%E5%85%AD%E7%AB%A0  %E5%9F%BA%E7%A1%80%E7%89%88%E5%8A%9F%E8%83%BD/6-12/3.png" \* MERGEFORMATINET </w:instrText>
      </w:r>
      <w:r>
        <w:fldChar w:fldCharType="separate"/>
      </w:r>
      <w:r>
        <w:fldChar w:fldCharType="begin"/>
      </w:r>
      <w:r>
        <w:instrText xml:space="preserve"> INCLUDEPICTURE  "https://www.tdx.com.cn/products/helpfile/tdxw/chm/%E7%AC%AC%E5%85%AD%E7%AB%A0  %E5%9F%BA%E7%A1%80%E7%89%88%E5%8A%9F%E8%83%BD/6-12/3.png" \* MERGEFORMATINET </w:instrText>
      </w:r>
      <w:r>
        <w:fldChar w:fldCharType="separate"/>
      </w:r>
      <w:r>
        <w:fldChar w:fldCharType="begin"/>
      </w:r>
      <w:r>
        <w:instrText xml:space="preserve"> INCLUDEPICTURE  "https://www.tdx.com.cn/products/helpfile/tdxw/chm/%E7%AC%AC%E5%85%AD%E7%AB%A0  %E5%9F%BA%E7%A1%80%E7%89%88%E5%8A%9F%E8%83%BD/6-12/3.png" \* MERGEFORMATINET </w:instrText>
      </w:r>
      <w:r>
        <w:fldChar w:fldCharType="separate"/>
      </w:r>
      <w:r>
        <w:fldChar w:fldCharType="begin"/>
      </w:r>
      <w:r>
        <w:instrText xml:space="preserve"> INCLUDEPICTURE  "https://www.tdx.com.cn/products/helpfile/tdxw/chm/%E7%AC%AC%E5%85%AD%E7%AB%A0  %E5%9F%BA%E7%A1%80%E7%89%88%E5%8A%9F%E8%83%BD/6-12/3.png" \* MERGEFORMATINET </w:instrText>
      </w:r>
      <w:r>
        <w:fldChar w:fldCharType="separate"/>
      </w:r>
      <w:r>
        <w:drawing>
          <wp:inline distT="0" distB="0" distL="114300" distR="114300">
            <wp:extent cx="6896100" cy="5905500"/>
            <wp:effectExtent l="0" t="0" r="0" b="0"/>
            <wp:docPr id="530" name="图片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图片 530"/>
                    <pic:cNvPicPr>
                      <a:picLocks noChangeAspect="1"/>
                    </pic:cNvPicPr>
                  </pic:nvPicPr>
                  <pic:blipFill>
                    <a:blip r:embed="rId975" r:link="rId976"/>
                    <a:stretch>
                      <a:fillRect/>
                    </a:stretch>
                  </pic:blipFill>
                  <pic:spPr>
                    <a:xfrm>
                      <a:off x="0" y="0"/>
                      <a:ext cx="6896100" cy="5905500"/>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K 线资金决策包括资金驱动力 ZJQDL 、资金流向ZJLX 、资金博弈 ZJBY三个指标。( K线图指标仅支持日线,可看近16个月数据，不支持短周期)</w:t>
      </w:r>
    </w:p>
    <w:p>
      <w:pPr>
        <w:pStyle w:val="34"/>
      </w:pPr>
      <w:r>
        <w:rPr>
          <w:rFonts w:hint="eastAsia"/>
        </w:rPr>
        <w:t>资金驱动力 ZJQDL ——按 K 线周期来统计的资金驱动力。 含主买净额及主买大宗净额。</w:t>
      </w:r>
    </w:p>
    <w:p>
      <w:pPr>
        <w:pStyle w:val="34"/>
      </w:pPr>
      <w:r>
        <w:rPr>
          <w:rFonts w:hint="eastAsia"/>
        </w:rPr>
        <w:t>资金流向ZJLX——按 K 线周期来统计的资金流向。 含主买净额，及近五日/近十日流向</w:t>
      </w:r>
    </w:p>
    <w:p>
      <w:pPr>
        <w:pStyle w:val="34"/>
        <w:rPr>
          <w:szCs w:val="18"/>
        </w:rPr>
      </w:pPr>
      <w:r>
        <w:rPr>
          <w:rFonts w:hint="eastAsia"/>
          <w:szCs w:val="18"/>
        </w:rPr>
        <w:t>资金博弈 ZJBY ——按 K 线周期来统计的资金博弈。 含 主力净额及超大单/大单/中单/小单净流入额。</w:t>
      </w:r>
    </w:p>
    <w:p>
      <w:pPr>
        <w:pStyle w:val="34"/>
        <w:rPr>
          <w:szCs w:val="18"/>
        </w:rPr>
      </w:pPr>
      <w:r>
        <w:rPr>
          <w:rStyle w:val="28"/>
          <w:rFonts w:hint="eastAsia"/>
          <w:b w:val="0"/>
          <w:bCs w:val="0"/>
          <w:szCs w:val="18"/>
        </w:rPr>
        <w:t>★进入个股分时界面</w:t>
      </w:r>
      <w:r>
        <w:rPr>
          <w:rFonts w:hint="eastAsia"/>
          <w:szCs w:val="18"/>
        </w:rPr>
        <w:t>★：</w:t>
      </w:r>
    </w:p>
    <w:p>
      <w:pPr>
        <w:pStyle w:val="34"/>
      </w:pPr>
      <w:r>
        <w:rPr>
          <w:rFonts w:hint="eastAsia"/>
          <w:szCs w:val="18"/>
        </w:rPr>
        <w:t>1</w:t>
      </w:r>
      <w:r>
        <w:rPr>
          <w:rStyle w:val="28"/>
          <w:rFonts w:hint="eastAsia"/>
          <w:b w:val="0"/>
          <w:bCs w:val="0"/>
          <w:szCs w:val="18"/>
        </w:rPr>
        <w:t>资金驱动力</w:t>
      </w:r>
      <w:r>
        <w:rPr>
          <w:rFonts w:hint="eastAsia"/>
          <w:szCs w:val="18"/>
        </w:rPr>
        <w:t>指标统计了累</w:t>
      </w:r>
      <w:r>
        <w:rPr>
          <w:rFonts w:hint="eastAsia"/>
        </w:rPr>
        <w:t>计主力净额，累计主买净额，分钟内主力净额。红绿柱为分钟内主力流入。</w:t>
      </w:r>
    </w:p>
    <w:p>
      <w:pPr>
        <w:pStyle w:val="34"/>
      </w:pPr>
      <w:r>
        <w:fldChar w:fldCharType="begin"/>
      </w:r>
      <w:r>
        <w:instrText xml:space="preserve"> INCLUDEPICTURE  "https://www.tdx.com.cn/products/helpfile/tdxw/chm/%E7%AC%AC%E5%85%AD%E7%AB%A0  %E5%9F%BA%E7%A1%80%E7%89%88%E5%8A%9F%E8%83%BD/6-12/4.png" \* MERGEFORMATINET </w:instrText>
      </w:r>
      <w:r>
        <w:fldChar w:fldCharType="separate"/>
      </w:r>
      <w:r>
        <w:fldChar w:fldCharType="begin"/>
      </w:r>
      <w:r>
        <w:instrText xml:space="preserve"> INCLUDEPICTURE  "https://www.tdx.com.cn/products/helpfile/tdxw/chm/%E7%AC%AC%E5%85%AD%E7%AB%A0  %E5%9F%BA%E7%A1%80%E7%89%88%E5%8A%9F%E8%83%BD/6-12/4.png" \* MERGEFORMATINET </w:instrText>
      </w:r>
      <w:r>
        <w:fldChar w:fldCharType="separate"/>
      </w:r>
      <w:r>
        <w:fldChar w:fldCharType="begin"/>
      </w:r>
      <w:r>
        <w:instrText xml:space="preserve"> INCLUDEPICTURE  "https://www.tdx.com.cn/products/helpfile/tdxw/chm/%E7%AC%AC%E5%85%AD%E7%AB%A0  %E5%9F%BA%E7%A1%80%E7%89%88%E5%8A%9F%E8%83%BD/6-12/4.png" \* MERGEFORMATINET </w:instrText>
      </w:r>
      <w:r>
        <w:fldChar w:fldCharType="separate"/>
      </w:r>
      <w:r>
        <w:fldChar w:fldCharType="begin"/>
      </w:r>
      <w:r>
        <w:instrText xml:space="preserve"> INCLUDEPICTURE  "https://www.tdx.com.cn/products/helpfile/tdxw/chm/%E7%AC%AC%E5%85%AD%E7%AB%A0  %E5%9F%BA%E7%A1%80%E7%89%88%E5%8A%9F%E8%83%BD/6-12/4.png" \* MERGEFORMATINET </w:instrText>
      </w:r>
      <w:r>
        <w:fldChar w:fldCharType="separate"/>
      </w:r>
      <w:r>
        <w:drawing>
          <wp:inline distT="0" distB="0" distL="114300" distR="114300">
            <wp:extent cx="6886575" cy="5905500"/>
            <wp:effectExtent l="0" t="0" r="9525" b="0"/>
            <wp:docPr id="531" name="图片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图片 531"/>
                    <pic:cNvPicPr>
                      <a:picLocks noChangeAspect="1"/>
                    </pic:cNvPicPr>
                  </pic:nvPicPr>
                  <pic:blipFill>
                    <a:blip r:embed="rId977" r:link="rId978"/>
                    <a:stretch>
                      <a:fillRect/>
                    </a:stretch>
                  </pic:blipFill>
                  <pic:spPr>
                    <a:xfrm>
                      <a:off x="0" y="0"/>
                      <a:ext cx="6886575" cy="5905500"/>
                    </a:xfrm>
                    <a:prstGeom prst="rect">
                      <a:avLst/>
                    </a:prstGeom>
                    <a:noFill/>
                    <a:ln>
                      <a:noFill/>
                    </a:ln>
                  </pic:spPr>
                </pic:pic>
              </a:graphicData>
            </a:graphic>
          </wp:inline>
        </w:drawing>
      </w:r>
      <w:r>
        <w:fldChar w:fldCharType="end"/>
      </w:r>
      <w:r>
        <w:fldChar w:fldCharType="end"/>
      </w:r>
      <w:r>
        <w:fldChar w:fldCharType="end"/>
      </w:r>
      <w:r>
        <w:fldChar w:fldCharType="end"/>
      </w:r>
    </w:p>
    <w:p>
      <w:pPr>
        <w:pStyle w:val="34"/>
        <w:rPr>
          <w:szCs w:val="18"/>
        </w:rPr>
      </w:pPr>
      <w:r>
        <w:rPr>
          <w:rFonts w:hint="eastAsia"/>
          <w:szCs w:val="18"/>
        </w:rPr>
        <w:t>2</w:t>
      </w:r>
      <w:r>
        <w:rPr>
          <w:rStyle w:val="28"/>
          <w:rFonts w:hint="eastAsia"/>
          <w:b w:val="0"/>
          <w:bCs w:val="0"/>
          <w:szCs w:val="18"/>
        </w:rPr>
        <w:t>资金博弈</w:t>
      </w:r>
      <w:r>
        <w:rPr>
          <w:rFonts w:hint="eastAsia"/>
          <w:szCs w:val="18"/>
        </w:rPr>
        <w:t>指标展示主力净额、超大单的资金净流入、大单的资金净流入、中单的资金净流入、小单的资金净流入情况。</w:t>
      </w:r>
    </w:p>
    <w:p>
      <w:pPr>
        <w:pStyle w:val="34"/>
      </w:pPr>
      <w:r>
        <w:rPr>
          <w:rFonts w:hint="eastAsia"/>
          <w:szCs w:val="18"/>
        </w:rPr>
        <w:t>四根线各代表四个市</w:t>
      </w:r>
      <w:r>
        <w:rPr>
          <w:rFonts w:hint="eastAsia"/>
        </w:rPr>
        <w:t>场主体的行为，比如：如果紫线和黄线向上扬而灰线和绿线向下走，说明主力净流入散户净流出。</w:t>
      </w:r>
    </w:p>
    <w:p>
      <w:pPr>
        <w:pStyle w:val="49"/>
        <w:rPr>
          <w:rFonts w:ascii="微软雅黑" w:hAnsi="微软雅黑" w:eastAsia="微软雅黑"/>
          <w:color w:val="000000"/>
          <w:sz w:val="18"/>
          <w:szCs w:val="18"/>
        </w:rPr>
      </w:pPr>
      <w:r>
        <w:rPr>
          <w:rFonts w:ascii="微软雅黑" w:hAnsi="微软雅黑" w:eastAsia="微软雅黑"/>
          <w:color w:val="000000"/>
          <w:sz w:val="18"/>
          <w:szCs w:val="18"/>
        </w:rPr>
        <w:fldChar w:fldCharType="begin"/>
      </w:r>
      <w:r>
        <w:rPr>
          <w:rFonts w:ascii="微软雅黑" w:hAnsi="微软雅黑" w:eastAsia="微软雅黑"/>
          <w:color w:val="000000"/>
          <w:sz w:val="18"/>
          <w:szCs w:val="18"/>
        </w:rPr>
        <w:instrText xml:space="preserve"> INCLUDEPICTURE  "https://www.tdx.com.cn/products/helpfile/tdxw/chm/%E7%AC%AC%E5%85%AD%E7%AB%A0  %E5%9F%BA%E7%A1%80%E7%89%88%E5%8A%9F%E8%83%BD/6-12/5.png" \* MERGEFORMATINET </w:instrText>
      </w:r>
      <w:r>
        <w:rPr>
          <w:rFonts w:ascii="微软雅黑" w:hAnsi="微软雅黑" w:eastAsia="微软雅黑"/>
          <w:color w:val="000000"/>
          <w:sz w:val="18"/>
          <w:szCs w:val="18"/>
        </w:rPr>
        <w:fldChar w:fldCharType="separate"/>
      </w:r>
      <w:r>
        <w:rPr>
          <w:rFonts w:ascii="微软雅黑" w:hAnsi="微软雅黑" w:eastAsia="微软雅黑"/>
          <w:color w:val="000000"/>
          <w:sz w:val="18"/>
          <w:szCs w:val="18"/>
        </w:rPr>
        <w:fldChar w:fldCharType="begin"/>
      </w:r>
      <w:r>
        <w:rPr>
          <w:rFonts w:ascii="微软雅黑" w:hAnsi="微软雅黑" w:eastAsia="微软雅黑"/>
          <w:color w:val="000000"/>
          <w:sz w:val="18"/>
          <w:szCs w:val="18"/>
        </w:rPr>
        <w:instrText xml:space="preserve"> INCLUDEPICTURE  "https://www.tdx.com.cn/products/helpfile/tdxw/chm/%E7%AC%AC%E5%85%AD%E7%AB%A0  %E5%9F%BA%E7%A1%80%E7%89%88%E5%8A%9F%E8%83%BD/6-12/5.png" \* MERGEFORMATINET </w:instrText>
      </w:r>
      <w:r>
        <w:rPr>
          <w:rFonts w:ascii="微软雅黑" w:hAnsi="微软雅黑" w:eastAsia="微软雅黑"/>
          <w:color w:val="000000"/>
          <w:sz w:val="18"/>
          <w:szCs w:val="18"/>
        </w:rPr>
        <w:fldChar w:fldCharType="separate"/>
      </w:r>
      <w:r>
        <w:rPr>
          <w:rFonts w:ascii="微软雅黑" w:hAnsi="微软雅黑" w:eastAsia="微软雅黑"/>
          <w:color w:val="000000"/>
          <w:sz w:val="18"/>
          <w:szCs w:val="18"/>
        </w:rPr>
        <w:fldChar w:fldCharType="begin"/>
      </w:r>
      <w:r>
        <w:rPr>
          <w:rFonts w:ascii="微软雅黑" w:hAnsi="微软雅黑" w:eastAsia="微软雅黑"/>
          <w:color w:val="000000"/>
          <w:sz w:val="18"/>
          <w:szCs w:val="18"/>
        </w:rPr>
        <w:instrText xml:space="preserve"> INCLUDEPICTURE  "https://www.tdx.com.cn/products/helpfile/tdxw/chm/%E7%AC%AC%E5%85%AD%E7%AB%A0  %E5%9F%BA%E7%A1%80%E7%89%88%E5%8A%9F%E8%83%BD/6-12/5.png" \* MERGEFORMATINET </w:instrText>
      </w:r>
      <w:r>
        <w:rPr>
          <w:rFonts w:ascii="微软雅黑" w:hAnsi="微软雅黑" w:eastAsia="微软雅黑"/>
          <w:color w:val="000000"/>
          <w:sz w:val="18"/>
          <w:szCs w:val="18"/>
        </w:rPr>
        <w:fldChar w:fldCharType="separate"/>
      </w:r>
      <w:r>
        <w:rPr>
          <w:rFonts w:ascii="微软雅黑" w:hAnsi="微软雅黑" w:eastAsia="微软雅黑"/>
          <w:color w:val="000000"/>
          <w:sz w:val="18"/>
          <w:szCs w:val="18"/>
        </w:rPr>
        <w:fldChar w:fldCharType="begin"/>
      </w:r>
      <w:r>
        <w:rPr>
          <w:rFonts w:ascii="微软雅黑" w:hAnsi="微软雅黑" w:eastAsia="微软雅黑"/>
          <w:color w:val="000000"/>
          <w:sz w:val="18"/>
          <w:szCs w:val="18"/>
        </w:rPr>
        <w:instrText xml:space="preserve"> INCLUDEPICTURE  "https://www.tdx.com.cn/products/helpfile/tdxw/chm/%E7%AC%AC%E5%85%AD%E7%AB%A0  %E5%9F%BA%E7%A1%80%E7%89%88%E5%8A%9F%E8%83%BD/6-12/5.png" \* MERGEFORMATINET </w:instrText>
      </w:r>
      <w:r>
        <w:rPr>
          <w:rFonts w:ascii="微软雅黑" w:hAnsi="微软雅黑" w:eastAsia="微软雅黑"/>
          <w:color w:val="000000"/>
          <w:sz w:val="18"/>
          <w:szCs w:val="18"/>
        </w:rPr>
        <w:fldChar w:fldCharType="separate"/>
      </w:r>
      <w:r>
        <w:rPr>
          <w:rFonts w:ascii="微软雅黑" w:hAnsi="微软雅黑" w:eastAsia="微软雅黑"/>
          <w:color w:val="000000"/>
          <w:sz w:val="18"/>
          <w:szCs w:val="18"/>
        </w:rPr>
        <w:drawing>
          <wp:inline distT="0" distB="0" distL="114300" distR="114300">
            <wp:extent cx="6038850" cy="5153025"/>
            <wp:effectExtent l="0" t="0" r="0" b="9525"/>
            <wp:docPr id="532" name="图片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图片 532"/>
                    <pic:cNvPicPr>
                      <a:picLocks noChangeAspect="1"/>
                    </pic:cNvPicPr>
                  </pic:nvPicPr>
                  <pic:blipFill>
                    <a:blip r:embed="rId979" r:link="rId980"/>
                    <a:stretch>
                      <a:fillRect/>
                    </a:stretch>
                  </pic:blipFill>
                  <pic:spPr>
                    <a:xfrm>
                      <a:off x="0" y="0"/>
                      <a:ext cx="6038850" cy="5153025"/>
                    </a:xfrm>
                    <a:prstGeom prst="rect">
                      <a:avLst/>
                    </a:prstGeom>
                    <a:noFill/>
                    <a:ln>
                      <a:noFill/>
                    </a:ln>
                  </pic:spPr>
                </pic:pic>
              </a:graphicData>
            </a:graphic>
          </wp:inline>
        </w:drawing>
      </w:r>
      <w:r>
        <w:rPr>
          <w:rFonts w:ascii="微软雅黑" w:hAnsi="微软雅黑" w:eastAsia="微软雅黑"/>
          <w:color w:val="000000"/>
          <w:sz w:val="18"/>
          <w:szCs w:val="18"/>
        </w:rPr>
        <w:fldChar w:fldCharType="end"/>
      </w:r>
      <w:r>
        <w:rPr>
          <w:rFonts w:ascii="微软雅黑" w:hAnsi="微软雅黑" w:eastAsia="微软雅黑"/>
          <w:color w:val="000000"/>
          <w:sz w:val="18"/>
          <w:szCs w:val="18"/>
        </w:rPr>
        <w:fldChar w:fldCharType="end"/>
      </w:r>
      <w:r>
        <w:rPr>
          <w:rFonts w:ascii="微软雅黑" w:hAnsi="微软雅黑" w:eastAsia="微软雅黑"/>
          <w:color w:val="000000"/>
          <w:sz w:val="18"/>
          <w:szCs w:val="18"/>
        </w:rPr>
        <w:fldChar w:fldCharType="end"/>
      </w:r>
      <w:r>
        <w:rPr>
          <w:rFonts w:ascii="微软雅黑" w:hAnsi="微软雅黑" w:eastAsia="微软雅黑"/>
          <w:color w:val="000000"/>
          <w:sz w:val="18"/>
          <w:szCs w:val="18"/>
        </w:rPr>
        <w:fldChar w:fldCharType="end"/>
      </w:r>
    </w:p>
    <w:p>
      <w:pPr>
        <w:pStyle w:val="3"/>
      </w:pPr>
      <w:r>
        <w:rPr>
          <w:rFonts w:hint="eastAsia"/>
        </w:rPr>
        <w:t>专业财务数据</w:t>
      </w:r>
    </w:p>
    <w:p>
      <w:pPr>
        <w:pStyle w:val="34"/>
        <w:rPr>
          <w:kern w:val="0"/>
        </w:rPr>
      </w:pPr>
      <w:r>
        <w:rPr>
          <w:rFonts w:hint="eastAsia"/>
          <w:kern w:val="0"/>
        </w:rPr>
        <w:t>打开方式：选项——专业财务数据。</w:t>
      </w:r>
    </w:p>
    <w:p>
      <w:pPr>
        <w:pStyle w:val="34"/>
        <w:ind w:firstLine="482"/>
        <w:rPr>
          <w:kern w:val="0"/>
        </w:rPr>
      </w:pPr>
      <w:r>
        <w:rPr>
          <w:rFonts w:hint="eastAsia"/>
          <w:b/>
          <w:bCs/>
          <w:color w:val="FF0000"/>
          <w:kern w:val="0"/>
        </w:rPr>
        <w:t>专业财务数据：</w:t>
      </w:r>
      <w:r>
        <w:rPr>
          <w:rFonts w:hint="eastAsia"/>
          <w:kern w:val="0"/>
        </w:rPr>
        <w:t>可查看指标B中专业财务数据相关函数的指标。</w:t>
      </w:r>
    </w:p>
    <w:p>
      <w:pPr>
        <w:pStyle w:val="34"/>
        <w:rPr>
          <w:kern w:val="0"/>
        </w:rPr>
      </w:pPr>
      <w:r>
        <w:rPr>
          <w:rFonts w:hint="eastAsia"/>
          <w:kern w:val="0"/>
        </w:rPr>
        <w:t>注：沪深收费，此函数为云函数,不需要下载专业财务数据即可在副图看到数据；若需要用于历史行情指标排序和选股预警等，则需要进这专业财务数据下载数据再使用。</w:t>
      </w:r>
    </w:p>
    <w:p>
      <w:pPr>
        <w:pStyle w:val="34"/>
        <w:rPr>
          <w:kern w:val="0"/>
        </w:rPr>
      </w:pPr>
      <w:r>
        <w:rPr>
          <w:kern w:val="0"/>
        </w:rPr>
        <w:fldChar w:fldCharType="begin"/>
      </w:r>
      <w:r>
        <w:rPr>
          <w:kern w:val="0"/>
        </w:rPr>
        <w:instrText xml:space="preserve"> INCLUDEPICTURE  "https://www.tdx.com.cn/products/helpfile/tdxw/chm/%E7%AC%AC%E5%85%AD%E7%AB%A0  %E5%9F%BA%E7%A1%80%E7%89%88%E5%8A%9F%E8%83%BD/6-13/1.png" \* MERGEFORMATINET </w:instrText>
      </w:r>
      <w:r>
        <w:rPr>
          <w:kern w:val="0"/>
        </w:rPr>
        <w:fldChar w:fldCharType="separate"/>
      </w:r>
      <w:r>
        <w:rPr>
          <w:kern w:val="0"/>
        </w:rPr>
        <w:fldChar w:fldCharType="begin"/>
      </w:r>
      <w:r>
        <w:rPr>
          <w:kern w:val="0"/>
        </w:rPr>
        <w:instrText xml:space="preserve"> INCLUDEPICTURE  "https://www.tdx.com.cn/products/helpfile/tdxw/chm/%E7%AC%AC%E5%85%AD%E7%AB%A0  %E5%9F%BA%E7%A1%80%E7%89%88%E5%8A%9F%E8%83%BD/6-13/1.png" \* MERGEFORMATINET </w:instrText>
      </w:r>
      <w:r>
        <w:rPr>
          <w:kern w:val="0"/>
        </w:rPr>
        <w:fldChar w:fldCharType="separate"/>
      </w:r>
      <w:r>
        <w:rPr>
          <w:kern w:val="0"/>
        </w:rPr>
        <w:fldChar w:fldCharType="begin"/>
      </w:r>
      <w:r>
        <w:rPr>
          <w:kern w:val="0"/>
        </w:rPr>
        <w:instrText xml:space="preserve"> INCLUDEPICTURE  "https://www.tdx.com.cn/products/helpfile/tdxw/chm/%E7%AC%AC%E5%85%AD%E7%AB%A0  %E5%9F%BA%E7%A1%80%E7%89%88%E5%8A%9F%E8%83%BD/6-13/1.png" \* MERGEFORMATINET </w:instrText>
      </w:r>
      <w:r>
        <w:rPr>
          <w:kern w:val="0"/>
        </w:rPr>
        <w:fldChar w:fldCharType="separate"/>
      </w:r>
      <w:r>
        <w:rPr>
          <w:kern w:val="0"/>
        </w:rPr>
        <w:fldChar w:fldCharType="begin"/>
      </w:r>
      <w:r>
        <w:rPr>
          <w:kern w:val="0"/>
        </w:rPr>
        <w:instrText xml:space="preserve"> INCLUDEPICTURE  "https://www.tdx.com.cn/products/helpfile/tdxw/chm/%E7%AC%AC%E5%85%AD%E7%AB%A0  %E5%9F%BA%E7%A1%80%E7%89%88%E5%8A%9F%E8%83%BD/6-13/1.png" \* MERGEFORMATINET </w:instrText>
      </w:r>
      <w:r>
        <w:rPr>
          <w:kern w:val="0"/>
        </w:rPr>
        <w:fldChar w:fldCharType="separate"/>
      </w:r>
      <w:r>
        <w:rPr>
          <w:kern w:val="0"/>
        </w:rPr>
        <w:drawing>
          <wp:inline distT="0" distB="0" distL="114300" distR="114300">
            <wp:extent cx="6162675" cy="4562475"/>
            <wp:effectExtent l="0" t="0" r="9525" b="9525"/>
            <wp:docPr id="533" name="图片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图片 533"/>
                    <pic:cNvPicPr>
                      <a:picLocks noChangeAspect="1"/>
                    </pic:cNvPicPr>
                  </pic:nvPicPr>
                  <pic:blipFill>
                    <a:blip r:embed="rId981" r:link="rId982"/>
                    <a:stretch>
                      <a:fillRect/>
                    </a:stretch>
                  </pic:blipFill>
                  <pic:spPr>
                    <a:xfrm>
                      <a:off x="0" y="0"/>
                      <a:ext cx="6162675" cy="4562475"/>
                    </a:xfrm>
                    <a:prstGeom prst="rect">
                      <a:avLst/>
                    </a:prstGeom>
                    <a:noFill/>
                    <a:ln>
                      <a:noFill/>
                    </a:ln>
                  </pic:spPr>
                </pic:pic>
              </a:graphicData>
            </a:graphic>
          </wp:inline>
        </w:drawing>
      </w:r>
      <w:r>
        <w:rPr>
          <w:kern w:val="0"/>
        </w:rPr>
        <w:fldChar w:fldCharType="end"/>
      </w:r>
      <w:r>
        <w:rPr>
          <w:kern w:val="0"/>
        </w:rPr>
        <w:fldChar w:fldCharType="end"/>
      </w:r>
      <w:r>
        <w:rPr>
          <w:kern w:val="0"/>
        </w:rPr>
        <w:fldChar w:fldCharType="end"/>
      </w:r>
      <w:r>
        <w:rPr>
          <w:kern w:val="0"/>
        </w:rPr>
        <w:fldChar w:fldCharType="end"/>
      </w:r>
    </w:p>
    <w:p>
      <w:pPr>
        <w:pStyle w:val="34"/>
        <w:rPr>
          <w:kern w:val="0"/>
        </w:rPr>
      </w:pPr>
      <w:r>
        <w:rPr>
          <w:rFonts w:hint="eastAsia"/>
          <w:kern w:val="0"/>
        </w:rPr>
        <w:t>注：</w:t>
      </w:r>
    </w:p>
    <w:p>
      <w:pPr>
        <w:pStyle w:val="34"/>
        <w:rPr>
          <w:kern w:val="0"/>
        </w:rPr>
      </w:pPr>
      <w:r>
        <w:rPr>
          <w:rFonts w:hint="eastAsia"/>
          <w:kern w:val="0"/>
        </w:rPr>
        <w:t>指标中若用到FINVALUE和FINONE的函数,需要下载1处即左边财务数据包；</w:t>
      </w:r>
    </w:p>
    <w:p>
      <w:pPr>
        <w:pStyle w:val="34"/>
        <w:rPr>
          <w:kern w:val="0"/>
        </w:rPr>
      </w:pPr>
      <w:r>
        <w:rPr>
          <w:rFonts w:hint="eastAsia"/>
          <w:kern w:val="0"/>
        </w:rPr>
        <w:t>指标中若用到GPJYVALUE、GPJYONE、BKJYVALUE、BKJYONE、SCJYVALUE、SCJYONE和GPONEDAT的函数，需要下载2处右边股票数据包。</w:t>
      </w:r>
    </w:p>
    <w:p>
      <w:pPr>
        <w:pStyle w:val="34"/>
        <w:rPr>
          <w:kern w:val="0"/>
        </w:rPr>
      </w:pPr>
      <w:r>
        <w:rPr>
          <w:kern w:val="0"/>
        </w:rPr>
        <w:fldChar w:fldCharType="begin"/>
      </w:r>
      <w:r>
        <w:rPr>
          <w:kern w:val="0"/>
        </w:rPr>
        <w:instrText xml:space="preserve"> INCLUDEPICTURE  "https://www.tdx.com.cn/products/helpfile/tdxw/chm/%E7%AC%AC%E5%85%AD%E7%AB%A0  %E5%9F%BA%E7%A1%80%E7%89%88%E5%8A%9F%E8%83%BD/6-13/2.png" \* MERGEFORMATINET </w:instrText>
      </w:r>
      <w:r>
        <w:rPr>
          <w:kern w:val="0"/>
        </w:rPr>
        <w:fldChar w:fldCharType="separate"/>
      </w:r>
      <w:r>
        <w:rPr>
          <w:kern w:val="0"/>
        </w:rPr>
        <w:fldChar w:fldCharType="begin"/>
      </w:r>
      <w:r>
        <w:rPr>
          <w:kern w:val="0"/>
        </w:rPr>
        <w:instrText xml:space="preserve"> INCLUDEPICTURE  "https://www.tdx.com.cn/products/helpfile/tdxw/chm/%E7%AC%AC%E5%85%AD%E7%AB%A0  %E5%9F%BA%E7%A1%80%E7%89%88%E5%8A%9F%E8%83%BD/6-13/2.png" \* MERGEFORMATINET </w:instrText>
      </w:r>
      <w:r>
        <w:rPr>
          <w:kern w:val="0"/>
        </w:rPr>
        <w:fldChar w:fldCharType="separate"/>
      </w:r>
      <w:r>
        <w:rPr>
          <w:kern w:val="0"/>
        </w:rPr>
        <w:fldChar w:fldCharType="begin"/>
      </w:r>
      <w:r>
        <w:rPr>
          <w:kern w:val="0"/>
        </w:rPr>
        <w:instrText xml:space="preserve"> INCLUDEPICTURE  "https://www.tdx.com.cn/products/helpfile/tdxw/chm/%E7%AC%AC%E5%85%AD%E7%AB%A0  %E5%9F%BA%E7%A1%80%E7%89%88%E5%8A%9F%E8%83%BD/6-13/2.png" \* MERGEFORMATINET </w:instrText>
      </w:r>
      <w:r>
        <w:rPr>
          <w:kern w:val="0"/>
        </w:rPr>
        <w:fldChar w:fldCharType="separate"/>
      </w:r>
      <w:r>
        <w:rPr>
          <w:kern w:val="0"/>
        </w:rPr>
        <w:fldChar w:fldCharType="begin"/>
      </w:r>
      <w:r>
        <w:rPr>
          <w:kern w:val="0"/>
        </w:rPr>
        <w:instrText xml:space="preserve"> INCLUDEPICTURE  "https://www.tdx.com.cn/products/helpfile/tdxw/chm/%E7%AC%AC%E5%85%AD%E7%AB%A0  %E5%9F%BA%E7%A1%80%E7%89%88%E5%8A%9F%E8%83%BD/6-13/2.png" \* MERGEFORMATINET </w:instrText>
      </w:r>
      <w:r>
        <w:rPr>
          <w:kern w:val="0"/>
        </w:rPr>
        <w:fldChar w:fldCharType="separate"/>
      </w:r>
      <w:r>
        <w:rPr>
          <w:kern w:val="0"/>
        </w:rPr>
        <w:drawing>
          <wp:inline distT="0" distB="0" distL="114300" distR="114300">
            <wp:extent cx="6877050" cy="1676400"/>
            <wp:effectExtent l="0" t="0" r="0" b="0"/>
            <wp:docPr id="534" name="图片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图片 534"/>
                    <pic:cNvPicPr>
                      <a:picLocks noChangeAspect="1"/>
                    </pic:cNvPicPr>
                  </pic:nvPicPr>
                  <pic:blipFill>
                    <a:blip r:embed="rId983" r:link="rId984"/>
                    <a:stretch>
                      <a:fillRect/>
                    </a:stretch>
                  </pic:blipFill>
                  <pic:spPr>
                    <a:xfrm>
                      <a:off x="0" y="0"/>
                      <a:ext cx="6877050" cy="1676400"/>
                    </a:xfrm>
                    <a:prstGeom prst="rect">
                      <a:avLst/>
                    </a:prstGeom>
                    <a:noFill/>
                    <a:ln>
                      <a:noFill/>
                    </a:ln>
                  </pic:spPr>
                </pic:pic>
              </a:graphicData>
            </a:graphic>
          </wp:inline>
        </w:drawing>
      </w:r>
      <w:r>
        <w:rPr>
          <w:kern w:val="0"/>
        </w:rPr>
        <w:fldChar w:fldCharType="end"/>
      </w:r>
      <w:r>
        <w:rPr>
          <w:kern w:val="0"/>
        </w:rPr>
        <w:fldChar w:fldCharType="end"/>
      </w:r>
      <w:r>
        <w:rPr>
          <w:kern w:val="0"/>
        </w:rPr>
        <w:fldChar w:fldCharType="end"/>
      </w:r>
      <w:r>
        <w:rPr>
          <w:kern w:val="0"/>
        </w:rPr>
        <w:fldChar w:fldCharType="end"/>
      </w:r>
    </w:p>
    <w:p>
      <w:pPr>
        <w:pStyle w:val="34"/>
        <w:ind w:firstLine="482"/>
        <w:rPr>
          <w:b/>
          <w:bCs/>
          <w:color w:val="FF0000"/>
          <w:kern w:val="0"/>
        </w:rPr>
      </w:pPr>
      <w:r>
        <w:rPr>
          <w:rFonts w:hint="eastAsia"/>
          <w:b/>
          <w:bCs/>
          <w:color w:val="FF0000"/>
          <w:kern w:val="0"/>
        </w:rPr>
        <w:t>系统定义数据：</w:t>
      </w:r>
    </w:p>
    <w:p>
      <w:pPr>
        <w:pStyle w:val="34"/>
        <w:rPr>
          <w:kern w:val="0"/>
        </w:rPr>
      </w:pPr>
      <w:r>
        <w:rPr>
          <w:rFonts w:hint="eastAsia"/>
          <w:kern w:val="0"/>
        </w:rPr>
        <w:t>可点击蓝框中的开始下载</w:t>
      </w:r>
    </w:p>
    <w:p>
      <w:pPr>
        <w:pStyle w:val="34"/>
        <w:ind w:firstLine="482"/>
        <w:rPr>
          <w:b/>
          <w:bCs/>
          <w:color w:val="FF0000"/>
          <w:kern w:val="0"/>
        </w:rPr>
      </w:pPr>
      <w:r>
        <w:rPr>
          <w:b/>
          <w:bCs/>
          <w:color w:val="FF0000"/>
          <w:kern w:val="0"/>
        </w:rPr>
        <w:fldChar w:fldCharType="begin"/>
      </w:r>
      <w:r>
        <w:rPr>
          <w:b/>
          <w:bCs/>
          <w:color w:val="FF0000"/>
          <w:kern w:val="0"/>
        </w:rPr>
        <w:instrText xml:space="preserve"> INCLUDEPICTURE  "https://www.tdx.com.cn/products/helpfile/tdxw/chm/%E7%AC%AC%E5%85%AD%E7%AB%A0  %E5%9F%BA%E7%A1%80%E7%89%88%E5%8A%9F%E8%83%BD/6-13/3.png" \* MERGEFORMATINET </w:instrText>
      </w:r>
      <w:r>
        <w:rPr>
          <w:b/>
          <w:bCs/>
          <w:color w:val="FF0000"/>
          <w:kern w:val="0"/>
        </w:rPr>
        <w:fldChar w:fldCharType="separate"/>
      </w:r>
      <w:r>
        <w:rPr>
          <w:b/>
          <w:bCs/>
          <w:color w:val="FF0000"/>
          <w:kern w:val="0"/>
        </w:rPr>
        <w:fldChar w:fldCharType="begin"/>
      </w:r>
      <w:r>
        <w:rPr>
          <w:b/>
          <w:bCs/>
          <w:color w:val="FF0000"/>
          <w:kern w:val="0"/>
        </w:rPr>
        <w:instrText xml:space="preserve"> INCLUDEPICTURE  "https://www.tdx.com.cn/products/helpfile/tdxw/chm/%E7%AC%AC%E5%85%AD%E7%AB%A0  %E5%9F%BA%E7%A1%80%E7%89%88%E5%8A%9F%E8%83%BD/6-13/3.png" \* MERGEFORMATINET </w:instrText>
      </w:r>
      <w:r>
        <w:rPr>
          <w:b/>
          <w:bCs/>
          <w:color w:val="FF0000"/>
          <w:kern w:val="0"/>
        </w:rPr>
        <w:fldChar w:fldCharType="separate"/>
      </w:r>
      <w:r>
        <w:rPr>
          <w:b/>
          <w:bCs/>
          <w:color w:val="FF0000"/>
          <w:kern w:val="0"/>
        </w:rPr>
        <w:fldChar w:fldCharType="begin"/>
      </w:r>
      <w:r>
        <w:rPr>
          <w:b/>
          <w:bCs/>
          <w:color w:val="FF0000"/>
          <w:kern w:val="0"/>
        </w:rPr>
        <w:instrText xml:space="preserve"> INCLUDEPICTURE  "https://www.tdx.com.cn/products/helpfile/tdxw/chm/%E7%AC%AC%E5%85%AD%E7%AB%A0  %E5%9F%BA%E7%A1%80%E7%89%88%E5%8A%9F%E8%83%BD/6-13/3.png" \* MERGEFORMATINET </w:instrText>
      </w:r>
      <w:r>
        <w:rPr>
          <w:b/>
          <w:bCs/>
          <w:color w:val="FF0000"/>
          <w:kern w:val="0"/>
        </w:rPr>
        <w:fldChar w:fldCharType="separate"/>
      </w:r>
      <w:r>
        <w:rPr>
          <w:b/>
          <w:bCs/>
          <w:color w:val="FF0000"/>
          <w:kern w:val="0"/>
        </w:rPr>
        <w:fldChar w:fldCharType="begin"/>
      </w:r>
      <w:r>
        <w:rPr>
          <w:b/>
          <w:bCs/>
          <w:color w:val="FF0000"/>
          <w:kern w:val="0"/>
        </w:rPr>
        <w:instrText xml:space="preserve"> INCLUDEPICTURE  "https://www.tdx.com.cn/products/helpfile/tdxw/chm/%E7%AC%AC%E5%85%AD%E7%AB%A0  %E5%9F%BA%E7%A1%80%E7%89%88%E5%8A%9F%E8%83%BD/6-13/3.png" \* MERGEFORMATINET </w:instrText>
      </w:r>
      <w:r>
        <w:rPr>
          <w:b/>
          <w:bCs/>
          <w:color w:val="FF0000"/>
          <w:kern w:val="0"/>
        </w:rPr>
        <w:fldChar w:fldCharType="separate"/>
      </w:r>
      <w:r>
        <w:rPr>
          <w:b/>
          <w:bCs/>
          <w:color w:val="FF0000"/>
          <w:kern w:val="0"/>
        </w:rPr>
        <w:drawing>
          <wp:inline distT="0" distB="0" distL="114300" distR="114300">
            <wp:extent cx="6162675" cy="4562475"/>
            <wp:effectExtent l="0" t="0" r="9525" b="9525"/>
            <wp:docPr id="535" name="图片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图片 535"/>
                    <pic:cNvPicPr>
                      <a:picLocks noChangeAspect="1"/>
                    </pic:cNvPicPr>
                  </pic:nvPicPr>
                  <pic:blipFill>
                    <a:blip r:embed="rId985" r:link="rId986"/>
                    <a:stretch>
                      <a:fillRect/>
                    </a:stretch>
                  </pic:blipFill>
                  <pic:spPr>
                    <a:xfrm>
                      <a:off x="0" y="0"/>
                      <a:ext cx="6162675" cy="4562475"/>
                    </a:xfrm>
                    <a:prstGeom prst="rect">
                      <a:avLst/>
                    </a:prstGeom>
                    <a:noFill/>
                    <a:ln>
                      <a:noFill/>
                    </a:ln>
                  </pic:spPr>
                </pic:pic>
              </a:graphicData>
            </a:graphic>
          </wp:inline>
        </w:drawing>
      </w:r>
      <w:r>
        <w:rPr>
          <w:b/>
          <w:bCs/>
          <w:color w:val="FF0000"/>
          <w:kern w:val="0"/>
        </w:rPr>
        <w:fldChar w:fldCharType="end"/>
      </w:r>
      <w:r>
        <w:rPr>
          <w:b/>
          <w:bCs/>
          <w:color w:val="FF0000"/>
          <w:kern w:val="0"/>
        </w:rPr>
        <w:fldChar w:fldCharType="end"/>
      </w:r>
      <w:r>
        <w:rPr>
          <w:b/>
          <w:bCs/>
          <w:color w:val="FF0000"/>
          <w:kern w:val="0"/>
        </w:rPr>
        <w:fldChar w:fldCharType="end"/>
      </w:r>
      <w:r>
        <w:rPr>
          <w:b/>
          <w:bCs/>
          <w:color w:val="FF0000"/>
          <w:kern w:val="0"/>
        </w:rPr>
        <w:fldChar w:fldCharType="end"/>
      </w:r>
    </w:p>
    <w:p>
      <w:pPr>
        <w:pStyle w:val="34"/>
        <w:rPr>
          <w:kern w:val="0"/>
        </w:rPr>
      </w:pPr>
      <w:r>
        <w:rPr>
          <w:rFonts w:hint="eastAsia"/>
          <w:kern w:val="0"/>
        </w:rPr>
        <w:t>下载完成后的</w:t>
      </w:r>
      <w:r>
        <w:rPr>
          <w:rFonts w:hint="eastAsia"/>
          <w:b/>
          <w:bCs/>
          <w:color w:val="FF0000"/>
          <w:kern w:val="0"/>
        </w:rPr>
        <w:t>使用方法</w:t>
      </w:r>
      <w:r>
        <w:rPr>
          <w:rFonts w:hint="eastAsia"/>
          <w:kern w:val="0"/>
        </w:rPr>
        <w:t>：</w:t>
      </w:r>
    </w:p>
    <w:p>
      <w:pPr>
        <w:pStyle w:val="34"/>
        <w:rPr>
          <w:kern w:val="0"/>
        </w:rPr>
      </w:pPr>
      <w:r>
        <w:rPr>
          <w:rFonts w:hint="eastAsia"/>
          <w:kern w:val="0"/>
        </w:rPr>
        <w:t>行情报价界面，栏目上点右键——插入自定义数据，可选择对应数据名称，如下图即选择概念及主题的展现形式。</w:t>
      </w:r>
    </w:p>
    <w:p>
      <w:pPr>
        <w:widowControl/>
        <w:spacing w:before="100" w:beforeAutospacing="1" w:after="100" w:afterAutospacing="1" w:line="240" w:lineRule="auto"/>
        <w:jc w:val="left"/>
        <w:rPr>
          <w:rFonts w:ascii="微软雅黑" w:hAnsi="微软雅黑" w:eastAsia="微软雅黑" w:cs="宋体"/>
          <w:b/>
          <w:bCs/>
          <w:color w:val="FF0000"/>
          <w:kern w:val="0"/>
          <w:sz w:val="18"/>
          <w:szCs w:val="18"/>
        </w:rPr>
      </w:pPr>
      <w:r>
        <w:rPr>
          <w:rFonts w:ascii="微软雅黑" w:hAnsi="微软雅黑" w:eastAsia="微软雅黑" w:cs="宋体"/>
          <w:b/>
          <w:bCs/>
          <w:color w:val="FF0000"/>
          <w:kern w:val="0"/>
          <w:sz w:val="18"/>
          <w:szCs w:val="18"/>
        </w:rPr>
        <w:fldChar w:fldCharType="begin"/>
      </w:r>
      <w:r>
        <w:rPr>
          <w:rFonts w:ascii="微软雅黑" w:hAnsi="微软雅黑" w:eastAsia="微软雅黑" w:cs="宋体"/>
          <w:b/>
          <w:bCs/>
          <w:color w:val="FF0000"/>
          <w:kern w:val="0"/>
          <w:sz w:val="18"/>
          <w:szCs w:val="18"/>
        </w:rPr>
        <w:instrText xml:space="preserve"> INCLUDEPICTURE  "https://www.tdx.com.cn/products/helpfile/tdxw/chm/%E7%AC%AC%E5%85%AD%E7%AB%A0  %E5%9F%BA%E7%A1%80%E7%89%88%E5%8A%9F%E8%83%BD/6-13/4.png" \* MERGEFORMATINET </w:instrText>
      </w:r>
      <w:r>
        <w:rPr>
          <w:rFonts w:ascii="微软雅黑" w:hAnsi="微软雅黑" w:eastAsia="微软雅黑" w:cs="宋体"/>
          <w:b/>
          <w:bCs/>
          <w:color w:val="FF0000"/>
          <w:kern w:val="0"/>
          <w:sz w:val="18"/>
          <w:szCs w:val="18"/>
        </w:rPr>
        <w:fldChar w:fldCharType="separate"/>
      </w:r>
      <w:r>
        <w:rPr>
          <w:rFonts w:ascii="微软雅黑" w:hAnsi="微软雅黑" w:eastAsia="微软雅黑" w:cs="宋体"/>
          <w:b/>
          <w:bCs/>
          <w:color w:val="FF0000"/>
          <w:kern w:val="0"/>
          <w:sz w:val="18"/>
          <w:szCs w:val="18"/>
        </w:rPr>
        <w:fldChar w:fldCharType="begin"/>
      </w:r>
      <w:r>
        <w:rPr>
          <w:rFonts w:ascii="微软雅黑" w:hAnsi="微软雅黑" w:eastAsia="微软雅黑" w:cs="宋体"/>
          <w:b/>
          <w:bCs/>
          <w:color w:val="FF0000"/>
          <w:kern w:val="0"/>
          <w:sz w:val="18"/>
          <w:szCs w:val="18"/>
        </w:rPr>
        <w:instrText xml:space="preserve"> INCLUDEPICTURE  "https://www.tdx.com.cn/products/helpfile/tdxw/chm/%E7%AC%AC%E5%85%AD%E7%AB%A0  %E5%9F%BA%E7%A1%80%E7%89%88%E5%8A%9F%E8%83%BD/6-13/4.png" \* MERGEFORMATINET </w:instrText>
      </w:r>
      <w:r>
        <w:rPr>
          <w:rFonts w:ascii="微软雅黑" w:hAnsi="微软雅黑" w:eastAsia="微软雅黑" w:cs="宋体"/>
          <w:b/>
          <w:bCs/>
          <w:color w:val="FF0000"/>
          <w:kern w:val="0"/>
          <w:sz w:val="18"/>
          <w:szCs w:val="18"/>
        </w:rPr>
        <w:fldChar w:fldCharType="separate"/>
      </w:r>
      <w:r>
        <w:rPr>
          <w:rFonts w:ascii="微软雅黑" w:hAnsi="微软雅黑" w:eastAsia="微软雅黑" w:cs="宋体"/>
          <w:b/>
          <w:bCs/>
          <w:color w:val="FF0000"/>
          <w:kern w:val="0"/>
          <w:sz w:val="18"/>
          <w:szCs w:val="18"/>
        </w:rPr>
        <w:fldChar w:fldCharType="begin"/>
      </w:r>
      <w:r>
        <w:rPr>
          <w:rFonts w:ascii="微软雅黑" w:hAnsi="微软雅黑" w:eastAsia="微软雅黑" w:cs="宋体"/>
          <w:b/>
          <w:bCs/>
          <w:color w:val="FF0000"/>
          <w:kern w:val="0"/>
          <w:sz w:val="18"/>
          <w:szCs w:val="18"/>
        </w:rPr>
        <w:instrText xml:space="preserve"> INCLUDEPICTURE  "https://www.tdx.com.cn/products/helpfile/tdxw/chm/%E7%AC%AC%E5%85%AD%E7%AB%A0  %E5%9F%BA%E7%A1%80%E7%89%88%E5%8A%9F%E8%83%BD/6-13/4.png" \* MERGEFORMATINET </w:instrText>
      </w:r>
      <w:r>
        <w:rPr>
          <w:rFonts w:ascii="微软雅黑" w:hAnsi="微软雅黑" w:eastAsia="微软雅黑" w:cs="宋体"/>
          <w:b/>
          <w:bCs/>
          <w:color w:val="FF0000"/>
          <w:kern w:val="0"/>
          <w:sz w:val="18"/>
          <w:szCs w:val="18"/>
        </w:rPr>
        <w:fldChar w:fldCharType="separate"/>
      </w:r>
      <w:r>
        <w:rPr>
          <w:rFonts w:ascii="微软雅黑" w:hAnsi="微软雅黑" w:eastAsia="微软雅黑" w:cs="宋体"/>
          <w:b/>
          <w:bCs/>
          <w:color w:val="FF0000"/>
          <w:kern w:val="0"/>
          <w:sz w:val="18"/>
          <w:szCs w:val="18"/>
        </w:rPr>
        <w:fldChar w:fldCharType="begin"/>
      </w:r>
      <w:r>
        <w:rPr>
          <w:rFonts w:ascii="微软雅黑" w:hAnsi="微软雅黑" w:eastAsia="微软雅黑" w:cs="宋体"/>
          <w:b/>
          <w:bCs/>
          <w:color w:val="FF0000"/>
          <w:kern w:val="0"/>
          <w:sz w:val="18"/>
          <w:szCs w:val="18"/>
        </w:rPr>
        <w:instrText xml:space="preserve"> INCLUDEPICTURE  "https://www.tdx.com.cn/products/helpfile/tdxw/chm/%E7%AC%AC%E5%85%AD%E7%AB%A0  %E5%9F%BA%E7%A1%80%E7%89%88%E5%8A%9F%E8%83%BD/6-13/4.png" \* MERGEFORMATINET </w:instrText>
      </w:r>
      <w:r>
        <w:rPr>
          <w:rFonts w:ascii="微软雅黑" w:hAnsi="微软雅黑" w:eastAsia="微软雅黑" w:cs="宋体"/>
          <w:b/>
          <w:bCs/>
          <w:color w:val="FF0000"/>
          <w:kern w:val="0"/>
          <w:sz w:val="18"/>
          <w:szCs w:val="18"/>
        </w:rPr>
        <w:fldChar w:fldCharType="separate"/>
      </w:r>
      <w:r>
        <w:rPr>
          <w:rFonts w:ascii="微软雅黑" w:hAnsi="微软雅黑" w:eastAsia="微软雅黑" w:cs="宋体"/>
          <w:b/>
          <w:bCs/>
          <w:color w:val="FF0000"/>
          <w:kern w:val="0"/>
          <w:sz w:val="18"/>
          <w:szCs w:val="18"/>
        </w:rPr>
        <w:drawing>
          <wp:inline distT="0" distB="0" distL="114300" distR="114300">
            <wp:extent cx="6248400" cy="2466975"/>
            <wp:effectExtent l="0" t="0" r="0" b="9525"/>
            <wp:docPr id="536" name="图片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图片 536"/>
                    <pic:cNvPicPr>
                      <a:picLocks noChangeAspect="1"/>
                    </pic:cNvPicPr>
                  </pic:nvPicPr>
                  <pic:blipFill>
                    <a:blip r:embed="rId987" r:link="rId988"/>
                    <a:stretch>
                      <a:fillRect/>
                    </a:stretch>
                  </pic:blipFill>
                  <pic:spPr>
                    <a:xfrm>
                      <a:off x="0" y="0"/>
                      <a:ext cx="6248400" cy="2466975"/>
                    </a:xfrm>
                    <a:prstGeom prst="rect">
                      <a:avLst/>
                    </a:prstGeom>
                    <a:noFill/>
                    <a:ln>
                      <a:noFill/>
                    </a:ln>
                  </pic:spPr>
                </pic:pic>
              </a:graphicData>
            </a:graphic>
          </wp:inline>
        </w:drawing>
      </w:r>
      <w:r>
        <w:rPr>
          <w:rFonts w:ascii="微软雅黑" w:hAnsi="微软雅黑" w:eastAsia="微软雅黑" w:cs="宋体"/>
          <w:b/>
          <w:bCs/>
          <w:color w:val="FF0000"/>
          <w:kern w:val="0"/>
          <w:sz w:val="18"/>
          <w:szCs w:val="18"/>
        </w:rPr>
        <w:fldChar w:fldCharType="end"/>
      </w:r>
      <w:r>
        <w:rPr>
          <w:rFonts w:ascii="微软雅黑" w:hAnsi="微软雅黑" w:eastAsia="微软雅黑" w:cs="宋体"/>
          <w:b/>
          <w:bCs/>
          <w:color w:val="FF0000"/>
          <w:kern w:val="0"/>
          <w:sz w:val="18"/>
          <w:szCs w:val="18"/>
        </w:rPr>
        <w:fldChar w:fldCharType="end"/>
      </w:r>
      <w:r>
        <w:rPr>
          <w:rFonts w:ascii="微软雅黑" w:hAnsi="微软雅黑" w:eastAsia="微软雅黑" w:cs="宋体"/>
          <w:b/>
          <w:bCs/>
          <w:color w:val="FF0000"/>
          <w:kern w:val="0"/>
          <w:sz w:val="18"/>
          <w:szCs w:val="18"/>
        </w:rPr>
        <w:fldChar w:fldCharType="end"/>
      </w:r>
      <w:r>
        <w:rPr>
          <w:rFonts w:ascii="微软雅黑" w:hAnsi="微软雅黑" w:eastAsia="微软雅黑" w:cs="宋体"/>
          <w:b/>
          <w:bCs/>
          <w:color w:val="FF0000"/>
          <w:kern w:val="0"/>
          <w:sz w:val="18"/>
          <w:szCs w:val="18"/>
        </w:rPr>
        <w:fldChar w:fldCharType="end"/>
      </w:r>
      <w:r>
        <w:rPr>
          <w:rFonts w:ascii="微软雅黑" w:hAnsi="微软雅黑" w:eastAsia="微软雅黑" w:cs="宋体"/>
          <w:b/>
          <w:bCs/>
          <w:color w:val="FF0000"/>
          <w:kern w:val="0"/>
          <w:sz w:val="18"/>
          <w:szCs w:val="18"/>
        </w:rPr>
        <w:fldChar w:fldCharType="begin"/>
      </w:r>
      <w:r>
        <w:rPr>
          <w:rFonts w:ascii="微软雅黑" w:hAnsi="微软雅黑" w:eastAsia="微软雅黑" w:cs="宋体"/>
          <w:b/>
          <w:bCs/>
          <w:color w:val="FF0000"/>
          <w:kern w:val="0"/>
          <w:sz w:val="18"/>
          <w:szCs w:val="18"/>
        </w:rPr>
        <w:instrText xml:space="preserve"> INCLUDEPICTURE  "https://www.tdx.com.cn/products/helpfile/tdxw/chm/%E7%AC%AC%E5%85%AD%E7%AB%A0  %E5%9F%BA%E7%A1%80%E7%89%88%E5%8A%9F%E8%83%BD/6-13/5.png" \* MERGEFORMATINET </w:instrText>
      </w:r>
      <w:r>
        <w:rPr>
          <w:rFonts w:ascii="微软雅黑" w:hAnsi="微软雅黑" w:eastAsia="微软雅黑" w:cs="宋体"/>
          <w:b/>
          <w:bCs/>
          <w:color w:val="FF0000"/>
          <w:kern w:val="0"/>
          <w:sz w:val="18"/>
          <w:szCs w:val="18"/>
        </w:rPr>
        <w:fldChar w:fldCharType="separate"/>
      </w:r>
      <w:r>
        <w:rPr>
          <w:rFonts w:ascii="微软雅黑" w:hAnsi="微软雅黑" w:eastAsia="微软雅黑" w:cs="宋体"/>
          <w:b/>
          <w:bCs/>
          <w:color w:val="FF0000"/>
          <w:kern w:val="0"/>
          <w:sz w:val="18"/>
          <w:szCs w:val="18"/>
        </w:rPr>
        <w:fldChar w:fldCharType="begin"/>
      </w:r>
      <w:r>
        <w:rPr>
          <w:rFonts w:ascii="微软雅黑" w:hAnsi="微软雅黑" w:eastAsia="微软雅黑" w:cs="宋体"/>
          <w:b/>
          <w:bCs/>
          <w:color w:val="FF0000"/>
          <w:kern w:val="0"/>
          <w:sz w:val="18"/>
          <w:szCs w:val="18"/>
        </w:rPr>
        <w:instrText xml:space="preserve"> INCLUDEPICTURE  "https://www.tdx.com.cn/products/helpfile/tdxw/chm/%E7%AC%AC%E5%85%AD%E7%AB%A0  %E5%9F%BA%E7%A1%80%E7%89%88%E5%8A%9F%E8%83%BD/6-13/5.png" \* MERGEFORMATINET </w:instrText>
      </w:r>
      <w:r>
        <w:rPr>
          <w:rFonts w:ascii="微软雅黑" w:hAnsi="微软雅黑" w:eastAsia="微软雅黑" w:cs="宋体"/>
          <w:b/>
          <w:bCs/>
          <w:color w:val="FF0000"/>
          <w:kern w:val="0"/>
          <w:sz w:val="18"/>
          <w:szCs w:val="18"/>
        </w:rPr>
        <w:fldChar w:fldCharType="separate"/>
      </w:r>
      <w:r>
        <w:rPr>
          <w:rFonts w:ascii="微软雅黑" w:hAnsi="微软雅黑" w:eastAsia="微软雅黑" w:cs="宋体"/>
          <w:b/>
          <w:bCs/>
          <w:color w:val="FF0000"/>
          <w:kern w:val="0"/>
          <w:sz w:val="18"/>
          <w:szCs w:val="18"/>
        </w:rPr>
        <w:fldChar w:fldCharType="begin"/>
      </w:r>
      <w:r>
        <w:rPr>
          <w:rFonts w:ascii="微软雅黑" w:hAnsi="微软雅黑" w:eastAsia="微软雅黑" w:cs="宋体"/>
          <w:b/>
          <w:bCs/>
          <w:color w:val="FF0000"/>
          <w:kern w:val="0"/>
          <w:sz w:val="18"/>
          <w:szCs w:val="18"/>
        </w:rPr>
        <w:instrText xml:space="preserve"> INCLUDEPICTURE  "https://www.tdx.com.cn/products/helpfile/tdxw/chm/%E7%AC%AC%E5%85%AD%E7%AB%A0  %E5%9F%BA%E7%A1%80%E7%89%88%E5%8A%9F%E8%83%BD/6-13/5.png" \* MERGEFORMATINET </w:instrText>
      </w:r>
      <w:r>
        <w:rPr>
          <w:rFonts w:ascii="微软雅黑" w:hAnsi="微软雅黑" w:eastAsia="微软雅黑" w:cs="宋体"/>
          <w:b/>
          <w:bCs/>
          <w:color w:val="FF0000"/>
          <w:kern w:val="0"/>
          <w:sz w:val="18"/>
          <w:szCs w:val="18"/>
        </w:rPr>
        <w:fldChar w:fldCharType="separate"/>
      </w:r>
      <w:r>
        <w:rPr>
          <w:rFonts w:ascii="微软雅黑" w:hAnsi="微软雅黑" w:eastAsia="微软雅黑" w:cs="宋体"/>
          <w:b/>
          <w:bCs/>
          <w:color w:val="FF0000"/>
          <w:kern w:val="0"/>
          <w:sz w:val="18"/>
          <w:szCs w:val="18"/>
        </w:rPr>
        <w:fldChar w:fldCharType="begin"/>
      </w:r>
      <w:r>
        <w:rPr>
          <w:rFonts w:ascii="微软雅黑" w:hAnsi="微软雅黑" w:eastAsia="微软雅黑" w:cs="宋体"/>
          <w:b/>
          <w:bCs/>
          <w:color w:val="FF0000"/>
          <w:kern w:val="0"/>
          <w:sz w:val="18"/>
          <w:szCs w:val="18"/>
        </w:rPr>
        <w:instrText xml:space="preserve"> INCLUDEPICTURE  "https://www.tdx.com.cn/products/helpfile/tdxw/chm/%E7%AC%AC%E5%85%AD%E7%AB%A0  %E5%9F%BA%E7%A1%80%E7%89%88%E5%8A%9F%E8%83%BD/6-13/5.png" \* MERGEFORMATINET </w:instrText>
      </w:r>
      <w:r>
        <w:rPr>
          <w:rFonts w:ascii="微软雅黑" w:hAnsi="微软雅黑" w:eastAsia="微软雅黑" w:cs="宋体"/>
          <w:b/>
          <w:bCs/>
          <w:color w:val="FF0000"/>
          <w:kern w:val="0"/>
          <w:sz w:val="18"/>
          <w:szCs w:val="18"/>
        </w:rPr>
        <w:fldChar w:fldCharType="separate"/>
      </w:r>
      <w:r>
        <w:rPr>
          <w:rFonts w:ascii="微软雅黑" w:hAnsi="微软雅黑" w:eastAsia="微软雅黑" w:cs="宋体"/>
          <w:b/>
          <w:bCs/>
          <w:color w:val="FF0000"/>
          <w:kern w:val="0"/>
          <w:sz w:val="18"/>
          <w:szCs w:val="18"/>
        </w:rPr>
        <w:drawing>
          <wp:inline distT="0" distB="0" distL="114300" distR="114300">
            <wp:extent cx="5638800" cy="4162425"/>
            <wp:effectExtent l="0" t="0" r="0" b="9525"/>
            <wp:docPr id="537" name="图片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图片 537"/>
                    <pic:cNvPicPr>
                      <a:picLocks noChangeAspect="1"/>
                    </pic:cNvPicPr>
                  </pic:nvPicPr>
                  <pic:blipFill>
                    <a:blip r:embed="rId989" r:link="rId990"/>
                    <a:stretch>
                      <a:fillRect/>
                    </a:stretch>
                  </pic:blipFill>
                  <pic:spPr>
                    <a:xfrm>
                      <a:off x="0" y="0"/>
                      <a:ext cx="5638800" cy="4162425"/>
                    </a:xfrm>
                    <a:prstGeom prst="rect">
                      <a:avLst/>
                    </a:prstGeom>
                    <a:noFill/>
                    <a:ln>
                      <a:noFill/>
                    </a:ln>
                  </pic:spPr>
                </pic:pic>
              </a:graphicData>
            </a:graphic>
          </wp:inline>
        </w:drawing>
      </w:r>
      <w:r>
        <w:rPr>
          <w:rFonts w:ascii="微软雅黑" w:hAnsi="微软雅黑" w:eastAsia="微软雅黑" w:cs="宋体"/>
          <w:b/>
          <w:bCs/>
          <w:color w:val="FF0000"/>
          <w:kern w:val="0"/>
          <w:sz w:val="18"/>
          <w:szCs w:val="18"/>
        </w:rPr>
        <w:fldChar w:fldCharType="end"/>
      </w:r>
      <w:r>
        <w:rPr>
          <w:rFonts w:ascii="微软雅黑" w:hAnsi="微软雅黑" w:eastAsia="微软雅黑" w:cs="宋体"/>
          <w:b/>
          <w:bCs/>
          <w:color w:val="FF0000"/>
          <w:kern w:val="0"/>
          <w:sz w:val="18"/>
          <w:szCs w:val="18"/>
        </w:rPr>
        <w:fldChar w:fldCharType="end"/>
      </w:r>
      <w:r>
        <w:rPr>
          <w:rFonts w:ascii="微软雅黑" w:hAnsi="微软雅黑" w:eastAsia="微软雅黑" w:cs="宋体"/>
          <w:b/>
          <w:bCs/>
          <w:color w:val="FF0000"/>
          <w:kern w:val="0"/>
          <w:sz w:val="18"/>
          <w:szCs w:val="18"/>
        </w:rPr>
        <w:fldChar w:fldCharType="end"/>
      </w:r>
      <w:r>
        <w:rPr>
          <w:rFonts w:ascii="微软雅黑" w:hAnsi="微软雅黑" w:eastAsia="微软雅黑" w:cs="宋体"/>
          <w:b/>
          <w:bCs/>
          <w:color w:val="FF0000"/>
          <w:kern w:val="0"/>
          <w:sz w:val="18"/>
          <w:szCs w:val="18"/>
        </w:rPr>
        <w:fldChar w:fldCharType="end"/>
      </w:r>
      <w:r>
        <w:rPr>
          <w:rFonts w:ascii="微软雅黑" w:hAnsi="微软雅黑" w:eastAsia="微软雅黑" w:cs="宋体"/>
          <w:b/>
          <w:bCs/>
          <w:color w:val="FF0000"/>
          <w:kern w:val="0"/>
          <w:sz w:val="18"/>
          <w:szCs w:val="18"/>
        </w:rPr>
        <w:fldChar w:fldCharType="begin"/>
      </w:r>
      <w:r>
        <w:rPr>
          <w:rFonts w:ascii="微软雅黑" w:hAnsi="微软雅黑" w:eastAsia="微软雅黑" w:cs="宋体"/>
          <w:b/>
          <w:bCs/>
          <w:color w:val="FF0000"/>
          <w:kern w:val="0"/>
          <w:sz w:val="18"/>
          <w:szCs w:val="18"/>
        </w:rPr>
        <w:instrText xml:space="preserve"> INCLUDEPICTURE  "https://www.tdx.com.cn/products/helpfile/tdxw/chm/%E7%AC%AC%E5%85%AD%E7%AB%A0  %E5%9F%BA%E7%A1%80%E7%89%88%E5%8A%9F%E8%83%BD/6-13/6.png" \* MERGEFORMATINET </w:instrText>
      </w:r>
      <w:r>
        <w:rPr>
          <w:rFonts w:ascii="微软雅黑" w:hAnsi="微软雅黑" w:eastAsia="微软雅黑" w:cs="宋体"/>
          <w:b/>
          <w:bCs/>
          <w:color w:val="FF0000"/>
          <w:kern w:val="0"/>
          <w:sz w:val="18"/>
          <w:szCs w:val="18"/>
        </w:rPr>
        <w:fldChar w:fldCharType="separate"/>
      </w:r>
      <w:r>
        <w:rPr>
          <w:rFonts w:ascii="微软雅黑" w:hAnsi="微软雅黑" w:eastAsia="微软雅黑" w:cs="宋体"/>
          <w:b/>
          <w:bCs/>
          <w:color w:val="FF0000"/>
          <w:kern w:val="0"/>
          <w:sz w:val="18"/>
          <w:szCs w:val="18"/>
        </w:rPr>
        <w:fldChar w:fldCharType="begin"/>
      </w:r>
      <w:r>
        <w:rPr>
          <w:rFonts w:ascii="微软雅黑" w:hAnsi="微软雅黑" w:eastAsia="微软雅黑" w:cs="宋体"/>
          <w:b/>
          <w:bCs/>
          <w:color w:val="FF0000"/>
          <w:kern w:val="0"/>
          <w:sz w:val="18"/>
          <w:szCs w:val="18"/>
        </w:rPr>
        <w:instrText xml:space="preserve"> INCLUDEPICTURE  "https://www.tdx.com.cn/products/helpfile/tdxw/chm/%E7%AC%AC%E5%85%AD%E7%AB%A0  %E5%9F%BA%E7%A1%80%E7%89%88%E5%8A%9F%E8%83%BD/6-13/6.png" \* MERGEFORMATINET </w:instrText>
      </w:r>
      <w:r>
        <w:rPr>
          <w:rFonts w:ascii="微软雅黑" w:hAnsi="微软雅黑" w:eastAsia="微软雅黑" w:cs="宋体"/>
          <w:b/>
          <w:bCs/>
          <w:color w:val="FF0000"/>
          <w:kern w:val="0"/>
          <w:sz w:val="18"/>
          <w:szCs w:val="18"/>
        </w:rPr>
        <w:fldChar w:fldCharType="separate"/>
      </w:r>
      <w:r>
        <w:rPr>
          <w:rFonts w:ascii="微软雅黑" w:hAnsi="微软雅黑" w:eastAsia="微软雅黑" w:cs="宋体"/>
          <w:b/>
          <w:bCs/>
          <w:color w:val="FF0000"/>
          <w:kern w:val="0"/>
          <w:sz w:val="18"/>
          <w:szCs w:val="18"/>
        </w:rPr>
        <w:fldChar w:fldCharType="begin"/>
      </w:r>
      <w:r>
        <w:rPr>
          <w:rFonts w:ascii="微软雅黑" w:hAnsi="微软雅黑" w:eastAsia="微软雅黑" w:cs="宋体"/>
          <w:b/>
          <w:bCs/>
          <w:color w:val="FF0000"/>
          <w:kern w:val="0"/>
          <w:sz w:val="18"/>
          <w:szCs w:val="18"/>
        </w:rPr>
        <w:instrText xml:space="preserve"> INCLUDEPICTURE  "https://www.tdx.com.cn/products/helpfile/tdxw/chm/%E7%AC%AC%E5%85%AD%E7%AB%A0  %E5%9F%BA%E7%A1%80%E7%89%88%E5%8A%9F%E8%83%BD/6-13/6.png" \* MERGEFORMATINET </w:instrText>
      </w:r>
      <w:r>
        <w:rPr>
          <w:rFonts w:ascii="微软雅黑" w:hAnsi="微软雅黑" w:eastAsia="微软雅黑" w:cs="宋体"/>
          <w:b/>
          <w:bCs/>
          <w:color w:val="FF0000"/>
          <w:kern w:val="0"/>
          <w:sz w:val="18"/>
          <w:szCs w:val="18"/>
        </w:rPr>
        <w:fldChar w:fldCharType="separate"/>
      </w:r>
      <w:r>
        <w:rPr>
          <w:rFonts w:ascii="微软雅黑" w:hAnsi="微软雅黑" w:eastAsia="微软雅黑" w:cs="宋体"/>
          <w:b/>
          <w:bCs/>
          <w:color w:val="FF0000"/>
          <w:kern w:val="0"/>
          <w:sz w:val="18"/>
          <w:szCs w:val="18"/>
        </w:rPr>
        <w:fldChar w:fldCharType="begin"/>
      </w:r>
      <w:r>
        <w:rPr>
          <w:rFonts w:ascii="微软雅黑" w:hAnsi="微软雅黑" w:eastAsia="微软雅黑" w:cs="宋体"/>
          <w:b/>
          <w:bCs/>
          <w:color w:val="FF0000"/>
          <w:kern w:val="0"/>
          <w:sz w:val="18"/>
          <w:szCs w:val="18"/>
        </w:rPr>
        <w:instrText xml:space="preserve"> INCLUDEPICTURE  "https://www.tdx.com.cn/products/helpfile/tdxw/chm/%E7%AC%AC%E5%85%AD%E7%AB%A0  %E5%9F%BA%E7%A1%80%E7%89%88%E5%8A%9F%E8%83%BD/6-13/6.png" \* MERGEFORMATINET </w:instrText>
      </w:r>
      <w:r>
        <w:rPr>
          <w:rFonts w:ascii="微软雅黑" w:hAnsi="微软雅黑" w:eastAsia="微软雅黑" w:cs="宋体"/>
          <w:b/>
          <w:bCs/>
          <w:color w:val="FF0000"/>
          <w:kern w:val="0"/>
          <w:sz w:val="18"/>
          <w:szCs w:val="18"/>
        </w:rPr>
        <w:fldChar w:fldCharType="separate"/>
      </w:r>
      <w:r>
        <w:rPr>
          <w:rFonts w:ascii="微软雅黑" w:hAnsi="微软雅黑" w:eastAsia="微软雅黑" w:cs="宋体"/>
          <w:b/>
          <w:bCs/>
          <w:color w:val="FF0000"/>
          <w:kern w:val="0"/>
          <w:sz w:val="18"/>
          <w:szCs w:val="18"/>
        </w:rPr>
        <w:drawing>
          <wp:inline distT="0" distB="0" distL="114300" distR="114300">
            <wp:extent cx="8324850" cy="3333750"/>
            <wp:effectExtent l="0" t="0" r="0" b="0"/>
            <wp:docPr id="538" name="图片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图片 538"/>
                    <pic:cNvPicPr>
                      <a:picLocks noChangeAspect="1"/>
                    </pic:cNvPicPr>
                  </pic:nvPicPr>
                  <pic:blipFill>
                    <a:blip r:embed="rId991" r:link="rId992"/>
                    <a:stretch>
                      <a:fillRect/>
                    </a:stretch>
                  </pic:blipFill>
                  <pic:spPr>
                    <a:xfrm>
                      <a:off x="0" y="0"/>
                      <a:ext cx="8324850" cy="3333750"/>
                    </a:xfrm>
                    <a:prstGeom prst="rect">
                      <a:avLst/>
                    </a:prstGeom>
                    <a:noFill/>
                    <a:ln>
                      <a:noFill/>
                    </a:ln>
                  </pic:spPr>
                </pic:pic>
              </a:graphicData>
            </a:graphic>
          </wp:inline>
        </w:drawing>
      </w:r>
      <w:r>
        <w:rPr>
          <w:rFonts w:ascii="微软雅黑" w:hAnsi="微软雅黑" w:eastAsia="微软雅黑" w:cs="宋体"/>
          <w:b/>
          <w:bCs/>
          <w:color w:val="FF0000"/>
          <w:kern w:val="0"/>
          <w:sz w:val="18"/>
          <w:szCs w:val="18"/>
        </w:rPr>
        <w:fldChar w:fldCharType="end"/>
      </w:r>
      <w:r>
        <w:rPr>
          <w:rFonts w:ascii="微软雅黑" w:hAnsi="微软雅黑" w:eastAsia="微软雅黑" w:cs="宋体"/>
          <w:b/>
          <w:bCs/>
          <w:color w:val="FF0000"/>
          <w:kern w:val="0"/>
          <w:sz w:val="18"/>
          <w:szCs w:val="18"/>
        </w:rPr>
        <w:fldChar w:fldCharType="end"/>
      </w:r>
      <w:r>
        <w:rPr>
          <w:rFonts w:ascii="微软雅黑" w:hAnsi="微软雅黑" w:eastAsia="微软雅黑" w:cs="宋体"/>
          <w:b/>
          <w:bCs/>
          <w:color w:val="FF0000"/>
          <w:kern w:val="0"/>
          <w:sz w:val="18"/>
          <w:szCs w:val="18"/>
        </w:rPr>
        <w:fldChar w:fldCharType="end"/>
      </w:r>
      <w:r>
        <w:rPr>
          <w:rFonts w:ascii="微软雅黑" w:hAnsi="微软雅黑" w:eastAsia="微软雅黑" w:cs="宋体"/>
          <w:b/>
          <w:bCs/>
          <w:color w:val="FF0000"/>
          <w:kern w:val="0"/>
          <w:sz w:val="18"/>
          <w:szCs w:val="18"/>
        </w:rPr>
        <w:fldChar w:fldCharType="end"/>
      </w:r>
    </w:p>
    <w:p>
      <w:pPr>
        <w:pStyle w:val="3"/>
      </w:pPr>
      <w:r>
        <w:rPr>
          <w:rFonts w:hint="eastAsia"/>
        </w:rPr>
        <w:t>主力资金</w:t>
      </w:r>
    </w:p>
    <w:p>
      <w:pPr>
        <w:pStyle w:val="34"/>
      </w:pPr>
      <w:r>
        <w:rPr>
          <w:rFonts w:hint="eastAsia"/>
          <w:szCs w:val="18"/>
        </w:rPr>
        <w:t>主力资金直观展示强势主力和主买资金流入 及 资金背离符合条件的品种。</w:t>
      </w:r>
    </w:p>
    <w:p>
      <w:pPr>
        <w:pStyle w:val="34"/>
        <w:rPr>
          <w:szCs w:val="18"/>
        </w:rPr>
      </w:pPr>
      <w:r>
        <w:rPr>
          <w:szCs w:val="18"/>
        </w:rPr>
        <w:fldChar w:fldCharType="begin"/>
      </w:r>
      <w:r>
        <w:rPr>
          <w:szCs w:val="18"/>
        </w:rPr>
        <w:instrText xml:space="preserve"> INCLUDEPICTURE  "https://www.tdx.com.cn/products/helpfile/tdxw/chm/%E7%AC%AC%E5%85%AD%E7%AB%A0  %E5%9F%BA%E7%A1%80%E7%89%88%E5%8A%9F%E8%83%BD/6-14/6-14/1.png" \* MERGEFORMATINET </w:instrText>
      </w:r>
      <w:r>
        <w:rPr>
          <w:szCs w:val="18"/>
        </w:rPr>
        <w:fldChar w:fldCharType="separate"/>
      </w:r>
      <w:r>
        <w:rPr>
          <w:szCs w:val="18"/>
        </w:rPr>
        <w:fldChar w:fldCharType="begin"/>
      </w:r>
      <w:r>
        <w:rPr>
          <w:szCs w:val="18"/>
        </w:rPr>
        <w:instrText xml:space="preserve"> INCLUDEPICTURE  "https://www.tdx.com.cn/products/helpfile/tdxw/chm/%E7%AC%AC%E5%85%AD%E7%AB%A0  %E5%9F%BA%E7%A1%80%E7%89%88%E5%8A%9F%E8%83%BD/6-14/6-14/1.png" \* MERGEFORMATINET </w:instrText>
      </w:r>
      <w:r>
        <w:rPr>
          <w:szCs w:val="18"/>
        </w:rPr>
        <w:fldChar w:fldCharType="separate"/>
      </w:r>
      <w:r>
        <w:rPr>
          <w:szCs w:val="18"/>
        </w:rPr>
        <w:fldChar w:fldCharType="begin"/>
      </w:r>
      <w:r>
        <w:rPr>
          <w:szCs w:val="18"/>
        </w:rPr>
        <w:instrText xml:space="preserve"> INCLUDEPICTURE  "https://www.tdx.com.cn/products/helpfile/tdxw/chm/%E7%AC%AC%E5%85%AD%E7%AB%A0  %E5%9F%BA%E7%A1%80%E7%89%88%E5%8A%9F%E8%83%BD/6-14/6-14/1.png" \* MERGEFORMATINET </w:instrText>
      </w:r>
      <w:r>
        <w:rPr>
          <w:szCs w:val="18"/>
        </w:rPr>
        <w:fldChar w:fldCharType="separate"/>
      </w:r>
      <w:r>
        <w:rPr>
          <w:szCs w:val="18"/>
        </w:rPr>
        <w:fldChar w:fldCharType="begin"/>
      </w:r>
      <w:r>
        <w:rPr>
          <w:szCs w:val="18"/>
        </w:rPr>
        <w:instrText xml:space="preserve"> INCLUDEPICTURE  "https://www.tdx.com.cn/products/helpfile/tdxw/chm/%E7%AC%AC%E5%85%AD%E7%AB%A0  %E5%9F%BA%E7%A1%80%E7%89%88%E5%8A%9F%E8%83%BD/6-14/6-14/1.png" \* MERGEFORMATINET </w:instrText>
      </w:r>
      <w:r>
        <w:rPr>
          <w:szCs w:val="18"/>
        </w:rPr>
        <w:fldChar w:fldCharType="separate"/>
      </w:r>
      <w:r>
        <w:rPr>
          <w:szCs w:val="18"/>
        </w:rPr>
        <w:drawing>
          <wp:inline distT="0" distB="0" distL="114300" distR="114300">
            <wp:extent cx="7010400" cy="5476875"/>
            <wp:effectExtent l="0" t="0" r="0" b="9525"/>
            <wp:docPr id="539" name="图片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图片 539"/>
                    <pic:cNvPicPr>
                      <a:picLocks noChangeAspect="1"/>
                    </pic:cNvPicPr>
                  </pic:nvPicPr>
                  <pic:blipFill>
                    <a:blip r:embed="rId993" r:link="rId994"/>
                    <a:stretch>
                      <a:fillRect/>
                    </a:stretch>
                  </pic:blipFill>
                  <pic:spPr>
                    <a:xfrm>
                      <a:off x="0" y="0"/>
                      <a:ext cx="7010400" cy="5476875"/>
                    </a:xfrm>
                    <a:prstGeom prst="rect">
                      <a:avLst/>
                    </a:prstGeom>
                    <a:noFill/>
                    <a:ln>
                      <a:noFill/>
                    </a:ln>
                  </pic:spPr>
                </pic:pic>
              </a:graphicData>
            </a:graphic>
          </wp:inline>
        </w:drawing>
      </w:r>
      <w:r>
        <w:rPr>
          <w:szCs w:val="18"/>
        </w:rPr>
        <w:fldChar w:fldCharType="end"/>
      </w:r>
      <w:r>
        <w:rPr>
          <w:szCs w:val="18"/>
        </w:rPr>
        <w:fldChar w:fldCharType="end"/>
      </w:r>
      <w:r>
        <w:rPr>
          <w:szCs w:val="18"/>
        </w:rPr>
        <w:fldChar w:fldCharType="end"/>
      </w:r>
      <w:r>
        <w:rPr>
          <w:szCs w:val="18"/>
        </w:rPr>
        <w:fldChar w:fldCharType="end"/>
      </w:r>
    </w:p>
    <w:p>
      <w:pPr>
        <w:pStyle w:val="34"/>
        <w:rPr>
          <w:szCs w:val="18"/>
        </w:rPr>
      </w:pPr>
      <w:r>
        <w:rPr>
          <w:rFonts w:hint="eastAsia"/>
          <w:szCs w:val="18"/>
        </w:rPr>
        <w:t>强势主力资金流入：主力净额超过2000万元</w:t>
      </w:r>
    </w:p>
    <w:p>
      <w:pPr>
        <w:pStyle w:val="34"/>
        <w:rPr>
          <w:szCs w:val="18"/>
        </w:rPr>
      </w:pPr>
      <w:r>
        <w:rPr>
          <w:rFonts w:hint="eastAsia"/>
          <w:szCs w:val="18"/>
        </w:rPr>
        <w:t>强势主买资金流入：主买净额超过5000万元</w:t>
      </w:r>
    </w:p>
    <w:p>
      <w:pPr>
        <w:pStyle w:val="34"/>
        <w:rPr>
          <w:szCs w:val="18"/>
        </w:rPr>
      </w:pPr>
      <w:r>
        <w:rPr>
          <w:rFonts w:hint="eastAsia"/>
          <w:szCs w:val="18"/>
        </w:rPr>
        <w:t>下跌＆主力资金流入：涨幅小于-1%，但主力净额超过2000万元</w:t>
      </w:r>
    </w:p>
    <w:p>
      <w:pPr>
        <w:pStyle w:val="34"/>
        <w:rPr>
          <w:szCs w:val="18"/>
        </w:rPr>
      </w:pPr>
      <w:r>
        <w:rPr>
          <w:rFonts w:hint="eastAsia"/>
          <w:szCs w:val="18"/>
        </w:rPr>
        <w:t>上涨＆主力资金流出：涨幅大于1%，但主力净额少于-2000万元</w:t>
      </w:r>
    </w:p>
    <w:p>
      <w:pPr>
        <w:pStyle w:val="34"/>
        <w:rPr>
          <w:szCs w:val="18"/>
        </w:rPr>
      </w:pPr>
      <w:r>
        <w:rPr>
          <w:rFonts w:hint="eastAsia"/>
          <w:szCs w:val="18"/>
        </w:rPr>
        <w:t>主买流出＆主力流入：主买净额少于-2000万元，主力净额超过2000万元</w:t>
      </w:r>
    </w:p>
    <w:p>
      <w:pPr>
        <w:pStyle w:val="34"/>
        <w:rPr>
          <w:szCs w:val="18"/>
        </w:rPr>
      </w:pPr>
      <w:r>
        <w:rPr>
          <w:rFonts w:hint="eastAsia"/>
          <w:szCs w:val="18"/>
        </w:rPr>
        <w:t>主买流入＆主力流出：主买净额超过2000万元，主力净额少于-2000万元</w:t>
      </w:r>
    </w:p>
    <w:p>
      <w:pPr>
        <w:pStyle w:val="34"/>
        <w:rPr>
          <w:szCs w:val="18"/>
        </w:rPr>
      </w:pPr>
      <w:r>
        <w:rPr>
          <w:rStyle w:val="28"/>
          <w:rFonts w:hint="eastAsia"/>
          <w:b w:val="0"/>
          <w:bCs w:val="0"/>
          <w:szCs w:val="18"/>
        </w:rPr>
        <w:t>（主力净额与主买净额二者的区别在于：主力净额是统计超大单和大单，同时主动和被动均考虑；主买净额是统计超大单，大单，中单，小单，但仅考虑主动性）</w:t>
      </w:r>
      <w:r>
        <w:rPr>
          <w:rFonts w:hint="eastAsia"/>
          <w:szCs w:val="18"/>
        </w:rPr>
        <w:t> </w:t>
      </w:r>
    </w:p>
    <w:p>
      <w:pPr>
        <w:pStyle w:val="34"/>
      </w:pPr>
      <w:r>
        <w:rPr>
          <w:rFonts w:hint="eastAsia"/>
          <w:szCs w:val="18"/>
        </w:rPr>
        <w:t>上述6个选项只能单选。</w:t>
      </w:r>
    </w:p>
    <w:p>
      <w:pPr>
        <w:pStyle w:val="3"/>
      </w:pPr>
      <w:bookmarkStart w:id="81" w:name="_Toc90646205"/>
      <w:r>
        <w:rPr>
          <w:rFonts w:hint="eastAsia"/>
        </w:rPr>
        <w:t>盘面分析</w:t>
      </w:r>
      <w:bookmarkEnd w:id="81"/>
    </w:p>
    <w:p>
      <w:pPr>
        <w:pStyle w:val="34"/>
      </w:pPr>
      <w:r>
        <w:rPr>
          <w:rFonts w:hint="eastAsia"/>
        </w:rPr>
        <w:t>打开方式：点击大盘指数 —— 盘面分析</w:t>
      </w:r>
    </w:p>
    <w:p>
      <w:pPr>
        <w:pStyle w:val="34"/>
      </w:pPr>
      <w:r>
        <w:rPr>
          <w:rFonts w:hint="eastAsia"/>
        </w:rPr>
        <w:t>通过市场强弱、市场资金和赚钱效应三种市场强度组件直观反映大盘情况。 </w:t>
      </w:r>
    </w:p>
    <w:p>
      <w:pPr>
        <w:pStyle w:val="34"/>
      </w:pPr>
      <w:r>
        <w:rPr>
          <w:rFonts w:hint="eastAsia"/>
        </w:rPr>
        <w:t>市场强弱： </w:t>
      </w:r>
    </w:p>
    <w:p>
      <w:pPr>
        <w:pStyle w:val="34"/>
      </w:pPr>
      <w:r>
        <w:rPr>
          <w:rFonts w:hint="eastAsia"/>
        </w:rPr>
        <w:t>强弱分析：通过技术面与资金面两个维度来判断目前市场的强弱。技术与资金面的满分值为10分，最小值为1分，当数值大于5时显示红色的数字，说明目前市场走强。技术面使用对应指数的上涨家数的占比资金面使用对应指数的涨跌幅；分数的权重各占一半。量能表示各个市场的当前成交量相对前几天平均成交量的比值。指标：沪=沪市成交额-科创板成交额，深=深市成交额-创业板成交额，单位：亿。相对昨日此时：昨日此时成交相对今日此时成交的百分比。 </w:t>
      </w:r>
    </w:p>
    <w:p>
      <w:pPr>
        <w:pStyle w:val="34"/>
      </w:pPr>
      <w:r>
        <w:rPr>
          <w:rFonts w:hint="eastAsia"/>
        </w:rPr>
        <w:t>涨跌统计：实时提示沪深两市的个股涨跌，涨幅较大的数量越多，大盘越安全，反之需谨慎。 说明:涨(涨/涨停)，平(平)，跌(跌/跌停)。</w:t>
      </w:r>
    </w:p>
    <w:p>
      <w:pPr>
        <w:pStyle w:val="34"/>
      </w:pPr>
      <w:r>
        <w:rPr>
          <w:rFonts w:hint="eastAsia"/>
        </w:rPr>
        <w:t>涨跌对比：实时提示沪深两市的涨跌股个数对比及发展趋势图，以供参考。</w:t>
      </w:r>
    </w:p>
    <w:p>
      <w:pPr>
        <w:pStyle w:val="34"/>
      </w:pPr>
      <w:r>
        <w:fldChar w:fldCharType="begin"/>
      </w:r>
      <w:r>
        <w:instrText xml:space="preserve"> INCLUDEPICTURE  "https://www.tdx.com.cn/products/helpfile/tdxw/chm/%E7%AC%AC%E5%85%AD%E7%AB%A0  %E5%9F%BA%E7%A1%80%E7%89%88%E5%8A%9F%E8%83%BD/6-15/1.png" \* MERGEFORMATINET </w:instrText>
      </w:r>
      <w:r>
        <w:fldChar w:fldCharType="separate"/>
      </w:r>
      <w:r>
        <w:fldChar w:fldCharType="begin"/>
      </w:r>
      <w:r>
        <w:instrText xml:space="preserve"> INCLUDEPICTURE  "https://www.tdx.com.cn/products/helpfile/tdxw/chm/%E7%AC%AC%E5%85%AD%E7%AB%A0  %E5%9F%BA%E7%A1%80%E7%89%88%E5%8A%9F%E8%83%BD/6-15/1.png" \* MERGEFORMATINET </w:instrText>
      </w:r>
      <w:r>
        <w:fldChar w:fldCharType="separate"/>
      </w:r>
      <w:r>
        <w:fldChar w:fldCharType="begin"/>
      </w:r>
      <w:r>
        <w:instrText xml:space="preserve"> INCLUDEPICTURE  "https://www.tdx.com.cn/products/helpfile/tdxw/chm/%E7%AC%AC%E5%85%AD%E7%AB%A0  %E5%9F%BA%E7%A1%80%E7%89%88%E5%8A%9F%E8%83%BD/6-15/1.png" \* MERGEFORMATINET </w:instrText>
      </w:r>
      <w:r>
        <w:fldChar w:fldCharType="separate"/>
      </w:r>
      <w:r>
        <w:fldChar w:fldCharType="begin"/>
      </w:r>
      <w:r>
        <w:instrText xml:space="preserve"> INCLUDEPICTURE  "https://www.tdx.com.cn/products/helpfile/tdxw/chm/%E7%AC%AC%E5%85%AD%E7%AB%A0  %E5%9F%BA%E7%A1%80%E7%89%88%E5%8A%9F%E8%83%BD/6-15/1.png" \* MERGEFORMATINET </w:instrText>
      </w:r>
      <w:r>
        <w:fldChar w:fldCharType="separate"/>
      </w:r>
      <w:r>
        <w:drawing>
          <wp:inline distT="0" distB="0" distL="114300" distR="114300">
            <wp:extent cx="7686675" cy="2962275"/>
            <wp:effectExtent l="0" t="0" r="9525" b="9525"/>
            <wp:docPr id="540" name="图片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图片 540"/>
                    <pic:cNvPicPr>
                      <a:picLocks noChangeAspect="1"/>
                    </pic:cNvPicPr>
                  </pic:nvPicPr>
                  <pic:blipFill>
                    <a:blip r:embed="rId995" r:link="rId996"/>
                    <a:stretch>
                      <a:fillRect/>
                    </a:stretch>
                  </pic:blipFill>
                  <pic:spPr>
                    <a:xfrm>
                      <a:off x="0" y="0"/>
                      <a:ext cx="7686675" cy="2962275"/>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市场资金： </w:t>
      </w:r>
    </w:p>
    <w:p>
      <w:pPr>
        <w:pStyle w:val="34"/>
      </w:pPr>
      <w:r>
        <w:rPr>
          <w:rFonts w:hint="eastAsia"/>
        </w:rPr>
        <w:t>多空阵线：实时查看整个A股市场的买盘和卖盘挂单情况； </w:t>
      </w:r>
    </w:p>
    <w:p>
      <w:pPr>
        <w:pStyle w:val="34"/>
      </w:pPr>
      <w:r>
        <w:rPr>
          <w:rFonts w:hint="eastAsia"/>
        </w:rPr>
        <w:t>主力净额BBD：将A股市场成交中的大单部分统计出来，展示市场的主力资金的流入流出情况。 </w:t>
      </w:r>
    </w:p>
    <w:p>
      <w:pPr>
        <w:pStyle w:val="34"/>
      </w:pPr>
      <w:r>
        <w:rPr>
          <w:rFonts w:hint="eastAsia"/>
        </w:rPr>
        <w:t>主买净额BSD：将A股市场成交按主动性买入和主动性卖出进行统计，展示市场的资金主动性情绪；</w:t>
      </w:r>
    </w:p>
    <w:p>
      <w:pPr>
        <w:pStyle w:val="34"/>
      </w:pPr>
      <w:r>
        <w:fldChar w:fldCharType="begin"/>
      </w:r>
      <w:r>
        <w:instrText xml:space="preserve"> INCLUDEPICTURE  "https://www.tdx.com.cn/products/helpfile/tdxw/chm/%E7%AC%AC%E5%85%AD%E7%AB%A0  %E5%9F%BA%E7%A1%80%E7%89%88%E5%8A%9F%E8%83%BD/6-15/2.png" \* MERGEFORMATINET </w:instrText>
      </w:r>
      <w:r>
        <w:fldChar w:fldCharType="separate"/>
      </w:r>
      <w:r>
        <w:fldChar w:fldCharType="begin"/>
      </w:r>
      <w:r>
        <w:instrText xml:space="preserve"> INCLUDEPICTURE  "https://www.tdx.com.cn/products/helpfile/tdxw/chm/%E7%AC%AC%E5%85%AD%E7%AB%A0  %E5%9F%BA%E7%A1%80%E7%89%88%E5%8A%9F%E8%83%BD/6-15/2.png" \* MERGEFORMATINET </w:instrText>
      </w:r>
      <w:r>
        <w:fldChar w:fldCharType="separate"/>
      </w:r>
      <w:r>
        <w:fldChar w:fldCharType="begin"/>
      </w:r>
      <w:r>
        <w:instrText xml:space="preserve"> INCLUDEPICTURE  "https://www.tdx.com.cn/products/helpfile/tdxw/chm/%E7%AC%AC%E5%85%AD%E7%AB%A0  %E5%9F%BA%E7%A1%80%E7%89%88%E5%8A%9F%E8%83%BD/6-15/2.png" \* MERGEFORMATINET </w:instrText>
      </w:r>
      <w:r>
        <w:fldChar w:fldCharType="separate"/>
      </w:r>
      <w:r>
        <w:fldChar w:fldCharType="begin"/>
      </w:r>
      <w:r>
        <w:instrText xml:space="preserve"> INCLUDEPICTURE  "https://www.tdx.com.cn/products/helpfile/tdxw/chm/%E7%AC%AC%E5%85%AD%E7%AB%A0  %E5%9F%BA%E7%A1%80%E7%89%88%E5%8A%9F%E8%83%BD/6-15/2.png" \* MERGEFORMATINET </w:instrText>
      </w:r>
      <w:r>
        <w:fldChar w:fldCharType="separate"/>
      </w:r>
      <w:r>
        <w:drawing>
          <wp:inline distT="0" distB="0" distL="114300" distR="114300">
            <wp:extent cx="6600825" cy="2971800"/>
            <wp:effectExtent l="0" t="0" r="9525" b="0"/>
            <wp:docPr id="541" name="图片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图片 541"/>
                    <pic:cNvPicPr>
                      <a:picLocks noChangeAspect="1"/>
                    </pic:cNvPicPr>
                  </pic:nvPicPr>
                  <pic:blipFill>
                    <a:blip r:embed="rId997" r:link="rId998"/>
                    <a:stretch>
                      <a:fillRect/>
                    </a:stretch>
                  </pic:blipFill>
                  <pic:spPr>
                    <a:xfrm>
                      <a:off x="0" y="0"/>
                      <a:ext cx="6600825" cy="2971800"/>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赚钱效应： </w:t>
      </w:r>
    </w:p>
    <w:p>
      <w:pPr>
        <w:pStyle w:val="34"/>
      </w:pPr>
      <w:r>
        <w:rPr>
          <w:rFonts w:hint="eastAsia"/>
        </w:rPr>
        <w:t>涨停对比：实时统计沪深两市的个股涨停（剔除未开板新股）、跌停、炸板（涨停后开板）股数，统计涨停股增幅及封板成功率，涨停及涨停增幅越多，大盘越活跃，反之需谨慎。 </w:t>
      </w:r>
    </w:p>
    <w:p>
      <w:pPr>
        <w:pStyle w:val="34"/>
      </w:pPr>
      <w:r>
        <w:rPr>
          <w:rFonts w:hint="eastAsia"/>
        </w:rPr>
        <w:t>昨日涨停股平均涨幅：统计昨日涨停股（剔除未开板新股）今日表现。指标反应短期资金追涨后次日收益，当活跃资金短期获得较大收益时，能刺激市场吸引资金，反之则交投下降，市场趋于弱势。分段图统计为昨日涨停股今日达到对应涨幅的个股数量。 </w:t>
      </w:r>
    </w:p>
    <w:p>
      <w:pPr>
        <w:pStyle w:val="34"/>
      </w:pPr>
      <w:r>
        <w:rPr>
          <w:rFonts w:hint="eastAsia"/>
        </w:rPr>
        <w:t>市值分档涨幅：实时按总市值范围分6档统计各市值范围的涨幅，各分档涨幅比例反应短期内市场资金流向。</w:t>
      </w:r>
    </w:p>
    <w:p>
      <w:pPr>
        <w:pStyle w:val="50"/>
        <w:rPr>
          <w:rFonts w:ascii="微软雅黑" w:hAnsi="微软雅黑" w:eastAsia="微软雅黑"/>
          <w:color w:val="000000"/>
          <w:sz w:val="18"/>
          <w:szCs w:val="18"/>
        </w:rPr>
      </w:pPr>
      <w:r>
        <w:rPr>
          <w:rFonts w:ascii="微软雅黑" w:hAnsi="微软雅黑" w:eastAsia="微软雅黑"/>
          <w:color w:val="000000"/>
          <w:sz w:val="18"/>
          <w:szCs w:val="18"/>
        </w:rPr>
        <w:fldChar w:fldCharType="begin"/>
      </w:r>
      <w:r>
        <w:rPr>
          <w:rFonts w:ascii="微软雅黑" w:hAnsi="微软雅黑" w:eastAsia="微软雅黑"/>
          <w:color w:val="000000"/>
          <w:sz w:val="18"/>
          <w:szCs w:val="18"/>
        </w:rPr>
        <w:instrText xml:space="preserve"> INCLUDEPICTURE  "https://www.tdx.com.cn/products/helpfile/tdxw/chm/%E7%AC%AC%E5%85%AD%E7%AB%A0  %E5%9F%BA%E7%A1%80%E7%89%88%E5%8A%9F%E8%83%BD/6-15/3.png" \* MERGEFORMATINET </w:instrText>
      </w:r>
      <w:r>
        <w:rPr>
          <w:rFonts w:ascii="微软雅黑" w:hAnsi="微软雅黑" w:eastAsia="微软雅黑"/>
          <w:color w:val="000000"/>
          <w:sz w:val="18"/>
          <w:szCs w:val="18"/>
        </w:rPr>
        <w:fldChar w:fldCharType="separate"/>
      </w:r>
      <w:r>
        <w:rPr>
          <w:rFonts w:ascii="微软雅黑" w:hAnsi="微软雅黑" w:eastAsia="微软雅黑"/>
          <w:color w:val="000000"/>
          <w:sz w:val="18"/>
          <w:szCs w:val="18"/>
        </w:rPr>
        <w:fldChar w:fldCharType="begin"/>
      </w:r>
      <w:r>
        <w:rPr>
          <w:rFonts w:ascii="微软雅黑" w:hAnsi="微软雅黑" w:eastAsia="微软雅黑"/>
          <w:color w:val="000000"/>
          <w:sz w:val="18"/>
          <w:szCs w:val="18"/>
        </w:rPr>
        <w:instrText xml:space="preserve"> INCLUDEPICTURE  "https://www.tdx.com.cn/products/helpfile/tdxw/chm/%E7%AC%AC%E5%85%AD%E7%AB%A0  %E5%9F%BA%E7%A1%80%E7%89%88%E5%8A%9F%E8%83%BD/6-15/3.png" \* MERGEFORMATINET </w:instrText>
      </w:r>
      <w:r>
        <w:rPr>
          <w:rFonts w:ascii="微软雅黑" w:hAnsi="微软雅黑" w:eastAsia="微软雅黑"/>
          <w:color w:val="000000"/>
          <w:sz w:val="18"/>
          <w:szCs w:val="18"/>
        </w:rPr>
        <w:fldChar w:fldCharType="separate"/>
      </w:r>
      <w:r>
        <w:rPr>
          <w:rFonts w:ascii="微软雅黑" w:hAnsi="微软雅黑" w:eastAsia="微软雅黑"/>
          <w:color w:val="000000"/>
          <w:sz w:val="18"/>
          <w:szCs w:val="18"/>
        </w:rPr>
        <w:fldChar w:fldCharType="begin"/>
      </w:r>
      <w:r>
        <w:rPr>
          <w:rFonts w:ascii="微软雅黑" w:hAnsi="微软雅黑" w:eastAsia="微软雅黑"/>
          <w:color w:val="000000"/>
          <w:sz w:val="18"/>
          <w:szCs w:val="18"/>
        </w:rPr>
        <w:instrText xml:space="preserve"> INCLUDEPICTURE  "https://www.tdx.com.cn/products/helpfile/tdxw/chm/%E7%AC%AC%E5%85%AD%E7%AB%A0  %E5%9F%BA%E7%A1%80%E7%89%88%E5%8A%9F%E8%83%BD/6-15/3.png" \* MERGEFORMATINET </w:instrText>
      </w:r>
      <w:r>
        <w:rPr>
          <w:rFonts w:ascii="微软雅黑" w:hAnsi="微软雅黑" w:eastAsia="微软雅黑"/>
          <w:color w:val="000000"/>
          <w:sz w:val="18"/>
          <w:szCs w:val="18"/>
        </w:rPr>
        <w:fldChar w:fldCharType="separate"/>
      </w:r>
      <w:r>
        <w:rPr>
          <w:rFonts w:ascii="微软雅黑" w:hAnsi="微软雅黑" w:eastAsia="微软雅黑"/>
          <w:color w:val="000000"/>
          <w:sz w:val="18"/>
          <w:szCs w:val="18"/>
        </w:rPr>
        <w:fldChar w:fldCharType="begin"/>
      </w:r>
      <w:r>
        <w:rPr>
          <w:rFonts w:ascii="微软雅黑" w:hAnsi="微软雅黑" w:eastAsia="微软雅黑"/>
          <w:color w:val="000000"/>
          <w:sz w:val="18"/>
          <w:szCs w:val="18"/>
        </w:rPr>
        <w:instrText xml:space="preserve"> INCLUDEPICTURE  "https://www.tdx.com.cn/products/helpfile/tdxw/chm/%E7%AC%AC%E5%85%AD%E7%AB%A0  %E5%9F%BA%E7%A1%80%E7%89%88%E5%8A%9F%E8%83%BD/6-15/3.png" \* MERGEFORMATINET </w:instrText>
      </w:r>
      <w:r>
        <w:rPr>
          <w:rFonts w:ascii="微软雅黑" w:hAnsi="微软雅黑" w:eastAsia="微软雅黑"/>
          <w:color w:val="000000"/>
          <w:sz w:val="18"/>
          <w:szCs w:val="18"/>
        </w:rPr>
        <w:fldChar w:fldCharType="separate"/>
      </w:r>
      <w:r>
        <w:rPr>
          <w:rFonts w:ascii="微软雅黑" w:hAnsi="微软雅黑" w:eastAsia="微软雅黑"/>
          <w:color w:val="000000"/>
          <w:sz w:val="18"/>
          <w:szCs w:val="18"/>
        </w:rPr>
        <w:drawing>
          <wp:inline distT="0" distB="0" distL="114300" distR="114300">
            <wp:extent cx="6343650" cy="2971800"/>
            <wp:effectExtent l="0" t="0" r="0" b="0"/>
            <wp:docPr id="542" name="图片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图片 542"/>
                    <pic:cNvPicPr>
                      <a:picLocks noChangeAspect="1"/>
                    </pic:cNvPicPr>
                  </pic:nvPicPr>
                  <pic:blipFill>
                    <a:blip r:embed="rId999" r:link="rId1000"/>
                    <a:stretch>
                      <a:fillRect/>
                    </a:stretch>
                  </pic:blipFill>
                  <pic:spPr>
                    <a:xfrm>
                      <a:off x="0" y="0"/>
                      <a:ext cx="6343650" cy="2971800"/>
                    </a:xfrm>
                    <a:prstGeom prst="rect">
                      <a:avLst/>
                    </a:prstGeom>
                    <a:noFill/>
                    <a:ln>
                      <a:noFill/>
                    </a:ln>
                  </pic:spPr>
                </pic:pic>
              </a:graphicData>
            </a:graphic>
          </wp:inline>
        </w:drawing>
      </w:r>
      <w:r>
        <w:rPr>
          <w:rFonts w:ascii="微软雅黑" w:hAnsi="微软雅黑" w:eastAsia="微软雅黑"/>
          <w:color w:val="000000"/>
          <w:sz w:val="18"/>
          <w:szCs w:val="18"/>
        </w:rPr>
        <w:fldChar w:fldCharType="end"/>
      </w:r>
      <w:r>
        <w:rPr>
          <w:rFonts w:ascii="微软雅黑" w:hAnsi="微软雅黑" w:eastAsia="微软雅黑"/>
          <w:color w:val="000000"/>
          <w:sz w:val="18"/>
          <w:szCs w:val="18"/>
        </w:rPr>
        <w:fldChar w:fldCharType="end"/>
      </w:r>
      <w:r>
        <w:rPr>
          <w:rFonts w:ascii="微软雅黑" w:hAnsi="微软雅黑" w:eastAsia="微软雅黑"/>
          <w:color w:val="000000"/>
          <w:sz w:val="18"/>
          <w:szCs w:val="18"/>
        </w:rPr>
        <w:fldChar w:fldCharType="end"/>
      </w:r>
      <w:r>
        <w:rPr>
          <w:rFonts w:ascii="微软雅黑" w:hAnsi="微软雅黑" w:eastAsia="微软雅黑"/>
          <w:color w:val="000000"/>
          <w:sz w:val="18"/>
          <w:szCs w:val="18"/>
        </w:rPr>
        <w:fldChar w:fldCharType="end"/>
      </w:r>
    </w:p>
    <w:p>
      <w:pPr>
        <w:pStyle w:val="3"/>
      </w:pPr>
      <w:bookmarkStart w:id="82" w:name="_Toc90646206"/>
      <w:r>
        <w:rPr>
          <w:rFonts w:hint="eastAsia"/>
        </w:rPr>
        <w:t>侧边栏AI数据分析</w:t>
      </w:r>
      <w:bookmarkEnd w:id="82"/>
    </w:p>
    <w:p>
      <w:pPr>
        <w:pStyle w:val="4"/>
      </w:pPr>
      <w:r>
        <w:rPr>
          <w:rFonts w:hint="eastAsia"/>
        </w:rPr>
        <w:t>个股AI数据分析</w:t>
      </w:r>
    </w:p>
    <w:p>
      <w:pPr>
        <w:pStyle w:val="34"/>
      </w:pPr>
      <w:r>
        <w:rPr>
          <w:rFonts w:hint="eastAsia"/>
        </w:rPr>
        <w:t>通达信侧边栏AI数据分析主要包括个股AI数据分析和大盘AI数据分析，是在市场公开数据的基础上，对原始数据进行筛选、统计和计算，并通过智能灵活的图、表等多种形式在侧边栏展示给用户，可以无缝的整合于行情客户端，是集数据统计、计算机智能于一体的数据侧边栏。</w:t>
      </w:r>
    </w:p>
    <w:p>
      <w:pPr>
        <w:pStyle w:val="34"/>
      </w:pPr>
      <w:r>
        <w:t xml:space="preserve">时光机： </w:t>
      </w:r>
    </w:p>
    <w:p>
      <w:pPr>
        <w:pStyle w:val="34"/>
      </w:pPr>
      <w:r>
        <w:t>描述：提供了图解财报入口，并从具体日期和所在周两个角度统计了‘历史今日’个股的表现。</w:t>
      </w:r>
    </w:p>
    <w:p>
      <w:pPr>
        <w:pStyle w:val="34"/>
      </w:pPr>
      <w:r>
        <w:t>特点：首先给用户提供了个股‘历史今日’表现，对用户判断某些特殊时间、日期是否会对股票表现造成影响提供数据参考，同时展示了以周为周期，个股可能存在的周期性变化。</w:t>
      </w:r>
    </w:p>
    <w:tbl>
      <w:tblPr>
        <w:tblStyle w:val="25"/>
        <w:tblpPr w:leftFromText="45" w:rightFromText="45" w:vertAnchor="text"/>
        <w:tblW w:w="12345" w:type="dxa"/>
        <w:tblCellSpacing w:w="0" w:type="dxa"/>
        <w:tblInd w:w="0" w:type="dxa"/>
        <w:tblBorders>
          <w:top w:val="outset" w:color="auto" w:sz="6" w:space="0"/>
          <w:left w:val="outset" w:color="auto" w:sz="6" w:space="0"/>
          <w:bottom w:val="outset" w:color="auto" w:sz="6" w:space="0"/>
          <w:right w:val="outset" w:color="auto" w:sz="6" w:space="0"/>
          <w:insideH w:val="none" w:color="auto" w:sz="0" w:space="0"/>
          <w:insideV w:val="none" w:color="auto" w:sz="0" w:space="0"/>
        </w:tblBorders>
        <w:tblLayout w:type="autofit"/>
        <w:tblCellMar>
          <w:top w:w="0" w:type="dxa"/>
          <w:left w:w="0" w:type="dxa"/>
          <w:bottom w:w="0" w:type="dxa"/>
          <w:right w:w="0" w:type="dxa"/>
        </w:tblCellMar>
      </w:tblPr>
      <w:tblGrid>
        <w:gridCol w:w="2130"/>
        <w:gridCol w:w="10215"/>
      </w:tblGrid>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130" w:type="dxa"/>
            <w:tcBorders>
              <w:top w:val="outset" w:color="auto" w:sz="6" w:space="0"/>
              <w:left w:val="outset" w:color="auto" w:sz="6" w:space="0"/>
              <w:bottom w:val="outset" w:color="auto" w:sz="6" w:space="0"/>
              <w:right w:val="outset" w:color="auto" w:sz="6" w:space="0"/>
            </w:tcBorders>
          </w:tcPr>
          <w:p>
            <w:pPr>
              <w:pStyle w:val="34"/>
              <w:rPr>
                <w:szCs w:val="20"/>
              </w:rPr>
            </w:pPr>
            <w:r>
              <w:t xml:space="preserve">栏目名称 </w:t>
            </w:r>
          </w:p>
        </w:tc>
        <w:tc>
          <w:tcPr>
            <w:tcW w:w="10215" w:type="dxa"/>
            <w:tcBorders>
              <w:top w:val="outset" w:color="auto" w:sz="6" w:space="0"/>
              <w:left w:val="outset" w:color="auto" w:sz="6" w:space="0"/>
              <w:bottom w:val="outset" w:color="auto" w:sz="6" w:space="0"/>
              <w:right w:val="outset" w:color="auto" w:sz="6" w:space="0"/>
            </w:tcBorders>
          </w:tcPr>
          <w:p>
            <w:pPr>
              <w:pStyle w:val="34"/>
              <w:rPr>
                <w:szCs w:val="20"/>
              </w:rPr>
            </w:pPr>
            <w:r>
              <w:t xml:space="preserve">栏目简介 </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130" w:type="dxa"/>
            <w:tcBorders>
              <w:top w:val="outset" w:color="auto" w:sz="6" w:space="0"/>
              <w:left w:val="outset" w:color="auto" w:sz="6" w:space="0"/>
              <w:bottom w:val="outset" w:color="auto" w:sz="6" w:space="0"/>
              <w:right w:val="outset" w:color="auto" w:sz="6" w:space="0"/>
            </w:tcBorders>
          </w:tcPr>
          <w:p>
            <w:pPr>
              <w:pStyle w:val="34"/>
              <w:rPr>
                <w:szCs w:val="20"/>
              </w:rPr>
            </w:pPr>
            <w:r>
              <w:t>时光机</w:t>
            </w:r>
          </w:p>
        </w:tc>
        <w:tc>
          <w:tcPr>
            <w:tcW w:w="10215" w:type="dxa"/>
            <w:tcBorders>
              <w:top w:val="outset" w:color="auto" w:sz="6" w:space="0"/>
              <w:left w:val="outset" w:color="auto" w:sz="6" w:space="0"/>
              <w:bottom w:val="outset" w:color="auto" w:sz="6" w:space="0"/>
              <w:right w:val="outset" w:color="auto" w:sz="6" w:space="0"/>
            </w:tcBorders>
          </w:tcPr>
          <w:p>
            <w:pPr>
              <w:pStyle w:val="34"/>
              <w:rPr>
                <w:szCs w:val="20"/>
              </w:rPr>
            </w:pPr>
            <w:r>
              <w:t>统计历史上今天的该个股的高开占比、开盘平均高升涨幅、收盘上涨的比率和收盘的平均涨幅</w:t>
            </w:r>
          </w:p>
        </w:tc>
      </w:tr>
    </w:tbl>
    <w:p>
      <w:pPr>
        <w:pStyle w:val="34"/>
      </w:pPr>
      <w:r>
        <w:t> </w:t>
      </w:r>
    </w:p>
    <w:p>
      <w:pPr>
        <w:pStyle w:val="34"/>
      </w:pPr>
      <w:r>
        <w:t>       </w:t>
      </w:r>
    </w:p>
    <w:p>
      <w:pPr>
        <w:pStyle w:val="34"/>
        <w:jc w:val="left"/>
      </w:pPr>
    </w:p>
    <w:p>
      <w:pPr>
        <w:pStyle w:val="34"/>
        <w:jc w:val="left"/>
      </w:pPr>
      <w:r>
        <w:fldChar w:fldCharType="begin"/>
      </w:r>
      <w:r>
        <w:instrText xml:space="preserve"> INCLUDEPICTURE  "F:\\0713通达信综合金融终端V6.17\\第六章  基础版功能\\6-16\\6-16-1\\1.png" \* MERGEFORMATINET </w:instrText>
      </w:r>
      <w:r>
        <w:fldChar w:fldCharType="separate"/>
      </w:r>
      <w:r>
        <w:fldChar w:fldCharType="begin"/>
      </w:r>
      <w:r>
        <w:instrText xml:space="preserve"> INCLUDEPICTURE  "F:\\0713通达信综合金融终端V6.17\\第六章  基础版功能\\6-16\\6-16-1\\1.png" \* MERGEFORMATINET </w:instrText>
      </w:r>
      <w:r>
        <w:fldChar w:fldCharType="separate"/>
      </w:r>
      <w:r>
        <w:fldChar w:fldCharType="begin"/>
      </w:r>
      <w:r>
        <w:instrText xml:space="preserve"> INCLUDEPICTURE  "F:\\0713通达信综合金融终端V6.17\\第六章  基础版功能\\6-16\\6-16-1\\1.png" \* MERGEFORMATINET </w:instrText>
      </w:r>
      <w:r>
        <w:fldChar w:fldCharType="separate"/>
      </w:r>
      <w:r>
        <w:fldChar w:fldCharType="begin"/>
      </w:r>
      <w:r>
        <w:instrText xml:space="preserve"> INCLUDEPICTURE  "F:\\0713通达信综合金融终端V6.17\\第六章  基础版功能\\6-16\\6-16-1\\1.png" \* MERGEFORMATINET </w:instrText>
      </w:r>
      <w:r>
        <w:fldChar w:fldCharType="separate"/>
      </w:r>
      <w:r>
        <w:drawing>
          <wp:inline distT="0" distB="0" distL="114300" distR="114300">
            <wp:extent cx="2105025" cy="2981325"/>
            <wp:effectExtent l="0" t="0" r="9525" b="9525"/>
            <wp:docPr id="543" name="图片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图片 543"/>
                    <pic:cNvPicPr>
                      <a:picLocks noChangeAspect="1"/>
                    </pic:cNvPicPr>
                  </pic:nvPicPr>
                  <pic:blipFill>
                    <a:blip r:embed="rId1001" r:link="rId1002"/>
                    <a:stretch>
                      <a:fillRect/>
                    </a:stretch>
                  </pic:blipFill>
                  <pic:spPr>
                    <a:xfrm>
                      <a:off x="0" y="0"/>
                      <a:ext cx="2105025" cy="2981325"/>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t xml:space="preserve">    </w:t>
      </w:r>
    </w:p>
    <w:p>
      <w:pPr>
        <w:pStyle w:val="34"/>
      </w:pPr>
      <w:r>
        <w:t xml:space="preserve">量能基因： </w:t>
      </w:r>
    </w:p>
    <w:p>
      <w:pPr>
        <w:pStyle w:val="34"/>
      </w:pPr>
      <w:r>
        <w:t xml:space="preserve">描述：展示个股的净流入、主力净流入、大单买入、卖出，并计算每单买卖力度强弱的变化。        </w:t>
      </w:r>
    </w:p>
    <w:p>
      <w:pPr>
        <w:pStyle w:val="34"/>
      </w:pPr>
      <w:r>
        <w:t>特点：统计大单交易数据并计算单笔买卖强度，对用户判断股票是否近期有异动提供参考。</w:t>
      </w:r>
    </w:p>
    <w:tbl>
      <w:tblPr>
        <w:tblStyle w:val="25"/>
        <w:tblpPr w:leftFromText="45" w:rightFromText="45" w:vertAnchor="text"/>
        <w:tblW w:w="11310" w:type="dxa"/>
        <w:tblCellSpacing w:w="0" w:type="dxa"/>
        <w:tblInd w:w="0" w:type="dxa"/>
        <w:tblBorders>
          <w:top w:val="outset" w:color="auto" w:sz="6" w:space="0"/>
          <w:left w:val="outset" w:color="auto" w:sz="6" w:space="0"/>
          <w:bottom w:val="outset" w:color="auto" w:sz="6" w:space="0"/>
          <w:right w:val="outset" w:color="auto" w:sz="6" w:space="0"/>
          <w:insideH w:val="none" w:color="auto" w:sz="0" w:space="0"/>
          <w:insideV w:val="none" w:color="auto" w:sz="0" w:space="0"/>
        </w:tblBorders>
        <w:tblLayout w:type="autofit"/>
        <w:tblCellMar>
          <w:top w:w="0" w:type="dxa"/>
          <w:left w:w="0" w:type="dxa"/>
          <w:bottom w:w="0" w:type="dxa"/>
          <w:right w:w="0" w:type="dxa"/>
        </w:tblCellMar>
      </w:tblPr>
      <w:tblGrid>
        <w:gridCol w:w="2430"/>
        <w:gridCol w:w="8880"/>
      </w:tblGrid>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430" w:type="dxa"/>
            <w:tcBorders>
              <w:top w:val="outset" w:color="auto" w:sz="6" w:space="0"/>
              <w:left w:val="outset" w:color="auto" w:sz="6" w:space="0"/>
              <w:bottom w:val="outset" w:color="auto" w:sz="6" w:space="0"/>
              <w:right w:val="outset" w:color="auto" w:sz="6" w:space="0"/>
            </w:tcBorders>
          </w:tcPr>
          <w:p>
            <w:pPr>
              <w:pStyle w:val="34"/>
              <w:rPr>
                <w:szCs w:val="20"/>
              </w:rPr>
            </w:pPr>
            <w:r>
              <w:t xml:space="preserve">栏目名称 </w:t>
            </w:r>
          </w:p>
        </w:tc>
        <w:tc>
          <w:tcPr>
            <w:tcW w:w="8880" w:type="dxa"/>
            <w:tcBorders>
              <w:top w:val="outset" w:color="auto" w:sz="6" w:space="0"/>
              <w:left w:val="outset" w:color="auto" w:sz="6" w:space="0"/>
              <w:bottom w:val="outset" w:color="auto" w:sz="6" w:space="0"/>
              <w:right w:val="outset" w:color="auto" w:sz="6" w:space="0"/>
            </w:tcBorders>
          </w:tcPr>
          <w:p>
            <w:pPr>
              <w:pStyle w:val="34"/>
              <w:rPr>
                <w:szCs w:val="20"/>
              </w:rPr>
            </w:pPr>
            <w:r>
              <w:t xml:space="preserve">栏目简介 </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430" w:type="dxa"/>
            <w:tcBorders>
              <w:top w:val="outset" w:color="auto" w:sz="6" w:space="0"/>
              <w:left w:val="outset" w:color="auto" w:sz="6" w:space="0"/>
              <w:bottom w:val="outset" w:color="auto" w:sz="6" w:space="0"/>
              <w:right w:val="outset" w:color="auto" w:sz="6" w:space="0"/>
            </w:tcBorders>
          </w:tcPr>
          <w:p>
            <w:pPr>
              <w:pStyle w:val="34"/>
              <w:rPr>
                <w:szCs w:val="20"/>
              </w:rPr>
            </w:pPr>
            <w:r>
              <w:t>净流入折线图</w:t>
            </w:r>
          </w:p>
        </w:tc>
        <w:tc>
          <w:tcPr>
            <w:tcW w:w="8880" w:type="dxa"/>
            <w:tcBorders>
              <w:top w:val="outset" w:color="auto" w:sz="6" w:space="0"/>
              <w:left w:val="outset" w:color="auto" w:sz="6" w:space="0"/>
              <w:bottom w:val="outset" w:color="auto" w:sz="6" w:space="0"/>
              <w:right w:val="outset" w:color="auto" w:sz="6" w:space="0"/>
            </w:tcBorders>
          </w:tcPr>
          <w:p>
            <w:pPr>
              <w:pStyle w:val="34"/>
              <w:rPr>
                <w:szCs w:val="20"/>
              </w:rPr>
            </w:pPr>
            <w:r>
              <w:t>展示近五个交易日的净流入和主力净流入</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PrEx>
        <w:trPr>
          <w:tblCellSpacing w:w="0" w:type="dxa"/>
        </w:trPr>
        <w:tc>
          <w:tcPr>
            <w:tcW w:w="2430" w:type="dxa"/>
            <w:tcBorders>
              <w:top w:val="outset" w:color="auto" w:sz="6" w:space="0"/>
              <w:left w:val="outset" w:color="auto" w:sz="6" w:space="0"/>
              <w:bottom w:val="outset" w:color="auto" w:sz="6" w:space="0"/>
              <w:right w:val="outset" w:color="auto" w:sz="6" w:space="0"/>
            </w:tcBorders>
          </w:tcPr>
          <w:p>
            <w:pPr>
              <w:pStyle w:val="34"/>
              <w:rPr>
                <w:szCs w:val="20"/>
              </w:rPr>
            </w:pPr>
            <w:r>
              <w:t>大单动向</w:t>
            </w:r>
          </w:p>
        </w:tc>
        <w:tc>
          <w:tcPr>
            <w:tcW w:w="8880" w:type="dxa"/>
            <w:tcBorders>
              <w:top w:val="outset" w:color="auto" w:sz="6" w:space="0"/>
              <w:left w:val="outset" w:color="auto" w:sz="6" w:space="0"/>
              <w:bottom w:val="outset" w:color="auto" w:sz="6" w:space="0"/>
              <w:right w:val="outset" w:color="auto" w:sz="6" w:space="0"/>
            </w:tcBorders>
          </w:tcPr>
          <w:p>
            <w:pPr>
              <w:pStyle w:val="34"/>
              <w:rPr>
                <w:szCs w:val="20"/>
              </w:rPr>
            </w:pPr>
            <w:r>
              <w:t>展示个股近五个交易日的大单买入、卖出成交量和主买系数的变化趋势</w:t>
            </w:r>
          </w:p>
        </w:tc>
      </w:tr>
    </w:tbl>
    <w:p>
      <w:pPr>
        <w:pStyle w:val="34"/>
      </w:pPr>
      <w:r>
        <w:t> </w:t>
      </w:r>
    </w:p>
    <w:p>
      <w:pPr>
        <w:pStyle w:val="34"/>
      </w:pPr>
      <w:r>
        <w:t> </w:t>
      </w:r>
    </w:p>
    <w:p>
      <w:pPr>
        <w:pStyle w:val="34"/>
      </w:pPr>
    </w:p>
    <w:p>
      <w:pPr>
        <w:pStyle w:val="34"/>
      </w:pPr>
      <w:r>
        <w:fldChar w:fldCharType="begin"/>
      </w:r>
      <w:r>
        <w:instrText xml:space="preserve"> INCLUDEPICTURE  "F:\\0713通达信综合金融终端V6.17\\第六章  基础版功能\\6-16\\6-16-1\\2.png" \* MERGEFORMATINET </w:instrText>
      </w:r>
      <w:r>
        <w:fldChar w:fldCharType="separate"/>
      </w:r>
      <w:r>
        <w:fldChar w:fldCharType="begin"/>
      </w:r>
      <w:r>
        <w:instrText xml:space="preserve"> INCLUDEPICTURE  "F:\\0713通达信综合金融终端V6.17\\第六章  基础版功能\\6-16\\6-16-1\\2.png" \* MERGEFORMATINET </w:instrText>
      </w:r>
      <w:r>
        <w:fldChar w:fldCharType="separate"/>
      </w:r>
      <w:r>
        <w:fldChar w:fldCharType="begin"/>
      </w:r>
      <w:r>
        <w:instrText xml:space="preserve"> INCLUDEPICTURE  "F:\\0713通达信综合金融终端V6.17\\第六章  基础版功能\\6-16\\6-16-1\\2.png" \* MERGEFORMATINET </w:instrText>
      </w:r>
      <w:r>
        <w:fldChar w:fldCharType="separate"/>
      </w:r>
      <w:r>
        <w:fldChar w:fldCharType="begin"/>
      </w:r>
      <w:r>
        <w:instrText xml:space="preserve"> INCLUDEPICTURE  "F:\\0713通达信综合金融终端V6.17\\第六章  基础版功能\\6-16\\6-16-1\\2.png" \* MERGEFORMATINET </w:instrText>
      </w:r>
      <w:r>
        <w:fldChar w:fldCharType="separate"/>
      </w:r>
      <w:r>
        <w:drawing>
          <wp:inline distT="0" distB="0" distL="114300" distR="114300">
            <wp:extent cx="2085975" cy="2571750"/>
            <wp:effectExtent l="0" t="0" r="9525" b="0"/>
            <wp:docPr id="544" name="图片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图片 544"/>
                    <pic:cNvPicPr>
                      <a:picLocks noChangeAspect="1"/>
                    </pic:cNvPicPr>
                  </pic:nvPicPr>
                  <pic:blipFill>
                    <a:blip r:embed="rId1003" r:link="rId1004"/>
                    <a:stretch>
                      <a:fillRect/>
                    </a:stretch>
                  </pic:blipFill>
                  <pic:spPr>
                    <a:xfrm>
                      <a:off x="0" y="0"/>
                      <a:ext cx="2085975" cy="2571750"/>
                    </a:xfrm>
                    <a:prstGeom prst="rect">
                      <a:avLst/>
                    </a:prstGeom>
                    <a:noFill/>
                    <a:ln>
                      <a:noFill/>
                    </a:ln>
                  </pic:spPr>
                </pic:pic>
              </a:graphicData>
            </a:graphic>
          </wp:inline>
        </w:drawing>
      </w:r>
      <w:r>
        <w:fldChar w:fldCharType="end"/>
      </w:r>
      <w:r>
        <w:fldChar w:fldCharType="end"/>
      </w:r>
      <w:r>
        <w:fldChar w:fldCharType="end"/>
      </w:r>
      <w:r>
        <w:fldChar w:fldCharType="end"/>
      </w:r>
      <w:r>
        <w:t xml:space="preserve">  </w:t>
      </w:r>
    </w:p>
    <w:p>
      <w:pPr>
        <w:pStyle w:val="34"/>
      </w:pPr>
      <w:r>
        <w:t xml:space="preserve">K线基因： </w:t>
      </w:r>
    </w:p>
    <w:p>
      <w:pPr>
        <w:pStyle w:val="34"/>
      </w:pPr>
      <w:r>
        <w:t xml:space="preserve">描述：从个股、市场上分别匹配30日K线相似度&gt;=90%的K线走势，统计高开概率和不同区间的涨幅；统计具有相似K线的个股并统计这些个股的表现。        </w:t>
      </w:r>
    </w:p>
    <w:p>
      <w:pPr>
        <w:pStyle w:val="34"/>
      </w:pPr>
      <w:r>
        <w:t>特点：从K线形态的角度帮助投资者追踪相同K线走势下的股票及股票表现。</w:t>
      </w:r>
    </w:p>
    <w:tbl>
      <w:tblPr>
        <w:tblStyle w:val="25"/>
        <w:tblpPr w:leftFromText="45" w:rightFromText="45" w:vertAnchor="text"/>
        <w:tblW w:w="10647" w:type="dxa"/>
        <w:tblCellSpacing w:w="0" w:type="dxa"/>
        <w:tblInd w:w="0" w:type="dxa"/>
        <w:tblBorders>
          <w:top w:val="outset" w:color="auto" w:sz="6" w:space="0"/>
          <w:left w:val="outset" w:color="auto" w:sz="6" w:space="0"/>
          <w:bottom w:val="outset" w:color="auto" w:sz="6" w:space="0"/>
          <w:right w:val="outset" w:color="auto" w:sz="6" w:space="0"/>
          <w:insideH w:val="none" w:color="auto" w:sz="0" w:space="0"/>
          <w:insideV w:val="none" w:color="auto" w:sz="0" w:space="0"/>
        </w:tblBorders>
        <w:tblLayout w:type="autofit"/>
        <w:tblCellMar>
          <w:top w:w="0" w:type="dxa"/>
          <w:left w:w="0" w:type="dxa"/>
          <w:bottom w:w="0" w:type="dxa"/>
          <w:right w:w="0" w:type="dxa"/>
        </w:tblCellMar>
      </w:tblPr>
      <w:tblGrid>
        <w:gridCol w:w="2430"/>
        <w:gridCol w:w="8217"/>
      </w:tblGrid>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430" w:type="dxa"/>
            <w:tcBorders>
              <w:top w:val="outset" w:color="auto" w:sz="6" w:space="0"/>
              <w:left w:val="outset" w:color="auto" w:sz="6" w:space="0"/>
              <w:bottom w:val="outset" w:color="auto" w:sz="6" w:space="0"/>
              <w:right w:val="outset" w:color="auto" w:sz="6" w:space="0"/>
            </w:tcBorders>
          </w:tcPr>
          <w:p>
            <w:pPr>
              <w:pStyle w:val="34"/>
              <w:rPr>
                <w:szCs w:val="20"/>
              </w:rPr>
            </w:pPr>
            <w:r>
              <w:t xml:space="preserve">栏目名称 </w:t>
            </w:r>
          </w:p>
        </w:tc>
        <w:tc>
          <w:tcPr>
            <w:tcW w:w="8217" w:type="dxa"/>
            <w:tcBorders>
              <w:top w:val="outset" w:color="auto" w:sz="6" w:space="0"/>
              <w:left w:val="outset" w:color="auto" w:sz="6" w:space="0"/>
              <w:bottom w:val="outset" w:color="auto" w:sz="6" w:space="0"/>
              <w:right w:val="outset" w:color="auto" w:sz="6" w:space="0"/>
            </w:tcBorders>
          </w:tcPr>
          <w:p>
            <w:pPr>
              <w:pStyle w:val="34"/>
              <w:rPr>
                <w:szCs w:val="20"/>
              </w:rPr>
            </w:pPr>
            <w:r>
              <w:t xml:space="preserve">栏目简介 </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430" w:type="dxa"/>
            <w:tcBorders>
              <w:top w:val="outset" w:color="auto" w:sz="6" w:space="0"/>
              <w:left w:val="outset" w:color="auto" w:sz="6" w:space="0"/>
              <w:bottom w:val="outset" w:color="auto" w:sz="6" w:space="0"/>
              <w:right w:val="outset" w:color="auto" w:sz="6" w:space="0"/>
            </w:tcBorders>
          </w:tcPr>
          <w:p>
            <w:pPr>
              <w:pStyle w:val="34"/>
              <w:rPr>
                <w:szCs w:val="20"/>
              </w:rPr>
            </w:pPr>
            <w:r>
              <w:t>历史K线</w:t>
            </w:r>
          </w:p>
        </w:tc>
        <w:tc>
          <w:tcPr>
            <w:tcW w:w="8217" w:type="dxa"/>
            <w:tcBorders>
              <w:top w:val="outset" w:color="auto" w:sz="6" w:space="0"/>
              <w:left w:val="outset" w:color="auto" w:sz="6" w:space="0"/>
              <w:bottom w:val="outset" w:color="auto" w:sz="6" w:space="0"/>
              <w:right w:val="outset" w:color="auto" w:sz="6" w:space="0"/>
            </w:tcBorders>
          </w:tcPr>
          <w:p>
            <w:pPr>
              <w:pStyle w:val="34"/>
              <w:rPr>
                <w:szCs w:val="20"/>
              </w:rPr>
            </w:pPr>
            <w:r>
              <w:t>展示本个股历史K线走势，且相似度&gt;=90%</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430" w:type="dxa"/>
            <w:tcBorders>
              <w:top w:val="outset" w:color="auto" w:sz="6" w:space="0"/>
              <w:left w:val="outset" w:color="auto" w:sz="6" w:space="0"/>
              <w:bottom w:val="outset" w:color="auto" w:sz="6" w:space="0"/>
              <w:right w:val="outset" w:color="auto" w:sz="6" w:space="0"/>
            </w:tcBorders>
          </w:tcPr>
          <w:p>
            <w:pPr>
              <w:pStyle w:val="34"/>
              <w:rPr>
                <w:szCs w:val="20"/>
              </w:rPr>
            </w:pPr>
            <w:r>
              <w:t>相似K线</w:t>
            </w:r>
          </w:p>
        </w:tc>
        <w:tc>
          <w:tcPr>
            <w:tcW w:w="8217" w:type="dxa"/>
            <w:tcBorders>
              <w:top w:val="outset" w:color="auto" w:sz="6" w:space="0"/>
              <w:left w:val="outset" w:color="auto" w:sz="6" w:space="0"/>
              <w:bottom w:val="outset" w:color="auto" w:sz="6" w:space="0"/>
              <w:right w:val="outset" w:color="auto" w:sz="6" w:space="0"/>
            </w:tcBorders>
          </w:tcPr>
          <w:p>
            <w:pPr>
              <w:pStyle w:val="34"/>
              <w:rPr>
                <w:szCs w:val="20"/>
              </w:rPr>
            </w:pPr>
            <w:r>
              <w:t>展示市场个股K线走势，且相似度&gt;=90%</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430" w:type="dxa"/>
            <w:tcBorders>
              <w:top w:val="outset" w:color="auto" w:sz="6" w:space="0"/>
              <w:left w:val="outset" w:color="auto" w:sz="6" w:space="0"/>
              <w:bottom w:val="outset" w:color="auto" w:sz="6" w:space="0"/>
              <w:right w:val="outset" w:color="auto" w:sz="6" w:space="0"/>
            </w:tcBorders>
          </w:tcPr>
          <w:p>
            <w:pPr>
              <w:pStyle w:val="34"/>
              <w:rPr>
                <w:szCs w:val="20"/>
              </w:rPr>
            </w:pPr>
            <w:r>
              <w:t>30日K线相似个股</w:t>
            </w:r>
          </w:p>
        </w:tc>
        <w:tc>
          <w:tcPr>
            <w:tcW w:w="8217" w:type="dxa"/>
            <w:tcBorders>
              <w:top w:val="outset" w:color="auto" w:sz="6" w:space="0"/>
              <w:left w:val="outset" w:color="auto" w:sz="6" w:space="0"/>
              <w:bottom w:val="outset" w:color="auto" w:sz="6" w:space="0"/>
              <w:right w:val="outset" w:color="auto" w:sz="6" w:space="0"/>
            </w:tcBorders>
          </w:tcPr>
          <w:p>
            <w:pPr>
              <w:pStyle w:val="34"/>
              <w:rPr>
                <w:szCs w:val="20"/>
              </w:rPr>
            </w:pPr>
            <w:r>
              <w:t>展示30日K线相似的个股，并统计相似度、次日、三日、五日个股的涨幅</w:t>
            </w:r>
          </w:p>
        </w:tc>
      </w:tr>
    </w:tbl>
    <w:p>
      <w:pPr>
        <w:pStyle w:val="34"/>
      </w:pPr>
      <w:r>
        <w:t> </w:t>
      </w:r>
    </w:p>
    <w:p>
      <w:pPr>
        <w:pStyle w:val="34"/>
      </w:pPr>
      <w:r>
        <w:t> </w:t>
      </w:r>
    </w:p>
    <w:p>
      <w:pPr>
        <w:pStyle w:val="34"/>
      </w:pPr>
      <w:r>
        <w:t> </w:t>
      </w:r>
    </w:p>
    <w:p>
      <w:pPr>
        <w:pStyle w:val="34"/>
      </w:pPr>
      <w:r>
        <w:fldChar w:fldCharType="begin"/>
      </w:r>
      <w:r>
        <w:instrText xml:space="preserve"> INCLUDEPICTURE  "F:\\0713通达信综合金融终端V6.17\\第六章  基础版功能\\6-16\\6-16-1\\3.png" \* MERGEFORMATINET </w:instrText>
      </w:r>
      <w:r>
        <w:fldChar w:fldCharType="separate"/>
      </w:r>
      <w:r>
        <w:fldChar w:fldCharType="begin"/>
      </w:r>
      <w:r>
        <w:instrText xml:space="preserve"> INCLUDEPICTURE  "F:\\0713通达信综合金融终端V6.17\\第六章  基础版功能\\6-16\\6-16-1\\3.png" \* MERGEFORMATINET </w:instrText>
      </w:r>
      <w:r>
        <w:fldChar w:fldCharType="separate"/>
      </w:r>
      <w:r>
        <w:fldChar w:fldCharType="begin"/>
      </w:r>
      <w:r>
        <w:instrText xml:space="preserve"> INCLUDEPICTURE  "F:\\0713通达信综合金融终端V6.17\\第六章  基础版功能\\6-16\\6-16-1\\3.png" \* MERGEFORMATINET </w:instrText>
      </w:r>
      <w:r>
        <w:fldChar w:fldCharType="separate"/>
      </w:r>
      <w:r>
        <w:fldChar w:fldCharType="begin"/>
      </w:r>
      <w:r>
        <w:instrText xml:space="preserve"> INCLUDEPICTURE  "F:\\0713通达信综合金融终端V6.17\\第六章  基础版功能\\6-16\\6-16-1\\3.png" \* MERGEFORMATINET </w:instrText>
      </w:r>
      <w:r>
        <w:fldChar w:fldCharType="separate"/>
      </w:r>
      <w:r>
        <w:drawing>
          <wp:inline distT="0" distB="0" distL="114300" distR="114300">
            <wp:extent cx="2114550" cy="3952875"/>
            <wp:effectExtent l="0" t="0" r="0" b="9525"/>
            <wp:docPr id="545" name="图片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图片 545"/>
                    <pic:cNvPicPr>
                      <a:picLocks noChangeAspect="1"/>
                    </pic:cNvPicPr>
                  </pic:nvPicPr>
                  <pic:blipFill>
                    <a:blip r:embed="rId1005" r:link="rId1006"/>
                    <a:stretch>
                      <a:fillRect/>
                    </a:stretch>
                  </pic:blipFill>
                  <pic:spPr>
                    <a:xfrm>
                      <a:off x="0" y="0"/>
                      <a:ext cx="2114550" cy="3952875"/>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t>融资融券：</w:t>
      </w:r>
    </w:p>
    <w:p>
      <w:pPr>
        <w:pStyle w:val="34"/>
      </w:pPr>
      <w:r>
        <w:t xml:space="preserve">描述：统计有融资融券资格的个股的融资融券现状，并统计历史上在某一融买率附近时的股票的表现。        </w:t>
      </w:r>
    </w:p>
    <w:p>
      <w:pPr>
        <w:pStyle w:val="34"/>
      </w:pPr>
      <w:r>
        <w:t xml:space="preserve">特点：判断融资、融券趋势，为用户判断个股是否异动提供参考。   </w:t>
      </w:r>
    </w:p>
    <w:tbl>
      <w:tblPr>
        <w:tblStyle w:val="25"/>
        <w:tblpPr w:leftFromText="45" w:rightFromText="45" w:vertAnchor="text"/>
        <w:tblW w:w="9120" w:type="dxa"/>
        <w:tblCellSpacing w:w="0" w:type="dxa"/>
        <w:tblInd w:w="0" w:type="dxa"/>
        <w:tblBorders>
          <w:top w:val="outset" w:color="auto" w:sz="6" w:space="0"/>
          <w:left w:val="outset" w:color="auto" w:sz="6" w:space="0"/>
          <w:bottom w:val="outset" w:color="auto" w:sz="6" w:space="0"/>
          <w:right w:val="outset" w:color="auto" w:sz="6" w:space="0"/>
          <w:insideH w:val="none" w:color="auto" w:sz="0" w:space="0"/>
          <w:insideV w:val="none" w:color="auto" w:sz="0" w:space="0"/>
        </w:tblBorders>
        <w:tblLayout w:type="autofit"/>
        <w:tblCellMar>
          <w:top w:w="0" w:type="dxa"/>
          <w:left w:w="0" w:type="dxa"/>
          <w:bottom w:w="0" w:type="dxa"/>
          <w:right w:w="0" w:type="dxa"/>
        </w:tblCellMar>
      </w:tblPr>
      <w:tblGrid>
        <w:gridCol w:w="2430"/>
        <w:gridCol w:w="6690"/>
      </w:tblGrid>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430" w:type="dxa"/>
            <w:tcBorders>
              <w:top w:val="outset" w:color="auto" w:sz="6" w:space="0"/>
              <w:left w:val="outset" w:color="auto" w:sz="6" w:space="0"/>
              <w:bottom w:val="outset" w:color="auto" w:sz="6" w:space="0"/>
              <w:right w:val="outset" w:color="auto" w:sz="6" w:space="0"/>
            </w:tcBorders>
          </w:tcPr>
          <w:p>
            <w:pPr>
              <w:pStyle w:val="34"/>
              <w:rPr>
                <w:szCs w:val="20"/>
              </w:rPr>
            </w:pPr>
            <w:r>
              <w:t xml:space="preserve">栏目名称 </w:t>
            </w:r>
          </w:p>
        </w:tc>
        <w:tc>
          <w:tcPr>
            <w:tcW w:w="6690" w:type="dxa"/>
            <w:tcBorders>
              <w:top w:val="outset" w:color="auto" w:sz="6" w:space="0"/>
              <w:left w:val="outset" w:color="auto" w:sz="6" w:space="0"/>
              <w:bottom w:val="outset" w:color="auto" w:sz="6" w:space="0"/>
              <w:right w:val="outset" w:color="auto" w:sz="6" w:space="0"/>
            </w:tcBorders>
          </w:tcPr>
          <w:p>
            <w:pPr>
              <w:pStyle w:val="34"/>
              <w:rPr>
                <w:szCs w:val="20"/>
              </w:rPr>
            </w:pPr>
            <w:r>
              <w:t xml:space="preserve">栏目简介 </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430" w:type="dxa"/>
            <w:tcBorders>
              <w:top w:val="outset" w:color="auto" w:sz="6" w:space="0"/>
              <w:left w:val="outset" w:color="auto" w:sz="6" w:space="0"/>
              <w:bottom w:val="outset" w:color="auto" w:sz="6" w:space="0"/>
              <w:right w:val="outset" w:color="auto" w:sz="6" w:space="0"/>
            </w:tcBorders>
          </w:tcPr>
          <w:p>
            <w:pPr>
              <w:pStyle w:val="34"/>
              <w:rPr>
                <w:szCs w:val="20"/>
              </w:rPr>
            </w:pPr>
            <w:r>
              <w:t>融资买入分析</w:t>
            </w:r>
          </w:p>
        </w:tc>
        <w:tc>
          <w:tcPr>
            <w:tcW w:w="6690" w:type="dxa"/>
            <w:tcBorders>
              <w:top w:val="outset" w:color="auto" w:sz="6" w:space="0"/>
              <w:left w:val="outset" w:color="auto" w:sz="6" w:space="0"/>
              <w:bottom w:val="outset" w:color="auto" w:sz="6" w:space="0"/>
              <w:right w:val="outset" w:color="auto" w:sz="6" w:space="0"/>
            </w:tcBorders>
          </w:tcPr>
          <w:p>
            <w:pPr>
              <w:pStyle w:val="34"/>
              <w:rPr>
                <w:szCs w:val="20"/>
              </w:rPr>
            </w:pPr>
            <w:r>
              <w:t>统计个股近十日融资买入的市场表现，并计算融资买入比</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430" w:type="dxa"/>
            <w:tcBorders>
              <w:top w:val="outset" w:color="auto" w:sz="6" w:space="0"/>
              <w:left w:val="outset" w:color="auto" w:sz="6" w:space="0"/>
              <w:bottom w:val="outset" w:color="auto" w:sz="6" w:space="0"/>
              <w:right w:val="outset" w:color="auto" w:sz="6" w:space="0"/>
            </w:tcBorders>
          </w:tcPr>
          <w:p>
            <w:pPr>
              <w:pStyle w:val="34"/>
              <w:rPr>
                <w:szCs w:val="20"/>
              </w:rPr>
            </w:pPr>
            <w:r>
              <w:t>相似融买率分析</w:t>
            </w:r>
          </w:p>
        </w:tc>
        <w:tc>
          <w:tcPr>
            <w:tcW w:w="6690" w:type="dxa"/>
            <w:tcBorders>
              <w:top w:val="outset" w:color="auto" w:sz="6" w:space="0"/>
              <w:left w:val="outset" w:color="auto" w:sz="6" w:space="0"/>
              <w:bottom w:val="outset" w:color="auto" w:sz="6" w:space="0"/>
              <w:right w:val="outset" w:color="auto" w:sz="6" w:space="0"/>
            </w:tcBorders>
          </w:tcPr>
          <w:p>
            <w:pPr>
              <w:pStyle w:val="34"/>
              <w:rPr>
                <w:szCs w:val="20"/>
              </w:rPr>
            </w:pPr>
            <w:r>
              <w:t>统计个股历史上，处于相似融资买入比是的表现：包括次日、三日、五日、十日的上涨概率、上涨涨幅和回测胜率</w:t>
            </w:r>
          </w:p>
        </w:tc>
      </w:tr>
    </w:tbl>
    <w:p>
      <w:pPr>
        <w:pStyle w:val="34"/>
      </w:pPr>
      <w:r>
        <w:t> </w:t>
      </w:r>
    </w:p>
    <w:p>
      <w:pPr>
        <w:pStyle w:val="34"/>
      </w:pPr>
      <w:r>
        <w:t> </w:t>
      </w:r>
    </w:p>
    <w:p>
      <w:pPr>
        <w:pStyle w:val="34"/>
      </w:pPr>
      <w:r>
        <w:fldChar w:fldCharType="begin"/>
      </w:r>
      <w:r>
        <w:instrText xml:space="preserve"> INCLUDEPICTURE  "F:\\0713通达信综合金融终端V6.17\\第六章  基础版功能\\6-16\\6-16-1\\4.png" \* MERGEFORMATINET </w:instrText>
      </w:r>
      <w:r>
        <w:fldChar w:fldCharType="separate"/>
      </w:r>
      <w:r>
        <w:fldChar w:fldCharType="begin"/>
      </w:r>
      <w:r>
        <w:instrText xml:space="preserve"> INCLUDEPICTURE  "F:\\0713通达信综合金融终端V6.17\\第六章  基础版功能\\6-16\\6-16-1\\4.png" \* MERGEFORMATINET </w:instrText>
      </w:r>
      <w:r>
        <w:fldChar w:fldCharType="separate"/>
      </w:r>
      <w:r>
        <w:fldChar w:fldCharType="begin"/>
      </w:r>
      <w:r>
        <w:instrText xml:space="preserve"> INCLUDEPICTURE  "F:\\0713通达信综合金融终端V6.17\\第六章  基础版功能\\6-16\\6-16-1\\4.png" \* MERGEFORMATINET </w:instrText>
      </w:r>
      <w:r>
        <w:fldChar w:fldCharType="separate"/>
      </w:r>
      <w:r>
        <w:fldChar w:fldCharType="begin"/>
      </w:r>
      <w:r>
        <w:instrText xml:space="preserve"> INCLUDEPICTURE  "F:\\0713通达信综合金融终端V6.17\\第六章  基础版功能\\6-16\\6-16-1\\4.png" \* MERGEFORMATINET </w:instrText>
      </w:r>
      <w:r>
        <w:fldChar w:fldCharType="separate"/>
      </w:r>
      <w:r>
        <w:drawing>
          <wp:inline distT="0" distB="0" distL="114300" distR="114300">
            <wp:extent cx="2085975" cy="2971800"/>
            <wp:effectExtent l="0" t="0" r="9525" b="0"/>
            <wp:docPr id="546" name="图片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图片 546"/>
                    <pic:cNvPicPr>
                      <a:picLocks noChangeAspect="1"/>
                    </pic:cNvPicPr>
                  </pic:nvPicPr>
                  <pic:blipFill>
                    <a:blip r:embed="rId1007" r:link="rId1008"/>
                    <a:stretch>
                      <a:fillRect/>
                    </a:stretch>
                  </pic:blipFill>
                  <pic:spPr>
                    <a:xfrm>
                      <a:off x="0" y="0"/>
                      <a:ext cx="2085975" cy="2971800"/>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t>综合评级</w:t>
      </w:r>
    </w:p>
    <w:p>
      <w:pPr>
        <w:pStyle w:val="34"/>
      </w:pPr>
      <w:r>
        <w:t xml:space="preserve">描述：对股票及其所属行业的从多个方面进行评级分析  </w:t>
      </w:r>
    </w:p>
    <w:p>
      <w:pPr>
        <w:pStyle w:val="34"/>
      </w:pPr>
      <w:r>
        <w:t>特点：从资金面、舆情面、基本面、消息面四个方面对个股和所属行业进行打分比较，并选出个股所属行业中的优秀个股</w:t>
      </w:r>
    </w:p>
    <w:tbl>
      <w:tblPr>
        <w:tblStyle w:val="25"/>
        <w:tblpPr w:leftFromText="45" w:rightFromText="45" w:vertAnchor="text"/>
        <w:tblW w:w="12773" w:type="dxa"/>
        <w:tblCellSpacing w:w="0" w:type="dxa"/>
        <w:tblInd w:w="0" w:type="dxa"/>
        <w:tblBorders>
          <w:top w:val="outset" w:color="auto" w:sz="6" w:space="0"/>
          <w:left w:val="outset" w:color="auto" w:sz="6" w:space="0"/>
          <w:bottom w:val="outset" w:color="auto" w:sz="6" w:space="0"/>
          <w:right w:val="outset" w:color="auto" w:sz="6" w:space="0"/>
          <w:insideH w:val="none" w:color="auto" w:sz="0" w:space="0"/>
          <w:insideV w:val="none" w:color="auto" w:sz="0" w:space="0"/>
        </w:tblBorders>
        <w:tblLayout w:type="autofit"/>
        <w:tblCellMar>
          <w:top w:w="0" w:type="dxa"/>
          <w:left w:w="0" w:type="dxa"/>
          <w:bottom w:w="0" w:type="dxa"/>
          <w:right w:w="0" w:type="dxa"/>
        </w:tblCellMar>
      </w:tblPr>
      <w:tblGrid>
        <w:gridCol w:w="2430"/>
        <w:gridCol w:w="10343"/>
      </w:tblGrid>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430" w:type="dxa"/>
            <w:tcBorders>
              <w:top w:val="outset" w:color="auto" w:sz="6" w:space="0"/>
              <w:left w:val="outset" w:color="auto" w:sz="6" w:space="0"/>
              <w:bottom w:val="outset" w:color="auto" w:sz="6" w:space="0"/>
              <w:right w:val="outset" w:color="auto" w:sz="6" w:space="0"/>
            </w:tcBorders>
          </w:tcPr>
          <w:p>
            <w:pPr>
              <w:pStyle w:val="34"/>
              <w:rPr>
                <w:szCs w:val="20"/>
              </w:rPr>
            </w:pPr>
            <w:r>
              <w:t xml:space="preserve">栏目名称 </w:t>
            </w:r>
          </w:p>
        </w:tc>
        <w:tc>
          <w:tcPr>
            <w:tcW w:w="10343" w:type="dxa"/>
            <w:tcBorders>
              <w:top w:val="outset" w:color="auto" w:sz="6" w:space="0"/>
              <w:left w:val="outset" w:color="auto" w:sz="6" w:space="0"/>
              <w:bottom w:val="outset" w:color="auto" w:sz="6" w:space="0"/>
              <w:right w:val="outset" w:color="auto" w:sz="6" w:space="0"/>
            </w:tcBorders>
          </w:tcPr>
          <w:p>
            <w:pPr>
              <w:pStyle w:val="34"/>
              <w:rPr>
                <w:szCs w:val="20"/>
              </w:rPr>
            </w:pPr>
            <w:r>
              <w:t xml:space="preserve">栏目简介 </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430" w:type="dxa"/>
            <w:tcBorders>
              <w:top w:val="outset" w:color="auto" w:sz="6" w:space="0"/>
              <w:left w:val="outset" w:color="auto" w:sz="6" w:space="0"/>
              <w:bottom w:val="outset" w:color="auto" w:sz="6" w:space="0"/>
              <w:right w:val="outset" w:color="auto" w:sz="6" w:space="0"/>
            </w:tcBorders>
          </w:tcPr>
          <w:p>
            <w:pPr>
              <w:pStyle w:val="34"/>
              <w:rPr>
                <w:szCs w:val="20"/>
              </w:rPr>
            </w:pPr>
            <w:r>
              <w:t>评分雷达图</w:t>
            </w:r>
          </w:p>
        </w:tc>
        <w:tc>
          <w:tcPr>
            <w:tcW w:w="10343" w:type="dxa"/>
            <w:tcBorders>
              <w:top w:val="outset" w:color="auto" w:sz="6" w:space="0"/>
              <w:left w:val="outset" w:color="auto" w:sz="6" w:space="0"/>
              <w:bottom w:val="outset" w:color="auto" w:sz="6" w:space="0"/>
              <w:right w:val="outset" w:color="auto" w:sz="6" w:space="0"/>
            </w:tcBorders>
          </w:tcPr>
          <w:p>
            <w:pPr>
              <w:pStyle w:val="34"/>
              <w:rPr>
                <w:szCs w:val="20"/>
              </w:rPr>
            </w:pPr>
            <w:r>
              <w:t>资金面、舆情面、基本面、消息面的信息在雷达图中直观的展示</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430" w:type="dxa"/>
            <w:tcBorders>
              <w:top w:val="outset" w:color="auto" w:sz="6" w:space="0"/>
              <w:left w:val="outset" w:color="auto" w:sz="6" w:space="0"/>
              <w:bottom w:val="outset" w:color="auto" w:sz="6" w:space="0"/>
              <w:right w:val="outset" w:color="auto" w:sz="6" w:space="0"/>
            </w:tcBorders>
          </w:tcPr>
          <w:p>
            <w:pPr>
              <w:pStyle w:val="34"/>
              <w:rPr>
                <w:szCs w:val="20"/>
              </w:rPr>
            </w:pPr>
            <w:r>
              <w:t>综合评分</w:t>
            </w:r>
          </w:p>
        </w:tc>
        <w:tc>
          <w:tcPr>
            <w:tcW w:w="10343" w:type="dxa"/>
            <w:tcBorders>
              <w:top w:val="outset" w:color="auto" w:sz="6" w:space="0"/>
              <w:left w:val="outset" w:color="auto" w:sz="6" w:space="0"/>
              <w:bottom w:val="outset" w:color="auto" w:sz="6" w:space="0"/>
              <w:right w:val="outset" w:color="auto" w:sz="6" w:space="0"/>
            </w:tcBorders>
          </w:tcPr>
          <w:p>
            <w:pPr>
              <w:pStyle w:val="34"/>
              <w:rPr>
                <w:szCs w:val="20"/>
              </w:rPr>
            </w:pPr>
            <w:r>
              <w:t>综合雷达图中的四个方面，对个股和所属行业进行打分评级，并统计个股在行业中的排名水平</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430" w:type="dxa"/>
            <w:tcBorders>
              <w:top w:val="outset" w:color="auto" w:sz="6" w:space="0"/>
              <w:left w:val="outset" w:color="auto" w:sz="6" w:space="0"/>
              <w:bottom w:val="outset" w:color="auto" w:sz="6" w:space="0"/>
              <w:right w:val="outset" w:color="auto" w:sz="6" w:space="0"/>
            </w:tcBorders>
          </w:tcPr>
          <w:p>
            <w:pPr>
              <w:pStyle w:val="34"/>
              <w:rPr>
                <w:szCs w:val="20"/>
              </w:rPr>
            </w:pPr>
            <w:r>
              <w:t>行业优选</w:t>
            </w:r>
          </w:p>
        </w:tc>
        <w:tc>
          <w:tcPr>
            <w:tcW w:w="10343" w:type="dxa"/>
            <w:tcBorders>
              <w:top w:val="outset" w:color="auto" w:sz="6" w:space="0"/>
              <w:left w:val="outset" w:color="auto" w:sz="6" w:space="0"/>
              <w:bottom w:val="outset" w:color="auto" w:sz="6" w:space="0"/>
              <w:right w:val="outset" w:color="auto" w:sz="6" w:space="0"/>
            </w:tcBorders>
          </w:tcPr>
          <w:p>
            <w:pPr>
              <w:pStyle w:val="34"/>
              <w:rPr>
                <w:szCs w:val="20"/>
              </w:rPr>
            </w:pPr>
            <w:r>
              <w:t>选出当前个股所属行业中综合评分靠前的个股</w:t>
            </w:r>
          </w:p>
        </w:tc>
      </w:tr>
    </w:tbl>
    <w:p>
      <w:pPr>
        <w:pStyle w:val="34"/>
        <w:ind w:firstLine="360"/>
        <w:rPr>
          <w:rFonts w:cs="宋体"/>
          <w:kern w:val="0"/>
          <w:sz w:val="18"/>
          <w:szCs w:val="18"/>
        </w:rPr>
      </w:pPr>
      <w:r>
        <w:rPr>
          <w:rFonts w:cs="宋体"/>
          <w:kern w:val="0"/>
          <w:sz w:val="18"/>
          <w:szCs w:val="18"/>
        </w:rPr>
        <w:t> </w:t>
      </w:r>
    </w:p>
    <w:p>
      <w:pPr>
        <w:pStyle w:val="34"/>
        <w:ind w:firstLine="360"/>
        <w:rPr>
          <w:rFonts w:cs="宋体"/>
          <w:kern w:val="0"/>
          <w:sz w:val="18"/>
          <w:szCs w:val="18"/>
        </w:rPr>
      </w:pPr>
      <w:r>
        <w:rPr>
          <w:rFonts w:cs="宋体"/>
          <w:kern w:val="0"/>
          <w:sz w:val="18"/>
          <w:szCs w:val="18"/>
        </w:rPr>
        <w:t> </w:t>
      </w:r>
    </w:p>
    <w:p>
      <w:pPr>
        <w:pStyle w:val="34"/>
        <w:ind w:firstLine="360"/>
        <w:rPr>
          <w:rFonts w:cs="宋体"/>
          <w:kern w:val="0"/>
          <w:sz w:val="18"/>
          <w:szCs w:val="18"/>
        </w:rPr>
      </w:pPr>
      <w:r>
        <w:rPr>
          <w:rFonts w:cs="宋体"/>
          <w:kern w:val="0"/>
          <w:sz w:val="18"/>
          <w:szCs w:val="18"/>
        </w:rPr>
        <w:t> </w:t>
      </w:r>
    </w:p>
    <w:p>
      <w:pPr>
        <w:widowControl/>
        <w:spacing w:before="100" w:beforeAutospacing="1" w:after="100" w:afterAutospacing="1" w:line="240" w:lineRule="auto"/>
        <w:jc w:val="left"/>
        <w:rPr>
          <w:rFonts w:cs="宋体"/>
          <w:kern w:val="0"/>
          <w:sz w:val="18"/>
          <w:szCs w:val="18"/>
        </w:rPr>
      </w:pPr>
      <w:r>
        <w:rPr>
          <w:rFonts w:cs="宋体"/>
          <w:kern w:val="0"/>
          <w:sz w:val="18"/>
          <w:szCs w:val="18"/>
        </w:rPr>
        <w:fldChar w:fldCharType="begin"/>
      </w:r>
      <w:r>
        <w:rPr>
          <w:rFonts w:cs="宋体"/>
          <w:kern w:val="0"/>
          <w:sz w:val="18"/>
          <w:szCs w:val="18"/>
        </w:rPr>
        <w:instrText xml:space="preserve"> INCLUDEPICTURE  "F:\\0713通达信综合金融终端V6.17\\第六章  基础版功能\\6-16\\6-16-1\\5.png" \* MERGEFORMATINET </w:instrText>
      </w:r>
      <w:r>
        <w:rPr>
          <w:rFonts w:cs="宋体"/>
          <w:kern w:val="0"/>
          <w:sz w:val="18"/>
          <w:szCs w:val="18"/>
        </w:rPr>
        <w:fldChar w:fldCharType="separate"/>
      </w:r>
      <w:r>
        <w:rPr>
          <w:rFonts w:cs="宋体"/>
          <w:kern w:val="0"/>
          <w:sz w:val="18"/>
          <w:szCs w:val="18"/>
        </w:rPr>
        <w:fldChar w:fldCharType="begin"/>
      </w:r>
      <w:r>
        <w:rPr>
          <w:rFonts w:cs="宋体"/>
          <w:kern w:val="0"/>
          <w:sz w:val="18"/>
          <w:szCs w:val="18"/>
        </w:rPr>
        <w:instrText xml:space="preserve"> INCLUDEPICTURE  "F:\\0713通达信综合金融终端V6.17\\第六章  基础版功能\\6-16\\6-16-1\\5.png" \* MERGEFORMATINET </w:instrText>
      </w:r>
      <w:r>
        <w:rPr>
          <w:rFonts w:cs="宋体"/>
          <w:kern w:val="0"/>
          <w:sz w:val="18"/>
          <w:szCs w:val="18"/>
        </w:rPr>
        <w:fldChar w:fldCharType="separate"/>
      </w:r>
      <w:r>
        <w:rPr>
          <w:rFonts w:cs="宋体"/>
          <w:kern w:val="0"/>
          <w:sz w:val="18"/>
          <w:szCs w:val="18"/>
        </w:rPr>
        <w:fldChar w:fldCharType="begin"/>
      </w:r>
      <w:r>
        <w:rPr>
          <w:rFonts w:cs="宋体"/>
          <w:kern w:val="0"/>
          <w:sz w:val="18"/>
          <w:szCs w:val="18"/>
        </w:rPr>
        <w:instrText xml:space="preserve"> INCLUDEPICTURE  "F:\\0713通达信综合金融终端V6.17\\第六章  基础版功能\\6-16\\6-16-1\\5.png" \* MERGEFORMATINET </w:instrText>
      </w:r>
      <w:r>
        <w:rPr>
          <w:rFonts w:cs="宋体"/>
          <w:kern w:val="0"/>
          <w:sz w:val="18"/>
          <w:szCs w:val="18"/>
        </w:rPr>
        <w:fldChar w:fldCharType="separate"/>
      </w:r>
      <w:r>
        <w:rPr>
          <w:rFonts w:cs="宋体"/>
          <w:kern w:val="0"/>
          <w:sz w:val="18"/>
          <w:szCs w:val="18"/>
        </w:rPr>
        <w:fldChar w:fldCharType="begin"/>
      </w:r>
      <w:r>
        <w:rPr>
          <w:rFonts w:cs="宋体"/>
          <w:kern w:val="0"/>
          <w:sz w:val="18"/>
          <w:szCs w:val="18"/>
        </w:rPr>
        <w:instrText xml:space="preserve"> INCLUDEPICTURE  "F:\\0713通达信综合金融终端V6.17\\第六章  基础版功能\\6-16\\6-16-1\\5.png" \* MERGEFORMATINET </w:instrText>
      </w:r>
      <w:r>
        <w:rPr>
          <w:rFonts w:cs="宋体"/>
          <w:kern w:val="0"/>
          <w:sz w:val="18"/>
          <w:szCs w:val="18"/>
        </w:rPr>
        <w:fldChar w:fldCharType="separate"/>
      </w:r>
      <w:r>
        <w:rPr>
          <w:rFonts w:cs="宋体"/>
          <w:kern w:val="0"/>
          <w:sz w:val="18"/>
          <w:szCs w:val="18"/>
        </w:rPr>
        <w:drawing>
          <wp:inline distT="0" distB="0" distL="114300" distR="114300">
            <wp:extent cx="2085975" cy="3867150"/>
            <wp:effectExtent l="0" t="0" r="9525" b="0"/>
            <wp:docPr id="547" name="图片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图片 547"/>
                    <pic:cNvPicPr>
                      <a:picLocks noChangeAspect="1"/>
                    </pic:cNvPicPr>
                  </pic:nvPicPr>
                  <pic:blipFill>
                    <a:blip r:embed="rId1009" r:link="rId1010"/>
                    <a:stretch>
                      <a:fillRect/>
                    </a:stretch>
                  </pic:blipFill>
                  <pic:spPr>
                    <a:xfrm>
                      <a:off x="0" y="0"/>
                      <a:ext cx="2085975" cy="3867150"/>
                    </a:xfrm>
                    <a:prstGeom prst="rect">
                      <a:avLst/>
                    </a:prstGeom>
                    <a:noFill/>
                    <a:ln>
                      <a:noFill/>
                    </a:ln>
                  </pic:spPr>
                </pic:pic>
              </a:graphicData>
            </a:graphic>
          </wp:inline>
        </w:drawing>
      </w:r>
      <w:r>
        <w:rPr>
          <w:rFonts w:cs="宋体"/>
          <w:kern w:val="0"/>
          <w:sz w:val="18"/>
          <w:szCs w:val="18"/>
        </w:rPr>
        <w:fldChar w:fldCharType="end"/>
      </w:r>
      <w:r>
        <w:rPr>
          <w:rFonts w:cs="宋体"/>
          <w:kern w:val="0"/>
          <w:sz w:val="18"/>
          <w:szCs w:val="18"/>
        </w:rPr>
        <w:fldChar w:fldCharType="end"/>
      </w:r>
      <w:r>
        <w:rPr>
          <w:rFonts w:cs="宋体"/>
          <w:kern w:val="0"/>
          <w:sz w:val="18"/>
          <w:szCs w:val="18"/>
        </w:rPr>
        <w:fldChar w:fldCharType="end"/>
      </w:r>
      <w:r>
        <w:rPr>
          <w:rFonts w:cs="宋体"/>
          <w:kern w:val="0"/>
          <w:sz w:val="18"/>
          <w:szCs w:val="18"/>
        </w:rPr>
        <w:fldChar w:fldCharType="end"/>
      </w:r>
    </w:p>
    <w:p>
      <w:pPr>
        <w:pStyle w:val="4"/>
      </w:pPr>
      <w:r>
        <w:rPr>
          <w:rFonts w:hint="eastAsia"/>
        </w:rPr>
        <w:t>大盘AI数据分析</w:t>
      </w:r>
    </w:p>
    <w:p>
      <w:pPr>
        <w:pStyle w:val="34"/>
      </w:pPr>
      <w:r>
        <w:rPr>
          <w:rFonts w:hint="eastAsia"/>
        </w:rPr>
        <w:t>通达信侧边栏AI数据分析主要包括个股AI数据分析和</w:t>
      </w:r>
      <w:r>
        <w:rPr>
          <w:rFonts w:hint="eastAsia"/>
          <w:b/>
          <w:bCs/>
          <w:color w:val="FF0000"/>
        </w:rPr>
        <w:t>大盘AI数据分析</w:t>
      </w:r>
      <w:r>
        <w:rPr>
          <w:rFonts w:hint="eastAsia"/>
        </w:rPr>
        <w:t>，是在市场公开数据的基础上，对原始数据进行筛选、统计和计算，并通过智能灵活的图、表等多种形式在侧边栏展示给用户，可以无缝的整合于行情客户端，是集数据统计、计算机智能于一体的数据侧边栏。</w:t>
      </w:r>
    </w:p>
    <w:p>
      <w:pPr>
        <w:pStyle w:val="34"/>
      </w:pPr>
      <w:r>
        <w:rPr>
          <w:rFonts w:hint="eastAsia"/>
        </w:rPr>
        <w:t>热度指数</w:t>
      </w:r>
    </w:p>
    <w:p>
      <w:pPr>
        <w:pStyle w:val="34"/>
      </w:pPr>
      <w:r>
        <w:rPr>
          <w:rFonts w:hint="eastAsia"/>
        </w:rPr>
        <w:t>描述：统计计算了市场热度和市场走势。        </w:t>
      </w:r>
    </w:p>
    <w:p>
      <w:pPr>
        <w:pStyle w:val="34"/>
      </w:pPr>
      <w:r>
        <w:rPr>
          <w:rFonts w:hint="eastAsia"/>
        </w:rPr>
        <w:t>特点：帮助投资者判断分析市场的基本现状，追踪的大盘走势。</w:t>
      </w:r>
    </w:p>
    <w:tbl>
      <w:tblPr>
        <w:tblStyle w:val="25"/>
        <w:tblpPr w:leftFromText="45" w:rightFromText="45" w:vertAnchor="text"/>
        <w:tblW w:w="9120" w:type="dxa"/>
        <w:tblCellSpacing w:w="0" w:type="dxa"/>
        <w:tblInd w:w="0" w:type="dxa"/>
        <w:tblBorders>
          <w:top w:val="outset" w:color="auto" w:sz="6" w:space="0"/>
          <w:left w:val="outset" w:color="auto" w:sz="6" w:space="0"/>
          <w:bottom w:val="outset" w:color="auto" w:sz="6" w:space="0"/>
          <w:right w:val="outset" w:color="auto" w:sz="6" w:space="0"/>
          <w:insideH w:val="none" w:color="auto" w:sz="0" w:space="0"/>
          <w:insideV w:val="none" w:color="auto" w:sz="0" w:space="0"/>
        </w:tblBorders>
        <w:tblLayout w:type="autofit"/>
        <w:tblCellMar>
          <w:top w:w="0" w:type="dxa"/>
          <w:left w:w="0" w:type="dxa"/>
          <w:bottom w:w="0" w:type="dxa"/>
          <w:right w:w="0" w:type="dxa"/>
        </w:tblCellMar>
      </w:tblPr>
      <w:tblGrid>
        <w:gridCol w:w="2430"/>
        <w:gridCol w:w="6690"/>
      </w:tblGrid>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430" w:type="dxa"/>
            <w:tcBorders>
              <w:top w:val="outset" w:color="auto" w:sz="6" w:space="0"/>
              <w:left w:val="outset" w:color="auto" w:sz="6" w:space="0"/>
              <w:bottom w:val="outset" w:color="auto" w:sz="6" w:space="0"/>
              <w:right w:val="outset" w:color="auto" w:sz="6" w:space="0"/>
            </w:tcBorders>
          </w:tcPr>
          <w:p>
            <w:pPr>
              <w:pStyle w:val="34"/>
            </w:pPr>
            <w:r>
              <w:rPr>
                <w:rFonts w:hint="eastAsia"/>
              </w:rPr>
              <w:t>栏目名称</w:t>
            </w:r>
          </w:p>
        </w:tc>
        <w:tc>
          <w:tcPr>
            <w:tcW w:w="6690" w:type="dxa"/>
            <w:tcBorders>
              <w:top w:val="outset" w:color="auto" w:sz="6" w:space="0"/>
              <w:left w:val="outset" w:color="auto" w:sz="6" w:space="0"/>
              <w:bottom w:val="outset" w:color="auto" w:sz="6" w:space="0"/>
              <w:right w:val="outset" w:color="auto" w:sz="6" w:space="0"/>
            </w:tcBorders>
          </w:tcPr>
          <w:p>
            <w:pPr>
              <w:pStyle w:val="34"/>
            </w:pPr>
            <w:r>
              <w:rPr>
                <w:rFonts w:hint="eastAsia"/>
              </w:rPr>
              <w:t>栏目简介</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430" w:type="dxa"/>
            <w:tcBorders>
              <w:top w:val="outset" w:color="auto" w:sz="6" w:space="0"/>
              <w:left w:val="outset" w:color="auto" w:sz="6" w:space="0"/>
              <w:bottom w:val="outset" w:color="auto" w:sz="6" w:space="0"/>
              <w:right w:val="outset" w:color="auto" w:sz="6" w:space="0"/>
            </w:tcBorders>
          </w:tcPr>
          <w:p>
            <w:pPr>
              <w:pStyle w:val="34"/>
            </w:pPr>
            <w:r>
              <w:rPr>
                <w:rFonts w:hint="eastAsia"/>
              </w:rPr>
              <w:t>市场热度</w:t>
            </w:r>
          </w:p>
        </w:tc>
        <w:tc>
          <w:tcPr>
            <w:tcW w:w="6690" w:type="dxa"/>
            <w:tcBorders>
              <w:top w:val="outset" w:color="auto" w:sz="6" w:space="0"/>
              <w:left w:val="outset" w:color="auto" w:sz="6" w:space="0"/>
              <w:bottom w:val="outset" w:color="auto" w:sz="6" w:space="0"/>
              <w:right w:val="outset" w:color="auto" w:sz="6" w:space="0"/>
            </w:tcBorders>
          </w:tcPr>
          <w:p>
            <w:pPr>
              <w:pStyle w:val="34"/>
            </w:pPr>
            <w:r>
              <w:rPr>
                <w:rFonts w:hint="eastAsia"/>
              </w:rPr>
              <w:t>将市场参与度数据化，用热度展示</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430" w:type="dxa"/>
            <w:tcBorders>
              <w:top w:val="outset" w:color="auto" w:sz="6" w:space="0"/>
              <w:left w:val="outset" w:color="auto" w:sz="6" w:space="0"/>
              <w:bottom w:val="outset" w:color="auto" w:sz="6" w:space="0"/>
              <w:right w:val="outset" w:color="auto" w:sz="6" w:space="0"/>
            </w:tcBorders>
          </w:tcPr>
          <w:p>
            <w:pPr>
              <w:pStyle w:val="34"/>
            </w:pPr>
            <w:r>
              <w:rPr>
                <w:rFonts w:hint="eastAsia"/>
              </w:rPr>
              <w:t>牛熊走向</w:t>
            </w:r>
          </w:p>
        </w:tc>
        <w:tc>
          <w:tcPr>
            <w:tcW w:w="6690" w:type="dxa"/>
            <w:tcBorders>
              <w:top w:val="outset" w:color="auto" w:sz="6" w:space="0"/>
              <w:left w:val="outset" w:color="auto" w:sz="6" w:space="0"/>
              <w:bottom w:val="outset" w:color="auto" w:sz="6" w:space="0"/>
              <w:right w:val="outset" w:color="auto" w:sz="6" w:space="0"/>
            </w:tcBorders>
          </w:tcPr>
          <w:p>
            <w:pPr>
              <w:pStyle w:val="34"/>
            </w:pPr>
            <w:r>
              <w:rPr>
                <w:rFonts w:hint="eastAsia"/>
              </w:rPr>
              <w:t>通过统计计算分析当前市场的牛熊走势</w:t>
            </w:r>
          </w:p>
        </w:tc>
      </w:tr>
    </w:tbl>
    <w:p>
      <w:pPr>
        <w:pStyle w:val="34"/>
      </w:pPr>
      <w:r>
        <w:rPr>
          <w:rFonts w:hint="eastAsia"/>
        </w:rPr>
        <w:t> </w:t>
      </w:r>
    </w:p>
    <w:p>
      <w:pPr>
        <w:pStyle w:val="34"/>
      </w:pPr>
      <w:r>
        <w:rPr>
          <w:rFonts w:hint="eastAsia"/>
        </w:rPr>
        <w:t> </w:t>
      </w:r>
    </w:p>
    <w:p>
      <w:pPr>
        <w:pStyle w:val="34"/>
      </w:pPr>
    </w:p>
    <w:p>
      <w:pPr>
        <w:pStyle w:val="34"/>
      </w:pPr>
    </w:p>
    <w:p>
      <w:pPr>
        <w:pStyle w:val="34"/>
      </w:pPr>
      <w:r>
        <w:fldChar w:fldCharType="begin"/>
      </w:r>
      <w:r>
        <w:instrText xml:space="preserve"> INCLUDEPICTURE  "https://www.tdx.com.cn/products/helpfile/tdxw/chm/%E7%AC%AC%E5%85%AD%E7%AB%A0  %E5%9F%BA%E7%A1%80%E7%89%88%E5%8A%9F%E8%83%BD/6-16/6-16-2/1.png" \* MERGEFORMATINET </w:instrText>
      </w:r>
      <w:r>
        <w:fldChar w:fldCharType="separate"/>
      </w:r>
      <w:r>
        <w:fldChar w:fldCharType="begin"/>
      </w:r>
      <w:r>
        <w:instrText xml:space="preserve"> INCLUDEPICTURE  "https://www.tdx.com.cn/products/helpfile/tdxw/chm/%E7%AC%AC%E5%85%AD%E7%AB%A0  %E5%9F%BA%E7%A1%80%E7%89%88%E5%8A%9F%E8%83%BD/6-16/6-16-2/1.png" \* MERGEFORMATINET </w:instrText>
      </w:r>
      <w:r>
        <w:fldChar w:fldCharType="separate"/>
      </w:r>
      <w:r>
        <w:fldChar w:fldCharType="begin"/>
      </w:r>
      <w:r>
        <w:instrText xml:space="preserve"> INCLUDEPICTURE  "https://www.tdx.com.cn/products/helpfile/tdxw/chm/%E7%AC%AC%E5%85%AD%E7%AB%A0  %E5%9F%BA%E7%A1%80%E7%89%88%E5%8A%9F%E8%83%BD/6-16/6-16-2/1.png" \* MERGEFORMATINET </w:instrText>
      </w:r>
      <w:r>
        <w:fldChar w:fldCharType="separate"/>
      </w:r>
      <w:r>
        <w:fldChar w:fldCharType="begin"/>
      </w:r>
      <w:r>
        <w:instrText xml:space="preserve"> INCLUDEPICTURE  "https://www.tdx.com.cn/products/helpfile/tdxw/chm/%E7%AC%AC%E5%85%AD%E7%AB%A0  %E5%9F%BA%E7%A1%80%E7%89%88%E5%8A%9F%E8%83%BD/6-16/6-16-2/1.png" \* MERGEFORMATINET </w:instrText>
      </w:r>
      <w:r>
        <w:fldChar w:fldCharType="separate"/>
      </w:r>
      <w:r>
        <w:drawing>
          <wp:inline distT="0" distB="0" distL="114300" distR="114300">
            <wp:extent cx="2076450" cy="3314700"/>
            <wp:effectExtent l="0" t="0" r="0" b="0"/>
            <wp:docPr id="548" name="图片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图片 548"/>
                    <pic:cNvPicPr>
                      <a:picLocks noChangeAspect="1"/>
                    </pic:cNvPicPr>
                  </pic:nvPicPr>
                  <pic:blipFill>
                    <a:blip r:embed="rId1011" r:link="rId1012"/>
                    <a:stretch>
                      <a:fillRect/>
                    </a:stretch>
                  </pic:blipFill>
                  <pic:spPr>
                    <a:xfrm>
                      <a:off x="0" y="0"/>
                      <a:ext cx="2076450" cy="3314700"/>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舆情指数</w:t>
      </w:r>
    </w:p>
    <w:p>
      <w:pPr>
        <w:pStyle w:val="34"/>
      </w:pPr>
      <w:r>
        <w:rPr>
          <w:rFonts w:hint="eastAsia"/>
        </w:rPr>
        <w:t>描述：分析指数的舆情状况。        </w:t>
      </w:r>
    </w:p>
    <w:p>
      <w:pPr>
        <w:pStyle w:val="34"/>
      </w:pPr>
      <w:r>
        <w:rPr>
          <w:rFonts w:hint="eastAsia"/>
        </w:rPr>
        <w:t>特点：从舆情角度帮助投资者分析大盘的现状和舆情走势。</w:t>
      </w:r>
    </w:p>
    <w:tbl>
      <w:tblPr>
        <w:tblStyle w:val="25"/>
        <w:tblpPr w:leftFromText="45" w:rightFromText="45" w:vertAnchor="text"/>
        <w:tblW w:w="9120" w:type="dxa"/>
        <w:tblCellSpacing w:w="0" w:type="dxa"/>
        <w:tblInd w:w="0" w:type="dxa"/>
        <w:tblBorders>
          <w:top w:val="outset" w:color="auto" w:sz="6" w:space="0"/>
          <w:left w:val="outset" w:color="auto" w:sz="6" w:space="0"/>
          <w:bottom w:val="outset" w:color="auto" w:sz="6" w:space="0"/>
          <w:right w:val="outset" w:color="auto" w:sz="6" w:space="0"/>
          <w:insideH w:val="none" w:color="auto" w:sz="0" w:space="0"/>
          <w:insideV w:val="none" w:color="auto" w:sz="0" w:space="0"/>
        </w:tblBorders>
        <w:tblLayout w:type="autofit"/>
        <w:tblCellMar>
          <w:top w:w="0" w:type="dxa"/>
          <w:left w:w="0" w:type="dxa"/>
          <w:bottom w:w="0" w:type="dxa"/>
          <w:right w:w="0" w:type="dxa"/>
        </w:tblCellMar>
      </w:tblPr>
      <w:tblGrid>
        <w:gridCol w:w="2430"/>
        <w:gridCol w:w="6690"/>
      </w:tblGrid>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430" w:type="dxa"/>
            <w:tcBorders>
              <w:top w:val="outset" w:color="auto" w:sz="6" w:space="0"/>
              <w:left w:val="outset" w:color="auto" w:sz="6" w:space="0"/>
              <w:bottom w:val="outset" w:color="auto" w:sz="6" w:space="0"/>
              <w:right w:val="outset" w:color="auto" w:sz="6" w:space="0"/>
            </w:tcBorders>
          </w:tcPr>
          <w:p>
            <w:pPr>
              <w:pStyle w:val="34"/>
            </w:pPr>
            <w:r>
              <w:rPr>
                <w:rFonts w:hint="eastAsia"/>
              </w:rPr>
              <w:t>栏目名称</w:t>
            </w:r>
          </w:p>
        </w:tc>
        <w:tc>
          <w:tcPr>
            <w:tcW w:w="6690" w:type="dxa"/>
            <w:tcBorders>
              <w:top w:val="outset" w:color="auto" w:sz="6" w:space="0"/>
              <w:left w:val="outset" w:color="auto" w:sz="6" w:space="0"/>
              <w:bottom w:val="outset" w:color="auto" w:sz="6" w:space="0"/>
              <w:right w:val="outset" w:color="auto" w:sz="6" w:space="0"/>
            </w:tcBorders>
          </w:tcPr>
          <w:p>
            <w:pPr>
              <w:pStyle w:val="34"/>
            </w:pPr>
            <w:r>
              <w:rPr>
                <w:rFonts w:hint="eastAsia"/>
              </w:rPr>
              <w:t>栏目简介</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430" w:type="dxa"/>
            <w:tcBorders>
              <w:top w:val="outset" w:color="auto" w:sz="6" w:space="0"/>
              <w:left w:val="outset" w:color="auto" w:sz="6" w:space="0"/>
              <w:bottom w:val="outset" w:color="auto" w:sz="6" w:space="0"/>
              <w:right w:val="outset" w:color="auto" w:sz="6" w:space="0"/>
            </w:tcBorders>
          </w:tcPr>
          <w:p>
            <w:pPr>
              <w:pStyle w:val="34"/>
            </w:pPr>
            <w:r>
              <w:rPr>
                <w:rFonts w:hint="eastAsia"/>
              </w:rPr>
              <w:t>舆情指数</w:t>
            </w:r>
          </w:p>
        </w:tc>
        <w:tc>
          <w:tcPr>
            <w:tcW w:w="6690" w:type="dxa"/>
            <w:tcBorders>
              <w:top w:val="outset" w:color="auto" w:sz="6" w:space="0"/>
              <w:left w:val="outset" w:color="auto" w:sz="6" w:space="0"/>
              <w:bottom w:val="outset" w:color="auto" w:sz="6" w:space="0"/>
              <w:right w:val="outset" w:color="auto" w:sz="6" w:space="0"/>
            </w:tcBorders>
          </w:tcPr>
          <w:p>
            <w:pPr>
              <w:pStyle w:val="34"/>
            </w:pPr>
            <w:r>
              <w:rPr>
                <w:rFonts w:hint="eastAsia"/>
              </w:rPr>
              <w:t>分析正面舆情和负面舆情以及各自的同比增长</w:t>
            </w:r>
          </w:p>
        </w:tc>
      </w:tr>
    </w:tbl>
    <w:p>
      <w:pPr>
        <w:pStyle w:val="34"/>
      </w:pPr>
      <w:r>
        <w:rPr>
          <w:rFonts w:hint="eastAsia"/>
        </w:rPr>
        <w:t> </w:t>
      </w:r>
    </w:p>
    <w:p>
      <w:pPr>
        <w:pStyle w:val="34"/>
      </w:pPr>
      <w:r>
        <w:rPr>
          <w:rFonts w:hint="eastAsia"/>
        </w:rPr>
        <w:t>   </w:t>
      </w:r>
    </w:p>
    <w:p>
      <w:pPr>
        <w:pStyle w:val="34"/>
      </w:pPr>
    </w:p>
    <w:p>
      <w:pPr>
        <w:pStyle w:val="34"/>
      </w:pPr>
      <w:r>
        <w:fldChar w:fldCharType="begin"/>
      </w:r>
      <w:r>
        <w:instrText xml:space="preserve"> INCLUDEPICTURE  "https://www.tdx.com.cn/products/helpfile/tdxw/chm/%E7%AC%AC%E5%85%AD%E7%AB%A0  %E5%9F%BA%E7%A1%80%E7%89%88%E5%8A%9F%E8%83%BD/6-16/6-16-2/2.png" \* MERGEFORMATINET </w:instrText>
      </w:r>
      <w:r>
        <w:fldChar w:fldCharType="separate"/>
      </w:r>
      <w:r>
        <w:fldChar w:fldCharType="begin"/>
      </w:r>
      <w:r>
        <w:instrText xml:space="preserve"> INCLUDEPICTURE  "https://www.tdx.com.cn/products/helpfile/tdxw/chm/%E7%AC%AC%E5%85%AD%E7%AB%A0  %E5%9F%BA%E7%A1%80%E7%89%88%E5%8A%9F%E8%83%BD/6-16/6-16-2/2.png" \* MERGEFORMATINET </w:instrText>
      </w:r>
      <w:r>
        <w:fldChar w:fldCharType="separate"/>
      </w:r>
      <w:r>
        <w:fldChar w:fldCharType="begin"/>
      </w:r>
      <w:r>
        <w:instrText xml:space="preserve"> INCLUDEPICTURE  "https://www.tdx.com.cn/products/helpfile/tdxw/chm/%E7%AC%AC%E5%85%AD%E7%AB%A0  %E5%9F%BA%E7%A1%80%E7%89%88%E5%8A%9F%E8%83%BD/6-16/6-16-2/2.png" \* MERGEFORMATINET </w:instrText>
      </w:r>
      <w:r>
        <w:fldChar w:fldCharType="separate"/>
      </w:r>
      <w:r>
        <w:fldChar w:fldCharType="begin"/>
      </w:r>
      <w:r>
        <w:instrText xml:space="preserve"> INCLUDEPICTURE  "https://www.tdx.com.cn/products/helpfile/tdxw/chm/%E7%AC%AC%E5%85%AD%E7%AB%A0  %E5%9F%BA%E7%A1%80%E7%89%88%E5%8A%9F%E8%83%BD/6-16/6-16-2/2.png" \* MERGEFORMATINET </w:instrText>
      </w:r>
      <w:r>
        <w:fldChar w:fldCharType="separate"/>
      </w:r>
      <w:r>
        <w:drawing>
          <wp:inline distT="0" distB="0" distL="114300" distR="114300">
            <wp:extent cx="2057400" cy="2590800"/>
            <wp:effectExtent l="0" t="0" r="0" b="0"/>
            <wp:docPr id="549" name="图片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图片 549"/>
                    <pic:cNvPicPr>
                      <a:picLocks noChangeAspect="1"/>
                    </pic:cNvPicPr>
                  </pic:nvPicPr>
                  <pic:blipFill>
                    <a:blip r:embed="rId1013" r:link="rId1014"/>
                    <a:stretch>
                      <a:fillRect/>
                    </a:stretch>
                  </pic:blipFill>
                  <pic:spPr>
                    <a:xfrm>
                      <a:off x="0" y="0"/>
                      <a:ext cx="2057400" cy="2590800"/>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时光机</w:t>
      </w:r>
    </w:p>
    <w:p>
      <w:pPr>
        <w:pStyle w:val="34"/>
      </w:pPr>
      <w:r>
        <w:rPr>
          <w:rFonts w:hint="eastAsia"/>
        </w:rPr>
        <w:t>描述：从日和月两个角度统计了历史上今天/同月指数的表现。</w:t>
      </w:r>
    </w:p>
    <w:p>
      <w:pPr>
        <w:pStyle w:val="34"/>
      </w:pPr>
      <w:r>
        <w:rPr>
          <w:rFonts w:hint="eastAsia"/>
        </w:rPr>
        <w:t>特点：对用户判断某些特殊日期、月份是否会对大盘表现造成影响提供数据参考。</w:t>
      </w:r>
    </w:p>
    <w:tbl>
      <w:tblPr>
        <w:tblStyle w:val="25"/>
        <w:tblpPr w:leftFromText="45" w:rightFromText="45" w:vertAnchor="text"/>
        <w:tblW w:w="11805" w:type="dxa"/>
        <w:tblCellSpacing w:w="0" w:type="dxa"/>
        <w:tblInd w:w="0" w:type="dxa"/>
        <w:tblBorders>
          <w:top w:val="outset" w:color="auto" w:sz="6" w:space="0"/>
          <w:left w:val="outset" w:color="auto" w:sz="6" w:space="0"/>
          <w:bottom w:val="outset" w:color="auto" w:sz="6" w:space="0"/>
          <w:right w:val="outset" w:color="auto" w:sz="6" w:space="0"/>
          <w:insideH w:val="none" w:color="auto" w:sz="0" w:space="0"/>
          <w:insideV w:val="none" w:color="auto" w:sz="0" w:space="0"/>
        </w:tblBorders>
        <w:tblLayout w:type="autofit"/>
        <w:tblCellMar>
          <w:top w:w="0" w:type="dxa"/>
          <w:left w:w="0" w:type="dxa"/>
          <w:bottom w:w="0" w:type="dxa"/>
          <w:right w:w="0" w:type="dxa"/>
        </w:tblCellMar>
      </w:tblPr>
      <w:tblGrid>
        <w:gridCol w:w="2832"/>
        <w:gridCol w:w="8973"/>
      </w:tblGrid>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835" w:type="dxa"/>
            <w:tcBorders>
              <w:top w:val="outset" w:color="auto" w:sz="6" w:space="0"/>
              <w:left w:val="outset" w:color="auto" w:sz="6" w:space="0"/>
              <w:bottom w:val="outset" w:color="auto" w:sz="6" w:space="0"/>
              <w:right w:val="outset" w:color="auto" w:sz="6" w:space="0"/>
            </w:tcBorders>
          </w:tcPr>
          <w:p>
            <w:pPr>
              <w:pStyle w:val="34"/>
            </w:pPr>
            <w:r>
              <w:rPr>
                <w:rFonts w:hint="eastAsia"/>
              </w:rPr>
              <w:t>栏目名称</w:t>
            </w:r>
          </w:p>
        </w:tc>
        <w:tc>
          <w:tcPr>
            <w:tcW w:w="8985" w:type="dxa"/>
            <w:tcBorders>
              <w:top w:val="outset" w:color="auto" w:sz="6" w:space="0"/>
              <w:left w:val="outset" w:color="auto" w:sz="6" w:space="0"/>
              <w:bottom w:val="outset" w:color="auto" w:sz="6" w:space="0"/>
              <w:right w:val="outset" w:color="auto" w:sz="6" w:space="0"/>
            </w:tcBorders>
          </w:tcPr>
          <w:p>
            <w:pPr>
              <w:pStyle w:val="34"/>
            </w:pPr>
            <w:r>
              <w:rPr>
                <w:rFonts w:hint="eastAsia"/>
              </w:rPr>
              <w:t>栏目简介</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835" w:type="dxa"/>
            <w:tcBorders>
              <w:top w:val="outset" w:color="auto" w:sz="6" w:space="0"/>
              <w:left w:val="outset" w:color="auto" w:sz="6" w:space="0"/>
              <w:bottom w:val="outset" w:color="auto" w:sz="6" w:space="0"/>
              <w:right w:val="outset" w:color="auto" w:sz="6" w:space="0"/>
            </w:tcBorders>
          </w:tcPr>
          <w:p>
            <w:pPr>
              <w:pStyle w:val="34"/>
            </w:pPr>
            <w:r>
              <w:rPr>
                <w:rFonts w:hint="eastAsia"/>
              </w:rPr>
              <w:t>历史上指数今日表现</w:t>
            </w:r>
          </w:p>
        </w:tc>
        <w:tc>
          <w:tcPr>
            <w:tcW w:w="8985" w:type="dxa"/>
            <w:tcBorders>
              <w:top w:val="outset" w:color="auto" w:sz="6" w:space="0"/>
              <w:left w:val="outset" w:color="auto" w:sz="6" w:space="0"/>
              <w:bottom w:val="outset" w:color="auto" w:sz="6" w:space="0"/>
              <w:right w:val="outset" w:color="auto" w:sz="6" w:space="0"/>
            </w:tcBorders>
          </w:tcPr>
          <w:p>
            <w:pPr>
              <w:pStyle w:val="34"/>
            </w:pPr>
            <w:r>
              <w:rPr>
                <w:rFonts w:hint="eastAsia"/>
              </w:rPr>
              <w:t>统计历史今日的大盘的开高开占比、开盘平均高升涨幅、收盘上涨的比率和收盘的平均涨幅</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835" w:type="dxa"/>
            <w:tcBorders>
              <w:top w:val="outset" w:color="auto" w:sz="6" w:space="0"/>
              <w:left w:val="outset" w:color="auto" w:sz="6" w:space="0"/>
              <w:bottom w:val="outset" w:color="auto" w:sz="6" w:space="0"/>
              <w:right w:val="outset" w:color="auto" w:sz="6" w:space="0"/>
            </w:tcBorders>
          </w:tcPr>
          <w:p>
            <w:pPr>
              <w:pStyle w:val="34"/>
            </w:pPr>
            <w:r>
              <w:rPr>
                <w:rFonts w:hint="eastAsia"/>
              </w:rPr>
              <w:t>历史上指数同月表现</w:t>
            </w:r>
          </w:p>
        </w:tc>
        <w:tc>
          <w:tcPr>
            <w:tcW w:w="8985" w:type="dxa"/>
            <w:tcBorders>
              <w:top w:val="outset" w:color="auto" w:sz="6" w:space="0"/>
              <w:left w:val="outset" w:color="auto" w:sz="6" w:space="0"/>
              <w:bottom w:val="outset" w:color="auto" w:sz="6" w:space="0"/>
              <w:right w:val="outset" w:color="auto" w:sz="6" w:space="0"/>
            </w:tcBorders>
          </w:tcPr>
          <w:p>
            <w:pPr>
              <w:pStyle w:val="34"/>
            </w:pPr>
            <w:r>
              <w:rPr>
                <w:rFonts w:hint="eastAsia"/>
              </w:rPr>
              <w:t>统计历史上同月大盘的上涨比率、平均涨幅、最大涨幅、最大跌幅</w:t>
            </w:r>
          </w:p>
        </w:tc>
      </w:tr>
    </w:tbl>
    <w:p>
      <w:pPr>
        <w:pStyle w:val="34"/>
      </w:pPr>
      <w:r>
        <w:rPr>
          <w:rFonts w:hint="eastAsia"/>
        </w:rPr>
        <w:t> </w:t>
      </w:r>
    </w:p>
    <w:p>
      <w:pPr>
        <w:pStyle w:val="34"/>
      </w:pPr>
      <w:r>
        <w:rPr>
          <w:rFonts w:hint="eastAsia"/>
        </w:rPr>
        <w:t> </w:t>
      </w:r>
    </w:p>
    <w:p>
      <w:pPr>
        <w:pStyle w:val="34"/>
      </w:pPr>
      <w:r>
        <w:rPr>
          <w:rFonts w:hint="eastAsia"/>
        </w:rPr>
        <w:t> </w:t>
      </w:r>
    </w:p>
    <w:p>
      <w:pPr>
        <w:pStyle w:val="34"/>
      </w:pPr>
      <w:r>
        <w:fldChar w:fldCharType="begin"/>
      </w:r>
      <w:r>
        <w:instrText xml:space="preserve"> INCLUDEPICTURE  "https://www.tdx.com.cn/products/helpfile/tdxw/chm/%E7%AC%AC%E5%85%AD%E7%AB%A0  %E5%9F%BA%E7%A1%80%E7%89%88%E5%8A%9F%E8%83%BD/6-16/6-16-2/3.png" \* MERGEFORMATINET </w:instrText>
      </w:r>
      <w:r>
        <w:fldChar w:fldCharType="separate"/>
      </w:r>
      <w:r>
        <w:fldChar w:fldCharType="begin"/>
      </w:r>
      <w:r>
        <w:instrText xml:space="preserve"> INCLUDEPICTURE  "https://www.tdx.com.cn/products/helpfile/tdxw/chm/%E7%AC%AC%E5%85%AD%E7%AB%A0  %E5%9F%BA%E7%A1%80%E7%89%88%E5%8A%9F%E8%83%BD/6-16/6-16-2/3.png" \* MERGEFORMATINET </w:instrText>
      </w:r>
      <w:r>
        <w:fldChar w:fldCharType="separate"/>
      </w:r>
      <w:r>
        <w:fldChar w:fldCharType="begin"/>
      </w:r>
      <w:r>
        <w:instrText xml:space="preserve"> INCLUDEPICTURE  "https://www.tdx.com.cn/products/helpfile/tdxw/chm/%E7%AC%AC%E5%85%AD%E7%AB%A0  %E5%9F%BA%E7%A1%80%E7%89%88%E5%8A%9F%E8%83%BD/6-16/6-16-2/3.png" \* MERGEFORMATINET </w:instrText>
      </w:r>
      <w:r>
        <w:fldChar w:fldCharType="separate"/>
      </w:r>
      <w:r>
        <w:fldChar w:fldCharType="begin"/>
      </w:r>
      <w:r>
        <w:instrText xml:space="preserve"> INCLUDEPICTURE  "https://www.tdx.com.cn/products/helpfile/tdxw/chm/%E7%AC%AC%E5%85%AD%E7%AB%A0  %E5%9F%BA%E7%A1%80%E7%89%88%E5%8A%9F%E8%83%BD/6-16/6-16-2/3.png" \* MERGEFORMATINET </w:instrText>
      </w:r>
      <w:r>
        <w:fldChar w:fldCharType="separate"/>
      </w:r>
      <w:r>
        <w:drawing>
          <wp:inline distT="0" distB="0" distL="114300" distR="114300">
            <wp:extent cx="2066925" cy="2533650"/>
            <wp:effectExtent l="0" t="0" r="9525" b="0"/>
            <wp:docPr id="550" name="图片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图片 550"/>
                    <pic:cNvPicPr>
                      <a:picLocks noChangeAspect="1"/>
                    </pic:cNvPicPr>
                  </pic:nvPicPr>
                  <pic:blipFill>
                    <a:blip r:embed="rId1015" r:link="rId1016"/>
                    <a:stretch>
                      <a:fillRect/>
                    </a:stretch>
                  </pic:blipFill>
                  <pic:spPr>
                    <a:xfrm>
                      <a:off x="0" y="0"/>
                      <a:ext cx="2066925" cy="2533650"/>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扫雷池</w:t>
      </w:r>
    </w:p>
    <w:p>
      <w:pPr>
        <w:pStyle w:val="34"/>
      </w:pPr>
      <w:r>
        <w:rPr>
          <w:rFonts w:hint="eastAsia"/>
        </w:rPr>
        <w:t>描述：对大盘中具有潜在暴雷、已暴雷、避险股池、可能*ST风险的个股进行统计展示。</w:t>
      </w:r>
    </w:p>
    <w:p>
      <w:pPr>
        <w:pStyle w:val="34"/>
      </w:pPr>
      <w:r>
        <w:rPr>
          <w:rFonts w:hint="eastAsia"/>
        </w:rPr>
        <w:t>特点：帮助用户避开各种风险雷区。</w:t>
      </w:r>
    </w:p>
    <w:tbl>
      <w:tblPr>
        <w:tblStyle w:val="25"/>
        <w:tblpPr w:leftFromText="45" w:rightFromText="45" w:vertAnchor="text"/>
        <w:tblW w:w="8955" w:type="dxa"/>
        <w:tblCellSpacing w:w="0" w:type="dxa"/>
        <w:tblInd w:w="0" w:type="dxa"/>
        <w:tblBorders>
          <w:top w:val="outset" w:color="auto" w:sz="6" w:space="0"/>
          <w:left w:val="outset" w:color="auto" w:sz="6" w:space="0"/>
          <w:bottom w:val="outset" w:color="auto" w:sz="6" w:space="0"/>
          <w:right w:val="outset" w:color="auto" w:sz="6" w:space="0"/>
          <w:insideH w:val="none" w:color="auto" w:sz="0" w:space="0"/>
          <w:insideV w:val="none" w:color="auto" w:sz="0" w:space="0"/>
        </w:tblBorders>
        <w:tblLayout w:type="autofit"/>
        <w:tblCellMar>
          <w:top w:w="0" w:type="dxa"/>
          <w:left w:w="0" w:type="dxa"/>
          <w:bottom w:w="0" w:type="dxa"/>
          <w:right w:w="0" w:type="dxa"/>
        </w:tblCellMar>
      </w:tblPr>
      <w:tblGrid>
        <w:gridCol w:w="2130"/>
        <w:gridCol w:w="6825"/>
      </w:tblGrid>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130" w:type="dxa"/>
            <w:tcBorders>
              <w:top w:val="outset" w:color="auto" w:sz="6" w:space="0"/>
              <w:left w:val="outset" w:color="auto" w:sz="6" w:space="0"/>
              <w:bottom w:val="outset" w:color="auto" w:sz="6" w:space="0"/>
              <w:right w:val="outset" w:color="auto" w:sz="6" w:space="0"/>
            </w:tcBorders>
          </w:tcPr>
          <w:p>
            <w:pPr>
              <w:pStyle w:val="34"/>
            </w:pPr>
            <w:r>
              <w:rPr>
                <w:rFonts w:hint="eastAsia"/>
              </w:rPr>
              <w:t>栏目名称</w:t>
            </w:r>
          </w:p>
        </w:tc>
        <w:tc>
          <w:tcPr>
            <w:tcW w:w="6825" w:type="dxa"/>
            <w:tcBorders>
              <w:top w:val="outset" w:color="auto" w:sz="6" w:space="0"/>
              <w:left w:val="outset" w:color="auto" w:sz="6" w:space="0"/>
              <w:bottom w:val="outset" w:color="auto" w:sz="6" w:space="0"/>
              <w:right w:val="outset" w:color="auto" w:sz="6" w:space="0"/>
            </w:tcBorders>
          </w:tcPr>
          <w:p>
            <w:pPr>
              <w:pStyle w:val="34"/>
            </w:pPr>
            <w:r>
              <w:rPr>
                <w:rFonts w:hint="eastAsia"/>
              </w:rPr>
              <w:t>栏目简介</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130" w:type="dxa"/>
            <w:tcBorders>
              <w:top w:val="outset" w:color="auto" w:sz="6" w:space="0"/>
              <w:left w:val="outset" w:color="auto" w:sz="6" w:space="0"/>
              <w:bottom w:val="outset" w:color="auto" w:sz="6" w:space="0"/>
              <w:right w:val="outset" w:color="auto" w:sz="6" w:space="0"/>
            </w:tcBorders>
          </w:tcPr>
          <w:p>
            <w:pPr>
              <w:pStyle w:val="34"/>
            </w:pPr>
            <w:r>
              <w:rPr>
                <w:rFonts w:hint="eastAsia"/>
              </w:rPr>
              <w:t>潜在暴雷</w:t>
            </w:r>
          </w:p>
        </w:tc>
        <w:tc>
          <w:tcPr>
            <w:tcW w:w="6825" w:type="dxa"/>
            <w:tcBorders>
              <w:top w:val="outset" w:color="auto" w:sz="6" w:space="0"/>
              <w:left w:val="outset" w:color="auto" w:sz="6" w:space="0"/>
              <w:bottom w:val="outset" w:color="auto" w:sz="6" w:space="0"/>
              <w:right w:val="outset" w:color="auto" w:sz="6" w:space="0"/>
            </w:tcBorders>
          </w:tcPr>
          <w:p>
            <w:pPr>
              <w:pStyle w:val="34"/>
            </w:pPr>
            <w:r>
              <w:rPr>
                <w:rFonts w:hint="eastAsia"/>
              </w:rPr>
              <w:t>统计高层涉刑、交易所公开谴责、暂停上市风险、证监会立案调查、债券违约等的个股</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130" w:type="dxa"/>
            <w:tcBorders>
              <w:top w:val="outset" w:color="auto" w:sz="6" w:space="0"/>
              <w:left w:val="outset" w:color="auto" w:sz="6" w:space="0"/>
              <w:bottom w:val="outset" w:color="auto" w:sz="6" w:space="0"/>
              <w:right w:val="outset" w:color="auto" w:sz="6" w:space="0"/>
            </w:tcBorders>
          </w:tcPr>
          <w:p>
            <w:pPr>
              <w:pStyle w:val="34"/>
            </w:pPr>
            <w:r>
              <w:rPr>
                <w:rFonts w:hint="eastAsia"/>
              </w:rPr>
              <w:t>已暴雷</w:t>
            </w:r>
          </w:p>
        </w:tc>
        <w:tc>
          <w:tcPr>
            <w:tcW w:w="6825" w:type="dxa"/>
            <w:tcBorders>
              <w:top w:val="outset" w:color="auto" w:sz="6" w:space="0"/>
              <w:left w:val="outset" w:color="auto" w:sz="6" w:space="0"/>
              <w:bottom w:val="outset" w:color="auto" w:sz="6" w:space="0"/>
              <w:right w:val="outset" w:color="auto" w:sz="6" w:space="0"/>
            </w:tcBorders>
          </w:tcPr>
          <w:p>
            <w:pPr>
              <w:pStyle w:val="34"/>
            </w:pPr>
            <w:r>
              <w:rPr>
                <w:rFonts w:hint="eastAsia"/>
              </w:rPr>
              <w:t>统计高质押风险、连续亏损、高收应账、高研发费、高商誉风险、货币资产、高负债率等的个股</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130" w:type="dxa"/>
            <w:tcBorders>
              <w:top w:val="outset" w:color="auto" w:sz="6" w:space="0"/>
              <w:left w:val="outset" w:color="auto" w:sz="6" w:space="0"/>
              <w:bottom w:val="outset" w:color="auto" w:sz="6" w:space="0"/>
              <w:right w:val="outset" w:color="auto" w:sz="6" w:space="0"/>
            </w:tcBorders>
          </w:tcPr>
          <w:p>
            <w:pPr>
              <w:pStyle w:val="34"/>
            </w:pPr>
            <w:r>
              <w:rPr>
                <w:rFonts w:hint="eastAsia"/>
              </w:rPr>
              <w:t>避险股池</w:t>
            </w:r>
          </w:p>
        </w:tc>
        <w:tc>
          <w:tcPr>
            <w:tcW w:w="6825" w:type="dxa"/>
            <w:tcBorders>
              <w:top w:val="outset" w:color="auto" w:sz="6" w:space="0"/>
              <w:left w:val="outset" w:color="auto" w:sz="6" w:space="0"/>
              <w:bottom w:val="outset" w:color="auto" w:sz="6" w:space="0"/>
              <w:right w:val="outset" w:color="auto" w:sz="6" w:space="0"/>
            </w:tcBorders>
          </w:tcPr>
          <w:p>
            <w:pPr>
              <w:pStyle w:val="34"/>
            </w:pPr>
            <w:r>
              <w:rPr>
                <w:rFonts w:hint="eastAsia"/>
              </w:rPr>
              <w:t>统计大比例解禁、清仓式减持的个股</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130" w:type="dxa"/>
            <w:tcBorders>
              <w:top w:val="outset" w:color="auto" w:sz="6" w:space="0"/>
              <w:left w:val="outset" w:color="auto" w:sz="6" w:space="0"/>
              <w:bottom w:val="outset" w:color="auto" w:sz="6" w:space="0"/>
              <w:right w:val="outset" w:color="auto" w:sz="6" w:space="0"/>
            </w:tcBorders>
          </w:tcPr>
          <w:p>
            <w:pPr>
              <w:pStyle w:val="34"/>
            </w:pPr>
            <w:r>
              <w:rPr>
                <w:rFonts w:hint="eastAsia"/>
              </w:rPr>
              <w:t>可能*ST风险</w:t>
            </w:r>
          </w:p>
        </w:tc>
        <w:tc>
          <w:tcPr>
            <w:tcW w:w="6825" w:type="dxa"/>
            <w:tcBorders>
              <w:top w:val="outset" w:color="auto" w:sz="6" w:space="0"/>
              <w:left w:val="outset" w:color="auto" w:sz="6" w:space="0"/>
              <w:bottom w:val="outset" w:color="auto" w:sz="6" w:space="0"/>
              <w:right w:val="outset" w:color="auto" w:sz="6" w:space="0"/>
            </w:tcBorders>
          </w:tcPr>
          <w:p>
            <w:pPr>
              <w:pStyle w:val="34"/>
            </w:pPr>
            <w:r>
              <w:rPr>
                <w:rFonts w:hint="eastAsia"/>
              </w:rPr>
              <w:t>统计可能终止上市、可能暂停上市、可能被*ST的个股</w:t>
            </w:r>
          </w:p>
        </w:tc>
      </w:tr>
    </w:tbl>
    <w:p>
      <w:pPr>
        <w:pStyle w:val="34"/>
      </w:pPr>
      <w:r>
        <w:rPr>
          <w:rFonts w:hint="eastAsia"/>
        </w:rPr>
        <w:t> </w:t>
      </w:r>
    </w:p>
    <w:p>
      <w:pPr>
        <w:pStyle w:val="34"/>
      </w:pPr>
      <w:r>
        <w:rPr>
          <w:rFonts w:hint="eastAsia"/>
        </w:rPr>
        <w:t> </w:t>
      </w:r>
    </w:p>
    <w:p>
      <w:pPr>
        <w:pStyle w:val="34"/>
      </w:pPr>
      <w:r>
        <w:rPr>
          <w:rFonts w:hint="eastAsia"/>
        </w:rPr>
        <w:t>      </w:t>
      </w:r>
    </w:p>
    <w:p>
      <w:pPr>
        <w:pStyle w:val="34"/>
      </w:pPr>
      <w:r>
        <w:rPr>
          <w:rFonts w:hint="eastAsia"/>
        </w:rPr>
        <w:t> </w:t>
      </w:r>
    </w:p>
    <w:p>
      <w:pPr>
        <w:pStyle w:val="34"/>
      </w:pPr>
      <w:r>
        <w:fldChar w:fldCharType="begin"/>
      </w:r>
      <w:r>
        <w:instrText xml:space="preserve"> INCLUDEPICTURE  "https://www.tdx.com.cn/products/helpfile/tdxw/chm/%E7%AC%AC%E5%85%AD%E7%AB%A0  %E5%9F%BA%E7%A1%80%E7%89%88%E5%8A%9F%E8%83%BD/6-16/6-16-2/4.png" \* MERGEFORMATINET </w:instrText>
      </w:r>
      <w:r>
        <w:fldChar w:fldCharType="separate"/>
      </w:r>
      <w:r>
        <w:fldChar w:fldCharType="begin"/>
      </w:r>
      <w:r>
        <w:instrText xml:space="preserve"> INCLUDEPICTURE  "https://www.tdx.com.cn/products/helpfile/tdxw/chm/%E7%AC%AC%E5%85%AD%E7%AB%A0  %E5%9F%BA%E7%A1%80%E7%89%88%E5%8A%9F%E8%83%BD/6-16/6-16-2/4.png" \* MERGEFORMATINET </w:instrText>
      </w:r>
      <w:r>
        <w:fldChar w:fldCharType="separate"/>
      </w:r>
      <w:r>
        <w:fldChar w:fldCharType="begin"/>
      </w:r>
      <w:r>
        <w:instrText xml:space="preserve"> INCLUDEPICTURE  "https://www.tdx.com.cn/products/helpfile/tdxw/chm/%E7%AC%AC%E5%85%AD%E7%AB%A0  %E5%9F%BA%E7%A1%80%E7%89%88%E5%8A%9F%E8%83%BD/6-16/6-16-2/4.png" \* MERGEFORMATINET </w:instrText>
      </w:r>
      <w:r>
        <w:fldChar w:fldCharType="separate"/>
      </w:r>
      <w:r>
        <w:fldChar w:fldCharType="begin"/>
      </w:r>
      <w:r>
        <w:instrText xml:space="preserve"> INCLUDEPICTURE  "https://www.tdx.com.cn/products/helpfile/tdxw/chm/%E7%AC%AC%E5%85%AD%E7%AB%A0  %E5%9F%BA%E7%A1%80%E7%89%88%E5%8A%9F%E8%83%BD/6-16/6-16-2/4.png" \* MERGEFORMATINET </w:instrText>
      </w:r>
      <w:r>
        <w:fldChar w:fldCharType="separate"/>
      </w:r>
      <w:r>
        <w:drawing>
          <wp:inline distT="0" distB="0" distL="114300" distR="114300">
            <wp:extent cx="2047875" cy="5162550"/>
            <wp:effectExtent l="0" t="0" r="9525" b="0"/>
            <wp:docPr id="551" name="图片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图片 551"/>
                    <pic:cNvPicPr>
                      <a:picLocks noChangeAspect="1"/>
                    </pic:cNvPicPr>
                  </pic:nvPicPr>
                  <pic:blipFill>
                    <a:blip r:embed="rId1017" r:link="rId1018"/>
                    <a:stretch>
                      <a:fillRect/>
                    </a:stretch>
                  </pic:blipFill>
                  <pic:spPr>
                    <a:xfrm>
                      <a:off x="0" y="0"/>
                      <a:ext cx="2047875" cy="5162550"/>
                    </a:xfrm>
                    <a:prstGeom prst="rect">
                      <a:avLst/>
                    </a:prstGeom>
                    <a:noFill/>
                    <a:ln>
                      <a:noFill/>
                    </a:ln>
                  </pic:spPr>
                </pic:pic>
              </a:graphicData>
            </a:graphic>
          </wp:inline>
        </w:drawing>
      </w:r>
      <w:r>
        <w:fldChar w:fldCharType="end"/>
      </w:r>
      <w:r>
        <w:fldChar w:fldCharType="end"/>
      </w:r>
      <w:r>
        <w:fldChar w:fldCharType="end"/>
      </w:r>
      <w:r>
        <w:fldChar w:fldCharType="end"/>
      </w:r>
    </w:p>
    <w:p>
      <w:pPr>
        <w:pStyle w:val="3"/>
      </w:pPr>
      <w:bookmarkStart w:id="83" w:name="_Toc90646207"/>
      <w:r>
        <w:rPr>
          <w:rFonts w:hint="eastAsia"/>
        </w:rPr>
        <w:t>消息中心</w:t>
      </w:r>
      <w:bookmarkEnd w:id="83"/>
    </w:p>
    <w:p>
      <w:pPr>
        <w:pStyle w:val="34"/>
      </w:pPr>
      <w:r>
        <w:rPr>
          <w:rFonts w:hint="eastAsia"/>
        </w:rPr>
        <w:t>快捷方式： 软件右下角7*24</w:t>
      </w:r>
      <w:r>
        <w:fldChar w:fldCharType="begin"/>
      </w:r>
      <w:r>
        <w:instrText xml:space="preserve"> INCLUDEPICTURE  "https://www.tdx.com.cn/products/helpfile/tdxw/chm/%E7%AC%AC%E5%85%AD%E7%AB%A0  %E5%9F%BA%E7%A1%80%E7%89%88%E5%8A%9F%E8%83%BD/6-17/0.5.png" \* MERGEFORMATINET </w:instrText>
      </w:r>
      <w:r>
        <w:fldChar w:fldCharType="separate"/>
      </w:r>
      <w:r>
        <w:fldChar w:fldCharType="begin"/>
      </w:r>
      <w:r>
        <w:instrText xml:space="preserve"> INCLUDEPICTURE  "https://www.tdx.com.cn/products/helpfile/tdxw/chm/%E7%AC%AC%E5%85%AD%E7%AB%A0  %E5%9F%BA%E7%A1%80%E7%89%88%E5%8A%9F%E8%83%BD/6-17/0.5.png" \* MERGEFORMATINET </w:instrText>
      </w:r>
      <w:r>
        <w:fldChar w:fldCharType="separate"/>
      </w:r>
      <w:r>
        <w:fldChar w:fldCharType="begin"/>
      </w:r>
      <w:r>
        <w:instrText xml:space="preserve"> INCLUDEPICTURE  "https://www.tdx.com.cn/products/helpfile/tdxw/chm/%E7%AC%AC%E5%85%AD%E7%AB%A0  %E5%9F%BA%E7%A1%80%E7%89%88%E5%8A%9F%E8%83%BD/6-17/0.5.png" \* MERGEFORMATINET </w:instrText>
      </w:r>
      <w:r>
        <w:fldChar w:fldCharType="separate"/>
      </w:r>
      <w:r>
        <w:fldChar w:fldCharType="begin"/>
      </w:r>
      <w:r>
        <w:instrText xml:space="preserve"> INCLUDEPICTURE  "https://www.tdx.com.cn/products/helpfile/tdxw/chm/%E7%AC%AC%E5%85%AD%E7%AB%A0  %E5%9F%BA%E7%A1%80%E7%89%88%E5%8A%9F%E8%83%BD/6-17/0.5.png" \* MERGEFORMATINET </w:instrText>
      </w:r>
      <w:r>
        <w:fldChar w:fldCharType="separate"/>
      </w:r>
      <w:r>
        <w:drawing>
          <wp:inline distT="0" distB="0" distL="114300" distR="114300">
            <wp:extent cx="2952750" cy="1390650"/>
            <wp:effectExtent l="0" t="0" r="0" b="0"/>
            <wp:docPr id="552" name="图片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图片 552"/>
                    <pic:cNvPicPr>
                      <a:picLocks noChangeAspect="1"/>
                    </pic:cNvPicPr>
                  </pic:nvPicPr>
                  <pic:blipFill>
                    <a:blip r:embed="rId1019" r:link="rId1020"/>
                    <a:stretch>
                      <a:fillRect/>
                    </a:stretch>
                  </pic:blipFill>
                  <pic:spPr>
                    <a:xfrm>
                      <a:off x="0" y="0"/>
                      <a:ext cx="2952750" cy="1390650"/>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消息中心是一个汇集资讯消息的完整功能，每天新的消息最先通过的功能就是消息中心。</w:t>
      </w:r>
    </w:p>
    <w:p>
      <w:pPr>
        <w:pStyle w:val="34"/>
      </w:pPr>
      <w:r>
        <w:rPr>
          <w:rFonts w:hint="eastAsia"/>
        </w:rPr>
        <w:t>展示栏目都分为今日、昨日、以前。</w:t>
      </w:r>
    </w:p>
    <w:p>
      <w:pPr>
        <w:pStyle w:val="34"/>
      </w:pPr>
      <w:r>
        <w:rPr>
          <w:rFonts w:hint="eastAsia"/>
        </w:rPr>
        <w:t>展示7*24小时资讯播报数据：</w:t>
      </w:r>
    </w:p>
    <w:p>
      <w:pPr>
        <w:pStyle w:val="34"/>
      </w:pPr>
    </w:p>
    <w:p>
      <w:pPr>
        <w:pStyle w:val="34"/>
      </w:pPr>
      <w:r>
        <w:fldChar w:fldCharType="begin"/>
      </w:r>
      <w:r>
        <w:instrText xml:space="preserve"> INCLUDEPICTURE  "https://www.tdx.com.cn/products/helpfile/tdxw/chm/%E7%AC%AC%E5%85%AD%E7%AB%A0  %E5%9F%BA%E7%A1%80%E7%89%88%E5%8A%9F%E8%83%BD/6-17/1.png" \* MERGEFORMATINET </w:instrText>
      </w:r>
      <w:r>
        <w:fldChar w:fldCharType="separate"/>
      </w:r>
      <w:r>
        <w:fldChar w:fldCharType="begin"/>
      </w:r>
      <w:r>
        <w:instrText xml:space="preserve"> INCLUDEPICTURE  "https://www.tdx.com.cn/products/helpfile/tdxw/chm/%E7%AC%AC%E5%85%AD%E7%AB%A0  %E5%9F%BA%E7%A1%80%E7%89%88%E5%8A%9F%E8%83%BD/6-17/1.png" \* MERGEFORMATINET </w:instrText>
      </w:r>
      <w:r>
        <w:fldChar w:fldCharType="separate"/>
      </w:r>
      <w:r>
        <w:fldChar w:fldCharType="begin"/>
      </w:r>
      <w:r>
        <w:instrText xml:space="preserve"> INCLUDEPICTURE  "https://www.tdx.com.cn/products/helpfile/tdxw/chm/%E7%AC%AC%E5%85%AD%E7%AB%A0  %E5%9F%BA%E7%A1%80%E7%89%88%E5%8A%9F%E8%83%BD/6-17/1.png" \* MERGEFORMATINET </w:instrText>
      </w:r>
      <w:r>
        <w:fldChar w:fldCharType="separate"/>
      </w:r>
      <w:r>
        <w:fldChar w:fldCharType="begin"/>
      </w:r>
      <w:r>
        <w:instrText xml:space="preserve"> INCLUDEPICTURE  "https://www.tdx.com.cn/products/helpfile/tdxw/chm/%E7%AC%AC%E5%85%AD%E7%AB%A0  %E5%9F%BA%E7%A1%80%E7%89%88%E5%8A%9F%E8%83%BD/6-17/1.png" \* MERGEFORMATINET </w:instrText>
      </w:r>
      <w:r>
        <w:fldChar w:fldCharType="separate"/>
      </w:r>
      <w:r>
        <w:drawing>
          <wp:inline distT="0" distB="0" distL="114300" distR="114300">
            <wp:extent cx="6591300" cy="3743325"/>
            <wp:effectExtent l="0" t="0" r="0" b="9525"/>
            <wp:docPr id="553" name="图片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图片 553"/>
                    <pic:cNvPicPr>
                      <a:picLocks noChangeAspect="1"/>
                    </pic:cNvPicPr>
                  </pic:nvPicPr>
                  <pic:blipFill>
                    <a:blip r:embed="rId1021" r:link="rId1022"/>
                    <a:stretch>
                      <a:fillRect/>
                    </a:stretch>
                  </pic:blipFill>
                  <pic:spPr>
                    <a:xfrm>
                      <a:off x="0" y="0"/>
                      <a:ext cx="6591300" cy="3743325"/>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操作要点</w:t>
      </w:r>
    </w:p>
    <w:p>
      <w:pPr>
        <w:pStyle w:val="34"/>
      </w:pPr>
      <w:r>
        <w:rPr>
          <w:rFonts w:hint="eastAsia"/>
        </w:rPr>
        <w:t>状态栏的消息图标或者是有消息公告即时窗口的时候点击直接进入；</w:t>
      </w:r>
    </w:p>
    <w:p>
      <w:pPr>
        <w:pStyle w:val="34"/>
      </w:pPr>
      <w:r>
        <w:rPr>
          <w:rFonts w:hint="eastAsia"/>
        </w:rPr>
        <w:t>字体设置大中小，根据阅读习惯调整自己适应的大小；</w:t>
      </w:r>
    </w:p>
    <w:p>
      <w:pPr>
        <w:pStyle w:val="34"/>
      </w:pPr>
      <w:r>
        <w:rPr>
          <w:rFonts w:hint="eastAsia"/>
        </w:rPr>
        <w:t>对消息公告可处理的操作有：设为已读、设为未读、删除；</w:t>
      </w:r>
    </w:p>
    <w:p>
      <w:pPr>
        <w:pStyle w:val="34"/>
      </w:pPr>
      <w:r>
        <w:rPr>
          <w:rFonts w:hint="eastAsia"/>
        </w:rPr>
        <w:t>如果要批量操作可以勾选“全选”整体操作，从而进行全部设为已读、全部设为未读、全部删除的操作；</w:t>
      </w:r>
    </w:p>
    <w:p>
      <w:pPr>
        <w:pStyle w:val="34"/>
      </w:pPr>
      <w:r>
        <w:rPr>
          <w:rFonts w:hint="eastAsia"/>
        </w:rPr>
        <w:t>如果不想在有公告消息的时候自动提醒弹出，可以勾选“今日不再提示即时播报”；</w:t>
      </w:r>
    </w:p>
    <w:p>
      <w:pPr>
        <w:pStyle w:val="34"/>
      </w:pPr>
      <w:r>
        <w:rPr>
          <w:rFonts w:hint="eastAsia"/>
        </w:rPr>
        <w:t>消息设置可以自动清理过期消息和手动清理所有消息和缓存，如果选择自动只需要设定一下消息本地保存天数，系统就会默认只在消息中心中展示设定的天数的消息公告。如果选择手动则会把此类消息内容都清除掉。</w:t>
      </w:r>
    </w:p>
    <w:p>
      <w:pPr>
        <w:pStyle w:val="34"/>
      </w:pPr>
      <w:r>
        <w:rPr>
          <w:rFonts w:hint="eastAsia"/>
        </w:rPr>
        <w:t>公告消息</w:t>
      </w:r>
    </w:p>
    <w:p>
      <w:pPr>
        <w:pStyle w:val="34"/>
      </w:pPr>
      <w:r>
        <w:rPr>
          <w:rFonts w:hint="eastAsia"/>
        </w:rPr>
        <w:t>公告消息有系统通告和即时播报两种类型。系统通告是指服务器公告信息，可能是客户端后台服务器升级可能是交易所数据处理等相关信息。即时播报包括盘中实时解盘，机构大盘评判，通达信开盘必读资讯，资金流向明显、放量缩量等体现大盘异动或者有影响股市的重要资讯消息都即时弹出功能。这时候客户端右下方会有一个消息窗口出现，同时客户端状态栏中有个消息盒子可以点击查看。</w:t>
      </w:r>
    </w:p>
    <w:p>
      <w:pPr>
        <w:pStyle w:val="34"/>
      </w:pPr>
      <w:r>
        <w:rPr>
          <w:rFonts w:hint="eastAsia"/>
        </w:rPr>
        <w:t>自选股资讯</w:t>
      </w:r>
    </w:p>
    <w:p>
      <w:pPr>
        <w:pStyle w:val="34"/>
      </w:pPr>
      <w:r>
        <w:rPr>
          <w:rFonts w:hint="eastAsia"/>
        </w:rPr>
        <w:t>自选股资讯是只筛选的关于自选股的资讯内容，让客户更快的找到自己关注的股票的最新资讯信息。</w:t>
      </w:r>
    </w:p>
    <w:p>
      <w:pPr>
        <w:pStyle w:val="34"/>
      </w:pPr>
      <w:r>
        <w:rPr>
          <w:rFonts w:hint="eastAsia"/>
        </w:rPr>
        <w:t>要闻播报</w:t>
      </w:r>
    </w:p>
    <w:p>
      <w:pPr>
        <w:pStyle w:val="34"/>
      </w:pPr>
      <w:r>
        <w:rPr>
          <w:rFonts w:hint="eastAsia"/>
        </w:rPr>
        <w:t>关于大盘、期货、个股的精华资讯内容。</w:t>
      </w:r>
    </w:p>
    <w:p>
      <w:pPr>
        <w:pStyle w:val="34"/>
      </w:pPr>
      <w:r>
        <w:rPr>
          <w:rFonts w:hint="eastAsia"/>
        </w:rPr>
        <w:t>投资闹钟</w:t>
      </w:r>
    </w:p>
    <w:p>
      <w:pPr>
        <w:pStyle w:val="34"/>
      </w:pPr>
      <w:r>
        <w:rPr>
          <w:rFonts w:hint="eastAsia"/>
        </w:rPr>
        <w:t>投资闹钟可以新增类似即时播报弹出时候那样儿的提示框来提醒客户进行相应的投资。用户可以选择删除已提示已失效的投资闹钟。</w:t>
      </w:r>
    </w:p>
    <w:p>
      <w:pPr>
        <w:pStyle w:val="34"/>
      </w:pPr>
      <w:r>
        <w:fldChar w:fldCharType="begin"/>
      </w:r>
      <w:r>
        <w:instrText xml:space="preserve"> INCLUDEPICTURE  "https://www.tdx.com.cn/products/helpfile/tdxw/chm/%E7%AC%AC%E5%85%AD%E7%AB%A0  %E5%9F%BA%E7%A1%80%E7%89%88%E5%8A%9F%E8%83%BD/6-17/2.png" \* MERGEFORMATINET </w:instrText>
      </w:r>
      <w:r>
        <w:fldChar w:fldCharType="separate"/>
      </w:r>
      <w:r>
        <w:fldChar w:fldCharType="begin"/>
      </w:r>
      <w:r>
        <w:instrText xml:space="preserve"> INCLUDEPICTURE  "https://www.tdx.com.cn/products/helpfile/tdxw/chm/%E7%AC%AC%E5%85%AD%E7%AB%A0  %E5%9F%BA%E7%A1%80%E7%89%88%E5%8A%9F%E8%83%BD/6-17/2.png" \* MERGEFORMATINET </w:instrText>
      </w:r>
      <w:r>
        <w:fldChar w:fldCharType="separate"/>
      </w:r>
      <w:r>
        <w:fldChar w:fldCharType="begin"/>
      </w:r>
      <w:r>
        <w:instrText xml:space="preserve"> INCLUDEPICTURE  "https://www.tdx.com.cn/products/helpfile/tdxw/chm/%E7%AC%AC%E5%85%AD%E7%AB%A0  %E5%9F%BA%E7%A1%80%E7%89%88%E5%8A%9F%E8%83%BD/6-17/2.png" \* MERGEFORMATINET </w:instrText>
      </w:r>
      <w:r>
        <w:fldChar w:fldCharType="separate"/>
      </w:r>
      <w:r>
        <w:fldChar w:fldCharType="begin"/>
      </w:r>
      <w:r>
        <w:instrText xml:space="preserve"> INCLUDEPICTURE  "https://www.tdx.com.cn/products/helpfile/tdxw/chm/%E7%AC%AC%E5%85%AD%E7%AB%A0  %E5%9F%BA%E7%A1%80%E7%89%88%E5%8A%9F%E8%83%BD/6-17/2.png" \* MERGEFORMATINET </w:instrText>
      </w:r>
      <w:r>
        <w:fldChar w:fldCharType="separate"/>
      </w:r>
      <w:r>
        <w:drawing>
          <wp:inline distT="0" distB="0" distL="114300" distR="114300">
            <wp:extent cx="8001000" cy="4543425"/>
            <wp:effectExtent l="0" t="0" r="0" b="9525"/>
            <wp:docPr id="554" name="图片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图片 554"/>
                    <pic:cNvPicPr>
                      <a:picLocks noChangeAspect="1"/>
                    </pic:cNvPicPr>
                  </pic:nvPicPr>
                  <pic:blipFill>
                    <a:blip r:embed="rId1023" r:link="rId1024"/>
                    <a:stretch>
                      <a:fillRect/>
                    </a:stretch>
                  </pic:blipFill>
                  <pic:spPr>
                    <a:xfrm>
                      <a:off x="0" y="0"/>
                      <a:ext cx="8001000" cy="4543425"/>
                    </a:xfrm>
                    <a:prstGeom prst="rect">
                      <a:avLst/>
                    </a:prstGeom>
                    <a:noFill/>
                    <a:ln>
                      <a:noFill/>
                    </a:ln>
                  </pic:spPr>
                </pic:pic>
              </a:graphicData>
            </a:graphic>
          </wp:inline>
        </w:drawing>
      </w:r>
      <w:r>
        <w:fldChar w:fldCharType="end"/>
      </w:r>
      <w:r>
        <w:fldChar w:fldCharType="end"/>
      </w:r>
      <w:r>
        <w:fldChar w:fldCharType="end"/>
      </w:r>
      <w:r>
        <w:fldChar w:fldCharType="end"/>
      </w:r>
    </w:p>
    <w:p>
      <w:pPr>
        <w:pStyle w:val="3"/>
      </w:pPr>
      <w:bookmarkStart w:id="84" w:name="_Toc90646208"/>
      <w:r>
        <w:rPr>
          <w:rFonts w:hint="eastAsia"/>
        </w:rPr>
        <w:t>高端综合资讯</w:t>
      </w:r>
      <w:bookmarkEnd w:id="84"/>
    </w:p>
    <w:p>
      <w:pPr>
        <w:pStyle w:val="34"/>
      </w:pPr>
      <w:r>
        <w:rPr>
          <w:rFonts w:hint="eastAsia"/>
        </w:rPr>
        <w:t>在K线图和分时图下方，可以看到高端综合资讯（即公告和新闻 以及 分析和研究）/行业资讯/行业数据/互动问达/机构调研。</w:t>
      </w:r>
    </w:p>
    <w:p>
      <w:pPr>
        <w:pStyle w:val="24"/>
        <w:rPr>
          <w:rFonts w:ascii="微软雅黑" w:hAnsi="微软雅黑" w:eastAsia="微软雅黑"/>
          <w:color w:val="000000"/>
          <w:sz w:val="27"/>
          <w:szCs w:val="27"/>
        </w:rPr>
      </w:pPr>
      <w:r>
        <w:rPr>
          <w:rFonts w:ascii="微软雅黑" w:hAnsi="微软雅黑" w:eastAsia="微软雅黑"/>
          <w:color w:val="000000"/>
          <w:sz w:val="27"/>
          <w:szCs w:val="27"/>
        </w:rPr>
        <w:fldChar w:fldCharType="begin"/>
      </w:r>
      <w:r>
        <w:rPr>
          <w:rFonts w:ascii="微软雅黑" w:hAnsi="微软雅黑" w:eastAsia="微软雅黑"/>
          <w:color w:val="000000"/>
          <w:sz w:val="27"/>
          <w:szCs w:val="27"/>
        </w:rPr>
        <w:instrText xml:space="preserve"> INCLUDEPICTURE  "https://www.tdx.com.cn/products/helpfile/tdxw/chm/%E7%AC%AC%E5%85%AD%E7%AB%A0  %E5%9F%BA%E7%A1%80%E7%89%88%E5%8A%9F%E8%83%BD/6-18/1.png" \* MERGEFORMATINET </w:instrText>
      </w:r>
      <w:r>
        <w:rPr>
          <w:rFonts w:ascii="微软雅黑" w:hAnsi="微软雅黑" w:eastAsia="微软雅黑"/>
          <w:color w:val="000000"/>
          <w:sz w:val="27"/>
          <w:szCs w:val="27"/>
        </w:rPr>
        <w:fldChar w:fldCharType="separate"/>
      </w:r>
      <w:r>
        <w:rPr>
          <w:rFonts w:ascii="微软雅黑" w:hAnsi="微软雅黑" w:eastAsia="微软雅黑"/>
          <w:color w:val="000000"/>
          <w:sz w:val="27"/>
          <w:szCs w:val="27"/>
        </w:rPr>
        <w:fldChar w:fldCharType="begin"/>
      </w:r>
      <w:r>
        <w:rPr>
          <w:rFonts w:ascii="微软雅黑" w:hAnsi="微软雅黑" w:eastAsia="微软雅黑"/>
          <w:color w:val="000000"/>
          <w:sz w:val="27"/>
          <w:szCs w:val="27"/>
        </w:rPr>
        <w:instrText xml:space="preserve"> INCLUDEPICTURE  "https://www.tdx.com.cn/products/helpfile/tdxw/chm/%E7%AC%AC%E5%85%AD%E7%AB%A0  %E5%9F%BA%E7%A1%80%E7%89%88%E5%8A%9F%E8%83%BD/6-18/1.png" \* MERGEFORMATINET </w:instrText>
      </w:r>
      <w:r>
        <w:rPr>
          <w:rFonts w:ascii="微软雅黑" w:hAnsi="微软雅黑" w:eastAsia="微软雅黑"/>
          <w:color w:val="000000"/>
          <w:sz w:val="27"/>
          <w:szCs w:val="27"/>
        </w:rPr>
        <w:fldChar w:fldCharType="separate"/>
      </w:r>
      <w:r>
        <w:rPr>
          <w:rFonts w:ascii="微软雅黑" w:hAnsi="微软雅黑" w:eastAsia="微软雅黑"/>
          <w:color w:val="000000"/>
          <w:sz w:val="27"/>
          <w:szCs w:val="27"/>
        </w:rPr>
        <w:fldChar w:fldCharType="begin"/>
      </w:r>
      <w:r>
        <w:rPr>
          <w:rFonts w:ascii="微软雅黑" w:hAnsi="微软雅黑" w:eastAsia="微软雅黑"/>
          <w:color w:val="000000"/>
          <w:sz w:val="27"/>
          <w:szCs w:val="27"/>
        </w:rPr>
        <w:instrText xml:space="preserve"> INCLUDEPICTURE  "https://www.tdx.com.cn/products/helpfile/tdxw/chm/%E7%AC%AC%E5%85%AD%E7%AB%A0  %E5%9F%BA%E7%A1%80%E7%89%88%E5%8A%9F%E8%83%BD/6-18/1.png" \* MERGEFORMATINET </w:instrText>
      </w:r>
      <w:r>
        <w:rPr>
          <w:rFonts w:ascii="微软雅黑" w:hAnsi="微软雅黑" w:eastAsia="微软雅黑"/>
          <w:color w:val="000000"/>
          <w:sz w:val="27"/>
          <w:szCs w:val="27"/>
        </w:rPr>
        <w:fldChar w:fldCharType="separate"/>
      </w:r>
      <w:r>
        <w:rPr>
          <w:rFonts w:ascii="微软雅黑" w:hAnsi="微软雅黑" w:eastAsia="微软雅黑"/>
          <w:color w:val="000000"/>
          <w:sz w:val="27"/>
          <w:szCs w:val="27"/>
        </w:rPr>
        <w:fldChar w:fldCharType="begin"/>
      </w:r>
      <w:r>
        <w:rPr>
          <w:rFonts w:ascii="微软雅黑" w:hAnsi="微软雅黑" w:eastAsia="微软雅黑"/>
          <w:color w:val="000000"/>
          <w:sz w:val="27"/>
          <w:szCs w:val="27"/>
        </w:rPr>
        <w:instrText xml:space="preserve"> INCLUDEPICTURE  "https://www.tdx.com.cn/products/helpfile/tdxw/chm/%E7%AC%AC%E5%85%AD%E7%AB%A0  %E5%9F%BA%E7%A1%80%E7%89%88%E5%8A%9F%E8%83%BD/6-18/1.png" \* MERGEFORMATINET </w:instrText>
      </w:r>
      <w:r>
        <w:rPr>
          <w:rFonts w:ascii="微软雅黑" w:hAnsi="微软雅黑" w:eastAsia="微软雅黑"/>
          <w:color w:val="000000"/>
          <w:sz w:val="27"/>
          <w:szCs w:val="27"/>
        </w:rPr>
        <w:fldChar w:fldCharType="separate"/>
      </w:r>
      <w:r>
        <w:rPr>
          <w:rFonts w:ascii="微软雅黑" w:hAnsi="微软雅黑" w:eastAsia="微软雅黑"/>
          <w:color w:val="000000"/>
          <w:sz w:val="27"/>
          <w:szCs w:val="27"/>
        </w:rPr>
        <w:drawing>
          <wp:inline distT="0" distB="0" distL="114300" distR="114300">
            <wp:extent cx="7334250" cy="3457575"/>
            <wp:effectExtent l="0" t="0" r="0" b="9525"/>
            <wp:docPr id="555" name="图片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图片 555"/>
                    <pic:cNvPicPr>
                      <a:picLocks noChangeAspect="1"/>
                    </pic:cNvPicPr>
                  </pic:nvPicPr>
                  <pic:blipFill>
                    <a:blip r:embed="rId1025" r:link="rId1026"/>
                    <a:stretch>
                      <a:fillRect/>
                    </a:stretch>
                  </pic:blipFill>
                  <pic:spPr>
                    <a:xfrm>
                      <a:off x="0" y="0"/>
                      <a:ext cx="7334250" cy="3457575"/>
                    </a:xfrm>
                    <a:prstGeom prst="rect">
                      <a:avLst/>
                    </a:prstGeom>
                    <a:noFill/>
                    <a:ln>
                      <a:noFill/>
                    </a:ln>
                  </pic:spPr>
                </pic:pic>
              </a:graphicData>
            </a:graphic>
          </wp:inline>
        </w:drawing>
      </w:r>
      <w:r>
        <w:rPr>
          <w:rFonts w:ascii="微软雅黑" w:hAnsi="微软雅黑" w:eastAsia="微软雅黑"/>
          <w:color w:val="000000"/>
          <w:sz w:val="27"/>
          <w:szCs w:val="27"/>
        </w:rPr>
        <w:fldChar w:fldCharType="end"/>
      </w:r>
      <w:r>
        <w:rPr>
          <w:rFonts w:ascii="微软雅黑" w:hAnsi="微软雅黑" w:eastAsia="微软雅黑"/>
          <w:color w:val="000000"/>
          <w:sz w:val="27"/>
          <w:szCs w:val="27"/>
        </w:rPr>
        <w:fldChar w:fldCharType="end"/>
      </w:r>
      <w:r>
        <w:rPr>
          <w:rFonts w:ascii="微软雅黑" w:hAnsi="微软雅黑" w:eastAsia="微软雅黑"/>
          <w:color w:val="000000"/>
          <w:sz w:val="27"/>
          <w:szCs w:val="27"/>
        </w:rPr>
        <w:fldChar w:fldCharType="end"/>
      </w:r>
      <w:r>
        <w:rPr>
          <w:rFonts w:ascii="微软雅黑" w:hAnsi="微软雅黑" w:eastAsia="微软雅黑"/>
          <w:color w:val="000000"/>
          <w:sz w:val="27"/>
          <w:szCs w:val="27"/>
        </w:rPr>
        <w:fldChar w:fldCharType="end"/>
      </w:r>
    </w:p>
    <w:p>
      <w:pPr>
        <w:pStyle w:val="24"/>
        <w:rPr>
          <w:rFonts w:ascii="微软雅黑" w:hAnsi="微软雅黑" w:eastAsia="微软雅黑"/>
          <w:color w:val="000000"/>
          <w:sz w:val="27"/>
          <w:szCs w:val="27"/>
        </w:rPr>
      </w:pPr>
      <w:r>
        <w:rPr>
          <w:rFonts w:ascii="微软雅黑" w:hAnsi="微软雅黑" w:eastAsia="微软雅黑"/>
          <w:color w:val="000000"/>
          <w:sz w:val="27"/>
          <w:szCs w:val="27"/>
        </w:rPr>
        <w:fldChar w:fldCharType="begin"/>
      </w:r>
      <w:r>
        <w:rPr>
          <w:rFonts w:ascii="微软雅黑" w:hAnsi="微软雅黑" w:eastAsia="微软雅黑"/>
          <w:color w:val="000000"/>
          <w:sz w:val="27"/>
          <w:szCs w:val="27"/>
        </w:rPr>
        <w:instrText xml:space="preserve"> INCLUDEPICTURE  "https://www.tdx.com.cn/products/helpfile/tdxw/chm/%E7%AC%AC%E5%85%AD%E7%AB%A0  %E5%9F%BA%E7%A1%80%E7%89%88%E5%8A%9F%E8%83%BD/6-18/2.png" \* MERGEFORMATINET </w:instrText>
      </w:r>
      <w:r>
        <w:rPr>
          <w:rFonts w:ascii="微软雅黑" w:hAnsi="微软雅黑" w:eastAsia="微软雅黑"/>
          <w:color w:val="000000"/>
          <w:sz w:val="27"/>
          <w:szCs w:val="27"/>
        </w:rPr>
        <w:fldChar w:fldCharType="separate"/>
      </w:r>
      <w:r>
        <w:rPr>
          <w:rFonts w:ascii="微软雅黑" w:hAnsi="微软雅黑" w:eastAsia="微软雅黑"/>
          <w:color w:val="000000"/>
          <w:sz w:val="27"/>
          <w:szCs w:val="27"/>
        </w:rPr>
        <w:fldChar w:fldCharType="begin"/>
      </w:r>
      <w:r>
        <w:rPr>
          <w:rFonts w:ascii="微软雅黑" w:hAnsi="微软雅黑" w:eastAsia="微软雅黑"/>
          <w:color w:val="000000"/>
          <w:sz w:val="27"/>
          <w:szCs w:val="27"/>
        </w:rPr>
        <w:instrText xml:space="preserve"> INCLUDEPICTURE  "https://www.tdx.com.cn/products/helpfile/tdxw/chm/%E7%AC%AC%E5%85%AD%E7%AB%A0  %E5%9F%BA%E7%A1%80%E7%89%88%E5%8A%9F%E8%83%BD/6-18/2.png" \* MERGEFORMATINET </w:instrText>
      </w:r>
      <w:r>
        <w:rPr>
          <w:rFonts w:ascii="微软雅黑" w:hAnsi="微软雅黑" w:eastAsia="微软雅黑"/>
          <w:color w:val="000000"/>
          <w:sz w:val="27"/>
          <w:szCs w:val="27"/>
        </w:rPr>
        <w:fldChar w:fldCharType="separate"/>
      </w:r>
      <w:r>
        <w:rPr>
          <w:rFonts w:ascii="微软雅黑" w:hAnsi="微软雅黑" w:eastAsia="微软雅黑"/>
          <w:color w:val="000000"/>
          <w:sz w:val="27"/>
          <w:szCs w:val="27"/>
        </w:rPr>
        <w:fldChar w:fldCharType="begin"/>
      </w:r>
      <w:r>
        <w:rPr>
          <w:rFonts w:ascii="微软雅黑" w:hAnsi="微软雅黑" w:eastAsia="微软雅黑"/>
          <w:color w:val="000000"/>
          <w:sz w:val="27"/>
          <w:szCs w:val="27"/>
        </w:rPr>
        <w:instrText xml:space="preserve"> INCLUDEPICTURE  "https://www.tdx.com.cn/products/helpfile/tdxw/chm/%E7%AC%AC%E5%85%AD%E7%AB%A0  %E5%9F%BA%E7%A1%80%E7%89%88%E5%8A%9F%E8%83%BD/6-18/2.png" \* MERGEFORMATINET </w:instrText>
      </w:r>
      <w:r>
        <w:rPr>
          <w:rFonts w:ascii="微软雅黑" w:hAnsi="微软雅黑" w:eastAsia="微软雅黑"/>
          <w:color w:val="000000"/>
          <w:sz w:val="27"/>
          <w:szCs w:val="27"/>
        </w:rPr>
        <w:fldChar w:fldCharType="separate"/>
      </w:r>
      <w:r>
        <w:rPr>
          <w:rFonts w:ascii="微软雅黑" w:hAnsi="微软雅黑" w:eastAsia="微软雅黑"/>
          <w:color w:val="000000"/>
          <w:sz w:val="27"/>
          <w:szCs w:val="27"/>
        </w:rPr>
        <w:fldChar w:fldCharType="begin"/>
      </w:r>
      <w:r>
        <w:rPr>
          <w:rFonts w:ascii="微软雅黑" w:hAnsi="微软雅黑" w:eastAsia="微软雅黑"/>
          <w:color w:val="000000"/>
          <w:sz w:val="27"/>
          <w:szCs w:val="27"/>
        </w:rPr>
        <w:instrText xml:space="preserve"> INCLUDEPICTURE  "https://www.tdx.com.cn/products/helpfile/tdxw/chm/%E7%AC%AC%E5%85%AD%E7%AB%A0  %E5%9F%BA%E7%A1%80%E7%89%88%E5%8A%9F%E8%83%BD/6-18/2.png" \* MERGEFORMATINET </w:instrText>
      </w:r>
      <w:r>
        <w:rPr>
          <w:rFonts w:ascii="微软雅黑" w:hAnsi="微软雅黑" w:eastAsia="微软雅黑"/>
          <w:color w:val="000000"/>
          <w:sz w:val="27"/>
          <w:szCs w:val="27"/>
        </w:rPr>
        <w:fldChar w:fldCharType="separate"/>
      </w:r>
      <w:r>
        <w:rPr>
          <w:rFonts w:ascii="微软雅黑" w:hAnsi="微软雅黑" w:eastAsia="微软雅黑"/>
          <w:color w:val="000000"/>
          <w:sz w:val="27"/>
          <w:szCs w:val="27"/>
        </w:rPr>
        <w:drawing>
          <wp:inline distT="0" distB="0" distL="114300" distR="114300">
            <wp:extent cx="7258050" cy="3448050"/>
            <wp:effectExtent l="0" t="0" r="0" b="0"/>
            <wp:docPr id="556" name="图片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图片 556"/>
                    <pic:cNvPicPr>
                      <a:picLocks noChangeAspect="1"/>
                    </pic:cNvPicPr>
                  </pic:nvPicPr>
                  <pic:blipFill>
                    <a:blip r:embed="rId1027" r:link="rId1028"/>
                    <a:stretch>
                      <a:fillRect/>
                    </a:stretch>
                  </pic:blipFill>
                  <pic:spPr>
                    <a:xfrm>
                      <a:off x="0" y="0"/>
                      <a:ext cx="7258050" cy="3448050"/>
                    </a:xfrm>
                    <a:prstGeom prst="rect">
                      <a:avLst/>
                    </a:prstGeom>
                    <a:noFill/>
                    <a:ln>
                      <a:noFill/>
                    </a:ln>
                  </pic:spPr>
                </pic:pic>
              </a:graphicData>
            </a:graphic>
          </wp:inline>
        </w:drawing>
      </w:r>
      <w:r>
        <w:rPr>
          <w:rFonts w:ascii="微软雅黑" w:hAnsi="微软雅黑" w:eastAsia="微软雅黑"/>
          <w:color w:val="000000"/>
          <w:sz w:val="27"/>
          <w:szCs w:val="27"/>
        </w:rPr>
        <w:fldChar w:fldCharType="end"/>
      </w:r>
      <w:r>
        <w:rPr>
          <w:rFonts w:ascii="微软雅黑" w:hAnsi="微软雅黑" w:eastAsia="微软雅黑"/>
          <w:color w:val="000000"/>
          <w:sz w:val="27"/>
          <w:szCs w:val="27"/>
        </w:rPr>
        <w:fldChar w:fldCharType="end"/>
      </w:r>
      <w:r>
        <w:rPr>
          <w:rFonts w:ascii="微软雅黑" w:hAnsi="微软雅黑" w:eastAsia="微软雅黑"/>
          <w:color w:val="000000"/>
          <w:sz w:val="27"/>
          <w:szCs w:val="27"/>
        </w:rPr>
        <w:fldChar w:fldCharType="end"/>
      </w:r>
      <w:r>
        <w:rPr>
          <w:rFonts w:ascii="微软雅黑" w:hAnsi="微软雅黑" w:eastAsia="微软雅黑"/>
          <w:color w:val="000000"/>
          <w:sz w:val="27"/>
          <w:szCs w:val="27"/>
        </w:rPr>
        <w:fldChar w:fldCharType="end"/>
      </w:r>
    </w:p>
    <w:p>
      <w:pPr>
        <w:pStyle w:val="24"/>
        <w:rPr>
          <w:rFonts w:ascii="微软雅黑" w:hAnsi="微软雅黑" w:eastAsia="微软雅黑"/>
          <w:color w:val="000000"/>
          <w:sz w:val="27"/>
          <w:szCs w:val="27"/>
        </w:rPr>
      </w:pPr>
      <w:r>
        <w:rPr>
          <w:rFonts w:ascii="微软雅黑" w:hAnsi="微软雅黑" w:eastAsia="微软雅黑"/>
          <w:color w:val="000000"/>
          <w:sz w:val="27"/>
          <w:szCs w:val="27"/>
        </w:rPr>
        <w:fldChar w:fldCharType="begin"/>
      </w:r>
      <w:r>
        <w:rPr>
          <w:rFonts w:ascii="微软雅黑" w:hAnsi="微软雅黑" w:eastAsia="微软雅黑"/>
          <w:color w:val="000000"/>
          <w:sz w:val="27"/>
          <w:szCs w:val="27"/>
        </w:rPr>
        <w:instrText xml:space="preserve"> INCLUDEPICTURE  "https://www.tdx.com.cn/products/helpfile/tdxw/chm/%E7%AC%AC%E5%85%AD%E7%AB%A0  %E5%9F%BA%E7%A1%80%E7%89%88%E5%8A%9F%E8%83%BD/6-18/3.png" \* MERGEFORMATINET </w:instrText>
      </w:r>
      <w:r>
        <w:rPr>
          <w:rFonts w:ascii="微软雅黑" w:hAnsi="微软雅黑" w:eastAsia="微软雅黑"/>
          <w:color w:val="000000"/>
          <w:sz w:val="27"/>
          <w:szCs w:val="27"/>
        </w:rPr>
        <w:fldChar w:fldCharType="separate"/>
      </w:r>
      <w:r>
        <w:rPr>
          <w:rFonts w:ascii="微软雅黑" w:hAnsi="微软雅黑" w:eastAsia="微软雅黑"/>
          <w:color w:val="000000"/>
          <w:sz w:val="27"/>
          <w:szCs w:val="27"/>
        </w:rPr>
        <w:fldChar w:fldCharType="begin"/>
      </w:r>
      <w:r>
        <w:rPr>
          <w:rFonts w:ascii="微软雅黑" w:hAnsi="微软雅黑" w:eastAsia="微软雅黑"/>
          <w:color w:val="000000"/>
          <w:sz w:val="27"/>
          <w:szCs w:val="27"/>
        </w:rPr>
        <w:instrText xml:space="preserve"> INCLUDEPICTURE  "https://www.tdx.com.cn/products/helpfile/tdxw/chm/%E7%AC%AC%E5%85%AD%E7%AB%A0  %E5%9F%BA%E7%A1%80%E7%89%88%E5%8A%9F%E8%83%BD/6-18/3.png" \* MERGEFORMATINET </w:instrText>
      </w:r>
      <w:r>
        <w:rPr>
          <w:rFonts w:ascii="微软雅黑" w:hAnsi="微软雅黑" w:eastAsia="微软雅黑"/>
          <w:color w:val="000000"/>
          <w:sz w:val="27"/>
          <w:szCs w:val="27"/>
        </w:rPr>
        <w:fldChar w:fldCharType="separate"/>
      </w:r>
      <w:r>
        <w:rPr>
          <w:rFonts w:ascii="微软雅黑" w:hAnsi="微软雅黑" w:eastAsia="微软雅黑"/>
          <w:color w:val="000000"/>
          <w:sz w:val="27"/>
          <w:szCs w:val="27"/>
        </w:rPr>
        <w:fldChar w:fldCharType="begin"/>
      </w:r>
      <w:r>
        <w:rPr>
          <w:rFonts w:ascii="微软雅黑" w:hAnsi="微软雅黑" w:eastAsia="微软雅黑"/>
          <w:color w:val="000000"/>
          <w:sz w:val="27"/>
          <w:szCs w:val="27"/>
        </w:rPr>
        <w:instrText xml:space="preserve"> INCLUDEPICTURE  "https://www.tdx.com.cn/products/helpfile/tdxw/chm/%E7%AC%AC%E5%85%AD%E7%AB%A0  %E5%9F%BA%E7%A1%80%E7%89%88%E5%8A%9F%E8%83%BD/6-18/3.png" \* MERGEFORMATINET </w:instrText>
      </w:r>
      <w:r>
        <w:rPr>
          <w:rFonts w:ascii="微软雅黑" w:hAnsi="微软雅黑" w:eastAsia="微软雅黑"/>
          <w:color w:val="000000"/>
          <w:sz w:val="27"/>
          <w:szCs w:val="27"/>
        </w:rPr>
        <w:fldChar w:fldCharType="separate"/>
      </w:r>
      <w:r>
        <w:rPr>
          <w:rFonts w:ascii="微软雅黑" w:hAnsi="微软雅黑" w:eastAsia="微软雅黑"/>
          <w:color w:val="000000"/>
          <w:sz w:val="27"/>
          <w:szCs w:val="27"/>
        </w:rPr>
        <w:fldChar w:fldCharType="begin"/>
      </w:r>
      <w:r>
        <w:rPr>
          <w:rFonts w:ascii="微软雅黑" w:hAnsi="微软雅黑" w:eastAsia="微软雅黑"/>
          <w:color w:val="000000"/>
          <w:sz w:val="27"/>
          <w:szCs w:val="27"/>
        </w:rPr>
        <w:instrText xml:space="preserve"> INCLUDEPICTURE  "https://www.tdx.com.cn/products/helpfile/tdxw/chm/%E7%AC%AC%E5%85%AD%E7%AB%A0  %E5%9F%BA%E7%A1%80%E7%89%88%E5%8A%9F%E8%83%BD/6-18/3.png" \* MERGEFORMATINET </w:instrText>
      </w:r>
      <w:r>
        <w:rPr>
          <w:rFonts w:ascii="微软雅黑" w:hAnsi="微软雅黑" w:eastAsia="微软雅黑"/>
          <w:color w:val="000000"/>
          <w:sz w:val="27"/>
          <w:szCs w:val="27"/>
        </w:rPr>
        <w:fldChar w:fldCharType="separate"/>
      </w:r>
      <w:r>
        <w:rPr>
          <w:rFonts w:ascii="微软雅黑" w:hAnsi="微软雅黑" w:eastAsia="微软雅黑"/>
          <w:color w:val="000000"/>
          <w:sz w:val="27"/>
          <w:szCs w:val="27"/>
        </w:rPr>
        <w:drawing>
          <wp:inline distT="0" distB="0" distL="114300" distR="114300">
            <wp:extent cx="7772400" cy="3476625"/>
            <wp:effectExtent l="0" t="0" r="0" b="9525"/>
            <wp:docPr id="557" name="图片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图片 557"/>
                    <pic:cNvPicPr>
                      <a:picLocks noChangeAspect="1"/>
                    </pic:cNvPicPr>
                  </pic:nvPicPr>
                  <pic:blipFill>
                    <a:blip r:embed="rId1029" r:link="rId1030"/>
                    <a:stretch>
                      <a:fillRect/>
                    </a:stretch>
                  </pic:blipFill>
                  <pic:spPr>
                    <a:xfrm>
                      <a:off x="0" y="0"/>
                      <a:ext cx="7772400" cy="3476625"/>
                    </a:xfrm>
                    <a:prstGeom prst="rect">
                      <a:avLst/>
                    </a:prstGeom>
                    <a:noFill/>
                    <a:ln>
                      <a:noFill/>
                    </a:ln>
                  </pic:spPr>
                </pic:pic>
              </a:graphicData>
            </a:graphic>
          </wp:inline>
        </w:drawing>
      </w:r>
      <w:r>
        <w:rPr>
          <w:rFonts w:ascii="微软雅黑" w:hAnsi="微软雅黑" w:eastAsia="微软雅黑"/>
          <w:color w:val="000000"/>
          <w:sz w:val="27"/>
          <w:szCs w:val="27"/>
        </w:rPr>
        <w:fldChar w:fldCharType="end"/>
      </w:r>
      <w:r>
        <w:rPr>
          <w:rFonts w:ascii="微软雅黑" w:hAnsi="微软雅黑" w:eastAsia="微软雅黑"/>
          <w:color w:val="000000"/>
          <w:sz w:val="27"/>
          <w:szCs w:val="27"/>
        </w:rPr>
        <w:fldChar w:fldCharType="end"/>
      </w:r>
      <w:r>
        <w:rPr>
          <w:rFonts w:ascii="微软雅黑" w:hAnsi="微软雅黑" w:eastAsia="微软雅黑"/>
          <w:color w:val="000000"/>
          <w:sz w:val="27"/>
          <w:szCs w:val="27"/>
        </w:rPr>
        <w:fldChar w:fldCharType="end"/>
      </w:r>
      <w:r>
        <w:rPr>
          <w:rFonts w:ascii="微软雅黑" w:hAnsi="微软雅黑" w:eastAsia="微软雅黑"/>
          <w:color w:val="000000"/>
          <w:sz w:val="27"/>
          <w:szCs w:val="27"/>
        </w:rPr>
        <w:fldChar w:fldCharType="end"/>
      </w:r>
    </w:p>
    <w:p>
      <w:pPr>
        <w:pStyle w:val="24"/>
        <w:rPr>
          <w:rFonts w:ascii="微软雅黑" w:hAnsi="微软雅黑" w:eastAsia="微软雅黑"/>
          <w:color w:val="000000"/>
          <w:sz w:val="27"/>
          <w:szCs w:val="27"/>
        </w:rPr>
      </w:pPr>
      <w:r>
        <w:rPr>
          <w:rFonts w:ascii="微软雅黑" w:hAnsi="微软雅黑" w:eastAsia="微软雅黑"/>
          <w:color w:val="000000"/>
          <w:sz w:val="27"/>
          <w:szCs w:val="27"/>
        </w:rPr>
        <w:fldChar w:fldCharType="begin"/>
      </w:r>
      <w:r>
        <w:rPr>
          <w:rFonts w:ascii="微软雅黑" w:hAnsi="微软雅黑" w:eastAsia="微软雅黑"/>
          <w:color w:val="000000"/>
          <w:sz w:val="27"/>
          <w:szCs w:val="27"/>
        </w:rPr>
        <w:instrText xml:space="preserve"> INCLUDEPICTURE  "https://www.tdx.com.cn/products/helpfile/tdxw/chm/%E7%AC%AC%E5%85%AD%E7%AB%A0  %E5%9F%BA%E7%A1%80%E7%89%88%E5%8A%9F%E8%83%BD/6-18/4.png" \* MERGEFORMATINET </w:instrText>
      </w:r>
      <w:r>
        <w:rPr>
          <w:rFonts w:ascii="微软雅黑" w:hAnsi="微软雅黑" w:eastAsia="微软雅黑"/>
          <w:color w:val="000000"/>
          <w:sz w:val="27"/>
          <w:szCs w:val="27"/>
        </w:rPr>
        <w:fldChar w:fldCharType="separate"/>
      </w:r>
      <w:r>
        <w:rPr>
          <w:rFonts w:ascii="微软雅黑" w:hAnsi="微软雅黑" w:eastAsia="微软雅黑"/>
          <w:color w:val="000000"/>
          <w:sz w:val="27"/>
          <w:szCs w:val="27"/>
        </w:rPr>
        <w:fldChar w:fldCharType="begin"/>
      </w:r>
      <w:r>
        <w:rPr>
          <w:rFonts w:ascii="微软雅黑" w:hAnsi="微软雅黑" w:eastAsia="微软雅黑"/>
          <w:color w:val="000000"/>
          <w:sz w:val="27"/>
          <w:szCs w:val="27"/>
        </w:rPr>
        <w:instrText xml:space="preserve"> INCLUDEPICTURE  "https://www.tdx.com.cn/products/helpfile/tdxw/chm/%E7%AC%AC%E5%85%AD%E7%AB%A0  %E5%9F%BA%E7%A1%80%E7%89%88%E5%8A%9F%E8%83%BD/6-18/4.png" \* MERGEFORMATINET </w:instrText>
      </w:r>
      <w:r>
        <w:rPr>
          <w:rFonts w:ascii="微软雅黑" w:hAnsi="微软雅黑" w:eastAsia="微软雅黑"/>
          <w:color w:val="000000"/>
          <w:sz w:val="27"/>
          <w:szCs w:val="27"/>
        </w:rPr>
        <w:fldChar w:fldCharType="separate"/>
      </w:r>
      <w:r>
        <w:rPr>
          <w:rFonts w:ascii="微软雅黑" w:hAnsi="微软雅黑" w:eastAsia="微软雅黑"/>
          <w:color w:val="000000"/>
          <w:sz w:val="27"/>
          <w:szCs w:val="27"/>
        </w:rPr>
        <w:fldChar w:fldCharType="begin"/>
      </w:r>
      <w:r>
        <w:rPr>
          <w:rFonts w:ascii="微软雅黑" w:hAnsi="微软雅黑" w:eastAsia="微软雅黑"/>
          <w:color w:val="000000"/>
          <w:sz w:val="27"/>
          <w:szCs w:val="27"/>
        </w:rPr>
        <w:instrText xml:space="preserve"> INCLUDEPICTURE  "https://www.tdx.com.cn/products/helpfile/tdxw/chm/%E7%AC%AC%E5%85%AD%E7%AB%A0  %E5%9F%BA%E7%A1%80%E7%89%88%E5%8A%9F%E8%83%BD/6-18/4.png" \* MERGEFORMATINET </w:instrText>
      </w:r>
      <w:r>
        <w:rPr>
          <w:rFonts w:ascii="微软雅黑" w:hAnsi="微软雅黑" w:eastAsia="微软雅黑"/>
          <w:color w:val="000000"/>
          <w:sz w:val="27"/>
          <w:szCs w:val="27"/>
        </w:rPr>
        <w:fldChar w:fldCharType="separate"/>
      </w:r>
      <w:r>
        <w:rPr>
          <w:rFonts w:ascii="微软雅黑" w:hAnsi="微软雅黑" w:eastAsia="微软雅黑"/>
          <w:color w:val="000000"/>
          <w:sz w:val="27"/>
          <w:szCs w:val="27"/>
        </w:rPr>
        <w:fldChar w:fldCharType="begin"/>
      </w:r>
      <w:r>
        <w:rPr>
          <w:rFonts w:ascii="微软雅黑" w:hAnsi="微软雅黑" w:eastAsia="微软雅黑"/>
          <w:color w:val="000000"/>
          <w:sz w:val="27"/>
          <w:szCs w:val="27"/>
        </w:rPr>
        <w:instrText xml:space="preserve"> INCLUDEPICTURE  "https://www.tdx.com.cn/products/helpfile/tdxw/chm/%E7%AC%AC%E5%85%AD%E7%AB%A0  %E5%9F%BA%E7%A1%80%E7%89%88%E5%8A%9F%E8%83%BD/6-18/4.png" \* MERGEFORMATINET </w:instrText>
      </w:r>
      <w:r>
        <w:rPr>
          <w:rFonts w:ascii="微软雅黑" w:hAnsi="微软雅黑" w:eastAsia="微软雅黑"/>
          <w:color w:val="000000"/>
          <w:sz w:val="27"/>
          <w:szCs w:val="27"/>
        </w:rPr>
        <w:fldChar w:fldCharType="separate"/>
      </w:r>
      <w:r>
        <w:rPr>
          <w:rFonts w:ascii="微软雅黑" w:hAnsi="微软雅黑" w:eastAsia="微软雅黑"/>
          <w:color w:val="000000"/>
          <w:sz w:val="27"/>
          <w:szCs w:val="27"/>
        </w:rPr>
        <w:drawing>
          <wp:inline distT="0" distB="0" distL="114300" distR="114300">
            <wp:extent cx="7458075" cy="3476625"/>
            <wp:effectExtent l="0" t="0" r="9525" b="9525"/>
            <wp:docPr id="558" name="图片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图片 558"/>
                    <pic:cNvPicPr>
                      <a:picLocks noChangeAspect="1"/>
                    </pic:cNvPicPr>
                  </pic:nvPicPr>
                  <pic:blipFill>
                    <a:blip r:embed="rId1031" r:link="rId1032"/>
                    <a:stretch>
                      <a:fillRect/>
                    </a:stretch>
                  </pic:blipFill>
                  <pic:spPr>
                    <a:xfrm>
                      <a:off x="0" y="0"/>
                      <a:ext cx="7458075" cy="3476625"/>
                    </a:xfrm>
                    <a:prstGeom prst="rect">
                      <a:avLst/>
                    </a:prstGeom>
                    <a:noFill/>
                    <a:ln>
                      <a:noFill/>
                    </a:ln>
                  </pic:spPr>
                </pic:pic>
              </a:graphicData>
            </a:graphic>
          </wp:inline>
        </w:drawing>
      </w:r>
      <w:r>
        <w:rPr>
          <w:rFonts w:ascii="微软雅黑" w:hAnsi="微软雅黑" w:eastAsia="微软雅黑"/>
          <w:color w:val="000000"/>
          <w:sz w:val="27"/>
          <w:szCs w:val="27"/>
        </w:rPr>
        <w:fldChar w:fldCharType="end"/>
      </w:r>
      <w:r>
        <w:rPr>
          <w:rFonts w:ascii="微软雅黑" w:hAnsi="微软雅黑" w:eastAsia="微软雅黑"/>
          <w:color w:val="000000"/>
          <w:sz w:val="27"/>
          <w:szCs w:val="27"/>
        </w:rPr>
        <w:fldChar w:fldCharType="end"/>
      </w:r>
      <w:r>
        <w:rPr>
          <w:rFonts w:ascii="微软雅黑" w:hAnsi="微软雅黑" w:eastAsia="微软雅黑"/>
          <w:color w:val="000000"/>
          <w:sz w:val="27"/>
          <w:szCs w:val="27"/>
        </w:rPr>
        <w:fldChar w:fldCharType="end"/>
      </w:r>
      <w:r>
        <w:rPr>
          <w:rFonts w:ascii="微软雅黑" w:hAnsi="微软雅黑" w:eastAsia="微软雅黑"/>
          <w:color w:val="000000"/>
          <w:sz w:val="27"/>
          <w:szCs w:val="27"/>
        </w:rPr>
        <w:fldChar w:fldCharType="end"/>
      </w:r>
    </w:p>
    <w:p>
      <w:pPr>
        <w:pStyle w:val="24"/>
        <w:rPr>
          <w:rFonts w:ascii="微软雅黑" w:hAnsi="微软雅黑" w:eastAsia="微软雅黑"/>
          <w:color w:val="000000"/>
          <w:sz w:val="27"/>
          <w:szCs w:val="27"/>
        </w:rPr>
      </w:pPr>
      <w:r>
        <w:rPr>
          <w:rFonts w:ascii="微软雅黑" w:hAnsi="微软雅黑" w:eastAsia="微软雅黑"/>
          <w:color w:val="000000"/>
          <w:sz w:val="27"/>
          <w:szCs w:val="27"/>
        </w:rPr>
        <w:fldChar w:fldCharType="begin"/>
      </w:r>
      <w:r>
        <w:rPr>
          <w:rFonts w:ascii="微软雅黑" w:hAnsi="微软雅黑" w:eastAsia="微软雅黑"/>
          <w:color w:val="000000"/>
          <w:sz w:val="27"/>
          <w:szCs w:val="27"/>
        </w:rPr>
        <w:instrText xml:space="preserve"> INCLUDEPICTURE  "https://www.tdx.com.cn/products/helpfile/tdxw/chm/%E7%AC%AC%E5%85%AD%E7%AB%A0  %E5%9F%BA%E7%A1%80%E7%89%88%E5%8A%9F%E8%83%BD/6-18/5.png" \* MERGEFORMATINET </w:instrText>
      </w:r>
      <w:r>
        <w:rPr>
          <w:rFonts w:ascii="微软雅黑" w:hAnsi="微软雅黑" w:eastAsia="微软雅黑"/>
          <w:color w:val="000000"/>
          <w:sz w:val="27"/>
          <w:szCs w:val="27"/>
        </w:rPr>
        <w:fldChar w:fldCharType="separate"/>
      </w:r>
      <w:r>
        <w:rPr>
          <w:rFonts w:ascii="微软雅黑" w:hAnsi="微软雅黑" w:eastAsia="微软雅黑"/>
          <w:color w:val="000000"/>
          <w:sz w:val="27"/>
          <w:szCs w:val="27"/>
        </w:rPr>
        <w:fldChar w:fldCharType="begin"/>
      </w:r>
      <w:r>
        <w:rPr>
          <w:rFonts w:ascii="微软雅黑" w:hAnsi="微软雅黑" w:eastAsia="微软雅黑"/>
          <w:color w:val="000000"/>
          <w:sz w:val="27"/>
          <w:szCs w:val="27"/>
        </w:rPr>
        <w:instrText xml:space="preserve"> INCLUDEPICTURE  "https://www.tdx.com.cn/products/helpfile/tdxw/chm/%E7%AC%AC%E5%85%AD%E7%AB%A0  %E5%9F%BA%E7%A1%80%E7%89%88%E5%8A%9F%E8%83%BD/6-18/5.png" \* MERGEFORMATINET </w:instrText>
      </w:r>
      <w:r>
        <w:rPr>
          <w:rFonts w:ascii="微软雅黑" w:hAnsi="微软雅黑" w:eastAsia="微软雅黑"/>
          <w:color w:val="000000"/>
          <w:sz w:val="27"/>
          <w:szCs w:val="27"/>
        </w:rPr>
        <w:fldChar w:fldCharType="separate"/>
      </w:r>
      <w:r>
        <w:rPr>
          <w:rFonts w:ascii="微软雅黑" w:hAnsi="微软雅黑" w:eastAsia="微软雅黑"/>
          <w:color w:val="000000"/>
          <w:sz w:val="27"/>
          <w:szCs w:val="27"/>
        </w:rPr>
        <w:fldChar w:fldCharType="begin"/>
      </w:r>
      <w:r>
        <w:rPr>
          <w:rFonts w:ascii="微软雅黑" w:hAnsi="微软雅黑" w:eastAsia="微软雅黑"/>
          <w:color w:val="000000"/>
          <w:sz w:val="27"/>
          <w:szCs w:val="27"/>
        </w:rPr>
        <w:instrText xml:space="preserve"> INCLUDEPICTURE  "https://www.tdx.com.cn/products/helpfile/tdxw/chm/%E7%AC%AC%E5%85%AD%E7%AB%A0  %E5%9F%BA%E7%A1%80%E7%89%88%E5%8A%9F%E8%83%BD/6-18/5.png" \* MERGEFORMATINET </w:instrText>
      </w:r>
      <w:r>
        <w:rPr>
          <w:rFonts w:ascii="微软雅黑" w:hAnsi="微软雅黑" w:eastAsia="微软雅黑"/>
          <w:color w:val="000000"/>
          <w:sz w:val="27"/>
          <w:szCs w:val="27"/>
        </w:rPr>
        <w:fldChar w:fldCharType="separate"/>
      </w:r>
      <w:r>
        <w:rPr>
          <w:rFonts w:ascii="微软雅黑" w:hAnsi="微软雅黑" w:eastAsia="微软雅黑"/>
          <w:color w:val="000000"/>
          <w:sz w:val="27"/>
          <w:szCs w:val="27"/>
        </w:rPr>
        <w:fldChar w:fldCharType="begin"/>
      </w:r>
      <w:r>
        <w:rPr>
          <w:rFonts w:ascii="微软雅黑" w:hAnsi="微软雅黑" w:eastAsia="微软雅黑"/>
          <w:color w:val="000000"/>
          <w:sz w:val="27"/>
          <w:szCs w:val="27"/>
        </w:rPr>
        <w:instrText xml:space="preserve"> INCLUDEPICTURE  "https://www.tdx.com.cn/products/helpfile/tdxw/chm/%E7%AC%AC%E5%85%AD%E7%AB%A0  %E5%9F%BA%E7%A1%80%E7%89%88%E5%8A%9F%E8%83%BD/6-18/5.png" \* MERGEFORMATINET </w:instrText>
      </w:r>
      <w:r>
        <w:rPr>
          <w:rFonts w:ascii="微软雅黑" w:hAnsi="微软雅黑" w:eastAsia="微软雅黑"/>
          <w:color w:val="000000"/>
          <w:sz w:val="27"/>
          <w:szCs w:val="27"/>
        </w:rPr>
        <w:fldChar w:fldCharType="separate"/>
      </w:r>
      <w:r>
        <w:rPr>
          <w:rFonts w:ascii="微软雅黑" w:hAnsi="微软雅黑" w:eastAsia="微软雅黑"/>
          <w:color w:val="000000"/>
          <w:sz w:val="27"/>
          <w:szCs w:val="27"/>
        </w:rPr>
        <w:drawing>
          <wp:inline distT="0" distB="0" distL="114300" distR="114300">
            <wp:extent cx="7753350" cy="3467100"/>
            <wp:effectExtent l="0" t="0" r="0" b="0"/>
            <wp:docPr id="559" name="图片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图片 559"/>
                    <pic:cNvPicPr>
                      <a:picLocks noChangeAspect="1"/>
                    </pic:cNvPicPr>
                  </pic:nvPicPr>
                  <pic:blipFill>
                    <a:blip r:embed="rId1033" r:link="rId1034"/>
                    <a:stretch>
                      <a:fillRect/>
                    </a:stretch>
                  </pic:blipFill>
                  <pic:spPr>
                    <a:xfrm>
                      <a:off x="0" y="0"/>
                      <a:ext cx="7753350" cy="3467100"/>
                    </a:xfrm>
                    <a:prstGeom prst="rect">
                      <a:avLst/>
                    </a:prstGeom>
                    <a:noFill/>
                    <a:ln>
                      <a:noFill/>
                    </a:ln>
                  </pic:spPr>
                </pic:pic>
              </a:graphicData>
            </a:graphic>
          </wp:inline>
        </w:drawing>
      </w:r>
      <w:r>
        <w:rPr>
          <w:rFonts w:ascii="微软雅黑" w:hAnsi="微软雅黑" w:eastAsia="微软雅黑"/>
          <w:color w:val="000000"/>
          <w:sz w:val="27"/>
          <w:szCs w:val="27"/>
        </w:rPr>
        <w:fldChar w:fldCharType="end"/>
      </w:r>
      <w:r>
        <w:rPr>
          <w:rFonts w:ascii="微软雅黑" w:hAnsi="微软雅黑" w:eastAsia="微软雅黑"/>
          <w:color w:val="000000"/>
          <w:sz w:val="27"/>
          <w:szCs w:val="27"/>
        </w:rPr>
        <w:fldChar w:fldCharType="end"/>
      </w:r>
      <w:r>
        <w:rPr>
          <w:rFonts w:ascii="微软雅黑" w:hAnsi="微软雅黑" w:eastAsia="微软雅黑"/>
          <w:color w:val="000000"/>
          <w:sz w:val="27"/>
          <w:szCs w:val="27"/>
        </w:rPr>
        <w:fldChar w:fldCharType="end"/>
      </w:r>
      <w:r>
        <w:rPr>
          <w:rFonts w:ascii="微软雅黑" w:hAnsi="微软雅黑" w:eastAsia="微软雅黑"/>
          <w:color w:val="000000"/>
          <w:sz w:val="27"/>
          <w:szCs w:val="27"/>
        </w:rPr>
        <w:fldChar w:fldCharType="end"/>
      </w:r>
    </w:p>
    <w:p>
      <w:pPr>
        <w:pStyle w:val="3"/>
      </w:pPr>
      <w:bookmarkStart w:id="85" w:name="_Toc90646209"/>
      <w:r>
        <w:rPr>
          <w:rFonts w:hint="eastAsia"/>
        </w:rPr>
        <w:t>市场及主题库</w:t>
      </w:r>
      <w:bookmarkEnd w:id="85"/>
    </w:p>
    <w:p>
      <w:pPr>
        <w:pStyle w:val="34"/>
        <w:rPr>
          <w:kern w:val="0"/>
        </w:rPr>
      </w:pPr>
      <w:r>
        <w:rPr>
          <w:rFonts w:hint="eastAsia"/>
          <w:kern w:val="0"/>
        </w:rPr>
        <w:t>按市场类型详细分类，可以看到股票行情，板块行情，主题投资，新股IPO，港股美股等各类市场的行情……</w:t>
      </w:r>
    </w:p>
    <w:p>
      <w:pPr>
        <w:pStyle w:val="34"/>
        <w:ind w:firstLineChars="177"/>
        <w:rPr>
          <w:b/>
          <w:bCs/>
          <w:color w:val="FF0000"/>
          <w:kern w:val="0"/>
          <w:sz w:val="27"/>
          <w:szCs w:val="27"/>
        </w:rPr>
      </w:pPr>
      <w:r>
        <w:rPr>
          <w:rFonts w:hint="eastAsia"/>
          <w:b/>
          <w:bCs/>
          <w:color w:val="FF0000"/>
          <w:kern w:val="0"/>
          <w:sz w:val="27"/>
          <w:szCs w:val="27"/>
        </w:rPr>
        <w:t>主题库：</w:t>
      </w:r>
    </w:p>
    <w:p>
      <w:pPr>
        <w:pStyle w:val="34"/>
        <w:rPr>
          <w:kern w:val="0"/>
        </w:rPr>
      </w:pPr>
      <w:r>
        <w:rPr>
          <w:rFonts w:hint="eastAsia"/>
          <w:kern w:val="0"/>
        </w:rPr>
        <w:t>提供最热最新主题，了解板块释义</w:t>
      </w:r>
    </w:p>
    <w:p>
      <w:pPr>
        <w:pStyle w:val="34"/>
        <w:ind w:firstLine="540"/>
        <w:rPr>
          <w:kern w:val="0"/>
          <w:sz w:val="27"/>
          <w:szCs w:val="27"/>
        </w:rPr>
      </w:pPr>
      <w:r>
        <w:rPr>
          <w:kern w:val="0"/>
          <w:sz w:val="27"/>
          <w:szCs w:val="27"/>
        </w:rPr>
        <w:fldChar w:fldCharType="begin"/>
      </w:r>
      <w:r>
        <w:rPr>
          <w:kern w:val="0"/>
          <w:sz w:val="27"/>
          <w:szCs w:val="27"/>
        </w:rPr>
        <w:instrText xml:space="preserve"> INCLUDEPICTURE  "https://www.tdx.com.cn/products/helpfile/tdxw/chm/%E7%AC%AC%E5%85%AD%E7%AB%A0  %E5%9F%BA%E7%A1%80%E7%89%88%E5%8A%9F%E8%83%BD/6-19/1.png" \* MERGEFORMATINET </w:instrText>
      </w:r>
      <w:r>
        <w:rPr>
          <w:kern w:val="0"/>
          <w:sz w:val="27"/>
          <w:szCs w:val="27"/>
        </w:rPr>
        <w:fldChar w:fldCharType="separate"/>
      </w:r>
      <w:r>
        <w:rPr>
          <w:kern w:val="0"/>
          <w:sz w:val="27"/>
          <w:szCs w:val="27"/>
        </w:rPr>
        <w:fldChar w:fldCharType="begin"/>
      </w:r>
      <w:r>
        <w:rPr>
          <w:kern w:val="0"/>
          <w:sz w:val="27"/>
          <w:szCs w:val="27"/>
        </w:rPr>
        <w:instrText xml:space="preserve"> INCLUDEPICTURE  "https://www.tdx.com.cn/products/helpfile/tdxw/chm/%E7%AC%AC%E5%85%AD%E7%AB%A0  %E5%9F%BA%E7%A1%80%E7%89%88%E5%8A%9F%E8%83%BD/6-19/1.png" \* MERGEFORMATINET </w:instrText>
      </w:r>
      <w:r>
        <w:rPr>
          <w:kern w:val="0"/>
          <w:sz w:val="27"/>
          <w:szCs w:val="27"/>
        </w:rPr>
        <w:fldChar w:fldCharType="separate"/>
      </w:r>
      <w:r>
        <w:rPr>
          <w:kern w:val="0"/>
          <w:sz w:val="27"/>
          <w:szCs w:val="27"/>
        </w:rPr>
        <w:fldChar w:fldCharType="begin"/>
      </w:r>
      <w:r>
        <w:rPr>
          <w:kern w:val="0"/>
          <w:sz w:val="27"/>
          <w:szCs w:val="27"/>
        </w:rPr>
        <w:instrText xml:space="preserve"> INCLUDEPICTURE  "https://www.tdx.com.cn/products/helpfile/tdxw/chm/%E7%AC%AC%E5%85%AD%E7%AB%A0  %E5%9F%BA%E7%A1%80%E7%89%88%E5%8A%9F%E8%83%BD/6-19/1.png" \* MERGEFORMATINET </w:instrText>
      </w:r>
      <w:r>
        <w:rPr>
          <w:kern w:val="0"/>
          <w:sz w:val="27"/>
          <w:szCs w:val="27"/>
        </w:rPr>
        <w:fldChar w:fldCharType="separate"/>
      </w:r>
      <w:r>
        <w:rPr>
          <w:kern w:val="0"/>
          <w:sz w:val="27"/>
          <w:szCs w:val="27"/>
        </w:rPr>
        <w:fldChar w:fldCharType="begin"/>
      </w:r>
      <w:r>
        <w:rPr>
          <w:kern w:val="0"/>
          <w:sz w:val="27"/>
          <w:szCs w:val="27"/>
        </w:rPr>
        <w:instrText xml:space="preserve"> INCLUDEPICTURE  "https://www.tdx.com.cn/products/helpfile/tdxw/chm/%E7%AC%AC%E5%85%AD%E7%AB%A0  %E5%9F%BA%E7%A1%80%E7%89%88%E5%8A%9F%E8%83%BD/6-19/1.png" \* MERGEFORMATINET </w:instrText>
      </w:r>
      <w:r>
        <w:rPr>
          <w:kern w:val="0"/>
          <w:sz w:val="27"/>
          <w:szCs w:val="27"/>
        </w:rPr>
        <w:fldChar w:fldCharType="separate"/>
      </w:r>
      <w:r>
        <w:rPr>
          <w:kern w:val="0"/>
          <w:sz w:val="27"/>
          <w:szCs w:val="27"/>
        </w:rPr>
        <w:drawing>
          <wp:inline distT="0" distB="0" distL="114300" distR="114300">
            <wp:extent cx="6781800" cy="4552950"/>
            <wp:effectExtent l="0" t="0" r="0" b="0"/>
            <wp:docPr id="560" name="图片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图片 560"/>
                    <pic:cNvPicPr>
                      <a:picLocks noChangeAspect="1"/>
                    </pic:cNvPicPr>
                  </pic:nvPicPr>
                  <pic:blipFill>
                    <a:blip r:embed="rId1035" r:link="rId1036"/>
                    <a:stretch>
                      <a:fillRect/>
                    </a:stretch>
                  </pic:blipFill>
                  <pic:spPr>
                    <a:xfrm>
                      <a:off x="0" y="0"/>
                      <a:ext cx="6781800" cy="4552950"/>
                    </a:xfrm>
                    <a:prstGeom prst="rect">
                      <a:avLst/>
                    </a:prstGeom>
                    <a:noFill/>
                    <a:ln>
                      <a:noFill/>
                    </a:ln>
                  </pic:spPr>
                </pic:pic>
              </a:graphicData>
            </a:graphic>
          </wp:inline>
        </w:drawing>
      </w:r>
      <w:r>
        <w:rPr>
          <w:kern w:val="0"/>
          <w:sz w:val="27"/>
          <w:szCs w:val="27"/>
        </w:rPr>
        <w:fldChar w:fldCharType="end"/>
      </w:r>
      <w:r>
        <w:rPr>
          <w:kern w:val="0"/>
          <w:sz w:val="27"/>
          <w:szCs w:val="27"/>
        </w:rPr>
        <w:fldChar w:fldCharType="end"/>
      </w:r>
      <w:r>
        <w:rPr>
          <w:kern w:val="0"/>
          <w:sz w:val="27"/>
          <w:szCs w:val="27"/>
        </w:rPr>
        <w:fldChar w:fldCharType="end"/>
      </w:r>
      <w:r>
        <w:rPr>
          <w:kern w:val="0"/>
          <w:sz w:val="27"/>
          <w:szCs w:val="27"/>
        </w:rPr>
        <w:fldChar w:fldCharType="end"/>
      </w:r>
    </w:p>
    <w:p>
      <w:pPr>
        <w:pStyle w:val="34"/>
        <w:ind w:firstLine="542"/>
        <w:rPr>
          <w:kern w:val="0"/>
          <w:sz w:val="27"/>
          <w:szCs w:val="27"/>
        </w:rPr>
      </w:pPr>
      <w:r>
        <w:rPr>
          <w:rFonts w:hint="eastAsia"/>
          <w:b/>
          <w:bCs/>
          <w:color w:val="FF0000"/>
          <w:kern w:val="0"/>
          <w:sz w:val="27"/>
          <w:szCs w:val="27"/>
        </w:rPr>
        <w:t>主题投资：</w:t>
      </w:r>
      <w:r>
        <w:rPr>
          <w:rFonts w:hint="eastAsia"/>
          <w:kern w:val="0"/>
        </w:rPr>
        <w:t>包含主题投资及一些市场上的热点概念主题。</w:t>
      </w:r>
    </w:p>
    <w:tbl>
      <w:tblPr>
        <w:tblStyle w:val="25"/>
        <w:tblW w:w="0" w:type="auto"/>
        <w:tblCellSpacing w:w="0" w:type="dxa"/>
        <w:tblInd w:w="0" w:type="dxa"/>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Layout w:type="autofit"/>
        <w:tblCellMar>
          <w:top w:w="0" w:type="dxa"/>
          <w:left w:w="0" w:type="dxa"/>
          <w:bottom w:w="0" w:type="dxa"/>
          <w:right w:w="0" w:type="dxa"/>
        </w:tblCellMar>
      </w:tblPr>
      <w:tblGrid>
        <w:gridCol w:w="1575"/>
        <w:gridCol w:w="12413"/>
      </w:tblGrid>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575" w:type="dxa"/>
            <w:tcBorders>
              <w:top w:val="outset" w:color="000000" w:sz="6" w:space="0"/>
              <w:left w:val="outset" w:color="000000" w:sz="6" w:space="0"/>
              <w:bottom w:val="outset" w:color="000000" w:sz="6" w:space="0"/>
              <w:right w:val="outset" w:color="000000" w:sz="6" w:space="0"/>
            </w:tcBorders>
          </w:tcPr>
          <w:p>
            <w:pPr>
              <w:pStyle w:val="31"/>
              <w:rPr>
                <w:kern w:val="0"/>
              </w:rPr>
            </w:pPr>
            <w:r>
              <w:rPr>
                <w:rFonts w:hint="eastAsia"/>
                <w:kern w:val="0"/>
              </w:rPr>
              <w:t>国防军工</w:t>
            </w:r>
          </w:p>
        </w:tc>
        <w:tc>
          <w:tcPr>
            <w:tcW w:w="12413" w:type="dxa"/>
            <w:tcBorders>
              <w:top w:val="outset" w:color="000000" w:sz="6" w:space="0"/>
              <w:left w:val="outset" w:color="000000" w:sz="6" w:space="0"/>
              <w:bottom w:val="outset" w:color="000000" w:sz="6" w:space="0"/>
              <w:right w:val="outset" w:color="000000" w:sz="6" w:space="0"/>
            </w:tcBorders>
          </w:tcPr>
          <w:p>
            <w:pPr>
              <w:pStyle w:val="31"/>
              <w:rPr>
                <w:kern w:val="0"/>
              </w:rPr>
            </w:pPr>
            <w:r>
              <w:rPr>
                <w:rFonts w:hint="eastAsia"/>
                <w:kern w:val="0"/>
              </w:rPr>
              <w:t>国防军工板块是指股票市场中众多具备军工航天概念的股票的集合，这类上市公司主要从事军工航天类产品的制造、研发或销售。国防军工功能根据行业和公司系进行分析。行业分为国防信息化、军工材料、机械装备三个大类。公司系则是控股股东或实际控制人是大型军工企业的公司。国防军工板块是指股票市场中众多具备军工航天概念的股票的集合，这类上市公司主要从事军工航天类产品的制造、研发或销售。国防军工功能根据行业和公司系进行分析。行业分为国防信息化、军工材料、机械装备三个大类。公司系则是控股股东或实际控制人是大型军工企业的公司。</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575" w:type="dxa"/>
            <w:tcBorders>
              <w:top w:val="outset" w:color="000000" w:sz="6" w:space="0"/>
              <w:left w:val="outset" w:color="000000" w:sz="6" w:space="0"/>
              <w:bottom w:val="outset" w:color="000000" w:sz="6" w:space="0"/>
              <w:right w:val="outset" w:color="000000" w:sz="6" w:space="0"/>
            </w:tcBorders>
          </w:tcPr>
          <w:p>
            <w:pPr>
              <w:pStyle w:val="31"/>
              <w:rPr>
                <w:kern w:val="0"/>
              </w:rPr>
            </w:pPr>
            <w:r>
              <w:rPr>
                <w:rFonts w:hint="eastAsia"/>
                <w:kern w:val="0"/>
              </w:rPr>
              <w:t>国企改革</w:t>
            </w:r>
          </w:p>
        </w:tc>
        <w:tc>
          <w:tcPr>
            <w:tcW w:w="12413" w:type="dxa"/>
            <w:tcBorders>
              <w:top w:val="outset" w:color="000000" w:sz="6" w:space="0"/>
              <w:left w:val="outset" w:color="000000" w:sz="6" w:space="0"/>
              <w:bottom w:val="outset" w:color="000000" w:sz="6" w:space="0"/>
              <w:right w:val="outset" w:color="000000" w:sz="6" w:space="0"/>
            </w:tcBorders>
          </w:tcPr>
          <w:p>
            <w:pPr>
              <w:pStyle w:val="31"/>
              <w:rPr>
                <w:kern w:val="0"/>
              </w:rPr>
            </w:pPr>
            <w:r>
              <w:rPr>
                <w:rFonts w:hint="eastAsia"/>
                <w:kern w:val="0"/>
              </w:rPr>
              <w:t>“国企改革”功能按行业、按地区、按整合预期（预计会合并）以及公司系分类统计市场热炒的国企改革概念相关的上市公司股票，并统计出各上市公司的实际控制人、控股比例情况以及股票的投资逻辑。帮助用户更加方便的筛选出投资标的。</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575" w:type="dxa"/>
            <w:tcBorders>
              <w:top w:val="outset" w:color="000000" w:sz="6" w:space="0"/>
              <w:left w:val="outset" w:color="000000" w:sz="6" w:space="0"/>
              <w:bottom w:val="outset" w:color="000000" w:sz="6" w:space="0"/>
              <w:right w:val="outset" w:color="000000" w:sz="6" w:space="0"/>
            </w:tcBorders>
          </w:tcPr>
          <w:p>
            <w:pPr>
              <w:pStyle w:val="31"/>
              <w:rPr>
                <w:kern w:val="0"/>
              </w:rPr>
            </w:pPr>
            <w:r>
              <w:rPr>
                <w:rFonts w:hint="eastAsia"/>
                <w:kern w:val="0"/>
              </w:rPr>
              <w:t>健康中国</w:t>
            </w:r>
          </w:p>
        </w:tc>
        <w:tc>
          <w:tcPr>
            <w:tcW w:w="12413" w:type="dxa"/>
            <w:tcBorders>
              <w:top w:val="outset" w:color="000000" w:sz="6" w:space="0"/>
              <w:left w:val="outset" w:color="000000" w:sz="6" w:space="0"/>
              <w:bottom w:val="outset" w:color="000000" w:sz="6" w:space="0"/>
              <w:right w:val="outset" w:color="000000" w:sz="6" w:space="0"/>
            </w:tcBorders>
          </w:tcPr>
          <w:p>
            <w:pPr>
              <w:pStyle w:val="31"/>
              <w:rPr>
                <w:kern w:val="0"/>
              </w:rPr>
            </w:pPr>
            <w:r>
              <w:rPr>
                <w:rFonts w:hint="eastAsia"/>
                <w:kern w:val="0"/>
              </w:rPr>
              <w:t>“健康中国”功能用来展示与药品、生物医药、基因、医疗等相关的概念信息及其成分股的信息。</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575" w:type="dxa"/>
            <w:tcBorders>
              <w:top w:val="outset" w:color="000000" w:sz="6" w:space="0"/>
              <w:left w:val="outset" w:color="000000" w:sz="6" w:space="0"/>
              <w:bottom w:val="outset" w:color="000000" w:sz="6" w:space="0"/>
              <w:right w:val="outset" w:color="000000" w:sz="6" w:space="0"/>
            </w:tcBorders>
          </w:tcPr>
          <w:p>
            <w:pPr>
              <w:pStyle w:val="31"/>
              <w:rPr>
                <w:kern w:val="0"/>
              </w:rPr>
            </w:pPr>
            <w:r>
              <w:rPr>
                <w:rFonts w:hint="eastAsia"/>
                <w:kern w:val="0"/>
              </w:rPr>
              <w:t>美丽中国</w:t>
            </w:r>
          </w:p>
        </w:tc>
        <w:tc>
          <w:tcPr>
            <w:tcW w:w="12413" w:type="dxa"/>
            <w:tcBorders>
              <w:top w:val="outset" w:color="000000" w:sz="6" w:space="0"/>
              <w:left w:val="outset" w:color="000000" w:sz="6" w:space="0"/>
              <w:bottom w:val="outset" w:color="000000" w:sz="6" w:space="0"/>
              <w:right w:val="outset" w:color="000000" w:sz="6" w:space="0"/>
            </w:tcBorders>
          </w:tcPr>
          <w:p>
            <w:pPr>
              <w:pStyle w:val="31"/>
              <w:rPr>
                <w:kern w:val="0"/>
              </w:rPr>
            </w:pPr>
            <w:r>
              <w:rPr>
                <w:rFonts w:hint="eastAsia"/>
                <w:kern w:val="0"/>
              </w:rPr>
              <w:t>“美丽中国”功能用来展示与节能、环保、生态保护等相关的概念信息及其成分股的信息。</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575" w:type="dxa"/>
            <w:tcBorders>
              <w:top w:val="outset" w:color="000000" w:sz="6" w:space="0"/>
              <w:left w:val="outset" w:color="000000" w:sz="6" w:space="0"/>
              <w:bottom w:val="outset" w:color="000000" w:sz="6" w:space="0"/>
              <w:right w:val="outset" w:color="000000" w:sz="6" w:space="0"/>
            </w:tcBorders>
          </w:tcPr>
          <w:p>
            <w:pPr>
              <w:pStyle w:val="31"/>
              <w:rPr>
                <w:kern w:val="0"/>
              </w:rPr>
            </w:pPr>
            <w:r>
              <w:rPr>
                <w:rFonts w:hint="eastAsia"/>
                <w:kern w:val="0"/>
              </w:rPr>
              <w:t>工业 4.0</w:t>
            </w:r>
          </w:p>
        </w:tc>
        <w:tc>
          <w:tcPr>
            <w:tcW w:w="12413" w:type="dxa"/>
            <w:tcBorders>
              <w:top w:val="outset" w:color="000000" w:sz="6" w:space="0"/>
              <w:left w:val="outset" w:color="000000" w:sz="6" w:space="0"/>
              <w:bottom w:val="outset" w:color="000000" w:sz="6" w:space="0"/>
              <w:right w:val="outset" w:color="000000" w:sz="6" w:space="0"/>
            </w:tcBorders>
          </w:tcPr>
          <w:p>
            <w:pPr>
              <w:pStyle w:val="31"/>
              <w:rPr>
                <w:kern w:val="0"/>
              </w:rPr>
            </w:pPr>
            <w:r>
              <w:rPr>
                <w:rFonts w:hint="eastAsia"/>
                <w:kern w:val="0"/>
              </w:rPr>
              <w:t>跟随中国制造2025概念，按行业及衍生子概念分类出相关优质个股，并整理其投资逻辑和详细说明。</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575" w:type="dxa"/>
            <w:tcBorders>
              <w:top w:val="outset" w:color="000000" w:sz="6" w:space="0"/>
              <w:left w:val="outset" w:color="000000" w:sz="6" w:space="0"/>
              <w:bottom w:val="outset" w:color="000000" w:sz="6" w:space="0"/>
              <w:right w:val="outset" w:color="000000" w:sz="6" w:space="0"/>
            </w:tcBorders>
          </w:tcPr>
          <w:p>
            <w:pPr>
              <w:pStyle w:val="31"/>
              <w:rPr>
                <w:kern w:val="0"/>
              </w:rPr>
            </w:pPr>
            <w:r>
              <w:rPr>
                <w:rFonts w:hint="eastAsia"/>
                <w:kern w:val="0"/>
              </w:rPr>
              <w:t>汽车产业</w:t>
            </w:r>
          </w:p>
        </w:tc>
        <w:tc>
          <w:tcPr>
            <w:tcW w:w="12413" w:type="dxa"/>
            <w:tcBorders>
              <w:top w:val="outset" w:color="000000" w:sz="6" w:space="0"/>
              <w:left w:val="outset" w:color="000000" w:sz="6" w:space="0"/>
              <w:bottom w:val="outset" w:color="000000" w:sz="6" w:space="0"/>
              <w:right w:val="outset" w:color="000000" w:sz="6" w:space="0"/>
            </w:tcBorders>
          </w:tcPr>
          <w:p>
            <w:pPr>
              <w:pStyle w:val="31"/>
              <w:rPr>
                <w:kern w:val="0"/>
              </w:rPr>
            </w:pPr>
            <w:r>
              <w:rPr>
                <w:rFonts w:hint="eastAsia"/>
                <w:kern w:val="0"/>
              </w:rPr>
              <w:t>“汽车产业”功能是按最近热门的汽车相关概念以及其细分行业分类而开发的功能。概念包括新能源汽车、无人驾驶、车联网、汽车尾气处理等；行业细分则是按照整车、零部件和贸易综合服务进行细分，以帮助用户更加方便的筛选出投资标的。</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575" w:type="dxa"/>
            <w:tcBorders>
              <w:top w:val="outset" w:color="000000" w:sz="6" w:space="0"/>
              <w:left w:val="outset" w:color="000000" w:sz="6" w:space="0"/>
              <w:bottom w:val="outset" w:color="000000" w:sz="6" w:space="0"/>
              <w:right w:val="outset" w:color="000000" w:sz="6" w:space="0"/>
            </w:tcBorders>
          </w:tcPr>
          <w:p>
            <w:pPr>
              <w:pStyle w:val="31"/>
              <w:rPr>
                <w:kern w:val="0"/>
              </w:rPr>
            </w:pPr>
            <w:r>
              <w:rPr>
                <w:rFonts w:hint="eastAsia"/>
                <w:kern w:val="0"/>
              </w:rPr>
              <w:t>人工智能</w:t>
            </w:r>
          </w:p>
        </w:tc>
        <w:tc>
          <w:tcPr>
            <w:tcW w:w="12413" w:type="dxa"/>
            <w:tcBorders>
              <w:top w:val="outset" w:color="000000" w:sz="6" w:space="0"/>
              <w:left w:val="outset" w:color="000000" w:sz="6" w:space="0"/>
              <w:bottom w:val="outset" w:color="000000" w:sz="6" w:space="0"/>
              <w:right w:val="outset" w:color="000000" w:sz="6" w:space="0"/>
            </w:tcBorders>
          </w:tcPr>
          <w:p>
            <w:pPr>
              <w:pStyle w:val="31"/>
              <w:rPr>
                <w:kern w:val="0"/>
              </w:rPr>
            </w:pPr>
            <w:r>
              <w:rPr>
                <w:rFonts w:hint="eastAsia"/>
                <w:kern w:val="0"/>
              </w:rPr>
              <w:t>人工智能（AI）是研究、开发用于模拟、延伸和扩展人的智能的理论、方法、技术及应用系统的一门新的技术科学。人工智能是计算机科学的一个分支，它企图了解智能的实质，并生产出一种新的能以人类智能相似的方式做出反应的智能机器，该领域的研究包括机器人、语言识别、图像识别、自然语言处理和专家系统等。</w:t>
            </w:r>
          </w:p>
        </w:tc>
      </w:tr>
    </w:tbl>
    <w:p>
      <w:pPr>
        <w:widowControl/>
        <w:spacing w:before="100" w:beforeAutospacing="1" w:after="100" w:afterAutospacing="1" w:line="240" w:lineRule="auto"/>
        <w:jc w:val="left"/>
        <w:rPr>
          <w:rFonts w:ascii="微软雅黑" w:hAnsi="微软雅黑" w:eastAsia="微软雅黑" w:cs="宋体"/>
          <w:color w:val="000000"/>
          <w:kern w:val="0"/>
          <w:sz w:val="27"/>
          <w:szCs w:val="27"/>
        </w:rPr>
      </w:pPr>
      <w:r>
        <w:rPr>
          <w:rFonts w:ascii="微软雅黑" w:hAnsi="微软雅黑" w:eastAsia="微软雅黑" w:cs="宋体"/>
          <w:color w:val="000000"/>
          <w:kern w:val="0"/>
          <w:sz w:val="27"/>
          <w:szCs w:val="27"/>
        </w:rPr>
        <w:fldChar w:fldCharType="begin"/>
      </w:r>
      <w:r>
        <w:rPr>
          <w:rFonts w:ascii="微软雅黑" w:hAnsi="微软雅黑" w:eastAsia="微软雅黑" w:cs="宋体"/>
          <w:color w:val="000000"/>
          <w:kern w:val="0"/>
          <w:sz w:val="27"/>
          <w:szCs w:val="27"/>
        </w:rPr>
        <w:instrText xml:space="preserve"> INCLUDEPICTURE  "https://www.tdx.com.cn/products/helpfile/tdxw/chm/%E7%AC%AC%E5%85%AD%E7%AB%A0  %E5%9F%BA%E7%A1%80%E7%89%88%E5%8A%9F%E8%83%BD/6-19/2.png" \* MERGEFORMATINET </w:instrText>
      </w:r>
      <w:r>
        <w:rPr>
          <w:rFonts w:ascii="微软雅黑" w:hAnsi="微软雅黑" w:eastAsia="微软雅黑" w:cs="宋体"/>
          <w:color w:val="000000"/>
          <w:kern w:val="0"/>
          <w:sz w:val="27"/>
          <w:szCs w:val="27"/>
        </w:rPr>
        <w:fldChar w:fldCharType="separate"/>
      </w:r>
      <w:r>
        <w:rPr>
          <w:rFonts w:ascii="微软雅黑" w:hAnsi="微软雅黑" w:eastAsia="微软雅黑" w:cs="宋体"/>
          <w:color w:val="000000"/>
          <w:kern w:val="0"/>
          <w:sz w:val="27"/>
          <w:szCs w:val="27"/>
        </w:rPr>
        <w:fldChar w:fldCharType="begin"/>
      </w:r>
      <w:r>
        <w:rPr>
          <w:rFonts w:ascii="微软雅黑" w:hAnsi="微软雅黑" w:eastAsia="微软雅黑" w:cs="宋体"/>
          <w:color w:val="000000"/>
          <w:kern w:val="0"/>
          <w:sz w:val="27"/>
          <w:szCs w:val="27"/>
        </w:rPr>
        <w:instrText xml:space="preserve"> INCLUDEPICTURE  "https://www.tdx.com.cn/products/helpfile/tdxw/chm/%E7%AC%AC%E5%85%AD%E7%AB%A0  %E5%9F%BA%E7%A1%80%E7%89%88%E5%8A%9F%E8%83%BD/6-19/2.png" \* MERGEFORMATINET </w:instrText>
      </w:r>
      <w:r>
        <w:rPr>
          <w:rFonts w:ascii="微软雅黑" w:hAnsi="微软雅黑" w:eastAsia="微软雅黑" w:cs="宋体"/>
          <w:color w:val="000000"/>
          <w:kern w:val="0"/>
          <w:sz w:val="27"/>
          <w:szCs w:val="27"/>
        </w:rPr>
        <w:fldChar w:fldCharType="separate"/>
      </w:r>
      <w:r>
        <w:rPr>
          <w:rFonts w:ascii="微软雅黑" w:hAnsi="微软雅黑" w:eastAsia="微软雅黑" w:cs="宋体"/>
          <w:color w:val="000000"/>
          <w:kern w:val="0"/>
          <w:sz w:val="27"/>
          <w:szCs w:val="27"/>
        </w:rPr>
        <w:fldChar w:fldCharType="begin"/>
      </w:r>
      <w:r>
        <w:rPr>
          <w:rFonts w:ascii="微软雅黑" w:hAnsi="微软雅黑" w:eastAsia="微软雅黑" w:cs="宋体"/>
          <w:color w:val="000000"/>
          <w:kern w:val="0"/>
          <w:sz w:val="27"/>
          <w:szCs w:val="27"/>
        </w:rPr>
        <w:instrText xml:space="preserve"> INCLUDEPICTURE  "https://www.tdx.com.cn/products/helpfile/tdxw/chm/%E7%AC%AC%E5%85%AD%E7%AB%A0  %E5%9F%BA%E7%A1%80%E7%89%88%E5%8A%9F%E8%83%BD/6-19/2.png" \* MERGEFORMATINET </w:instrText>
      </w:r>
      <w:r>
        <w:rPr>
          <w:rFonts w:ascii="微软雅黑" w:hAnsi="微软雅黑" w:eastAsia="微软雅黑" w:cs="宋体"/>
          <w:color w:val="000000"/>
          <w:kern w:val="0"/>
          <w:sz w:val="27"/>
          <w:szCs w:val="27"/>
        </w:rPr>
        <w:fldChar w:fldCharType="separate"/>
      </w:r>
      <w:r>
        <w:rPr>
          <w:rFonts w:ascii="微软雅黑" w:hAnsi="微软雅黑" w:eastAsia="微软雅黑" w:cs="宋体"/>
          <w:color w:val="000000"/>
          <w:kern w:val="0"/>
          <w:sz w:val="27"/>
          <w:szCs w:val="27"/>
        </w:rPr>
        <w:fldChar w:fldCharType="begin"/>
      </w:r>
      <w:r>
        <w:rPr>
          <w:rFonts w:ascii="微软雅黑" w:hAnsi="微软雅黑" w:eastAsia="微软雅黑" w:cs="宋体"/>
          <w:color w:val="000000"/>
          <w:kern w:val="0"/>
          <w:sz w:val="27"/>
          <w:szCs w:val="27"/>
        </w:rPr>
        <w:instrText xml:space="preserve"> INCLUDEPICTURE  "https://www.tdx.com.cn/products/helpfile/tdxw/chm/%E7%AC%AC%E5%85%AD%E7%AB%A0  %E5%9F%BA%E7%A1%80%E7%89%88%E5%8A%9F%E8%83%BD/6-19/2.png" \* MERGEFORMATINET </w:instrText>
      </w:r>
      <w:r>
        <w:rPr>
          <w:rFonts w:ascii="微软雅黑" w:hAnsi="微软雅黑" w:eastAsia="微软雅黑" w:cs="宋体"/>
          <w:color w:val="000000"/>
          <w:kern w:val="0"/>
          <w:sz w:val="27"/>
          <w:szCs w:val="27"/>
        </w:rPr>
        <w:fldChar w:fldCharType="separate"/>
      </w:r>
      <w:r>
        <w:rPr>
          <w:rFonts w:ascii="微软雅黑" w:hAnsi="微软雅黑" w:eastAsia="微软雅黑" w:cs="宋体"/>
          <w:color w:val="000000"/>
          <w:kern w:val="0"/>
          <w:sz w:val="27"/>
          <w:szCs w:val="27"/>
        </w:rPr>
        <w:drawing>
          <wp:inline distT="0" distB="0" distL="114300" distR="114300">
            <wp:extent cx="6800850" cy="4543425"/>
            <wp:effectExtent l="0" t="0" r="0" b="9525"/>
            <wp:docPr id="561" name="图片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图片 561"/>
                    <pic:cNvPicPr>
                      <a:picLocks noChangeAspect="1"/>
                    </pic:cNvPicPr>
                  </pic:nvPicPr>
                  <pic:blipFill>
                    <a:blip r:embed="rId1037" r:link="rId1038"/>
                    <a:stretch>
                      <a:fillRect/>
                    </a:stretch>
                  </pic:blipFill>
                  <pic:spPr>
                    <a:xfrm>
                      <a:off x="0" y="0"/>
                      <a:ext cx="6800850" cy="4543425"/>
                    </a:xfrm>
                    <a:prstGeom prst="rect">
                      <a:avLst/>
                    </a:prstGeom>
                    <a:noFill/>
                    <a:ln>
                      <a:noFill/>
                    </a:ln>
                  </pic:spPr>
                </pic:pic>
              </a:graphicData>
            </a:graphic>
          </wp:inline>
        </w:drawing>
      </w:r>
      <w:r>
        <w:rPr>
          <w:rFonts w:ascii="微软雅黑" w:hAnsi="微软雅黑" w:eastAsia="微软雅黑" w:cs="宋体"/>
          <w:color w:val="000000"/>
          <w:kern w:val="0"/>
          <w:sz w:val="27"/>
          <w:szCs w:val="27"/>
        </w:rPr>
        <w:fldChar w:fldCharType="end"/>
      </w:r>
      <w:r>
        <w:rPr>
          <w:rFonts w:ascii="微软雅黑" w:hAnsi="微软雅黑" w:eastAsia="微软雅黑" w:cs="宋体"/>
          <w:color w:val="000000"/>
          <w:kern w:val="0"/>
          <w:sz w:val="27"/>
          <w:szCs w:val="27"/>
        </w:rPr>
        <w:fldChar w:fldCharType="end"/>
      </w:r>
      <w:r>
        <w:rPr>
          <w:rFonts w:ascii="微软雅黑" w:hAnsi="微软雅黑" w:eastAsia="微软雅黑" w:cs="宋体"/>
          <w:color w:val="000000"/>
          <w:kern w:val="0"/>
          <w:sz w:val="27"/>
          <w:szCs w:val="27"/>
        </w:rPr>
        <w:fldChar w:fldCharType="end"/>
      </w:r>
      <w:r>
        <w:rPr>
          <w:rFonts w:ascii="微软雅黑" w:hAnsi="微软雅黑" w:eastAsia="微软雅黑" w:cs="宋体"/>
          <w:color w:val="000000"/>
          <w:kern w:val="0"/>
          <w:sz w:val="27"/>
          <w:szCs w:val="27"/>
        </w:rPr>
        <w:fldChar w:fldCharType="end"/>
      </w:r>
    </w:p>
    <w:p>
      <w:pPr>
        <w:pStyle w:val="3"/>
      </w:pPr>
      <w:bookmarkStart w:id="86" w:name="_Toc90646211"/>
      <w:r>
        <w:rPr>
          <w:rFonts w:hint="eastAsia"/>
        </w:rPr>
        <w:t>滚动资讯栏</w:t>
      </w:r>
      <w:bookmarkEnd w:id="86"/>
    </w:p>
    <w:p>
      <w:pPr>
        <w:pStyle w:val="34"/>
      </w:pPr>
      <w:r>
        <w:rPr>
          <w:rFonts w:hint="eastAsia"/>
        </w:rPr>
        <w:t>滚动资讯是滚动发布最新的资讯信息，在软件中以窄幅滚屏展示一天中的动态资讯标题。</w:t>
      </w:r>
    </w:p>
    <w:p>
      <w:pPr>
        <w:pStyle w:val="34"/>
      </w:pPr>
      <w:r>
        <w:fldChar w:fldCharType="begin"/>
      </w:r>
      <w:r>
        <w:instrText xml:space="preserve"> INCLUDEPICTURE  "https://www.tdx.com.cn/products/helpfile/tdxw/chm/%E7%AC%AC%E5%85%AD%E7%AB%A0  %E5%9F%BA%E7%A1%80%E7%89%88%E5%8A%9F%E8%83%BD/6-21/5.png" \* MERGEFORMATINET </w:instrText>
      </w:r>
      <w:r>
        <w:fldChar w:fldCharType="separate"/>
      </w:r>
      <w:r>
        <w:fldChar w:fldCharType="begin"/>
      </w:r>
      <w:r>
        <w:instrText xml:space="preserve"> INCLUDEPICTURE  "https://www.tdx.com.cn/products/helpfile/tdxw/chm/%E7%AC%AC%E5%85%AD%E7%AB%A0  %E5%9F%BA%E7%A1%80%E7%89%88%E5%8A%9F%E8%83%BD/6-21/5.png" \* MERGEFORMATINET </w:instrText>
      </w:r>
      <w:r>
        <w:fldChar w:fldCharType="separate"/>
      </w:r>
      <w:r>
        <w:fldChar w:fldCharType="begin"/>
      </w:r>
      <w:r>
        <w:instrText xml:space="preserve"> INCLUDEPICTURE  "https://www.tdx.com.cn/products/helpfile/tdxw/chm/%E7%AC%AC%E5%85%AD%E7%AB%A0  %E5%9F%BA%E7%A1%80%E7%89%88%E5%8A%9F%E8%83%BD/6-21/5.png" \* MERGEFORMATINET </w:instrText>
      </w:r>
      <w:r>
        <w:fldChar w:fldCharType="separate"/>
      </w:r>
      <w:r>
        <w:fldChar w:fldCharType="begin"/>
      </w:r>
      <w:r>
        <w:instrText xml:space="preserve"> INCLUDEPICTURE  "https://www.tdx.com.cn/products/helpfile/tdxw/chm/%E7%AC%AC%E5%85%AD%E7%AB%A0  %E5%9F%BA%E7%A1%80%E7%89%88%E5%8A%9F%E8%83%BD/6-21/5.png" \* MERGEFORMATINET </w:instrText>
      </w:r>
      <w:r>
        <w:fldChar w:fldCharType="separate"/>
      </w:r>
      <w:r>
        <w:drawing>
          <wp:inline distT="0" distB="0" distL="114300" distR="114300">
            <wp:extent cx="10448925" cy="219075"/>
            <wp:effectExtent l="0" t="0" r="9525" b="9525"/>
            <wp:docPr id="562" name="图片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图片 562"/>
                    <pic:cNvPicPr>
                      <a:picLocks noChangeAspect="1"/>
                    </pic:cNvPicPr>
                  </pic:nvPicPr>
                  <pic:blipFill>
                    <a:blip r:embed="rId1039" r:link="rId1040"/>
                    <a:stretch>
                      <a:fillRect/>
                    </a:stretch>
                  </pic:blipFill>
                  <pic:spPr>
                    <a:xfrm>
                      <a:off x="0" y="0"/>
                      <a:ext cx="10448925" cy="219075"/>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操作要点</w:t>
      </w:r>
    </w:p>
    <w:p>
      <w:pPr>
        <w:pStyle w:val="34"/>
      </w:pPr>
      <w:r>
        <w:rPr>
          <w:rFonts w:hint="eastAsia"/>
        </w:rPr>
        <w:t>状态栏点击左边图标</w:t>
      </w:r>
      <w:r>
        <w:fldChar w:fldCharType="begin"/>
      </w:r>
      <w:r>
        <w:instrText xml:space="preserve"> INCLUDEPICTURE  "https://www.tdx.com.cn/products/helpfile/tdxw/chm/%E7%AC%AC%E5%85%AD%E7%AB%A0  %E5%9F%BA%E7%A1%80%E7%89%88%E5%8A%9F%E8%83%BD/6-21/4.png" \* MERGEFORMATINET </w:instrText>
      </w:r>
      <w:r>
        <w:fldChar w:fldCharType="separate"/>
      </w:r>
      <w:r>
        <w:fldChar w:fldCharType="begin"/>
      </w:r>
      <w:r>
        <w:instrText xml:space="preserve"> INCLUDEPICTURE  "https://www.tdx.com.cn/products/helpfile/tdxw/chm/%E7%AC%AC%E5%85%AD%E7%AB%A0  %E5%9F%BA%E7%A1%80%E7%89%88%E5%8A%9F%E8%83%BD/6-21/4.png" \* MERGEFORMATINET </w:instrText>
      </w:r>
      <w:r>
        <w:fldChar w:fldCharType="separate"/>
      </w:r>
      <w:r>
        <w:fldChar w:fldCharType="begin"/>
      </w:r>
      <w:r>
        <w:instrText xml:space="preserve"> INCLUDEPICTURE  "https://www.tdx.com.cn/products/helpfile/tdxw/chm/%E7%AC%AC%E5%85%AD%E7%AB%A0  %E5%9F%BA%E7%A1%80%E7%89%88%E5%8A%9F%E8%83%BD/6-21/4.png" \* MERGEFORMATINET </w:instrText>
      </w:r>
      <w:r>
        <w:fldChar w:fldCharType="separate"/>
      </w:r>
      <w:r>
        <w:fldChar w:fldCharType="begin"/>
      </w:r>
      <w:r>
        <w:instrText xml:space="preserve"> INCLUDEPICTURE  "https://www.tdx.com.cn/products/helpfile/tdxw/chm/%E7%AC%AC%E5%85%AD%E7%AB%A0  %E5%9F%BA%E7%A1%80%E7%89%88%E5%8A%9F%E8%83%BD/6-21/4.png" \* MERGEFORMATINET </w:instrText>
      </w:r>
      <w:r>
        <w:fldChar w:fldCharType="separate"/>
      </w:r>
      <w:r>
        <w:drawing>
          <wp:inline distT="0" distB="0" distL="114300" distR="114300">
            <wp:extent cx="1209675" cy="628650"/>
            <wp:effectExtent l="0" t="0" r="9525" b="0"/>
            <wp:docPr id="563" name="图片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图片 563"/>
                    <pic:cNvPicPr>
                      <a:picLocks noChangeAspect="1"/>
                    </pic:cNvPicPr>
                  </pic:nvPicPr>
                  <pic:blipFill>
                    <a:blip r:embed="rId1041" r:link="rId1042"/>
                    <a:stretch>
                      <a:fillRect/>
                    </a:stretch>
                  </pic:blipFill>
                  <pic:spPr>
                    <a:xfrm>
                      <a:off x="0" y="0"/>
                      <a:ext cx="1209675" cy="628650"/>
                    </a:xfrm>
                    <a:prstGeom prst="rect">
                      <a:avLst/>
                    </a:prstGeom>
                    <a:noFill/>
                    <a:ln>
                      <a:noFill/>
                    </a:ln>
                  </pic:spPr>
                </pic:pic>
              </a:graphicData>
            </a:graphic>
          </wp:inline>
        </w:drawing>
      </w:r>
      <w:r>
        <w:fldChar w:fldCharType="end"/>
      </w:r>
      <w:r>
        <w:fldChar w:fldCharType="end"/>
      </w:r>
      <w:r>
        <w:fldChar w:fldCharType="end"/>
      </w:r>
      <w:r>
        <w:fldChar w:fldCharType="end"/>
      </w:r>
      <w:r>
        <w:rPr>
          <w:rFonts w:hint="eastAsia"/>
        </w:rPr>
        <w:t>可以显隐滚动资讯栏</w:t>
      </w:r>
    </w:p>
    <w:p>
      <w:pPr>
        <w:pStyle w:val="34"/>
      </w:pPr>
      <w:r>
        <w:rPr>
          <w:rFonts w:hint="eastAsia"/>
        </w:rPr>
        <w:t>如果投资者对某条资讯感受兴趣，可用鼠标点击此资讯的标题，将会自动弹出对话框显示此资讯的详细信息；可点击左下脚的资讯设置按钮 </w:t>
      </w:r>
      <w:r>
        <w:fldChar w:fldCharType="begin"/>
      </w:r>
      <w:r>
        <w:instrText xml:space="preserve"> INCLUDEPICTURE  "https://www.tdx.com.cn/products/helpfile/tdxw/chm/%E7%AC%AC%E5%85%AD%E7%AB%A0  %E5%9F%BA%E7%A1%80%E7%89%88%E5%8A%9F%E8%83%BD/6-21/2.png" \* MERGEFORMATINET </w:instrText>
      </w:r>
      <w:r>
        <w:fldChar w:fldCharType="separate"/>
      </w:r>
      <w:r>
        <w:fldChar w:fldCharType="begin"/>
      </w:r>
      <w:r>
        <w:instrText xml:space="preserve"> INCLUDEPICTURE  "https://www.tdx.com.cn/products/helpfile/tdxw/chm/%E7%AC%AC%E5%85%AD%E7%AB%A0  %E5%9F%BA%E7%A1%80%E7%89%88%E5%8A%9F%E8%83%BD/6-21/2.png" \* MERGEFORMATINET </w:instrText>
      </w:r>
      <w:r>
        <w:fldChar w:fldCharType="separate"/>
      </w:r>
      <w:r>
        <w:fldChar w:fldCharType="begin"/>
      </w:r>
      <w:r>
        <w:instrText xml:space="preserve"> INCLUDEPICTURE  "https://www.tdx.com.cn/products/helpfile/tdxw/chm/%E7%AC%AC%E5%85%AD%E7%AB%A0  %E5%9F%BA%E7%A1%80%E7%89%88%E5%8A%9F%E8%83%BD/6-21/2.png" \* MERGEFORMATINET </w:instrText>
      </w:r>
      <w:r>
        <w:fldChar w:fldCharType="separate"/>
      </w:r>
      <w:r>
        <w:fldChar w:fldCharType="begin"/>
      </w:r>
      <w:r>
        <w:instrText xml:space="preserve"> INCLUDEPICTURE  "https://www.tdx.com.cn/products/helpfile/tdxw/chm/%E7%AC%AC%E5%85%AD%E7%AB%A0  %E5%9F%BA%E7%A1%80%E7%89%88%E5%8A%9F%E8%83%BD/6-21/2.png" \* MERGEFORMATINET </w:instrText>
      </w:r>
      <w:r>
        <w:fldChar w:fldCharType="separate"/>
      </w:r>
      <w:r>
        <w:drawing>
          <wp:inline distT="0" distB="0" distL="114300" distR="114300">
            <wp:extent cx="228600" cy="400050"/>
            <wp:effectExtent l="0" t="0" r="0" b="0"/>
            <wp:docPr id="564" name="图片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图片 564"/>
                    <pic:cNvPicPr>
                      <a:picLocks noChangeAspect="1"/>
                    </pic:cNvPicPr>
                  </pic:nvPicPr>
                  <pic:blipFill>
                    <a:blip r:embed="rId1043" r:link="rId1044"/>
                    <a:stretch>
                      <a:fillRect/>
                    </a:stretch>
                  </pic:blipFill>
                  <pic:spPr>
                    <a:xfrm>
                      <a:off x="0" y="0"/>
                      <a:ext cx="228600" cy="400050"/>
                    </a:xfrm>
                    <a:prstGeom prst="rect">
                      <a:avLst/>
                    </a:prstGeom>
                    <a:noFill/>
                    <a:ln>
                      <a:noFill/>
                    </a:ln>
                  </pic:spPr>
                </pic:pic>
              </a:graphicData>
            </a:graphic>
          </wp:inline>
        </w:drawing>
      </w:r>
      <w:r>
        <w:fldChar w:fldCharType="end"/>
      </w:r>
      <w:r>
        <w:fldChar w:fldCharType="end"/>
      </w:r>
      <w:r>
        <w:fldChar w:fldCharType="end"/>
      </w:r>
      <w:r>
        <w:fldChar w:fldCharType="end"/>
      </w:r>
      <w:r>
        <w:rPr>
          <w:rFonts w:hint="eastAsia"/>
        </w:rPr>
        <w:t>——滚动资讯设置，将弹出设置对话框：</w:t>
      </w:r>
    </w:p>
    <w:p>
      <w:pPr>
        <w:pStyle w:val="34"/>
      </w:pPr>
      <w:r>
        <w:fldChar w:fldCharType="begin"/>
      </w:r>
      <w:r>
        <w:instrText xml:space="preserve"> INCLUDEPICTURE  "https://www.tdx.com.cn/products/helpfile/tdxw/chm/%E7%AC%AC%E5%85%AD%E7%AB%A0  %E5%9F%BA%E7%A1%80%E7%89%88%E5%8A%9F%E8%83%BD/6-21/3.png" \* MERGEFORMATINET </w:instrText>
      </w:r>
      <w:r>
        <w:fldChar w:fldCharType="separate"/>
      </w:r>
      <w:r>
        <w:fldChar w:fldCharType="begin"/>
      </w:r>
      <w:r>
        <w:instrText xml:space="preserve"> INCLUDEPICTURE  "https://www.tdx.com.cn/products/helpfile/tdxw/chm/%E7%AC%AC%E5%85%AD%E7%AB%A0  %E5%9F%BA%E7%A1%80%E7%89%88%E5%8A%9F%E8%83%BD/6-21/3.png" \* MERGEFORMATINET </w:instrText>
      </w:r>
      <w:r>
        <w:fldChar w:fldCharType="separate"/>
      </w:r>
      <w:r>
        <w:fldChar w:fldCharType="begin"/>
      </w:r>
      <w:r>
        <w:instrText xml:space="preserve"> INCLUDEPICTURE  "https://www.tdx.com.cn/products/helpfile/tdxw/chm/%E7%AC%AC%E5%85%AD%E7%AB%A0  %E5%9F%BA%E7%A1%80%E7%89%88%E5%8A%9F%E8%83%BD/6-21/3.png" \* MERGEFORMATINET </w:instrText>
      </w:r>
      <w:r>
        <w:fldChar w:fldCharType="separate"/>
      </w:r>
      <w:r>
        <w:fldChar w:fldCharType="begin"/>
      </w:r>
      <w:r>
        <w:instrText xml:space="preserve"> INCLUDEPICTURE  "https://www.tdx.com.cn/products/helpfile/tdxw/chm/%E7%AC%AC%E5%85%AD%E7%AB%A0  %E5%9F%BA%E7%A1%80%E7%89%88%E5%8A%9F%E8%83%BD/6-21/3.png" \* MERGEFORMATINET </w:instrText>
      </w:r>
      <w:r>
        <w:fldChar w:fldCharType="separate"/>
      </w:r>
      <w:r>
        <w:drawing>
          <wp:inline distT="0" distB="0" distL="114300" distR="114300">
            <wp:extent cx="3981450" cy="2867025"/>
            <wp:effectExtent l="0" t="0" r="0" b="9525"/>
            <wp:docPr id="565" name="图片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图片 565"/>
                    <pic:cNvPicPr>
                      <a:picLocks noChangeAspect="1"/>
                    </pic:cNvPicPr>
                  </pic:nvPicPr>
                  <pic:blipFill>
                    <a:blip r:embed="rId1045" r:link="rId1046"/>
                    <a:stretch>
                      <a:fillRect/>
                    </a:stretch>
                  </pic:blipFill>
                  <pic:spPr>
                    <a:xfrm>
                      <a:off x="0" y="0"/>
                      <a:ext cx="3981450" cy="2867025"/>
                    </a:xfrm>
                    <a:prstGeom prst="rect">
                      <a:avLst/>
                    </a:prstGeom>
                    <a:noFill/>
                    <a:ln>
                      <a:noFill/>
                    </a:ln>
                  </pic:spPr>
                </pic:pic>
              </a:graphicData>
            </a:graphic>
          </wp:inline>
        </w:drawing>
      </w:r>
      <w:r>
        <w:fldChar w:fldCharType="end"/>
      </w:r>
      <w:r>
        <w:fldChar w:fldCharType="end"/>
      </w:r>
      <w:r>
        <w:fldChar w:fldCharType="end"/>
      </w:r>
      <w:r>
        <w:fldChar w:fldCharType="end"/>
      </w:r>
    </w:p>
    <w:p>
      <w:pPr>
        <w:pStyle w:val="3"/>
      </w:pPr>
      <w:r>
        <w:rPr>
          <w:rFonts w:hint="eastAsia"/>
        </w:rPr>
        <w:t>大数据</w:t>
      </w:r>
    </w:p>
    <w:p>
      <w:pPr>
        <w:pStyle w:val="34"/>
      </w:pPr>
      <w:r>
        <w:rPr>
          <w:rFonts w:hint="eastAsia"/>
        </w:rPr>
        <w:t>效应列表：</w:t>
      </w:r>
    </w:p>
    <w:p>
      <w:pPr>
        <w:pStyle w:val="34"/>
      </w:pPr>
      <w:r>
        <w:rPr>
          <w:rFonts w:hint="eastAsia"/>
          <w:szCs w:val="18"/>
        </w:rPr>
        <w:t>列表展示一些重要事件、央行政策、特定日期对A股走势的影响，可以看到每一种效应出现的次数，最新作用A股的时间，以及每一个效应前、中、后，指数，板块，个股的平均涨幅和上涨概率。</w:t>
      </w:r>
    </w:p>
    <w:p>
      <w:pPr>
        <w:pStyle w:val="34"/>
        <w:rPr>
          <w:szCs w:val="18"/>
        </w:rPr>
      </w:pPr>
      <w:r>
        <w:rPr>
          <w:szCs w:val="18"/>
        </w:rPr>
        <w:fldChar w:fldCharType="begin"/>
      </w:r>
      <w:r>
        <w:rPr>
          <w:szCs w:val="18"/>
        </w:rPr>
        <w:instrText xml:space="preserve"> INCLUDEPICTURE  "https://www.tdx.com.cn/products/helpfile/tdxw/chm/%E7%AC%AC%E5%85%AD%E7%AB%A0  %E5%9F%BA%E7%A1%80%E7%89%88%E5%8A%9F%E8%83%BD/6-22/1.png" \* MERGEFORMATINET </w:instrText>
      </w:r>
      <w:r>
        <w:rPr>
          <w:szCs w:val="18"/>
        </w:rPr>
        <w:fldChar w:fldCharType="separate"/>
      </w:r>
      <w:r>
        <w:rPr>
          <w:szCs w:val="18"/>
        </w:rPr>
        <w:fldChar w:fldCharType="begin"/>
      </w:r>
      <w:r>
        <w:rPr>
          <w:szCs w:val="18"/>
        </w:rPr>
        <w:instrText xml:space="preserve"> INCLUDEPICTURE  "https://www.tdx.com.cn/products/helpfile/tdxw/chm/%E7%AC%AC%E5%85%AD%E7%AB%A0  %E5%9F%BA%E7%A1%80%E7%89%88%E5%8A%9F%E8%83%BD/6-22/1.png" \* MERGEFORMATINET </w:instrText>
      </w:r>
      <w:r>
        <w:rPr>
          <w:szCs w:val="18"/>
        </w:rPr>
        <w:fldChar w:fldCharType="separate"/>
      </w:r>
      <w:r>
        <w:rPr>
          <w:szCs w:val="18"/>
        </w:rPr>
        <w:fldChar w:fldCharType="begin"/>
      </w:r>
      <w:r>
        <w:rPr>
          <w:szCs w:val="18"/>
        </w:rPr>
        <w:instrText xml:space="preserve"> INCLUDEPICTURE  "https://www.tdx.com.cn/products/helpfile/tdxw/chm/%E7%AC%AC%E5%85%AD%E7%AB%A0  %E5%9F%BA%E7%A1%80%E7%89%88%E5%8A%9F%E8%83%BD/6-22/1.png" \* MERGEFORMATINET </w:instrText>
      </w:r>
      <w:r>
        <w:rPr>
          <w:szCs w:val="18"/>
        </w:rPr>
        <w:fldChar w:fldCharType="separate"/>
      </w:r>
      <w:r>
        <w:rPr>
          <w:szCs w:val="18"/>
        </w:rPr>
        <w:fldChar w:fldCharType="begin"/>
      </w:r>
      <w:r>
        <w:rPr>
          <w:szCs w:val="18"/>
        </w:rPr>
        <w:instrText xml:space="preserve"> INCLUDEPICTURE  "https://www.tdx.com.cn/products/helpfile/tdxw/chm/%E7%AC%AC%E5%85%AD%E7%AB%A0  %E5%9F%BA%E7%A1%80%E7%89%88%E5%8A%9F%E8%83%BD/6-22/1.png" \* MERGEFORMATINET </w:instrText>
      </w:r>
      <w:r>
        <w:rPr>
          <w:szCs w:val="18"/>
        </w:rPr>
        <w:fldChar w:fldCharType="separate"/>
      </w:r>
      <w:r>
        <w:rPr>
          <w:szCs w:val="18"/>
        </w:rPr>
        <w:drawing>
          <wp:inline distT="0" distB="0" distL="114300" distR="114300">
            <wp:extent cx="7143750" cy="5305425"/>
            <wp:effectExtent l="0" t="0" r="0" b="9525"/>
            <wp:docPr id="566" name="图片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图片 566"/>
                    <pic:cNvPicPr>
                      <a:picLocks noChangeAspect="1"/>
                    </pic:cNvPicPr>
                  </pic:nvPicPr>
                  <pic:blipFill>
                    <a:blip r:embed="rId1047" r:link="rId1048"/>
                    <a:stretch>
                      <a:fillRect/>
                    </a:stretch>
                  </pic:blipFill>
                  <pic:spPr>
                    <a:xfrm>
                      <a:off x="0" y="0"/>
                      <a:ext cx="7143750" cy="5305425"/>
                    </a:xfrm>
                    <a:prstGeom prst="rect">
                      <a:avLst/>
                    </a:prstGeom>
                    <a:noFill/>
                    <a:ln>
                      <a:noFill/>
                    </a:ln>
                  </pic:spPr>
                </pic:pic>
              </a:graphicData>
            </a:graphic>
          </wp:inline>
        </w:drawing>
      </w:r>
      <w:r>
        <w:rPr>
          <w:szCs w:val="18"/>
        </w:rPr>
        <w:fldChar w:fldCharType="end"/>
      </w:r>
      <w:r>
        <w:rPr>
          <w:szCs w:val="18"/>
        </w:rPr>
        <w:fldChar w:fldCharType="end"/>
      </w:r>
      <w:r>
        <w:rPr>
          <w:szCs w:val="18"/>
        </w:rPr>
        <w:fldChar w:fldCharType="end"/>
      </w:r>
      <w:r>
        <w:rPr>
          <w:szCs w:val="18"/>
        </w:rPr>
        <w:fldChar w:fldCharType="end"/>
      </w:r>
    </w:p>
    <w:p>
      <w:pPr>
        <w:pStyle w:val="34"/>
        <w:rPr>
          <w:szCs w:val="18"/>
        </w:rPr>
      </w:pPr>
      <w:r>
        <w:rPr>
          <w:rFonts w:hint="eastAsia"/>
        </w:rPr>
        <w:t>个股排行：</w:t>
      </w:r>
    </w:p>
    <w:p>
      <w:pPr>
        <w:pStyle w:val="34"/>
      </w:pPr>
      <w:r>
        <w:rPr>
          <w:rFonts w:hint="eastAsia"/>
          <w:szCs w:val="18"/>
        </w:rPr>
        <w:t>与效应列表、板块排行联动，代表在此效应下，所有个股或者板块的成分股的平均涨幅、上涨概率（剔除了上市不满30日的新股且样本不满三次的股票）</w:t>
      </w:r>
    </w:p>
    <w:p>
      <w:pPr>
        <w:pStyle w:val="34"/>
        <w:rPr>
          <w:szCs w:val="18"/>
        </w:rPr>
      </w:pPr>
      <w:r>
        <w:rPr>
          <w:szCs w:val="27"/>
        </w:rPr>
        <w:fldChar w:fldCharType="begin"/>
      </w:r>
      <w:r>
        <w:rPr>
          <w:szCs w:val="27"/>
        </w:rPr>
        <w:instrText xml:space="preserve"> INCLUDEPICTURE  "https://www.tdx.com.cn/products/helpfile/tdxw/chm/%E7%AC%AC%E5%85%AD%E7%AB%A0  %E5%9F%BA%E7%A1%80%E7%89%88%E5%8A%9F%E8%83%BD/6-22/2.png" \* MERGEFORMATINET </w:instrText>
      </w:r>
      <w:r>
        <w:rPr>
          <w:szCs w:val="27"/>
        </w:rPr>
        <w:fldChar w:fldCharType="separate"/>
      </w:r>
      <w:r>
        <w:rPr>
          <w:szCs w:val="27"/>
        </w:rPr>
        <w:fldChar w:fldCharType="begin"/>
      </w:r>
      <w:r>
        <w:rPr>
          <w:szCs w:val="27"/>
        </w:rPr>
        <w:instrText xml:space="preserve"> INCLUDEPICTURE  "https://www.tdx.com.cn/products/helpfile/tdxw/chm/%E7%AC%AC%E5%85%AD%E7%AB%A0  %E5%9F%BA%E7%A1%80%E7%89%88%E5%8A%9F%E8%83%BD/6-22/2.png" \* MERGEFORMATINET </w:instrText>
      </w:r>
      <w:r>
        <w:rPr>
          <w:szCs w:val="27"/>
        </w:rPr>
        <w:fldChar w:fldCharType="separate"/>
      </w:r>
      <w:r>
        <w:rPr>
          <w:szCs w:val="27"/>
        </w:rPr>
        <w:fldChar w:fldCharType="begin"/>
      </w:r>
      <w:r>
        <w:rPr>
          <w:szCs w:val="27"/>
        </w:rPr>
        <w:instrText xml:space="preserve"> INCLUDEPICTURE  "https://www.tdx.com.cn/products/helpfile/tdxw/chm/%E7%AC%AC%E5%85%AD%E7%AB%A0  %E5%9F%BA%E7%A1%80%E7%89%88%E5%8A%9F%E8%83%BD/6-22/2.png" \* MERGEFORMATINET </w:instrText>
      </w:r>
      <w:r>
        <w:rPr>
          <w:szCs w:val="27"/>
        </w:rPr>
        <w:fldChar w:fldCharType="separate"/>
      </w:r>
      <w:r>
        <w:rPr>
          <w:szCs w:val="27"/>
        </w:rPr>
        <w:fldChar w:fldCharType="begin"/>
      </w:r>
      <w:r>
        <w:rPr>
          <w:szCs w:val="27"/>
        </w:rPr>
        <w:instrText xml:space="preserve"> INCLUDEPICTURE  "https://www.tdx.com.cn/products/helpfile/tdxw/chm/%E7%AC%AC%E5%85%AD%E7%AB%A0  %E5%9F%BA%E7%A1%80%E7%89%88%E5%8A%9F%E8%83%BD/6-22/2.png" \* MERGEFORMATINET </w:instrText>
      </w:r>
      <w:r>
        <w:rPr>
          <w:szCs w:val="27"/>
        </w:rPr>
        <w:fldChar w:fldCharType="separate"/>
      </w:r>
      <w:r>
        <w:rPr>
          <w:szCs w:val="27"/>
        </w:rPr>
        <w:drawing>
          <wp:inline distT="0" distB="0" distL="114300" distR="114300">
            <wp:extent cx="7019925" cy="5257800"/>
            <wp:effectExtent l="0" t="0" r="9525" b="0"/>
            <wp:docPr id="567" name="图片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图片 567"/>
                    <pic:cNvPicPr>
                      <a:picLocks noChangeAspect="1"/>
                    </pic:cNvPicPr>
                  </pic:nvPicPr>
                  <pic:blipFill>
                    <a:blip r:embed="rId1049" r:link="rId1050"/>
                    <a:stretch>
                      <a:fillRect/>
                    </a:stretch>
                  </pic:blipFill>
                  <pic:spPr>
                    <a:xfrm>
                      <a:off x="0" y="0"/>
                      <a:ext cx="7019925" cy="5257800"/>
                    </a:xfrm>
                    <a:prstGeom prst="rect">
                      <a:avLst/>
                    </a:prstGeom>
                    <a:noFill/>
                    <a:ln>
                      <a:noFill/>
                    </a:ln>
                  </pic:spPr>
                </pic:pic>
              </a:graphicData>
            </a:graphic>
          </wp:inline>
        </w:drawing>
      </w:r>
      <w:r>
        <w:rPr>
          <w:szCs w:val="27"/>
        </w:rPr>
        <w:fldChar w:fldCharType="end"/>
      </w:r>
      <w:r>
        <w:rPr>
          <w:szCs w:val="27"/>
        </w:rPr>
        <w:fldChar w:fldCharType="end"/>
      </w:r>
      <w:r>
        <w:rPr>
          <w:szCs w:val="27"/>
        </w:rPr>
        <w:fldChar w:fldCharType="end"/>
      </w:r>
      <w:r>
        <w:rPr>
          <w:szCs w:val="27"/>
        </w:rPr>
        <w:fldChar w:fldCharType="end"/>
      </w:r>
    </w:p>
    <w:p>
      <w:pPr>
        <w:pStyle w:val="34"/>
        <w:rPr>
          <w:szCs w:val="27"/>
        </w:rPr>
      </w:pPr>
      <w:r>
        <w:rPr>
          <w:rFonts w:hint="eastAsia"/>
        </w:rPr>
        <w:t>板块排行：</w:t>
      </w:r>
    </w:p>
    <w:p>
      <w:pPr>
        <w:pStyle w:val="34"/>
      </w:pPr>
      <w:r>
        <w:rPr>
          <w:rFonts w:hint="eastAsia"/>
          <w:szCs w:val="18"/>
        </w:rPr>
        <w:t>与效应列表联动，代表在此效应下，板块的平均涨幅、上涨概率（剔除了样本不满三次的板块）</w:t>
      </w:r>
    </w:p>
    <w:p>
      <w:pPr>
        <w:pStyle w:val="34"/>
        <w:rPr>
          <w:szCs w:val="18"/>
        </w:rPr>
      </w:pPr>
      <w:r>
        <w:rPr>
          <w:szCs w:val="18"/>
        </w:rPr>
        <w:fldChar w:fldCharType="begin"/>
      </w:r>
      <w:r>
        <w:rPr>
          <w:szCs w:val="18"/>
        </w:rPr>
        <w:instrText xml:space="preserve"> INCLUDEPICTURE  "https://www.tdx.com.cn/products/helpfile/tdxw/chm/%E7%AC%AC%E5%85%AD%E7%AB%A0  %E5%9F%BA%E7%A1%80%E7%89%88%E5%8A%9F%E8%83%BD/6-22/3.png" \* MERGEFORMATINET </w:instrText>
      </w:r>
      <w:r>
        <w:rPr>
          <w:szCs w:val="18"/>
        </w:rPr>
        <w:fldChar w:fldCharType="separate"/>
      </w:r>
      <w:r>
        <w:rPr>
          <w:szCs w:val="18"/>
        </w:rPr>
        <w:fldChar w:fldCharType="begin"/>
      </w:r>
      <w:r>
        <w:rPr>
          <w:szCs w:val="18"/>
        </w:rPr>
        <w:instrText xml:space="preserve"> INCLUDEPICTURE  "https://www.tdx.com.cn/products/helpfile/tdxw/chm/%E7%AC%AC%E5%85%AD%E7%AB%A0  %E5%9F%BA%E7%A1%80%E7%89%88%E5%8A%9F%E8%83%BD/6-22/3.png" \* MERGEFORMATINET </w:instrText>
      </w:r>
      <w:r>
        <w:rPr>
          <w:szCs w:val="18"/>
        </w:rPr>
        <w:fldChar w:fldCharType="separate"/>
      </w:r>
      <w:r>
        <w:rPr>
          <w:szCs w:val="18"/>
        </w:rPr>
        <w:fldChar w:fldCharType="begin"/>
      </w:r>
      <w:r>
        <w:rPr>
          <w:szCs w:val="18"/>
        </w:rPr>
        <w:instrText xml:space="preserve"> INCLUDEPICTURE  "https://www.tdx.com.cn/products/helpfile/tdxw/chm/%E7%AC%AC%E5%85%AD%E7%AB%A0  %E5%9F%BA%E7%A1%80%E7%89%88%E5%8A%9F%E8%83%BD/6-22/3.png" \* MERGEFORMATINET </w:instrText>
      </w:r>
      <w:r>
        <w:rPr>
          <w:szCs w:val="18"/>
        </w:rPr>
        <w:fldChar w:fldCharType="separate"/>
      </w:r>
      <w:r>
        <w:rPr>
          <w:szCs w:val="18"/>
        </w:rPr>
        <w:fldChar w:fldCharType="begin"/>
      </w:r>
      <w:r>
        <w:rPr>
          <w:szCs w:val="18"/>
        </w:rPr>
        <w:instrText xml:space="preserve"> INCLUDEPICTURE  "https://www.tdx.com.cn/products/helpfile/tdxw/chm/%E7%AC%AC%E5%85%AD%E7%AB%A0  %E5%9F%BA%E7%A1%80%E7%89%88%E5%8A%9F%E8%83%BD/6-22/3.png" \* MERGEFORMATINET </w:instrText>
      </w:r>
      <w:r>
        <w:rPr>
          <w:szCs w:val="18"/>
        </w:rPr>
        <w:fldChar w:fldCharType="separate"/>
      </w:r>
      <w:r>
        <w:rPr>
          <w:szCs w:val="18"/>
        </w:rPr>
        <w:drawing>
          <wp:inline distT="0" distB="0" distL="114300" distR="114300">
            <wp:extent cx="7181850" cy="3619500"/>
            <wp:effectExtent l="0" t="0" r="0" b="0"/>
            <wp:docPr id="568" name="图片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图片 568"/>
                    <pic:cNvPicPr>
                      <a:picLocks noChangeAspect="1"/>
                    </pic:cNvPicPr>
                  </pic:nvPicPr>
                  <pic:blipFill>
                    <a:blip r:embed="rId1051" r:link="rId1052"/>
                    <a:stretch>
                      <a:fillRect/>
                    </a:stretch>
                  </pic:blipFill>
                  <pic:spPr>
                    <a:xfrm>
                      <a:off x="0" y="0"/>
                      <a:ext cx="7181850" cy="3619500"/>
                    </a:xfrm>
                    <a:prstGeom prst="rect">
                      <a:avLst/>
                    </a:prstGeom>
                    <a:noFill/>
                    <a:ln>
                      <a:noFill/>
                    </a:ln>
                  </pic:spPr>
                </pic:pic>
              </a:graphicData>
            </a:graphic>
          </wp:inline>
        </w:drawing>
      </w:r>
      <w:r>
        <w:rPr>
          <w:szCs w:val="18"/>
        </w:rPr>
        <w:fldChar w:fldCharType="end"/>
      </w:r>
      <w:r>
        <w:rPr>
          <w:szCs w:val="18"/>
        </w:rPr>
        <w:fldChar w:fldCharType="end"/>
      </w:r>
      <w:r>
        <w:rPr>
          <w:szCs w:val="18"/>
        </w:rPr>
        <w:fldChar w:fldCharType="end"/>
      </w:r>
      <w:r>
        <w:rPr>
          <w:szCs w:val="18"/>
        </w:rPr>
        <w:fldChar w:fldCharType="end"/>
      </w:r>
    </w:p>
    <w:p>
      <w:pPr>
        <w:pStyle w:val="34"/>
        <w:rPr>
          <w:szCs w:val="20"/>
        </w:rPr>
      </w:pPr>
      <w:r>
        <w:rPr>
          <w:rFonts w:hint="eastAsia"/>
        </w:rPr>
        <w:t>历史明细：</w:t>
      </w:r>
    </w:p>
    <w:p>
      <w:pPr>
        <w:pStyle w:val="34"/>
      </w:pPr>
      <w:r>
        <w:rPr>
          <w:rFonts w:hint="eastAsia"/>
          <w:szCs w:val="18"/>
        </w:rPr>
        <w:t>与效应列表，板块排行，个股排行联动，展示了在每一个效应下，对应的指数，板块，个股的涨跌明细</w:t>
      </w:r>
    </w:p>
    <w:p>
      <w:pPr>
        <w:pStyle w:val="50"/>
        <w:rPr>
          <w:rFonts w:ascii="微软雅黑" w:hAnsi="微软雅黑" w:eastAsia="微软雅黑"/>
          <w:color w:val="000000"/>
          <w:sz w:val="18"/>
          <w:szCs w:val="18"/>
        </w:rPr>
      </w:pPr>
      <w:r>
        <w:rPr>
          <w:rFonts w:ascii="微软雅黑" w:hAnsi="微软雅黑" w:eastAsia="微软雅黑"/>
          <w:color w:val="000000"/>
          <w:sz w:val="18"/>
          <w:szCs w:val="18"/>
        </w:rPr>
        <w:fldChar w:fldCharType="begin"/>
      </w:r>
      <w:r>
        <w:rPr>
          <w:rFonts w:ascii="微软雅黑" w:hAnsi="微软雅黑" w:eastAsia="微软雅黑"/>
          <w:color w:val="000000"/>
          <w:sz w:val="18"/>
          <w:szCs w:val="18"/>
        </w:rPr>
        <w:instrText xml:space="preserve"> INCLUDEPICTURE  "https://www.tdx.com.cn/products/helpfile/tdxw/chm/%E7%AC%AC%E5%85%AD%E7%AB%A0  %E5%9F%BA%E7%A1%80%E7%89%88%E5%8A%9F%E8%83%BD/6-22/4.png" \* MERGEFORMATINET </w:instrText>
      </w:r>
      <w:r>
        <w:rPr>
          <w:rFonts w:ascii="微软雅黑" w:hAnsi="微软雅黑" w:eastAsia="微软雅黑"/>
          <w:color w:val="000000"/>
          <w:sz w:val="18"/>
          <w:szCs w:val="18"/>
        </w:rPr>
        <w:fldChar w:fldCharType="separate"/>
      </w:r>
      <w:r>
        <w:rPr>
          <w:rFonts w:ascii="微软雅黑" w:hAnsi="微软雅黑" w:eastAsia="微软雅黑"/>
          <w:color w:val="000000"/>
          <w:sz w:val="18"/>
          <w:szCs w:val="18"/>
        </w:rPr>
        <w:fldChar w:fldCharType="begin"/>
      </w:r>
      <w:r>
        <w:rPr>
          <w:rFonts w:ascii="微软雅黑" w:hAnsi="微软雅黑" w:eastAsia="微软雅黑"/>
          <w:color w:val="000000"/>
          <w:sz w:val="18"/>
          <w:szCs w:val="18"/>
        </w:rPr>
        <w:instrText xml:space="preserve"> INCLUDEPICTURE  "https://www.tdx.com.cn/products/helpfile/tdxw/chm/%E7%AC%AC%E5%85%AD%E7%AB%A0  %E5%9F%BA%E7%A1%80%E7%89%88%E5%8A%9F%E8%83%BD/6-22/4.png" \* MERGEFORMATINET </w:instrText>
      </w:r>
      <w:r>
        <w:rPr>
          <w:rFonts w:ascii="微软雅黑" w:hAnsi="微软雅黑" w:eastAsia="微软雅黑"/>
          <w:color w:val="000000"/>
          <w:sz w:val="18"/>
          <w:szCs w:val="18"/>
        </w:rPr>
        <w:fldChar w:fldCharType="separate"/>
      </w:r>
      <w:r>
        <w:rPr>
          <w:rFonts w:ascii="微软雅黑" w:hAnsi="微软雅黑" w:eastAsia="微软雅黑"/>
          <w:color w:val="000000"/>
          <w:sz w:val="18"/>
          <w:szCs w:val="18"/>
        </w:rPr>
        <w:fldChar w:fldCharType="begin"/>
      </w:r>
      <w:r>
        <w:rPr>
          <w:rFonts w:ascii="微软雅黑" w:hAnsi="微软雅黑" w:eastAsia="微软雅黑"/>
          <w:color w:val="000000"/>
          <w:sz w:val="18"/>
          <w:szCs w:val="18"/>
        </w:rPr>
        <w:instrText xml:space="preserve"> INCLUDEPICTURE  "https://www.tdx.com.cn/products/helpfile/tdxw/chm/%E7%AC%AC%E5%85%AD%E7%AB%A0  %E5%9F%BA%E7%A1%80%E7%89%88%E5%8A%9F%E8%83%BD/6-22/4.png" \* MERGEFORMATINET </w:instrText>
      </w:r>
      <w:r>
        <w:rPr>
          <w:rFonts w:ascii="微软雅黑" w:hAnsi="微软雅黑" w:eastAsia="微软雅黑"/>
          <w:color w:val="000000"/>
          <w:sz w:val="18"/>
          <w:szCs w:val="18"/>
        </w:rPr>
        <w:fldChar w:fldCharType="separate"/>
      </w:r>
      <w:r>
        <w:rPr>
          <w:rFonts w:ascii="微软雅黑" w:hAnsi="微软雅黑" w:eastAsia="微软雅黑"/>
          <w:color w:val="000000"/>
          <w:sz w:val="18"/>
          <w:szCs w:val="18"/>
        </w:rPr>
        <w:fldChar w:fldCharType="begin"/>
      </w:r>
      <w:r>
        <w:rPr>
          <w:rFonts w:ascii="微软雅黑" w:hAnsi="微软雅黑" w:eastAsia="微软雅黑"/>
          <w:color w:val="000000"/>
          <w:sz w:val="18"/>
          <w:szCs w:val="18"/>
        </w:rPr>
        <w:instrText xml:space="preserve"> INCLUDEPICTURE  "https://www.tdx.com.cn/products/helpfile/tdxw/chm/%E7%AC%AC%E5%85%AD%E7%AB%A0  %E5%9F%BA%E7%A1%80%E7%89%88%E5%8A%9F%E8%83%BD/6-22/4.png" \* MERGEFORMATINET </w:instrText>
      </w:r>
      <w:r>
        <w:rPr>
          <w:rFonts w:ascii="微软雅黑" w:hAnsi="微软雅黑" w:eastAsia="微软雅黑"/>
          <w:color w:val="000000"/>
          <w:sz w:val="18"/>
          <w:szCs w:val="18"/>
        </w:rPr>
        <w:fldChar w:fldCharType="separate"/>
      </w:r>
      <w:r>
        <w:rPr>
          <w:rFonts w:ascii="微软雅黑" w:hAnsi="微软雅黑" w:eastAsia="微软雅黑"/>
          <w:color w:val="000000"/>
          <w:sz w:val="18"/>
          <w:szCs w:val="18"/>
        </w:rPr>
        <w:drawing>
          <wp:inline distT="0" distB="0" distL="114300" distR="114300">
            <wp:extent cx="6981825" cy="3619500"/>
            <wp:effectExtent l="0" t="0" r="9525" b="0"/>
            <wp:docPr id="569" name="图片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图片 569"/>
                    <pic:cNvPicPr>
                      <a:picLocks noChangeAspect="1"/>
                    </pic:cNvPicPr>
                  </pic:nvPicPr>
                  <pic:blipFill>
                    <a:blip r:embed="rId1053" r:link="rId1054"/>
                    <a:stretch>
                      <a:fillRect/>
                    </a:stretch>
                  </pic:blipFill>
                  <pic:spPr>
                    <a:xfrm>
                      <a:off x="0" y="0"/>
                      <a:ext cx="6981825" cy="3619500"/>
                    </a:xfrm>
                    <a:prstGeom prst="rect">
                      <a:avLst/>
                    </a:prstGeom>
                    <a:noFill/>
                    <a:ln>
                      <a:noFill/>
                    </a:ln>
                  </pic:spPr>
                </pic:pic>
              </a:graphicData>
            </a:graphic>
          </wp:inline>
        </w:drawing>
      </w:r>
      <w:r>
        <w:rPr>
          <w:rFonts w:ascii="微软雅黑" w:hAnsi="微软雅黑" w:eastAsia="微软雅黑"/>
          <w:color w:val="000000"/>
          <w:sz w:val="18"/>
          <w:szCs w:val="18"/>
        </w:rPr>
        <w:fldChar w:fldCharType="end"/>
      </w:r>
      <w:r>
        <w:rPr>
          <w:rFonts w:ascii="微软雅黑" w:hAnsi="微软雅黑" w:eastAsia="微软雅黑"/>
          <w:color w:val="000000"/>
          <w:sz w:val="18"/>
          <w:szCs w:val="18"/>
        </w:rPr>
        <w:fldChar w:fldCharType="end"/>
      </w:r>
      <w:r>
        <w:rPr>
          <w:rFonts w:ascii="微软雅黑" w:hAnsi="微软雅黑" w:eastAsia="微软雅黑"/>
          <w:color w:val="000000"/>
          <w:sz w:val="18"/>
          <w:szCs w:val="18"/>
        </w:rPr>
        <w:fldChar w:fldCharType="end"/>
      </w:r>
      <w:r>
        <w:rPr>
          <w:rFonts w:ascii="微软雅黑" w:hAnsi="微软雅黑" w:eastAsia="微软雅黑"/>
          <w:color w:val="000000"/>
          <w:sz w:val="18"/>
          <w:szCs w:val="18"/>
        </w:rPr>
        <w:fldChar w:fldCharType="end"/>
      </w:r>
    </w:p>
    <w:p>
      <w:pPr>
        <w:pStyle w:val="2"/>
      </w:pPr>
      <w:bookmarkStart w:id="87" w:name="_Toc90646212"/>
      <w:r>
        <w:rPr>
          <w:rFonts w:hint="eastAsia"/>
        </w:rPr>
        <w:t>通达信软件最新动态</w:t>
      </w:r>
      <w:bookmarkEnd w:id="87"/>
    </w:p>
    <w:p>
      <w:pPr>
        <w:pStyle w:val="3"/>
      </w:pPr>
      <w:bookmarkStart w:id="88" w:name="_Toc90646213"/>
      <w:r>
        <w:rPr>
          <w:rFonts w:hint="eastAsia"/>
        </w:rPr>
        <w:t>常用快捷键</w:t>
      </w:r>
      <w:bookmarkEnd w:id="88"/>
    </w:p>
    <w:p>
      <w:r>
        <w:rPr>
          <w:rFonts w:hint="eastAsia"/>
        </w:rPr>
        <w:t>用户可使用F1～F12、Ctrl+字母、Alt+字母等快捷键，本系统支持的快捷键如下：</w:t>
      </w:r>
    </w:p>
    <w:p>
      <w:pPr>
        <w:rPr>
          <w:kern w:val="0"/>
        </w:rPr>
      </w:pPr>
      <w:r>
        <w:rPr>
          <w:rFonts w:hint="eastAsia"/>
          <w:kern w:val="0"/>
        </w:rPr>
        <w:t>用户可使用F1～F12、Ctrl+字母、Alt+字母等快捷键，本系统支持的快捷键如下：</w:t>
      </w:r>
    </w:p>
    <w:tbl>
      <w:tblPr>
        <w:tblStyle w:val="25"/>
        <w:tblW w:w="0" w:type="auto"/>
        <w:tblCellSpacing w:w="0" w:type="dxa"/>
        <w:tblInd w:w="0" w:type="dxa"/>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Layout w:type="autofit"/>
        <w:tblCellMar>
          <w:top w:w="0" w:type="dxa"/>
          <w:left w:w="0" w:type="dxa"/>
          <w:bottom w:w="0" w:type="dxa"/>
          <w:right w:w="0" w:type="dxa"/>
        </w:tblCellMar>
      </w:tblPr>
      <w:tblGrid>
        <w:gridCol w:w="1036"/>
        <w:gridCol w:w="2653"/>
        <w:gridCol w:w="891"/>
        <w:gridCol w:w="3079"/>
        <w:gridCol w:w="750"/>
        <w:gridCol w:w="2418"/>
        <w:gridCol w:w="718"/>
        <w:gridCol w:w="2443"/>
      </w:tblGrid>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155" w:type="dxa"/>
            <w:tcBorders>
              <w:top w:val="outset" w:color="000000" w:sz="6" w:space="0"/>
              <w:left w:val="outset" w:color="000000" w:sz="6" w:space="0"/>
              <w:bottom w:val="outset" w:color="000000" w:sz="6" w:space="0"/>
              <w:right w:val="outset" w:color="000000" w:sz="6" w:space="0"/>
            </w:tcBorders>
            <w:vAlign w:val="center"/>
          </w:tcPr>
          <w:p>
            <w:pPr>
              <w:rPr>
                <w:b/>
                <w:bCs/>
                <w:color w:val="FF0000"/>
                <w:kern w:val="0"/>
              </w:rPr>
            </w:pPr>
            <w:r>
              <w:rPr>
                <w:rFonts w:hint="eastAsia"/>
                <w:b/>
                <w:bCs/>
                <w:color w:val="FF0000"/>
                <w:kern w:val="0"/>
              </w:rPr>
              <w:t>交易热键：</w:t>
            </w:r>
          </w:p>
        </w:tc>
        <w:tc>
          <w:tcPr>
            <w:tcW w:w="3165" w:type="dxa"/>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　(部分交易热键需高端交易权限)</w:t>
            </w:r>
          </w:p>
        </w:tc>
        <w:tc>
          <w:tcPr>
            <w:tcW w:w="1005" w:type="dxa"/>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　</w:t>
            </w:r>
          </w:p>
        </w:tc>
        <w:tc>
          <w:tcPr>
            <w:tcW w:w="3660" w:type="dxa"/>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　</w:t>
            </w:r>
          </w:p>
        </w:tc>
        <w:tc>
          <w:tcPr>
            <w:tcW w:w="675" w:type="dxa"/>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　</w:t>
            </w:r>
          </w:p>
        </w:tc>
        <w:tc>
          <w:tcPr>
            <w:tcW w:w="2280" w:type="dxa"/>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　</w:t>
            </w:r>
          </w:p>
        </w:tc>
        <w:tc>
          <w:tcPr>
            <w:tcW w:w="765" w:type="dxa"/>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　</w:t>
            </w:r>
          </w:p>
        </w:tc>
        <w:tc>
          <w:tcPr>
            <w:tcW w:w="2880" w:type="dxa"/>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　</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tcBorders>
              <w:top w:val="outset" w:color="000000" w:sz="6" w:space="0"/>
              <w:left w:val="outset" w:color="000000" w:sz="6" w:space="0"/>
              <w:bottom w:val="outset" w:color="000000" w:sz="6" w:space="0"/>
              <w:right w:val="outset" w:color="000000" w:sz="6" w:space="0"/>
            </w:tcBorders>
            <w:shd w:val="clear" w:color="auto" w:fill="FFFFCC"/>
            <w:vAlign w:val="center"/>
          </w:tcPr>
          <w:p>
            <w:pPr>
              <w:rPr>
                <w:kern w:val="0"/>
              </w:rPr>
            </w:pPr>
            <w:r>
              <w:rPr>
                <w:rFonts w:hint="eastAsia"/>
                <w:kern w:val="0"/>
              </w:rPr>
              <w:t>热键</w:t>
            </w:r>
          </w:p>
        </w:tc>
        <w:tc>
          <w:tcPr>
            <w:tcW w:w="0" w:type="auto"/>
            <w:tcBorders>
              <w:top w:val="outset" w:color="000000" w:sz="6" w:space="0"/>
              <w:left w:val="outset" w:color="000000" w:sz="6" w:space="0"/>
              <w:bottom w:val="outset" w:color="000000" w:sz="6" w:space="0"/>
              <w:right w:val="outset" w:color="000000" w:sz="6" w:space="0"/>
            </w:tcBorders>
            <w:shd w:val="clear" w:color="auto" w:fill="FFFFCC"/>
            <w:vAlign w:val="center"/>
          </w:tcPr>
          <w:p>
            <w:pPr>
              <w:rPr>
                <w:kern w:val="0"/>
              </w:rPr>
            </w:pPr>
            <w:r>
              <w:rPr>
                <w:rFonts w:hint="eastAsia"/>
                <w:kern w:val="0"/>
              </w:rPr>
              <w:t>对应功能</w:t>
            </w:r>
          </w:p>
        </w:tc>
        <w:tc>
          <w:tcPr>
            <w:tcW w:w="0" w:type="auto"/>
            <w:tcBorders>
              <w:top w:val="outset" w:color="000000" w:sz="6" w:space="0"/>
              <w:left w:val="outset" w:color="000000" w:sz="6" w:space="0"/>
              <w:bottom w:val="outset" w:color="000000" w:sz="6" w:space="0"/>
              <w:right w:val="outset" w:color="000000" w:sz="6" w:space="0"/>
            </w:tcBorders>
            <w:shd w:val="clear" w:color="auto" w:fill="CCFFFF"/>
            <w:vAlign w:val="center"/>
          </w:tcPr>
          <w:p>
            <w:pPr>
              <w:rPr>
                <w:kern w:val="0"/>
              </w:rPr>
            </w:pPr>
            <w:r>
              <w:rPr>
                <w:rFonts w:hint="eastAsia"/>
                <w:kern w:val="0"/>
              </w:rPr>
              <w:t>热键</w:t>
            </w:r>
          </w:p>
        </w:tc>
        <w:tc>
          <w:tcPr>
            <w:tcW w:w="0" w:type="auto"/>
            <w:tcBorders>
              <w:top w:val="outset" w:color="000000" w:sz="6" w:space="0"/>
              <w:left w:val="outset" w:color="000000" w:sz="6" w:space="0"/>
              <w:bottom w:val="outset" w:color="000000" w:sz="6" w:space="0"/>
              <w:right w:val="outset" w:color="000000" w:sz="6" w:space="0"/>
            </w:tcBorders>
            <w:shd w:val="clear" w:color="auto" w:fill="CCFFFF"/>
            <w:vAlign w:val="center"/>
          </w:tcPr>
          <w:p>
            <w:pPr>
              <w:rPr>
                <w:kern w:val="0"/>
              </w:rPr>
            </w:pPr>
            <w:r>
              <w:rPr>
                <w:rFonts w:hint="eastAsia"/>
                <w:kern w:val="0"/>
              </w:rPr>
              <w:t>对应功能</w:t>
            </w:r>
          </w:p>
        </w:tc>
        <w:tc>
          <w:tcPr>
            <w:tcW w:w="0" w:type="auto"/>
            <w:tcBorders>
              <w:top w:val="outset" w:color="000000" w:sz="6" w:space="0"/>
              <w:left w:val="outset" w:color="000000" w:sz="6" w:space="0"/>
              <w:bottom w:val="outset" w:color="000000" w:sz="6" w:space="0"/>
              <w:right w:val="outset" w:color="000000" w:sz="6" w:space="0"/>
            </w:tcBorders>
            <w:shd w:val="clear" w:color="auto" w:fill="99CCFF"/>
            <w:vAlign w:val="center"/>
          </w:tcPr>
          <w:p>
            <w:pPr>
              <w:rPr>
                <w:kern w:val="0"/>
              </w:rPr>
            </w:pPr>
            <w:r>
              <w:rPr>
                <w:rFonts w:hint="eastAsia"/>
                <w:kern w:val="0"/>
              </w:rPr>
              <w:t>热键</w:t>
            </w:r>
          </w:p>
        </w:tc>
        <w:tc>
          <w:tcPr>
            <w:tcW w:w="0" w:type="auto"/>
            <w:tcBorders>
              <w:top w:val="outset" w:color="000000" w:sz="6" w:space="0"/>
              <w:left w:val="outset" w:color="000000" w:sz="6" w:space="0"/>
              <w:bottom w:val="outset" w:color="000000" w:sz="6" w:space="0"/>
              <w:right w:val="outset" w:color="000000" w:sz="6" w:space="0"/>
            </w:tcBorders>
            <w:shd w:val="clear" w:color="auto" w:fill="99CCFF"/>
            <w:vAlign w:val="center"/>
          </w:tcPr>
          <w:p>
            <w:pPr>
              <w:rPr>
                <w:kern w:val="0"/>
              </w:rPr>
            </w:pPr>
            <w:r>
              <w:rPr>
                <w:rFonts w:hint="eastAsia"/>
                <w:kern w:val="0"/>
              </w:rPr>
              <w:t>对应功能</w:t>
            </w:r>
          </w:p>
        </w:tc>
        <w:tc>
          <w:tcPr>
            <w:tcW w:w="0" w:type="auto"/>
            <w:tcBorders>
              <w:top w:val="outset" w:color="000000" w:sz="6" w:space="0"/>
              <w:left w:val="outset" w:color="000000" w:sz="6" w:space="0"/>
              <w:bottom w:val="outset" w:color="000000" w:sz="6" w:space="0"/>
              <w:right w:val="outset" w:color="000000" w:sz="6" w:space="0"/>
            </w:tcBorders>
            <w:shd w:val="clear" w:color="auto" w:fill="CCCCFF"/>
            <w:vAlign w:val="center"/>
          </w:tcPr>
          <w:p>
            <w:pPr>
              <w:rPr>
                <w:kern w:val="0"/>
              </w:rPr>
            </w:pPr>
            <w:r>
              <w:rPr>
                <w:rFonts w:hint="eastAsia"/>
                <w:kern w:val="0"/>
              </w:rPr>
              <w:t>热键</w:t>
            </w:r>
          </w:p>
        </w:tc>
        <w:tc>
          <w:tcPr>
            <w:tcW w:w="0" w:type="auto"/>
            <w:tcBorders>
              <w:top w:val="outset" w:color="000000" w:sz="6" w:space="0"/>
              <w:left w:val="outset" w:color="000000" w:sz="6" w:space="0"/>
              <w:bottom w:val="outset" w:color="000000" w:sz="6" w:space="0"/>
              <w:right w:val="outset" w:color="000000" w:sz="6" w:space="0"/>
            </w:tcBorders>
            <w:shd w:val="clear" w:color="auto" w:fill="CCCCFF"/>
            <w:vAlign w:val="center"/>
          </w:tcPr>
          <w:p>
            <w:pPr>
              <w:rPr>
                <w:kern w:val="0"/>
              </w:rPr>
            </w:pPr>
            <w:r>
              <w:rPr>
                <w:rFonts w:hint="eastAsia"/>
                <w:kern w:val="0"/>
              </w:rPr>
              <w:t>对应功能</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21</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闪电买入</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221</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普通买入</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268</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格线交易(8单)（专业版）</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涨停价闪买(慎)</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211</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闪电融资买入</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223</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普通卖出</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269</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格线交易(9单)（专业版）</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跌停价闪卖(慎)</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233</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闪电融券卖出</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225</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涨停价买入(慎)</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20(.8)</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交易委托</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.-1</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买一价闪卖</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277</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闪电买券还券</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229</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跌停价卖出(慎)</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.+1</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卖一价闪买</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.-2</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买二价闪卖</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299</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闪电卖券还款</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25</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个股闪电手/T0交易台（专业版）</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.+2</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卖二价闪买</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.-3</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买三价闪卖</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22</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撤单查询</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26</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组合闪电手（专业版）</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.+3</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卖三价闪买</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.-4</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买四价闪卖</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23</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闪电卖出</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261</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格线交易(1单)（专业版）</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.+4</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卖四价闪买</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.-5</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买五价闪卖</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24</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一键全撤</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262</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格线交易(2单)（专业版）</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.+5</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卖五价闪买</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.-01</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卖一价闪卖</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241</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一键全撤买</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263</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格线交易(3单)（专业版）</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.+01</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买一价闪买</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.-02</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卖二价闪卖</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242</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一键全撤卖</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264</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格线交易(4单)（专业版）</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.+02</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买二价闪买</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.-03</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卖三价闪卖</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243</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一键全撤所有委托</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265</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格线交易(5单)（专业版）</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.+03</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买三价闪买</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.-04</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卖四价闪卖</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247</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撤买单(当前账号)</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266</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格线交易(6单)（专业版）</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.+04</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买四价闪买</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.-05</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卖五价闪卖</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248</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撤卖单(当前账号)</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267</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格线交易(7单)（专业版）</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.+05</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买五价闪买</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涨停价融资闪买(慎)</w:t>
            </w:r>
          </w:p>
        </w:tc>
      </w:tr>
    </w:tbl>
    <w:p>
      <w:pPr>
        <w:rPr>
          <w:kern w:val="0"/>
        </w:rPr>
      </w:pPr>
      <w:r>
        <w:rPr>
          <w:rFonts w:hint="eastAsia"/>
          <w:kern w:val="0"/>
        </w:rPr>
        <w:t>对于涨跌停价下单：有价格笼子的品种的涨跌停价下单按笼子价格内浮0.02</w:t>
      </w:r>
    </w:p>
    <w:tbl>
      <w:tblPr>
        <w:tblStyle w:val="25"/>
        <w:tblW w:w="0" w:type="auto"/>
        <w:tblCellSpacing w:w="0" w:type="dxa"/>
        <w:tblInd w:w="0" w:type="dxa"/>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Layout w:type="autofit"/>
        <w:tblCellMar>
          <w:top w:w="0" w:type="dxa"/>
          <w:left w:w="0" w:type="dxa"/>
          <w:bottom w:w="0" w:type="dxa"/>
          <w:right w:w="0" w:type="dxa"/>
        </w:tblCellMar>
      </w:tblPr>
      <w:tblGrid>
        <w:gridCol w:w="1140"/>
        <w:gridCol w:w="2070"/>
        <w:gridCol w:w="990"/>
        <w:gridCol w:w="1740"/>
        <w:gridCol w:w="1230"/>
        <w:gridCol w:w="1770"/>
        <w:gridCol w:w="1770"/>
        <w:gridCol w:w="2070"/>
      </w:tblGrid>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1140" w:type="dxa"/>
            <w:tcBorders>
              <w:top w:val="outset" w:color="000000" w:sz="6" w:space="0"/>
              <w:left w:val="outset" w:color="000000" w:sz="6" w:space="0"/>
              <w:bottom w:val="outset" w:color="000000" w:sz="6" w:space="0"/>
              <w:right w:val="outset" w:color="000000" w:sz="6" w:space="0"/>
            </w:tcBorders>
            <w:vAlign w:val="center"/>
          </w:tcPr>
          <w:p>
            <w:pPr>
              <w:rPr>
                <w:b/>
                <w:bCs/>
                <w:color w:val="FF0000"/>
                <w:kern w:val="0"/>
              </w:rPr>
            </w:pPr>
            <w:r>
              <w:rPr>
                <w:rFonts w:hint="eastAsia"/>
                <w:b/>
                <w:bCs/>
                <w:color w:val="FF0000"/>
                <w:kern w:val="0"/>
              </w:rPr>
              <w:t>总体部分：</w:t>
            </w:r>
          </w:p>
        </w:tc>
        <w:tc>
          <w:tcPr>
            <w:tcW w:w="1830" w:type="dxa"/>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　</w:t>
            </w:r>
          </w:p>
        </w:tc>
        <w:tc>
          <w:tcPr>
            <w:tcW w:w="990" w:type="dxa"/>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　</w:t>
            </w:r>
          </w:p>
        </w:tc>
        <w:tc>
          <w:tcPr>
            <w:tcW w:w="1740" w:type="dxa"/>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　</w:t>
            </w:r>
          </w:p>
        </w:tc>
        <w:tc>
          <w:tcPr>
            <w:tcW w:w="1230" w:type="dxa"/>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　</w:t>
            </w:r>
          </w:p>
        </w:tc>
        <w:tc>
          <w:tcPr>
            <w:tcW w:w="1770" w:type="dxa"/>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　</w:t>
            </w:r>
          </w:p>
        </w:tc>
        <w:tc>
          <w:tcPr>
            <w:tcW w:w="1770" w:type="dxa"/>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　</w:t>
            </w:r>
          </w:p>
        </w:tc>
        <w:tc>
          <w:tcPr>
            <w:tcW w:w="1770" w:type="dxa"/>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　</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tcBorders>
              <w:top w:val="outset" w:color="000000" w:sz="6" w:space="0"/>
              <w:left w:val="outset" w:color="000000" w:sz="6" w:space="0"/>
              <w:bottom w:val="outset" w:color="000000" w:sz="6" w:space="0"/>
              <w:right w:val="outset" w:color="000000" w:sz="6" w:space="0"/>
            </w:tcBorders>
            <w:shd w:val="clear" w:color="auto" w:fill="FFFFCC"/>
            <w:vAlign w:val="center"/>
          </w:tcPr>
          <w:p>
            <w:pPr>
              <w:rPr>
                <w:kern w:val="0"/>
              </w:rPr>
            </w:pPr>
            <w:r>
              <w:rPr>
                <w:rFonts w:hint="eastAsia"/>
                <w:kern w:val="0"/>
              </w:rPr>
              <w:t>热键</w:t>
            </w:r>
          </w:p>
        </w:tc>
        <w:tc>
          <w:tcPr>
            <w:tcW w:w="0" w:type="auto"/>
            <w:tcBorders>
              <w:top w:val="outset" w:color="000000" w:sz="6" w:space="0"/>
              <w:left w:val="outset" w:color="000000" w:sz="6" w:space="0"/>
              <w:bottom w:val="outset" w:color="000000" w:sz="6" w:space="0"/>
              <w:right w:val="outset" w:color="000000" w:sz="6" w:space="0"/>
            </w:tcBorders>
            <w:shd w:val="clear" w:color="auto" w:fill="FFFFCC"/>
            <w:vAlign w:val="center"/>
          </w:tcPr>
          <w:p>
            <w:pPr>
              <w:rPr>
                <w:kern w:val="0"/>
              </w:rPr>
            </w:pPr>
            <w:r>
              <w:rPr>
                <w:rFonts w:hint="eastAsia"/>
                <w:kern w:val="0"/>
              </w:rPr>
              <w:t>对应功能</w:t>
            </w:r>
          </w:p>
        </w:tc>
        <w:tc>
          <w:tcPr>
            <w:tcW w:w="0" w:type="auto"/>
            <w:tcBorders>
              <w:top w:val="outset" w:color="000000" w:sz="6" w:space="0"/>
              <w:left w:val="outset" w:color="000000" w:sz="6" w:space="0"/>
              <w:bottom w:val="outset" w:color="000000" w:sz="6" w:space="0"/>
              <w:right w:val="outset" w:color="000000" w:sz="6" w:space="0"/>
            </w:tcBorders>
            <w:shd w:val="clear" w:color="auto" w:fill="CCFFFF"/>
            <w:vAlign w:val="center"/>
          </w:tcPr>
          <w:p>
            <w:pPr>
              <w:rPr>
                <w:kern w:val="0"/>
              </w:rPr>
            </w:pPr>
            <w:r>
              <w:rPr>
                <w:rFonts w:hint="eastAsia"/>
                <w:kern w:val="0"/>
              </w:rPr>
              <w:t>热键</w:t>
            </w:r>
          </w:p>
        </w:tc>
        <w:tc>
          <w:tcPr>
            <w:tcW w:w="0" w:type="auto"/>
            <w:tcBorders>
              <w:top w:val="outset" w:color="000000" w:sz="6" w:space="0"/>
              <w:left w:val="outset" w:color="000000" w:sz="6" w:space="0"/>
              <w:bottom w:val="outset" w:color="000000" w:sz="6" w:space="0"/>
              <w:right w:val="outset" w:color="000000" w:sz="6" w:space="0"/>
            </w:tcBorders>
            <w:shd w:val="clear" w:color="auto" w:fill="CCFFFF"/>
            <w:vAlign w:val="center"/>
          </w:tcPr>
          <w:p>
            <w:pPr>
              <w:rPr>
                <w:kern w:val="0"/>
              </w:rPr>
            </w:pPr>
            <w:r>
              <w:rPr>
                <w:rFonts w:hint="eastAsia"/>
                <w:kern w:val="0"/>
              </w:rPr>
              <w:t>对应功能</w:t>
            </w:r>
          </w:p>
        </w:tc>
        <w:tc>
          <w:tcPr>
            <w:tcW w:w="0" w:type="auto"/>
            <w:tcBorders>
              <w:top w:val="outset" w:color="000000" w:sz="6" w:space="0"/>
              <w:left w:val="outset" w:color="000000" w:sz="6" w:space="0"/>
              <w:bottom w:val="outset" w:color="000000" w:sz="6" w:space="0"/>
              <w:right w:val="outset" w:color="000000" w:sz="6" w:space="0"/>
            </w:tcBorders>
            <w:shd w:val="clear" w:color="auto" w:fill="99CCFF"/>
            <w:vAlign w:val="center"/>
          </w:tcPr>
          <w:p>
            <w:pPr>
              <w:rPr>
                <w:kern w:val="0"/>
              </w:rPr>
            </w:pPr>
            <w:r>
              <w:rPr>
                <w:rFonts w:hint="eastAsia"/>
                <w:kern w:val="0"/>
              </w:rPr>
              <w:t>热键</w:t>
            </w:r>
          </w:p>
        </w:tc>
        <w:tc>
          <w:tcPr>
            <w:tcW w:w="0" w:type="auto"/>
            <w:tcBorders>
              <w:top w:val="outset" w:color="000000" w:sz="6" w:space="0"/>
              <w:left w:val="outset" w:color="000000" w:sz="6" w:space="0"/>
              <w:bottom w:val="outset" w:color="000000" w:sz="6" w:space="0"/>
              <w:right w:val="outset" w:color="000000" w:sz="6" w:space="0"/>
            </w:tcBorders>
            <w:shd w:val="clear" w:color="auto" w:fill="99CCFF"/>
            <w:vAlign w:val="center"/>
          </w:tcPr>
          <w:p>
            <w:pPr>
              <w:rPr>
                <w:kern w:val="0"/>
              </w:rPr>
            </w:pPr>
            <w:r>
              <w:rPr>
                <w:rFonts w:hint="eastAsia"/>
                <w:kern w:val="0"/>
              </w:rPr>
              <w:t>对应功能</w:t>
            </w:r>
          </w:p>
        </w:tc>
        <w:tc>
          <w:tcPr>
            <w:tcW w:w="0" w:type="auto"/>
            <w:tcBorders>
              <w:top w:val="outset" w:color="000000" w:sz="6" w:space="0"/>
              <w:left w:val="outset" w:color="000000" w:sz="6" w:space="0"/>
              <w:bottom w:val="outset" w:color="000000" w:sz="6" w:space="0"/>
              <w:right w:val="outset" w:color="000000" w:sz="6" w:space="0"/>
            </w:tcBorders>
            <w:shd w:val="clear" w:color="auto" w:fill="CCCCFF"/>
            <w:vAlign w:val="center"/>
          </w:tcPr>
          <w:p>
            <w:pPr>
              <w:rPr>
                <w:kern w:val="0"/>
              </w:rPr>
            </w:pPr>
            <w:r>
              <w:rPr>
                <w:rFonts w:hint="eastAsia"/>
                <w:kern w:val="0"/>
              </w:rPr>
              <w:t>热键</w:t>
            </w:r>
          </w:p>
        </w:tc>
        <w:tc>
          <w:tcPr>
            <w:tcW w:w="0" w:type="auto"/>
            <w:tcBorders>
              <w:top w:val="outset" w:color="000000" w:sz="6" w:space="0"/>
              <w:left w:val="outset" w:color="000000" w:sz="6" w:space="0"/>
              <w:bottom w:val="outset" w:color="000000" w:sz="6" w:space="0"/>
              <w:right w:val="outset" w:color="000000" w:sz="6" w:space="0"/>
            </w:tcBorders>
            <w:shd w:val="clear" w:color="auto" w:fill="CCCCFF"/>
            <w:vAlign w:val="center"/>
          </w:tcPr>
          <w:p>
            <w:pPr>
              <w:rPr>
                <w:kern w:val="0"/>
              </w:rPr>
            </w:pPr>
            <w:r>
              <w:rPr>
                <w:rFonts w:hint="eastAsia"/>
                <w:kern w:val="0"/>
              </w:rPr>
              <w:t>对应功能</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F1</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分时成交明细/报表</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F11</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图文F10</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Ctrl+T</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条件选股</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Alt+F12</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画线工具</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F2</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分价表</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F12</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交易委托</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Ctrl+U</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移动筹码</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Shift+↑</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当前品种前移</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F3</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上证指数</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Ctrl+A</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批量操作</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Ctrl+X</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多周期同列</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Shift+↓</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当前品种后移</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F4</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深证成指</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Ctrl+D</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系统设置</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Ctrl+Y</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价量条件预警</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Shift+F10</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权息资料</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F5/回车键</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分时/分析切换</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Ctrl+F</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公式管理器</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Ctrl+Z</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加入到板块股</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Shift+Enter</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辅助区信息地雷</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F6</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自选股</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Ctrl+J</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主力监控精灵</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Ctrl+Tab</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窗口切换</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Page Up</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向前翻页</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F7</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财经资讯</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Ctrl+M</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多股同列</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Ctrl+F4</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关闭当前子窗口</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Page Down</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向后翻页</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F8</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周期切换(分析图)</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Ctrl+P</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全屏非全屏切换</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Ctrl+Enter</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进入报价</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排序状态切换</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 </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 </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Ctrl+Q</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标记文字</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Alt+D</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从板块股中删除</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自动换页</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F10</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个股资料</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Ctrl+R</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所属板块</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Alt+Z</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加入到自选股</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TAB</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行情/财务栏目切换</w:t>
            </w:r>
          </w:p>
        </w:tc>
      </w:tr>
    </w:tbl>
    <w:p>
      <w:pPr>
        <w:rPr>
          <w:kern w:val="0"/>
        </w:rPr>
      </w:pPr>
      <w:r>
        <w:rPr>
          <w:rFonts w:hint="eastAsia"/>
          <w:kern w:val="0"/>
        </w:rPr>
        <w:t> </w:t>
      </w:r>
    </w:p>
    <w:tbl>
      <w:tblPr>
        <w:tblStyle w:val="25"/>
        <w:tblW w:w="0" w:type="auto"/>
        <w:tblCellSpacing w:w="0" w:type="dxa"/>
        <w:tblInd w:w="0" w:type="dxa"/>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Layout w:type="autofit"/>
        <w:tblCellMar>
          <w:top w:w="0" w:type="dxa"/>
          <w:left w:w="0" w:type="dxa"/>
          <w:bottom w:w="0" w:type="dxa"/>
          <w:right w:w="0" w:type="dxa"/>
        </w:tblCellMar>
      </w:tblPr>
      <w:tblGrid>
        <w:gridCol w:w="1786"/>
        <w:gridCol w:w="1633"/>
        <w:gridCol w:w="1903"/>
        <w:gridCol w:w="1671"/>
        <w:gridCol w:w="1787"/>
        <w:gridCol w:w="1633"/>
        <w:gridCol w:w="1942"/>
        <w:gridCol w:w="1633"/>
      </w:tblGrid>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280" w:type="dxa"/>
            <w:tcBorders>
              <w:top w:val="outset" w:color="000000" w:sz="6" w:space="0"/>
              <w:left w:val="outset" w:color="000000" w:sz="6" w:space="0"/>
              <w:bottom w:val="outset" w:color="000000" w:sz="6" w:space="0"/>
              <w:right w:val="outset" w:color="000000" w:sz="6" w:space="0"/>
            </w:tcBorders>
            <w:vAlign w:val="center"/>
          </w:tcPr>
          <w:p>
            <w:pPr>
              <w:rPr>
                <w:b/>
                <w:bCs/>
                <w:color w:val="FF0000"/>
                <w:kern w:val="0"/>
              </w:rPr>
            </w:pPr>
            <w:r>
              <w:rPr>
                <w:rFonts w:hint="eastAsia"/>
                <w:b/>
                <w:bCs/>
                <w:color w:val="FF0000"/>
                <w:kern w:val="0"/>
              </w:rPr>
              <w:t>K线界面：</w:t>
            </w:r>
          </w:p>
        </w:tc>
        <w:tc>
          <w:tcPr>
            <w:tcW w:w="2280" w:type="dxa"/>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　</w:t>
            </w:r>
          </w:p>
        </w:tc>
        <w:tc>
          <w:tcPr>
            <w:tcW w:w="2280" w:type="dxa"/>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　</w:t>
            </w:r>
          </w:p>
        </w:tc>
        <w:tc>
          <w:tcPr>
            <w:tcW w:w="2280" w:type="dxa"/>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　</w:t>
            </w:r>
          </w:p>
        </w:tc>
        <w:tc>
          <w:tcPr>
            <w:tcW w:w="2280" w:type="dxa"/>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　</w:t>
            </w:r>
          </w:p>
        </w:tc>
        <w:tc>
          <w:tcPr>
            <w:tcW w:w="2280" w:type="dxa"/>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　</w:t>
            </w:r>
          </w:p>
        </w:tc>
        <w:tc>
          <w:tcPr>
            <w:tcW w:w="2280" w:type="dxa"/>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　</w:t>
            </w:r>
          </w:p>
        </w:tc>
        <w:tc>
          <w:tcPr>
            <w:tcW w:w="2280" w:type="dxa"/>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　</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tcBorders>
              <w:top w:val="outset" w:color="000000" w:sz="6" w:space="0"/>
              <w:left w:val="outset" w:color="000000" w:sz="6" w:space="0"/>
              <w:bottom w:val="outset" w:color="000000" w:sz="6" w:space="0"/>
              <w:right w:val="outset" w:color="000000" w:sz="6" w:space="0"/>
            </w:tcBorders>
            <w:shd w:val="clear" w:color="auto" w:fill="FFFFCC"/>
            <w:vAlign w:val="center"/>
          </w:tcPr>
          <w:p>
            <w:pPr>
              <w:rPr>
                <w:kern w:val="0"/>
              </w:rPr>
            </w:pPr>
            <w:r>
              <w:rPr>
                <w:rFonts w:hint="eastAsia"/>
                <w:kern w:val="0"/>
              </w:rPr>
              <w:t>热键</w:t>
            </w:r>
          </w:p>
        </w:tc>
        <w:tc>
          <w:tcPr>
            <w:tcW w:w="0" w:type="auto"/>
            <w:tcBorders>
              <w:top w:val="outset" w:color="000000" w:sz="6" w:space="0"/>
              <w:left w:val="outset" w:color="000000" w:sz="6" w:space="0"/>
              <w:bottom w:val="outset" w:color="000000" w:sz="6" w:space="0"/>
              <w:right w:val="outset" w:color="000000" w:sz="6" w:space="0"/>
            </w:tcBorders>
            <w:shd w:val="clear" w:color="auto" w:fill="FFFFCC"/>
            <w:vAlign w:val="center"/>
          </w:tcPr>
          <w:p>
            <w:pPr>
              <w:rPr>
                <w:kern w:val="0"/>
              </w:rPr>
            </w:pPr>
            <w:r>
              <w:rPr>
                <w:rFonts w:hint="eastAsia"/>
                <w:kern w:val="0"/>
              </w:rPr>
              <w:t>对应功能</w:t>
            </w:r>
          </w:p>
        </w:tc>
        <w:tc>
          <w:tcPr>
            <w:tcW w:w="0" w:type="auto"/>
            <w:tcBorders>
              <w:top w:val="outset" w:color="000000" w:sz="6" w:space="0"/>
              <w:left w:val="outset" w:color="000000" w:sz="6" w:space="0"/>
              <w:bottom w:val="outset" w:color="000000" w:sz="6" w:space="0"/>
              <w:right w:val="outset" w:color="000000" w:sz="6" w:space="0"/>
            </w:tcBorders>
            <w:shd w:val="clear" w:color="auto" w:fill="CCFFFF"/>
            <w:vAlign w:val="center"/>
          </w:tcPr>
          <w:p>
            <w:pPr>
              <w:rPr>
                <w:kern w:val="0"/>
              </w:rPr>
            </w:pPr>
            <w:r>
              <w:rPr>
                <w:rFonts w:hint="eastAsia"/>
                <w:kern w:val="0"/>
              </w:rPr>
              <w:t>热键</w:t>
            </w:r>
          </w:p>
        </w:tc>
        <w:tc>
          <w:tcPr>
            <w:tcW w:w="0" w:type="auto"/>
            <w:tcBorders>
              <w:top w:val="outset" w:color="000000" w:sz="6" w:space="0"/>
              <w:left w:val="outset" w:color="000000" w:sz="6" w:space="0"/>
              <w:bottom w:val="outset" w:color="000000" w:sz="6" w:space="0"/>
              <w:right w:val="outset" w:color="000000" w:sz="6" w:space="0"/>
            </w:tcBorders>
            <w:shd w:val="clear" w:color="auto" w:fill="CCFFFF"/>
            <w:vAlign w:val="center"/>
          </w:tcPr>
          <w:p>
            <w:pPr>
              <w:rPr>
                <w:kern w:val="0"/>
              </w:rPr>
            </w:pPr>
            <w:r>
              <w:rPr>
                <w:rFonts w:hint="eastAsia"/>
                <w:kern w:val="0"/>
              </w:rPr>
              <w:t>对应功能</w:t>
            </w:r>
          </w:p>
        </w:tc>
        <w:tc>
          <w:tcPr>
            <w:tcW w:w="0" w:type="auto"/>
            <w:tcBorders>
              <w:top w:val="outset" w:color="000000" w:sz="6" w:space="0"/>
              <w:left w:val="outset" w:color="000000" w:sz="6" w:space="0"/>
              <w:bottom w:val="outset" w:color="000000" w:sz="6" w:space="0"/>
              <w:right w:val="outset" w:color="000000" w:sz="6" w:space="0"/>
            </w:tcBorders>
            <w:shd w:val="clear" w:color="auto" w:fill="99CCFF"/>
            <w:vAlign w:val="center"/>
          </w:tcPr>
          <w:p>
            <w:pPr>
              <w:rPr>
                <w:kern w:val="0"/>
              </w:rPr>
            </w:pPr>
            <w:r>
              <w:rPr>
                <w:rFonts w:hint="eastAsia"/>
                <w:kern w:val="0"/>
              </w:rPr>
              <w:t>热键</w:t>
            </w:r>
          </w:p>
        </w:tc>
        <w:tc>
          <w:tcPr>
            <w:tcW w:w="0" w:type="auto"/>
            <w:tcBorders>
              <w:top w:val="outset" w:color="000000" w:sz="6" w:space="0"/>
              <w:left w:val="outset" w:color="000000" w:sz="6" w:space="0"/>
              <w:bottom w:val="outset" w:color="000000" w:sz="6" w:space="0"/>
              <w:right w:val="outset" w:color="000000" w:sz="6" w:space="0"/>
            </w:tcBorders>
            <w:shd w:val="clear" w:color="auto" w:fill="99CCFF"/>
            <w:vAlign w:val="center"/>
          </w:tcPr>
          <w:p>
            <w:pPr>
              <w:rPr>
                <w:kern w:val="0"/>
              </w:rPr>
            </w:pPr>
            <w:r>
              <w:rPr>
                <w:rFonts w:hint="eastAsia"/>
                <w:kern w:val="0"/>
              </w:rPr>
              <w:t>对应功能</w:t>
            </w:r>
          </w:p>
        </w:tc>
        <w:tc>
          <w:tcPr>
            <w:tcW w:w="0" w:type="auto"/>
            <w:tcBorders>
              <w:top w:val="outset" w:color="000000" w:sz="6" w:space="0"/>
              <w:left w:val="outset" w:color="000000" w:sz="6" w:space="0"/>
              <w:bottom w:val="outset" w:color="000000" w:sz="6" w:space="0"/>
              <w:right w:val="outset" w:color="000000" w:sz="6" w:space="0"/>
            </w:tcBorders>
            <w:shd w:val="clear" w:color="auto" w:fill="CCCCFF"/>
            <w:vAlign w:val="center"/>
          </w:tcPr>
          <w:p>
            <w:pPr>
              <w:rPr>
                <w:kern w:val="0"/>
              </w:rPr>
            </w:pPr>
            <w:r>
              <w:rPr>
                <w:rFonts w:hint="eastAsia"/>
                <w:kern w:val="0"/>
              </w:rPr>
              <w:t>热键</w:t>
            </w:r>
          </w:p>
        </w:tc>
        <w:tc>
          <w:tcPr>
            <w:tcW w:w="0" w:type="auto"/>
            <w:tcBorders>
              <w:top w:val="outset" w:color="000000" w:sz="6" w:space="0"/>
              <w:left w:val="outset" w:color="000000" w:sz="6" w:space="0"/>
              <w:bottom w:val="outset" w:color="000000" w:sz="6" w:space="0"/>
              <w:right w:val="outset" w:color="000000" w:sz="6" w:space="0"/>
            </w:tcBorders>
            <w:shd w:val="clear" w:color="auto" w:fill="CCCCFF"/>
            <w:vAlign w:val="center"/>
          </w:tcPr>
          <w:p>
            <w:pPr>
              <w:rPr>
                <w:kern w:val="0"/>
              </w:rPr>
            </w:pPr>
            <w:r>
              <w:rPr>
                <w:rFonts w:hint="eastAsia"/>
                <w:kern w:val="0"/>
              </w:rPr>
              <w:t>对应功能</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Alt+数字</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切换多个窗口</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Ctrl+B</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后复权</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Ctrl+W</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区间统计</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Shift+Back</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后只品种</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Ctrl+I</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选择指标</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Ctrl+N</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定点复权</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Alt+R</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指标用法注释</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Ctrl+↑</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放大K线</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Ctrl+E</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专家系统指示</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Ctrl+O(G)</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叠加(删除)品种</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Alt+S</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修改当前指标公式</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Ctrl+↓</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缩小K线</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Ctrl+V</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前复权</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Ctrl+L</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显隐行情信息</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Back</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前只品种</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/home</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副图指标切换</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Ctrl+K</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五彩K线指示</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Ctrl+H</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删除所有指示</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Alt+T</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调整指标参数</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Shift+左右箭头</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平移K线</w:t>
            </w:r>
          </w:p>
        </w:tc>
      </w:tr>
    </w:tbl>
    <w:p>
      <w:pPr>
        <w:rPr>
          <w:kern w:val="0"/>
        </w:rPr>
      </w:pPr>
      <w:r>
        <w:rPr>
          <w:rFonts w:hint="eastAsia"/>
          <w:kern w:val="0"/>
        </w:rPr>
        <w:t> </w:t>
      </w:r>
    </w:p>
    <w:tbl>
      <w:tblPr>
        <w:tblStyle w:val="25"/>
        <w:tblW w:w="0" w:type="auto"/>
        <w:tblCellSpacing w:w="0" w:type="dxa"/>
        <w:tblInd w:w="0" w:type="dxa"/>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Layout w:type="autofit"/>
        <w:tblCellMar>
          <w:top w:w="0" w:type="dxa"/>
          <w:left w:w="0" w:type="dxa"/>
          <w:bottom w:w="0" w:type="dxa"/>
          <w:right w:w="0" w:type="dxa"/>
        </w:tblCellMar>
      </w:tblPr>
      <w:tblGrid>
        <w:gridCol w:w="1805"/>
        <w:gridCol w:w="1656"/>
        <w:gridCol w:w="1804"/>
        <w:gridCol w:w="1655"/>
        <w:gridCol w:w="1804"/>
        <w:gridCol w:w="1655"/>
        <w:gridCol w:w="1954"/>
        <w:gridCol w:w="1655"/>
      </w:tblGrid>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2280" w:type="dxa"/>
            <w:tcBorders>
              <w:top w:val="outset" w:color="000000" w:sz="6" w:space="0"/>
              <w:left w:val="outset" w:color="000000" w:sz="6" w:space="0"/>
              <w:bottom w:val="outset" w:color="000000" w:sz="6" w:space="0"/>
              <w:right w:val="outset" w:color="000000" w:sz="6" w:space="0"/>
            </w:tcBorders>
            <w:vAlign w:val="center"/>
          </w:tcPr>
          <w:p>
            <w:pPr>
              <w:rPr>
                <w:b/>
                <w:bCs/>
                <w:color w:val="FF0000"/>
                <w:kern w:val="0"/>
              </w:rPr>
            </w:pPr>
            <w:r>
              <w:rPr>
                <w:rFonts w:hint="eastAsia"/>
                <w:b/>
                <w:bCs/>
                <w:color w:val="FF0000"/>
                <w:kern w:val="0"/>
              </w:rPr>
              <w:t>分时界面：</w:t>
            </w:r>
          </w:p>
        </w:tc>
        <w:tc>
          <w:tcPr>
            <w:tcW w:w="2280" w:type="dxa"/>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　</w:t>
            </w:r>
          </w:p>
        </w:tc>
        <w:tc>
          <w:tcPr>
            <w:tcW w:w="2280" w:type="dxa"/>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　</w:t>
            </w:r>
          </w:p>
        </w:tc>
        <w:tc>
          <w:tcPr>
            <w:tcW w:w="2280" w:type="dxa"/>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　</w:t>
            </w:r>
          </w:p>
        </w:tc>
        <w:tc>
          <w:tcPr>
            <w:tcW w:w="2280" w:type="dxa"/>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　</w:t>
            </w:r>
          </w:p>
        </w:tc>
        <w:tc>
          <w:tcPr>
            <w:tcW w:w="2280" w:type="dxa"/>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　</w:t>
            </w:r>
          </w:p>
        </w:tc>
        <w:tc>
          <w:tcPr>
            <w:tcW w:w="2280" w:type="dxa"/>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　</w:t>
            </w:r>
          </w:p>
        </w:tc>
        <w:tc>
          <w:tcPr>
            <w:tcW w:w="2280" w:type="dxa"/>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　</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tcBorders>
              <w:top w:val="outset" w:color="000000" w:sz="6" w:space="0"/>
              <w:left w:val="outset" w:color="000000" w:sz="6" w:space="0"/>
              <w:bottom w:val="outset" w:color="000000" w:sz="6" w:space="0"/>
              <w:right w:val="outset" w:color="000000" w:sz="6" w:space="0"/>
            </w:tcBorders>
            <w:shd w:val="clear" w:color="auto" w:fill="FFFFCC"/>
            <w:vAlign w:val="center"/>
          </w:tcPr>
          <w:p>
            <w:pPr>
              <w:rPr>
                <w:kern w:val="0"/>
              </w:rPr>
            </w:pPr>
            <w:r>
              <w:rPr>
                <w:rFonts w:hint="eastAsia"/>
                <w:kern w:val="0"/>
              </w:rPr>
              <w:t>热键</w:t>
            </w:r>
          </w:p>
        </w:tc>
        <w:tc>
          <w:tcPr>
            <w:tcW w:w="0" w:type="auto"/>
            <w:tcBorders>
              <w:top w:val="outset" w:color="000000" w:sz="6" w:space="0"/>
              <w:left w:val="outset" w:color="000000" w:sz="6" w:space="0"/>
              <w:bottom w:val="outset" w:color="000000" w:sz="6" w:space="0"/>
              <w:right w:val="outset" w:color="000000" w:sz="6" w:space="0"/>
            </w:tcBorders>
            <w:shd w:val="clear" w:color="auto" w:fill="FFFFCC"/>
            <w:vAlign w:val="center"/>
          </w:tcPr>
          <w:p>
            <w:pPr>
              <w:rPr>
                <w:kern w:val="0"/>
              </w:rPr>
            </w:pPr>
            <w:r>
              <w:rPr>
                <w:rFonts w:hint="eastAsia"/>
                <w:kern w:val="0"/>
              </w:rPr>
              <w:t>对应功能</w:t>
            </w:r>
          </w:p>
        </w:tc>
        <w:tc>
          <w:tcPr>
            <w:tcW w:w="0" w:type="auto"/>
            <w:tcBorders>
              <w:top w:val="outset" w:color="000000" w:sz="6" w:space="0"/>
              <w:left w:val="outset" w:color="000000" w:sz="6" w:space="0"/>
              <w:bottom w:val="outset" w:color="000000" w:sz="6" w:space="0"/>
              <w:right w:val="outset" w:color="000000" w:sz="6" w:space="0"/>
            </w:tcBorders>
            <w:shd w:val="clear" w:color="auto" w:fill="CCFFFF"/>
            <w:vAlign w:val="center"/>
          </w:tcPr>
          <w:p>
            <w:pPr>
              <w:rPr>
                <w:kern w:val="0"/>
              </w:rPr>
            </w:pPr>
            <w:r>
              <w:rPr>
                <w:rFonts w:hint="eastAsia"/>
                <w:kern w:val="0"/>
              </w:rPr>
              <w:t>热键</w:t>
            </w:r>
          </w:p>
        </w:tc>
        <w:tc>
          <w:tcPr>
            <w:tcW w:w="0" w:type="auto"/>
            <w:tcBorders>
              <w:top w:val="outset" w:color="000000" w:sz="6" w:space="0"/>
              <w:left w:val="outset" w:color="000000" w:sz="6" w:space="0"/>
              <w:bottom w:val="outset" w:color="000000" w:sz="6" w:space="0"/>
              <w:right w:val="outset" w:color="000000" w:sz="6" w:space="0"/>
            </w:tcBorders>
            <w:shd w:val="clear" w:color="auto" w:fill="CCFFFF"/>
            <w:vAlign w:val="center"/>
          </w:tcPr>
          <w:p>
            <w:pPr>
              <w:rPr>
                <w:kern w:val="0"/>
              </w:rPr>
            </w:pPr>
            <w:r>
              <w:rPr>
                <w:rFonts w:hint="eastAsia"/>
                <w:kern w:val="0"/>
              </w:rPr>
              <w:t>对应功能</w:t>
            </w:r>
          </w:p>
        </w:tc>
        <w:tc>
          <w:tcPr>
            <w:tcW w:w="0" w:type="auto"/>
            <w:tcBorders>
              <w:top w:val="outset" w:color="000000" w:sz="6" w:space="0"/>
              <w:left w:val="outset" w:color="000000" w:sz="6" w:space="0"/>
              <w:bottom w:val="outset" w:color="000000" w:sz="6" w:space="0"/>
              <w:right w:val="outset" w:color="000000" w:sz="6" w:space="0"/>
            </w:tcBorders>
            <w:shd w:val="clear" w:color="auto" w:fill="99CCFF"/>
            <w:vAlign w:val="center"/>
          </w:tcPr>
          <w:p>
            <w:pPr>
              <w:rPr>
                <w:kern w:val="0"/>
              </w:rPr>
            </w:pPr>
            <w:r>
              <w:rPr>
                <w:rFonts w:hint="eastAsia"/>
                <w:kern w:val="0"/>
              </w:rPr>
              <w:t>热键</w:t>
            </w:r>
          </w:p>
        </w:tc>
        <w:tc>
          <w:tcPr>
            <w:tcW w:w="0" w:type="auto"/>
            <w:tcBorders>
              <w:top w:val="outset" w:color="000000" w:sz="6" w:space="0"/>
              <w:left w:val="outset" w:color="000000" w:sz="6" w:space="0"/>
              <w:bottom w:val="outset" w:color="000000" w:sz="6" w:space="0"/>
              <w:right w:val="outset" w:color="000000" w:sz="6" w:space="0"/>
            </w:tcBorders>
            <w:shd w:val="clear" w:color="auto" w:fill="99CCFF"/>
            <w:vAlign w:val="center"/>
          </w:tcPr>
          <w:p>
            <w:pPr>
              <w:rPr>
                <w:kern w:val="0"/>
              </w:rPr>
            </w:pPr>
            <w:r>
              <w:rPr>
                <w:rFonts w:hint="eastAsia"/>
                <w:kern w:val="0"/>
              </w:rPr>
              <w:t>对应功能</w:t>
            </w:r>
          </w:p>
        </w:tc>
        <w:tc>
          <w:tcPr>
            <w:tcW w:w="0" w:type="auto"/>
            <w:tcBorders>
              <w:top w:val="outset" w:color="000000" w:sz="6" w:space="0"/>
              <w:left w:val="outset" w:color="000000" w:sz="6" w:space="0"/>
              <w:bottom w:val="outset" w:color="000000" w:sz="6" w:space="0"/>
              <w:right w:val="outset" w:color="000000" w:sz="6" w:space="0"/>
            </w:tcBorders>
            <w:shd w:val="clear" w:color="auto" w:fill="CCCCFF"/>
            <w:vAlign w:val="center"/>
          </w:tcPr>
          <w:p>
            <w:pPr>
              <w:rPr>
                <w:kern w:val="0"/>
              </w:rPr>
            </w:pPr>
            <w:r>
              <w:rPr>
                <w:rFonts w:hint="eastAsia"/>
                <w:kern w:val="0"/>
              </w:rPr>
              <w:t>热键</w:t>
            </w:r>
          </w:p>
        </w:tc>
        <w:tc>
          <w:tcPr>
            <w:tcW w:w="0" w:type="auto"/>
            <w:tcBorders>
              <w:top w:val="outset" w:color="000000" w:sz="6" w:space="0"/>
              <w:left w:val="outset" w:color="000000" w:sz="6" w:space="0"/>
              <w:bottom w:val="outset" w:color="000000" w:sz="6" w:space="0"/>
              <w:right w:val="outset" w:color="000000" w:sz="6" w:space="0"/>
            </w:tcBorders>
            <w:shd w:val="clear" w:color="auto" w:fill="CCCCFF"/>
            <w:vAlign w:val="center"/>
          </w:tcPr>
          <w:p>
            <w:pPr>
              <w:rPr>
                <w:kern w:val="0"/>
              </w:rPr>
            </w:pPr>
            <w:r>
              <w:rPr>
                <w:rFonts w:hint="eastAsia"/>
                <w:kern w:val="0"/>
              </w:rPr>
              <w:t>对应功能</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Alt+数字</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切换多日分时</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Ctrl+O</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叠加指定品种</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Ctrl+W</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分时区间统计</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Shift+Back</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后只品种</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Ctrl+L</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显隐行情信息</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Ctrl+G</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删除叠加品种</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Back</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前只品种</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副图指标切换</w:t>
            </w:r>
          </w:p>
        </w:tc>
      </w:tr>
    </w:tbl>
    <w:p>
      <w:pPr>
        <w:rPr>
          <w:kern w:val="0"/>
        </w:rPr>
      </w:pPr>
      <w:r>
        <w:rPr>
          <w:rFonts w:hint="eastAsia"/>
          <w:kern w:val="0"/>
        </w:rPr>
        <w:t> </w:t>
      </w:r>
    </w:p>
    <w:tbl>
      <w:tblPr>
        <w:tblStyle w:val="25"/>
        <w:tblW w:w="0" w:type="auto"/>
        <w:tblCellSpacing w:w="0" w:type="dxa"/>
        <w:tblInd w:w="0" w:type="dxa"/>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Layout w:type="autofit"/>
        <w:tblCellMar>
          <w:top w:w="0" w:type="dxa"/>
          <w:left w:w="0" w:type="dxa"/>
          <w:bottom w:w="0" w:type="dxa"/>
          <w:right w:w="0" w:type="dxa"/>
        </w:tblCellMar>
      </w:tblPr>
      <w:tblGrid>
        <w:gridCol w:w="3902"/>
        <w:gridCol w:w="3074"/>
        <w:gridCol w:w="3262"/>
        <w:gridCol w:w="3750"/>
      </w:tblGrid>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tcBorders>
              <w:top w:val="outset" w:color="000000" w:sz="6" w:space="0"/>
              <w:left w:val="outset" w:color="000000" w:sz="6" w:space="0"/>
              <w:bottom w:val="outset" w:color="000000" w:sz="6" w:space="0"/>
              <w:right w:val="outset" w:color="000000" w:sz="6" w:space="0"/>
            </w:tcBorders>
            <w:vAlign w:val="center"/>
          </w:tcPr>
          <w:p>
            <w:pPr>
              <w:rPr>
                <w:b/>
                <w:bCs/>
                <w:color w:val="FF0000"/>
                <w:kern w:val="0"/>
              </w:rPr>
            </w:pPr>
            <w:r>
              <w:rPr>
                <w:rFonts w:hint="eastAsia"/>
                <w:b/>
                <w:bCs/>
                <w:color w:val="FF0000"/>
                <w:kern w:val="0"/>
              </w:rPr>
              <w:t>局部界面（鼠标快捷）：</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　</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　</w:t>
            </w:r>
          </w:p>
        </w:tc>
        <w:tc>
          <w:tcPr>
            <w:tcW w:w="3750" w:type="dxa"/>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　</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tcBorders>
              <w:top w:val="outset" w:color="000000" w:sz="6" w:space="0"/>
              <w:left w:val="outset" w:color="000000" w:sz="6" w:space="0"/>
              <w:bottom w:val="outset" w:color="000000" w:sz="6" w:space="0"/>
              <w:right w:val="outset" w:color="000000" w:sz="6" w:space="0"/>
            </w:tcBorders>
            <w:shd w:val="clear" w:color="auto" w:fill="FFFFCC"/>
            <w:vAlign w:val="center"/>
          </w:tcPr>
          <w:p>
            <w:pPr>
              <w:rPr>
                <w:kern w:val="0"/>
              </w:rPr>
            </w:pPr>
            <w:r>
              <w:rPr>
                <w:rFonts w:hint="eastAsia"/>
                <w:kern w:val="0"/>
              </w:rPr>
              <w:t>热键</w:t>
            </w:r>
          </w:p>
        </w:tc>
        <w:tc>
          <w:tcPr>
            <w:tcW w:w="0" w:type="auto"/>
            <w:tcBorders>
              <w:top w:val="outset" w:color="000000" w:sz="6" w:space="0"/>
              <w:left w:val="outset" w:color="000000" w:sz="6" w:space="0"/>
              <w:bottom w:val="outset" w:color="000000" w:sz="6" w:space="0"/>
              <w:right w:val="outset" w:color="000000" w:sz="6" w:space="0"/>
            </w:tcBorders>
            <w:shd w:val="clear" w:color="auto" w:fill="FFFFCC"/>
            <w:vAlign w:val="center"/>
          </w:tcPr>
          <w:p>
            <w:pPr>
              <w:rPr>
                <w:kern w:val="0"/>
              </w:rPr>
            </w:pPr>
            <w:r>
              <w:rPr>
                <w:rFonts w:hint="eastAsia"/>
                <w:kern w:val="0"/>
              </w:rPr>
              <w:t>对应功能</w:t>
            </w:r>
          </w:p>
        </w:tc>
        <w:tc>
          <w:tcPr>
            <w:tcW w:w="0" w:type="auto"/>
            <w:tcBorders>
              <w:top w:val="outset" w:color="000000" w:sz="6" w:space="0"/>
              <w:left w:val="outset" w:color="000000" w:sz="6" w:space="0"/>
              <w:bottom w:val="outset" w:color="000000" w:sz="6" w:space="0"/>
              <w:right w:val="outset" w:color="000000" w:sz="6" w:space="0"/>
            </w:tcBorders>
            <w:shd w:val="clear" w:color="auto" w:fill="CCFFFF"/>
            <w:vAlign w:val="center"/>
          </w:tcPr>
          <w:p>
            <w:pPr>
              <w:rPr>
                <w:kern w:val="0"/>
              </w:rPr>
            </w:pPr>
            <w:r>
              <w:rPr>
                <w:rFonts w:hint="eastAsia"/>
                <w:kern w:val="0"/>
              </w:rPr>
              <w:t>热键</w:t>
            </w:r>
          </w:p>
        </w:tc>
        <w:tc>
          <w:tcPr>
            <w:tcW w:w="0" w:type="auto"/>
            <w:tcBorders>
              <w:top w:val="outset" w:color="000000" w:sz="6" w:space="0"/>
              <w:left w:val="outset" w:color="000000" w:sz="6" w:space="0"/>
              <w:bottom w:val="outset" w:color="000000" w:sz="6" w:space="0"/>
              <w:right w:val="outset" w:color="000000" w:sz="6" w:space="0"/>
            </w:tcBorders>
            <w:shd w:val="clear" w:color="auto" w:fill="CCFFFF"/>
            <w:vAlign w:val="center"/>
          </w:tcPr>
          <w:p>
            <w:pPr>
              <w:rPr>
                <w:kern w:val="0"/>
              </w:rPr>
            </w:pPr>
            <w:r>
              <w:rPr>
                <w:rFonts w:hint="eastAsia"/>
                <w:kern w:val="0"/>
              </w:rPr>
              <w:t>对应功能</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tcBorders>
              <w:top w:val="outset" w:color="000000" w:sz="6" w:space="0"/>
              <w:left w:val="outset" w:color="000000" w:sz="6" w:space="0"/>
              <w:bottom w:val="outset" w:color="000000" w:sz="6" w:space="0"/>
              <w:right w:val="outset" w:color="000000" w:sz="6" w:space="0"/>
            </w:tcBorders>
            <w:shd w:val="clear" w:color="auto" w:fill="FFFFCC"/>
            <w:vAlign w:val="center"/>
          </w:tcPr>
          <w:p>
            <w:pPr>
              <w:rPr>
                <w:kern w:val="0"/>
              </w:rPr>
            </w:pPr>
            <w:r>
              <w:rPr>
                <w:rFonts w:hint="eastAsia"/>
                <w:kern w:val="0"/>
              </w:rPr>
              <w:t>分析图、分时图界面双击</w:t>
            </w:r>
          </w:p>
        </w:tc>
        <w:tc>
          <w:tcPr>
            <w:tcW w:w="0" w:type="auto"/>
            <w:tcBorders>
              <w:top w:val="outset" w:color="000000" w:sz="6" w:space="0"/>
              <w:left w:val="outset" w:color="000000" w:sz="6" w:space="0"/>
              <w:bottom w:val="outset" w:color="000000" w:sz="6" w:space="0"/>
              <w:right w:val="outset" w:color="000000" w:sz="6" w:space="0"/>
            </w:tcBorders>
            <w:shd w:val="clear" w:color="auto" w:fill="FFFFCC"/>
            <w:vAlign w:val="center"/>
          </w:tcPr>
          <w:p>
            <w:pPr>
              <w:rPr>
                <w:kern w:val="0"/>
              </w:rPr>
            </w:pPr>
            <w:r>
              <w:rPr>
                <w:rFonts w:hint="eastAsia"/>
                <w:kern w:val="0"/>
              </w:rPr>
              <w:t>出现十字线</w:t>
            </w:r>
          </w:p>
        </w:tc>
        <w:tc>
          <w:tcPr>
            <w:tcW w:w="0" w:type="auto"/>
            <w:tcBorders>
              <w:top w:val="outset" w:color="000000" w:sz="6" w:space="0"/>
              <w:left w:val="outset" w:color="000000" w:sz="6" w:space="0"/>
              <w:bottom w:val="outset" w:color="000000" w:sz="6" w:space="0"/>
              <w:right w:val="outset" w:color="000000" w:sz="6" w:space="0"/>
            </w:tcBorders>
            <w:shd w:val="clear" w:color="auto" w:fill="CCFFFF"/>
            <w:vAlign w:val="center"/>
          </w:tcPr>
          <w:p>
            <w:pPr>
              <w:rPr>
                <w:kern w:val="0"/>
              </w:rPr>
            </w:pPr>
            <w:r>
              <w:rPr>
                <w:rFonts w:hint="eastAsia"/>
                <w:kern w:val="0"/>
              </w:rPr>
              <w:t>分时成交明细区域双击</w:t>
            </w:r>
          </w:p>
        </w:tc>
        <w:tc>
          <w:tcPr>
            <w:tcW w:w="0" w:type="auto"/>
            <w:tcBorders>
              <w:top w:val="outset" w:color="000000" w:sz="6" w:space="0"/>
              <w:left w:val="outset" w:color="000000" w:sz="6" w:space="0"/>
              <w:bottom w:val="outset" w:color="000000" w:sz="6" w:space="0"/>
              <w:right w:val="outset" w:color="000000" w:sz="6" w:space="0"/>
            </w:tcBorders>
            <w:shd w:val="clear" w:color="auto" w:fill="CCFFFF"/>
            <w:vAlign w:val="center"/>
          </w:tcPr>
          <w:p>
            <w:pPr>
              <w:rPr>
                <w:kern w:val="0"/>
              </w:rPr>
            </w:pPr>
            <w:r>
              <w:rPr>
                <w:rFonts w:hint="eastAsia"/>
                <w:kern w:val="0"/>
              </w:rPr>
              <w:t>放大/缩小分时成交明细</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tcBorders>
              <w:top w:val="outset" w:color="000000" w:sz="6" w:space="0"/>
              <w:left w:val="outset" w:color="000000" w:sz="6" w:space="0"/>
              <w:bottom w:val="outset" w:color="000000" w:sz="6" w:space="0"/>
              <w:right w:val="outset" w:color="000000" w:sz="6" w:space="0"/>
            </w:tcBorders>
            <w:shd w:val="clear" w:color="auto" w:fill="FFFFCC"/>
            <w:vAlign w:val="center"/>
          </w:tcPr>
          <w:p>
            <w:pPr>
              <w:rPr>
                <w:kern w:val="0"/>
              </w:rPr>
            </w:pPr>
            <w:r>
              <w:rPr>
                <w:rFonts w:hint="eastAsia"/>
                <w:kern w:val="0"/>
              </w:rPr>
              <w:t>分析图中按鼠标左键拖拽</w:t>
            </w:r>
          </w:p>
        </w:tc>
        <w:tc>
          <w:tcPr>
            <w:tcW w:w="0" w:type="auto"/>
            <w:tcBorders>
              <w:top w:val="outset" w:color="000000" w:sz="6" w:space="0"/>
              <w:left w:val="outset" w:color="000000" w:sz="6" w:space="0"/>
              <w:bottom w:val="outset" w:color="000000" w:sz="6" w:space="0"/>
              <w:right w:val="outset" w:color="000000" w:sz="6" w:space="0"/>
            </w:tcBorders>
            <w:shd w:val="clear" w:color="auto" w:fill="FFFFCC"/>
            <w:vAlign w:val="center"/>
          </w:tcPr>
          <w:p>
            <w:pPr>
              <w:rPr>
                <w:kern w:val="0"/>
              </w:rPr>
            </w:pPr>
            <w:r>
              <w:rPr>
                <w:rFonts w:hint="eastAsia"/>
                <w:kern w:val="0"/>
              </w:rPr>
              <w:t>放大局部K线</w:t>
            </w:r>
          </w:p>
        </w:tc>
        <w:tc>
          <w:tcPr>
            <w:tcW w:w="0" w:type="auto"/>
            <w:tcBorders>
              <w:top w:val="outset" w:color="000000" w:sz="6" w:space="0"/>
              <w:left w:val="outset" w:color="000000" w:sz="6" w:space="0"/>
              <w:bottom w:val="outset" w:color="000000" w:sz="6" w:space="0"/>
              <w:right w:val="outset" w:color="000000" w:sz="6" w:space="0"/>
            </w:tcBorders>
            <w:shd w:val="clear" w:color="auto" w:fill="CCFFFF"/>
            <w:vAlign w:val="center"/>
          </w:tcPr>
          <w:p>
            <w:pPr>
              <w:rPr>
                <w:kern w:val="0"/>
              </w:rPr>
            </w:pPr>
            <w:r>
              <w:rPr>
                <w:rFonts w:hint="eastAsia"/>
                <w:kern w:val="0"/>
              </w:rPr>
              <w:t>分价表区域双击</w:t>
            </w:r>
          </w:p>
        </w:tc>
        <w:tc>
          <w:tcPr>
            <w:tcW w:w="0" w:type="auto"/>
            <w:tcBorders>
              <w:top w:val="outset" w:color="000000" w:sz="6" w:space="0"/>
              <w:left w:val="outset" w:color="000000" w:sz="6" w:space="0"/>
              <w:bottom w:val="outset" w:color="000000" w:sz="6" w:space="0"/>
              <w:right w:val="outset" w:color="000000" w:sz="6" w:space="0"/>
            </w:tcBorders>
            <w:shd w:val="clear" w:color="auto" w:fill="CCFFFF"/>
            <w:vAlign w:val="center"/>
          </w:tcPr>
          <w:p>
            <w:pPr>
              <w:rPr>
                <w:kern w:val="0"/>
              </w:rPr>
            </w:pPr>
            <w:r>
              <w:rPr>
                <w:rFonts w:hint="eastAsia"/>
                <w:kern w:val="0"/>
              </w:rPr>
              <w:t>放大/缩小分价表</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tcBorders>
              <w:top w:val="outset" w:color="000000" w:sz="6" w:space="0"/>
              <w:left w:val="outset" w:color="000000" w:sz="6" w:space="0"/>
              <w:bottom w:val="outset" w:color="000000" w:sz="6" w:space="0"/>
              <w:right w:val="outset" w:color="000000" w:sz="6" w:space="0"/>
            </w:tcBorders>
            <w:shd w:val="clear" w:color="auto" w:fill="FFFFCC"/>
            <w:vAlign w:val="center"/>
          </w:tcPr>
          <w:p>
            <w:pPr>
              <w:rPr>
                <w:kern w:val="0"/>
              </w:rPr>
            </w:pPr>
            <w:r>
              <w:rPr>
                <w:rFonts w:hint="eastAsia"/>
                <w:kern w:val="0"/>
              </w:rPr>
              <w:t>分析图中画线时按住Ctrl</w:t>
            </w:r>
          </w:p>
        </w:tc>
        <w:tc>
          <w:tcPr>
            <w:tcW w:w="0" w:type="auto"/>
            <w:tcBorders>
              <w:top w:val="outset" w:color="000000" w:sz="6" w:space="0"/>
              <w:left w:val="outset" w:color="000000" w:sz="6" w:space="0"/>
              <w:bottom w:val="outset" w:color="000000" w:sz="6" w:space="0"/>
              <w:right w:val="outset" w:color="000000" w:sz="6" w:space="0"/>
            </w:tcBorders>
            <w:shd w:val="clear" w:color="auto" w:fill="FFFFCC"/>
            <w:vAlign w:val="center"/>
          </w:tcPr>
          <w:p>
            <w:pPr>
              <w:rPr>
                <w:kern w:val="0"/>
              </w:rPr>
            </w:pPr>
            <w:r>
              <w:rPr>
                <w:rFonts w:hint="eastAsia"/>
                <w:kern w:val="0"/>
              </w:rPr>
              <w:t>自动吸附到高开低收价位</w:t>
            </w:r>
          </w:p>
        </w:tc>
        <w:tc>
          <w:tcPr>
            <w:tcW w:w="0" w:type="auto"/>
            <w:tcBorders>
              <w:top w:val="outset" w:color="000000" w:sz="6" w:space="0"/>
              <w:left w:val="outset" w:color="000000" w:sz="6" w:space="0"/>
              <w:bottom w:val="outset" w:color="000000" w:sz="6" w:space="0"/>
              <w:right w:val="outset" w:color="000000" w:sz="6" w:space="0"/>
            </w:tcBorders>
            <w:shd w:val="clear" w:color="auto" w:fill="CCFFFF"/>
            <w:vAlign w:val="center"/>
          </w:tcPr>
          <w:p>
            <w:pPr>
              <w:rPr>
                <w:kern w:val="0"/>
              </w:rPr>
            </w:pPr>
            <w:r>
              <w:rPr>
                <w:rFonts w:hint="eastAsia"/>
                <w:kern w:val="0"/>
              </w:rPr>
              <w:t>逐笔成交明细区域双击</w:t>
            </w:r>
          </w:p>
        </w:tc>
        <w:tc>
          <w:tcPr>
            <w:tcW w:w="0" w:type="auto"/>
            <w:tcBorders>
              <w:top w:val="outset" w:color="000000" w:sz="6" w:space="0"/>
              <w:left w:val="outset" w:color="000000" w:sz="6" w:space="0"/>
              <w:bottom w:val="outset" w:color="000000" w:sz="6" w:space="0"/>
              <w:right w:val="outset" w:color="000000" w:sz="6" w:space="0"/>
            </w:tcBorders>
            <w:shd w:val="clear" w:color="auto" w:fill="CCFFFF"/>
            <w:vAlign w:val="center"/>
          </w:tcPr>
          <w:p>
            <w:pPr>
              <w:rPr>
                <w:kern w:val="0"/>
              </w:rPr>
            </w:pPr>
            <w:r>
              <w:rPr>
                <w:rFonts w:hint="eastAsia"/>
                <w:kern w:val="0"/>
              </w:rPr>
              <w:t>放大/缩小逐笔成交明细</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tcBorders>
              <w:top w:val="outset" w:color="000000" w:sz="6" w:space="0"/>
              <w:left w:val="outset" w:color="000000" w:sz="6" w:space="0"/>
              <w:bottom w:val="outset" w:color="000000" w:sz="6" w:space="0"/>
              <w:right w:val="outset" w:color="000000" w:sz="6" w:space="0"/>
            </w:tcBorders>
            <w:shd w:val="clear" w:color="auto" w:fill="FFFFCC"/>
            <w:vAlign w:val="center"/>
          </w:tcPr>
          <w:p>
            <w:pPr>
              <w:rPr>
                <w:kern w:val="0"/>
              </w:rPr>
            </w:pPr>
            <w:r>
              <w:rPr>
                <w:rFonts w:hint="eastAsia"/>
                <w:kern w:val="0"/>
              </w:rPr>
              <w:t>分析图中双击单根K线</w:t>
            </w:r>
          </w:p>
        </w:tc>
        <w:tc>
          <w:tcPr>
            <w:tcW w:w="0" w:type="auto"/>
            <w:tcBorders>
              <w:top w:val="outset" w:color="000000" w:sz="6" w:space="0"/>
              <w:left w:val="outset" w:color="000000" w:sz="6" w:space="0"/>
              <w:bottom w:val="outset" w:color="000000" w:sz="6" w:space="0"/>
              <w:right w:val="outset" w:color="000000" w:sz="6" w:space="0"/>
            </w:tcBorders>
            <w:shd w:val="clear" w:color="auto" w:fill="FFFFCC"/>
            <w:vAlign w:val="center"/>
          </w:tcPr>
          <w:p>
            <w:pPr>
              <w:rPr>
                <w:kern w:val="0"/>
              </w:rPr>
            </w:pPr>
            <w:r>
              <w:rPr>
                <w:rFonts w:hint="eastAsia"/>
                <w:kern w:val="0"/>
              </w:rPr>
              <w:t>打开历史分时和分笔</w:t>
            </w:r>
          </w:p>
        </w:tc>
        <w:tc>
          <w:tcPr>
            <w:tcW w:w="0" w:type="auto"/>
            <w:tcBorders>
              <w:top w:val="outset" w:color="000000" w:sz="6" w:space="0"/>
              <w:left w:val="outset" w:color="000000" w:sz="6" w:space="0"/>
              <w:bottom w:val="outset" w:color="000000" w:sz="6" w:space="0"/>
              <w:right w:val="outset" w:color="000000" w:sz="6" w:space="0"/>
            </w:tcBorders>
            <w:shd w:val="clear" w:color="auto" w:fill="CCFFFF"/>
            <w:vAlign w:val="center"/>
          </w:tcPr>
          <w:p>
            <w:pPr>
              <w:rPr>
                <w:kern w:val="0"/>
              </w:rPr>
            </w:pPr>
            <w:r>
              <w:rPr>
                <w:rFonts w:hint="eastAsia"/>
                <w:kern w:val="0"/>
              </w:rPr>
              <w:t>千档盘口左上角双击</w:t>
            </w:r>
          </w:p>
        </w:tc>
        <w:tc>
          <w:tcPr>
            <w:tcW w:w="0" w:type="auto"/>
            <w:tcBorders>
              <w:top w:val="outset" w:color="000000" w:sz="6" w:space="0"/>
              <w:left w:val="outset" w:color="000000" w:sz="6" w:space="0"/>
              <w:bottom w:val="outset" w:color="000000" w:sz="6" w:space="0"/>
              <w:right w:val="outset" w:color="000000" w:sz="6" w:space="0"/>
            </w:tcBorders>
            <w:shd w:val="clear" w:color="auto" w:fill="CCFFFF"/>
            <w:vAlign w:val="center"/>
          </w:tcPr>
          <w:p>
            <w:pPr>
              <w:rPr>
                <w:kern w:val="0"/>
              </w:rPr>
            </w:pPr>
            <w:r>
              <w:rPr>
                <w:rFonts w:hint="eastAsia"/>
                <w:kern w:val="0"/>
              </w:rPr>
              <w:t>缩小(千档盘口)</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tcBorders>
              <w:top w:val="outset" w:color="000000" w:sz="6" w:space="0"/>
              <w:left w:val="outset" w:color="000000" w:sz="6" w:space="0"/>
              <w:bottom w:val="outset" w:color="000000" w:sz="6" w:space="0"/>
              <w:right w:val="outset" w:color="000000" w:sz="6" w:space="0"/>
            </w:tcBorders>
            <w:shd w:val="clear" w:color="auto" w:fill="FFFFCC"/>
            <w:vAlign w:val="center"/>
          </w:tcPr>
          <w:p>
            <w:pPr>
              <w:rPr>
                <w:kern w:val="0"/>
              </w:rPr>
            </w:pPr>
            <w:r>
              <w:rPr>
                <w:rFonts w:hint="eastAsia"/>
                <w:kern w:val="0"/>
              </w:rPr>
              <w:t>分析图中右键拖拽一个区间</w:t>
            </w:r>
          </w:p>
        </w:tc>
        <w:tc>
          <w:tcPr>
            <w:tcW w:w="0" w:type="auto"/>
            <w:tcBorders>
              <w:top w:val="outset" w:color="000000" w:sz="6" w:space="0"/>
              <w:left w:val="outset" w:color="000000" w:sz="6" w:space="0"/>
              <w:bottom w:val="outset" w:color="000000" w:sz="6" w:space="0"/>
              <w:right w:val="outset" w:color="000000" w:sz="6" w:space="0"/>
            </w:tcBorders>
            <w:shd w:val="clear" w:color="auto" w:fill="FFFFCC"/>
            <w:vAlign w:val="center"/>
          </w:tcPr>
          <w:p>
            <w:pPr>
              <w:rPr>
                <w:kern w:val="0"/>
              </w:rPr>
            </w:pPr>
            <w:r>
              <w:rPr>
                <w:rFonts w:hint="eastAsia"/>
                <w:kern w:val="0"/>
              </w:rPr>
              <w:t>可进行区间统计、形态匹配操作</w:t>
            </w:r>
          </w:p>
        </w:tc>
        <w:tc>
          <w:tcPr>
            <w:tcW w:w="0" w:type="auto"/>
            <w:tcBorders>
              <w:top w:val="outset" w:color="000000" w:sz="6" w:space="0"/>
              <w:left w:val="outset" w:color="000000" w:sz="6" w:space="0"/>
              <w:bottom w:val="outset" w:color="000000" w:sz="6" w:space="0"/>
              <w:right w:val="outset" w:color="000000" w:sz="6" w:space="0"/>
            </w:tcBorders>
            <w:shd w:val="clear" w:color="auto" w:fill="CCFFFF"/>
            <w:vAlign w:val="center"/>
          </w:tcPr>
          <w:p>
            <w:pPr>
              <w:rPr>
                <w:kern w:val="0"/>
              </w:rPr>
            </w:pPr>
            <w:r>
              <w:rPr>
                <w:rFonts w:hint="eastAsia"/>
                <w:kern w:val="0"/>
              </w:rPr>
              <w:t>千档盘口价格双击</w:t>
            </w:r>
          </w:p>
        </w:tc>
        <w:tc>
          <w:tcPr>
            <w:tcW w:w="0" w:type="auto"/>
            <w:tcBorders>
              <w:top w:val="outset" w:color="000000" w:sz="6" w:space="0"/>
              <w:left w:val="outset" w:color="000000" w:sz="6" w:space="0"/>
              <w:bottom w:val="outset" w:color="000000" w:sz="6" w:space="0"/>
              <w:right w:val="outset" w:color="000000" w:sz="6" w:space="0"/>
            </w:tcBorders>
            <w:shd w:val="clear" w:color="auto" w:fill="CCFFFF"/>
            <w:vAlign w:val="center"/>
          </w:tcPr>
          <w:p>
            <w:pPr>
              <w:rPr>
                <w:kern w:val="0"/>
              </w:rPr>
            </w:pPr>
            <w:r>
              <w:rPr>
                <w:rFonts w:hint="eastAsia"/>
                <w:kern w:val="0"/>
              </w:rPr>
              <w:t>委托下单(千档盘口)</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tcBorders>
              <w:top w:val="outset" w:color="000000" w:sz="6" w:space="0"/>
              <w:left w:val="outset" w:color="000000" w:sz="6" w:space="0"/>
              <w:bottom w:val="outset" w:color="000000" w:sz="6" w:space="0"/>
              <w:right w:val="outset" w:color="000000" w:sz="6" w:space="0"/>
            </w:tcBorders>
            <w:shd w:val="clear" w:color="auto" w:fill="FFFFCC"/>
            <w:vAlign w:val="center"/>
          </w:tcPr>
          <w:p>
            <w:pPr>
              <w:rPr>
                <w:kern w:val="0"/>
              </w:rPr>
            </w:pPr>
            <w:r>
              <w:rPr>
                <w:rFonts w:hint="eastAsia"/>
                <w:kern w:val="0"/>
              </w:rPr>
              <w:t>分析图中左键拖拽屏幕底部时间标尺</w:t>
            </w:r>
          </w:p>
        </w:tc>
        <w:tc>
          <w:tcPr>
            <w:tcW w:w="0" w:type="auto"/>
            <w:tcBorders>
              <w:top w:val="outset" w:color="000000" w:sz="6" w:space="0"/>
              <w:left w:val="outset" w:color="000000" w:sz="6" w:space="0"/>
              <w:bottom w:val="outset" w:color="000000" w:sz="6" w:space="0"/>
              <w:right w:val="outset" w:color="000000" w:sz="6" w:space="0"/>
            </w:tcBorders>
            <w:shd w:val="clear" w:color="auto" w:fill="FFFFCC"/>
            <w:vAlign w:val="center"/>
          </w:tcPr>
          <w:p>
            <w:pPr>
              <w:rPr>
                <w:kern w:val="0"/>
              </w:rPr>
            </w:pPr>
            <w:r>
              <w:rPr>
                <w:rFonts w:hint="eastAsia"/>
                <w:kern w:val="0"/>
              </w:rPr>
              <w:t>平移K线</w:t>
            </w:r>
          </w:p>
        </w:tc>
        <w:tc>
          <w:tcPr>
            <w:tcW w:w="0" w:type="auto"/>
            <w:tcBorders>
              <w:top w:val="outset" w:color="000000" w:sz="6" w:space="0"/>
              <w:left w:val="outset" w:color="000000" w:sz="6" w:space="0"/>
              <w:bottom w:val="outset" w:color="000000" w:sz="6" w:space="0"/>
              <w:right w:val="outset" w:color="000000" w:sz="6" w:space="0"/>
            </w:tcBorders>
            <w:shd w:val="clear" w:color="auto" w:fill="CCFFFF"/>
            <w:vAlign w:val="center"/>
          </w:tcPr>
          <w:p>
            <w:pPr>
              <w:rPr>
                <w:kern w:val="0"/>
              </w:rPr>
            </w:pPr>
            <w:r>
              <w:rPr>
                <w:rFonts w:hint="eastAsia"/>
                <w:kern w:val="0"/>
              </w:rPr>
              <w:t>行情信息区的换手所在显示区双击</w:t>
            </w:r>
          </w:p>
        </w:tc>
        <w:tc>
          <w:tcPr>
            <w:tcW w:w="0" w:type="auto"/>
            <w:tcBorders>
              <w:top w:val="outset" w:color="000000" w:sz="6" w:space="0"/>
              <w:left w:val="outset" w:color="000000" w:sz="6" w:space="0"/>
              <w:bottom w:val="outset" w:color="000000" w:sz="6" w:space="0"/>
              <w:right w:val="outset" w:color="000000" w:sz="6" w:space="0"/>
            </w:tcBorders>
            <w:shd w:val="clear" w:color="auto" w:fill="CCFFFF"/>
            <w:vAlign w:val="center"/>
          </w:tcPr>
          <w:p>
            <w:pPr>
              <w:rPr>
                <w:kern w:val="0"/>
              </w:rPr>
            </w:pPr>
            <w:r>
              <w:rPr>
                <w:rFonts w:hint="eastAsia"/>
                <w:kern w:val="0"/>
              </w:rPr>
              <w:t>进入财务数据</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tcBorders>
              <w:top w:val="outset" w:color="000000" w:sz="6" w:space="0"/>
              <w:left w:val="outset" w:color="000000" w:sz="6" w:space="0"/>
              <w:bottom w:val="outset" w:color="000000" w:sz="6" w:space="0"/>
              <w:right w:val="outset" w:color="000000" w:sz="6" w:space="0"/>
            </w:tcBorders>
            <w:shd w:val="clear" w:color="auto" w:fill="FFFFCC"/>
            <w:vAlign w:val="center"/>
          </w:tcPr>
          <w:p>
            <w:pPr>
              <w:rPr>
                <w:kern w:val="0"/>
              </w:rPr>
            </w:pPr>
            <w:r>
              <w:rPr>
                <w:rFonts w:hint="eastAsia"/>
                <w:kern w:val="0"/>
              </w:rPr>
              <w:t>分析图中右键拖拽屏幕底部时间标尺</w:t>
            </w:r>
          </w:p>
        </w:tc>
        <w:tc>
          <w:tcPr>
            <w:tcW w:w="0" w:type="auto"/>
            <w:tcBorders>
              <w:top w:val="outset" w:color="000000" w:sz="6" w:space="0"/>
              <w:left w:val="outset" w:color="000000" w:sz="6" w:space="0"/>
              <w:bottom w:val="outset" w:color="000000" w:sz="6" w:space="0"/>
              <w:right w:val="outset" w:color="000000" w:sz="6" w:space="0"/>
            </w:tcBorders>
            <w:shd w:val="clear" w:color="auto" w:fill="FFFFCC"/>
            <w:vAlign w:val="center"/>
          </w:tcPr>
          <w:p>
            <w:pPr>
              <w:rPr>
                <w:kern w:val="0"/>
              </w:rPr>
            </w:pPr>
            <w:r>
              <w:rPr>
                <w:rFonts w:hint="eastAsia"/>
                <w:kern w:val="0"/>
              </w:rPr>
              <w:t>压缩K线</w:t>
            </w:r>
          </w:p>
        </w:tc>
        <w:tc>
          <w:tcPr>
            <w:tcW w:w="0" w:type="auto"/>
            <w:tcBorders>
              <w:top w:val="outset" w:color="000000" w:sz="6" w:space="0"/>
              <w:left w:val="outset" w:color="000000" w:sz="6" w:space="0"/>
              <w:bottom w:val="outset" w:color="000000" w:sz="6" w:space="0"/>
              <w:right w:val="outset" w:color="000000" w:sz="6" w:space="0"/>
            </w:tcBorders>
            <w:shd w:val="clear" w:color="auto" w:fill="CCFFFF"/>
            <w:vAlign w:val="center"/>
          </w:tcPr>
          <w:p>
            <w:pPr>
              <w:rPr>
                <w:kern w:val="0"/>
              </w:rPr>
            </w:pPr>
            <w:r>
              <w:rPr>
                <w:rFonts w:hint="eastAsia"/>
                <w:kern w:val="0"/>
              </w:rPr>
              <w:t>分析图副图区域双击</w:t>
            </w:r>
          </w:p>
        </w:tc>
        <w:tc>
          <w:tcPr>
            <w:tcW w:w="0" w:type="auto"/>
            <w:tcBorders>
              <w:top w:val="outset" w:color="000000" w:sz="6" w:space="0"/>
              <w:left w:val="outset" w:color="000000" w:sz="6" w:space="0"/>
              <w:bottom w:val="outset" w:color="000000" w:sz="6" w:space="0"/>
              <w:right w:val="outset" w:color="000000" w:sz="6" w:space="0"/>
            </w:tcBorders>
            <w:shd w:val="clear" w:color="auto" w:fill="CCFFFF"/>
            <w:vAlign w:val="center"/>
          </w:tcPr>
          <w:p>
            <w:pPr>
              <w:rPr>
                <w:kern w:val="0"/>
              </w:rPr>
            </w:pPr>
            <w:r>
              <w:rPr>
                <w:rFonts w:hint="eastAsia"/>
                <w:kern w:val="0"/>
              </w:rPr>
              <w:t>放大/缩小副图区</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tcBorders>
              <w:top w:val="outset" w:color="000000" w:sz="6" w:space="0"/>
              <w:left w:val="outset" w:color="000000" w:sz="6" w:space="0"/>
              <w:bottom w:val="outset" w:color="000000" w:sz="6" w:space="0"/>
              <w:right w:val="outset" w:color="000000" w:sz="6" w:space="0"/>
            </w:tcBorders>
            <w:shd w:val="clear" w:color="auto" w:fill="FFFFCC"/>
            <w:vAlign w:val="center"/>
          </w:tcPr>
          <w:p>
            <w:pPr>
              <w:rPr>
                <w:kern w:val="0"/>
              </w:rPr>
            </w:pPr>
            <w:r>
              <w:rPr>
                <w:rFonts w:hint="eastAsia"/>
                <w:kern w:val="0"/>
              </w:rPr>
              <w:t>分析图中Ctrl+鼠标滚轮</w:t>
            </w:r>
          </w:p>
        </w:tc>
        <w:tc>
          <w:tcPr>
            <w:tcW w:w="0" w:type="auto"/>
            <w:tcBorders>
              <w:top w:val="outset" w:color="000000" w:sz="6" w:space="0"/>
              <w:left w:val="outset" w:color="000000" w:sz="6" w:space="0"/>
              <w:bottom w:val="outset" w:color="000000" w:sz="6" w:space="0"/>
              <w:right w:val="outset" w:color="000000" w:sz="6" w:space="0"/>
            </w:tcBorders>
            <w:shd w:val="clear" w:color="auto" w:fill="FFFFCC"/>
            <w:vAlign w:val="center"/>
          </w:tcPr>
          <w:p>
            <w:pPr>
              <w:rPr>
                <w:kern w:val="0"/>
              </w:rPr>
            </w:pPr>
            <w:r>
              <w:rPr>
                <w:rFonts w:hint="eastAsia"/>
                <w:kern w:val="0"/>
              </w:rPr>
              <w:t>缩放K线</w:t>
            </w:r>
          </w:p>
        </w:tc>
        <w:tc>
          <w:tcPr>
            <w:tcW w:w="0" w:type="auto"/>
            <w:tcBorders>
              <w:top w:val="outset" w:color="000000" w:sz="6" w:space="0"/>
              <w:left w:val="outset" w:color="000000" w:sz="6" w:space="0"/>
              <w:bottom w:val="outset" w:color="000000" w:sz="6" w:space="0"/>
              <w:right w:val="outset" w:color="000000" w:sz="6" w:space="0"/>
            </w:tcBorders>
            <w:shd w:val="clear" w:color="auto" w:fill="CCFFFF"/>
            <w:vAlign w:val="center"/>
          </w:tcPr>
          <w:p>
            <w:pPr>
              <w:rPr>
                <w:kern w:val="0"/>
              </w:rPr>
            </w:pPr>
            <w:r>
              <w:rPr>
                <w:rFonts w:hint="eastAsia"/>
                <w:kern w:val="0"/>
              </w:rPr>
              <w:t>历史分时图中双击后按回车</w:t>
            </w:r>
          </w:p>
        </w:tc>
        <w:tc>
          <w:tcPr>
            <w:tcW w:w="0" w:type="auto"/>
            <w:tcBorders>
              <w:top w:val="outset" w:color="000000" w:sz="6" w:space="0"/>
              <w:left w:val="outset" w:color="000000" w:sz="6" w:space="0"/>
              <w:bottom w:val="outset" w:color="000000" w:sz="6" w:space="0"/>
              <w:right w:val="outset" w:color="000000" w:sz="6" w:space="0"/>
            </w:tcBorders>
            <w:shd w:val="clear" w:color="auto" w:fill="CCFFFF"/>
            <w:vAlign w:val="center"/>
          </w:tcPr>
          <w:p>
            <w:pPr>
              <w:rPr>
                <w:kern w:val="0"/>
              </w:rPr>
            </w:pPr>
            <w:r>
              <w:rPr>
                <w:rFonts w:hint="eastAsia"/>
                <w:kern w:val="0"/>
              </w:rPr>
              <w:t>分笔会定位到十字线时刻的明细</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tcBorders>
              <w:top w:val="outset" w:color="000000" w:sz="6" w:space="0"/>
              <w:left w:val="outset" w:color="000000" w:sz="6" w:space="0"/>
              <w:bottom w:val="outset" w:color="000000" w:sz="6" w:space="0"/>
              <w:right w:val="outset" w:color="000000" w:sz="6" w:space="0"/>
            </w:tcBorders>
            <w:shd w:val="clear" w:color="auto" w:fill="FFFFCC"/>
            <w:vAlign w:val="center"/>
          </w:tcPr>
          <w:p>
            <w:pPr>
              <w:rPr>
                <w:kern w:val="0"/>
              </w:rPr>
            </w:pPr>
            <w:r>
              <w:rPr>
                <w:rFonts w:hint="eastAsia"/>
                <w:kern w:val="0"/>
              </w:rPr>
              <w:t>分析图中Shift+鼠标左键拖拽</w:t>
            </w:r>
          </w:p>
        </w:tc>
        <w:tc>
          <w:tcPr>
            <w:tcW w:w="0" w:type="auto"/>
            <w:tcBorders>
              <w:top w:val="outset" w:color="000000" w:sz="6" w:space="0"/>
              <w:left w:val="outset" w:color="000000" w:sz="6" w:space="0"/>
              <w:bottom w:val="outset" w:color="000000" w:sz="6" w:space="0"/>
              <w:right w:val="outset" w:color="000000" w:sz="6" w:space="0"/>
            </w:tcBorders>
            <w:shd w:val="clear" w:color="auto" w:fill="FFFFCC"/>
            <w:vAlign w:val="center"/>
          </w:tcPr>
          <w:p>
            <w:pPr>
              <w:rPr>
                <w:kern w:val="0"/>
              </w:rPr>
            </w:pPr>
            <w:r>
              <w:rPr>
                <w:rFonts w:hint="eastAsia"/>
                <w:kern w:val="0"/>
              </w:rPr>
              <w:t>测量K线距离</w:t>
            </w:r>
          </w:p>
        </w:tc>
        <w:tc>
          <w:tcPr>
            <w:tcW w:w="0" w:type="auto"/>
            <w:tcBorders>
              <w:top w:val="outset" w:color="000000" w:sz="6" w:space="0"/>
              <w:left w:val="outset" w:color="000000" w:sz="6" w:space="0"/>
              <w:bottom w:val="outset" w:color="000000" w:sz="6" w:space="0"/>
              <w:right w:val="outset" w:color="000000" w:sz="6" w:space="0"/>
            </w:tcBorders>
            <w:shd w:val="clear" w:color="auto" w:fill="CCFFFF"/>
            <w:vAlign w:val="center"/>
          </w:tcPr>
          <w:p>
            <w:pPr>
              <w:rPr>
                <w:kern w:val="0"/>
              </w:rPr>
            </w:pPr>
            <w:r>
              <w:rPr>
                <w:rFonts w:hint="eastAsia"/>
                <w:kern w:val="0"/>
              </w:rPr>
              <w:t>状态栏中指数双击</w:t>
            </w:r>
          </w:p>
        </w:tc>
        <w:tc>
          <w:tcPr>
            <w:tcW w:w="0" w:type="auto"/>
            <w:tcBorders>
              <w:top w:val="outset" w:color="000000" w:sz="6" w:space="0"/>
              <w:left w:val="outset" w:color="000000" w:sz="6" w:space="0"/>
              <w:bottom w:val="outset" w:color="000000" w:sz="6" w:space="0"/>
              <w:right w:val="outset" w:color="000000" w:sz="6" w:space="0"/>
            </w:tcBorders>
            <w:shd w:val="clear" w:color="auto" w:fill="CCFFFF"/>
            <w:vAlign w:val="center"/>
          </w:tcPr>
          <w:p>
            <w:pPr>
              <w:rPr>
                <w:kern w:val="0"/>
              </w:rPr>
            </w:pPr>
            <w:r>
              <w:rPr>
                <w:rFonts w:hint="eastAsia"/>
                <w:kern w:val="0"/>
              </w:rPr>
              <w:t>进入指数分时图</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tcBorders>
              <w:top w:val="outset" w:color="000000" w:sz="6" w:space="0"/>
              <w:left w:val="outset" w:color="000000" w:sz="6" w:space="0"/>
              <w:bottom w:val="outset" w:color="000000" w:sz="6" w:space="0"/>
              <w:right w:val="outset" w:color="000000" w:sz="6" w:space="0"/>
            </w:tcBorders>
            <w:shd w:val="clear" w:color="auto" w:fill="FFFFCC"/>
            <w:vAlign w:val="center"/>
          </w:tcPr>
          <w:p>
            <w:pPr>
              <w:rPr>
                <w:kern w:val="0"/>
              </w:rPr>
            </w:pPr>
            <w:r>
              <w:rPr>
                <w:rFonts w:hint="eastAsia"/>
                <w:kern w:val="0"/>
              </w:rPr>
              <w:t>分析图中Ctrl+回车(有十字线)</w:t>
            </w:r>
          </w:p>
        </w:tc>
        <w:tc>
          <w:tcPr>
            <w:tcW w:w="0" w:type="auto"/>
            <w:tcBorders>
              <w:top w:val="outset" w:color="000000" w:sz="6" w:space="0"/>
              <w:left w:val="outset" w:color="000000" w:sz="6" w:space="0"/>
              <w:bottom w:val="outset" w:color="000000" w:sz="6" w:space="0"/>
              <w:right w:val="outset" w:color="000000" w:sz="6" w:space="0"/>
            </w:tcBorders>
            <w:shd w:val="clear" w:color="auto" w:fill="FFFFCC"/>
            <w:vAlign w:val="center"/>
          </w:tcPr>
          <w:p>
            <w:pPr>
              <w:rPr>
                <w:kern w:val="0"/>
              </w:rPr>
            </w:pPr>
            <w:r>
              <w:rPr>
                <w:rFonts w:hint="eastAsia"/>
                <w:kern w:val="0"/>
              </w:rPr>
              <w:t>打开历史分时和分笔</w:t>
            </w:r>
          </w:p>
        </w:tc>
        <w:tc>
          <w:tcPr>
            <w:tcW w:w="0" w:type="auto"/>
            <w:tcBorders>
              <w:top w:val="outset" w:color="000000" w:sz="6" w:space="0"/>
              <w:left w:val="outset" w:color="000000" w:sz="6" w:space="0"/>
              <w:bottom w:val="outset" w:color="000000" w:sz="6" w:space="0"/>
              <w:right w:val="outset" w:color="000000" w:sz="6" w:space="0"/>
            </w:tcBorders>
            <w:shd w:val="clear" w:color="auto" w:fill="CCFFFF"/>
            <w:vAlign w:val="center"/>
          </w:tcPr>
          <w:p>
            <w:pPr>
              <w:rPr>
                <w:kern w:val="0"/>
              </w:rPr>
            </w:pPr>
            <w:r>
              <w:rPr>
                <w:rFonts w:hint="eastAsia"/>
                <w:kern w:val="0"/>
              </w:rPr>
              <w:t>状态栏多空红绿军区域双击</w:t>
            </w:r>
          </w:p>
        </w:tc>
        <w:tc>
          <w:tcPr>
            <w:tcW w:w="0" w:type="auto"/>
            <w:tcBorders>
              <w:top w:val="outset" w:color="000000" w:sz="6" w:space="0"/>
              <w:left w:val="outset" w:color="000000" w:sz="6" w:space="0"/>
              <w:bottom w:val="outset" w:color="000000" w:sz="6" w:space="0"/>
              <w:right w:val="outset" w:color="000000" w:sz="6" w:space="0"/>
            </w:tcBorders>
            <w:shd w:val="clear" w:color="auto" w:fill="CCFFFF"/>
            <w:vAlign w:val="center"/>
          </w:tcPr>
          <w:p>
            <w:pPr>
              <w:rPr>
                <w:kern w:val="0"/>
              </w:rPr>
            </w:pPr>
            <w:r>
              <w:rPr>
                <w:rFonts w:hint="eastAsia"/>
                <w:kern w:val="0"/>
              </w:rPr>
              <w:t>进入自选股列表界面</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tcBorders>
              <w:top w:val="outset" w:color="000000" w:sz="6" w:space="0"/>
              <w:left w:val="outset" w:color="000000" w:sz="6" w:space="0"/>
              <w:bottom w:val="outset" w:color="000000" w:sz="6" w:space="0"/>
              <w:right w:val="outset" w:color="000000" w:sz="6" w:space="0"/>
            </w:tcBorders>
            <w:shd w:val="clear" w:color="auto" w:fill="FFFFCC"/>
            <w:vAlign w:val="center"/>
          </w:tcPr>
          <w:p>
            <w:pPr>
              <w:rPr>
                <w:kern w:val="0"/>
              </w:rPr>
            </w:pPr>
            <w:r>
              <w:rPr>
                <w:rFonts w:hint="eastAsia"/>
                <w:kern w:val="0"/>
              </w:rPr>
              <w:t>分析图、分时图中Ctrl+回车(无十字线)</w:t>
            </w:r>
          </w:p>
        </w:tc>
        <w:tc>
          <w:tcPr>
            <w:tcW w:w="0" w:type="auto"/>
            <w:tcBorders>
              <w:top w:val="outset" w:color="000000" w:sz="6" w:space="0"/>
              <w:left w:val="outset" w:color="000000" w:sz="6" w:space="0"/>
              <w:bottom w:val="outset" w:color="000000" w:sz="6" w:space="0"/>
              <w:right w:val="outset" w:color="000000" w:sz="6" w:space="0"/>
            </w:tcBorders>
            <w:shd w:val="clear" w:color="auto" w:fill="FFFFCC"/>
            <w:vAlign w:val="center"/>
          </w:tcPr>
          <w:p>
            <w:pPr>
              <w:rPr>
                <w:kern w:val="0"/>
              </w:rPr>
            </w:pPr>
            <w:r>
              <w:rPr>
                <w:rFonts w:hint="eastAsia"/>
                <w:kern w:val="0"/>
              </w:rPr>
              <w:t>返回在行情列表中的位置</w:t>
            </w:r>
          </w:p>
        </w:tc>
        <w:tc>
          <w:tcPr>
            <w:tcW w:w="0" w:type="auto"/>
            <w:tcBorders>
              <w:top w:val="outset" w:color="000000" w:sz="6" w:space="0"/>
              <w:left w:val="outset" w:color="000000" w:sz="6" w:space="0"/>
              <w:bottom w:val="outset" w:color="000000" w:sz="6" w:space="0"/>
              <w:right w:val="outset" w:color="000000" w:sz="6" w:space="0"/>
            </w:tcBorders>
            <w:shd w:val="clear" w:color="auto" w:fill="CCFFFF"/>
            <w:vAlign w:val="center"/>
          </w:tcPr>
          <w:p>
            <w:pPr>
              <w:rPr>
                <w:kern w:val="0"/>
              </w:rPr>
            </w:pPr>
            <w:r>
              <w:rPr>
                <w:rFonts w:hint="eastAsia"/>
                <w:kern w:val="0"/>
              </w:rPr>
              <w:t>分析图/分时图右侧坐标轴双击</w:t>
            </w:r>
          </w:p>
        </w:tc>
        <w:tc>
          <w:tcPr>
            <w:tcW w:w="0" w:type="auto"/>
            <w:tcBorders>
              <w:top w:val="outset" w:color="000000" w:sz="6" w:space="0"/>
              <w:left w:val="outset" w:color="000000" w:sz="6" w:space="0"/>
              <w:bottom w:val="outset" w:color="000000" w:sz="6" w:space="0"/>
              <w:right w:val="outset" w:color="000000" w:sz="6" w:space="0"/>
            </w:tcBorders>
            <w:shd w:val="clear" w:color="auto" w:fill="CCFFFF"/>
            <w:vAlign w:val="center"/>
          </w:tcPr>
          <w:p>
            <w:pPr>
              <w:rPr>
                <w:kern w:val="0"/>
              </w:rPr>
            </w:pPr>
            <w:r>
              <w:rPr>
                <w:rFonts w:hint="eastAsia"/>
                <w:kern w:val="0"/>
              </w:rPr>
              <w:t>分析图/分时图切换</w:t>
            </w:r>
          </w:p>
        </w:tc>
      </w:tr>
    </w:tbl>
    <w:p>
      <w:pPr>
        <w:rPr>
          <w:kern w:val="0"/>
        </w:rPr>
      </w:pPr>
      <w:r>
        <w:rPr>
          <w:rFonts w:hint="eastAsia"/>
          <w:kern w:val="0"/>
        </w:rPr>
        <w:t> </w:t>
      </w:r>
    </w:p>
    <w:tbl>
      <w:tblPr>
        <w:tblStyle w:val="25"/>
        <w:tblW w:w="0" w:type="auto"/>
        <w:tblCellSpacing w:w="0" w:type="dxa"/>
        <w:tblInd w:w="0" w:type="dxa"/>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Layout w:type="autofit"/>
        <w:tblCellMar>
          <w:top w:w="0" w:type="dxa"/>
          <w:left w:w="0" w:type="dxa"/>
          <w:bottom w:w="0" w:type="dxa"/>
          <w:right w:w="0" w:type="dxa"/>
        </w:tblCellMar>
      </w:tblPr>
      <w:tblGrid>
        <w:gridCol w:w="891"/>
        <w:gridCol w:w="2212"/>
        <w:gridCol w:w="510"/>
        <w:gridCol w:w="2098"/>
        <w:gridCol w:w="2102"/>
        <w:gridCol w:w="2095"/>
        <w:gridCol w:w="2102"/>
        <w:gridCol w:w="1978"/>
      </w:tblGrid>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gridSpan w:val="2"/>
            <w:tcBorders>
              <w:top w:val="outset" w:color="000000" w:sz="6" w:space="0"/>
              <w:left w:val="outset" w:color="000000" w:sz="6" w:space="0"/>
              <w:bottom w:val="outset" w:color="000000" w:sz="6" w:space="0"/>
              <w:right w:val="outset" w:color="000000" w:sz="6" w:space="0"/>
            </w:tcBorders>
            <w:vAlign w:val="center"/>
          </w:tcPr>
          <w:p>
            <w:pPr>
              <w:rPr>
                <w:b/>
                <w:bCs/>
                <w:color w:val="FF0000"/>
                <w:kern w:val="0"/>
              </w:rPr>
            </w:pPr>
            <w:r>
              <w:rPr>
                <w:rFonts w:hint="eastAsia"/>
                <w:b/>
                <w:bCs/>
                <w:color w:val="FF0000"/>
                <w:kern w:val="0"/>
              </w:rPr>
              <w:t>点快捷键系列（键盘精灵）：</w:t>
            </w:r>
          </w:p>
        </w:tc>
        <w:tc>
          <w:tcPr>
            <w:tcW w:w="360" w:type="dxa"/>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　</w:t>
            </w:r>
          </w:p>
        </w:tc>
        <w:tc>
          <w:tcPr>
            <w:tcW w:w="2145" w:type="dxa"/>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　</w:t>
            </w:r>
          </w:p>
        </w:tc>
        <w:tc>
          <w:tcPr>
            <w:tcW w:w="2145" w:type="dxa"/>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　</w:t>
            </w:r>
          </w:p>
        </w:tc>
        <w:tc>
          <w:tcPr>
            <w:tcW w:w="2145" w:type="dxa"/>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　</w:t>
            </w:r>
          </w:p>
        </w:tc>
        <w:tc>
          <w:tcPr>
            <w:tcW w:w="2145" w:type="dxa"/>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　</w:t>
            </w:r>
          </w:p>
        </w:tc>
        <w:tc>
          <w:tcPr>
            <w:tcW w:w="2025" w:type="dxa"/>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　</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825" w:type="dxa"/>
            <w:tcBorders>
              <w:top w:val="outset" w:color="000000" w:sz="6" w:space="0"/>
              <w:left w:val="outset" w:color="000000" w:sz="6" w:space="0"/>
              <w:bottom w:val="outset" w:color="000000" w:sz="6" w:space="0"/>
              <w:right w:val="outset" w:color="000000" w:sz="6" w:space="0"/>
            </w:tcBorders>
            <w:shd w:val="clear" w:color="auto" w:fill="FFFFCC"/>
            <w:vAlign w:val="center"/>
          </w:tcPr>
          <w:p>
            <w:pPr>
              <w:rPr>
                <w:kern w:val="0"/>
              </w:rPr>
            </w:pPr>
            <w:r>
              <w:rPr>
                <w:rFonts w:hint="eastAsia"/>
                <w:kern w:val="0"/>
              </w:rPr>
              <w:t>热键</w:t>
            </w:r>
          </w:p>
        </w:tc>
        <w:tc>
          <w:tcPr>
            <w:tcW w:w="2055" w:type="dxa"/>
            <w:tcBorders>
              <w:top w:val="outset" w:color="000000" w:sz="6" w:space="0"/>
              <w:left w:val="outset" w:color="000000" w:sz="6" w:space="0"/>
              <w:bottom w:val="outset" w:color="000000" w:sz="6" w:space="0"/>
              <w:right w:val="outset" w:color="000000" w:sz="6" w:space="0"/>
            </w:tcBorders>
            <w:shd w:val="clear" w:color="auto" w:fill="FFFFCC"/>
            <w:vAlign w:val="center"/>
          </w:tcPr>
          <w:p>
            <w:pPr>
              <w:rPr>
                <w:kern w:val="0"/>
              </w:rPr>
            </w:pPr>
            <w:r>
              <w:rPr>
                <w:rFonts w:hint="eastAsia"/>
                <w:kern w:val="0"/>
              </w:rPr>
              <w:t>功能</w:t>
            </w:r>
          </w:p>
        </w:tc>
        <w:tc>
          <w:tcPr>
            <w:tcW w:w="0" w:type="auto"/>
            <w:tcBorders>
              <w:top w:val="outset" w:color="000000" w:sz="6" w:space="0"/>
              <w:left w:val="outset" w:color="000000" w:sz="6" w:space="0"/>
              <w:bottom w:val="outset" w:color="000000" w:sz="6" w:space="0"/>
              <w:right w:val="outset" w:color="000000" w:sz="6" w:space="0"/>
            </w:tcBorders>
            <w:shd w:val="clear" w:color="auto" w:fill="CCFFFF"/>
            <w:vAlign w:val="center"/>
          </w:tcPr>
          <w:p>
            <w:pPr>
              <w:rPr>
                <w:kern w:val="0"/>
              </w:rPr>
            </w:pPr>
            <w:r>
              <w:rPr>
                <w:rFonts w:hint="eastAsia"/>
                <w:kern w:val="0"/>
              </w:rPr>
              <w:t>热键</w:t>
            </w:r>
          </w:p>
        </w:tc>
        <w:tc>
          <w:tcPr>
            <w:tcW w:w="0" w:type="auto"/>
            <w:tcBorders>
              <w:top w:val="outset" w:color="000000" w:sz="6" w:space="0"/>
              <w:left w:val="outset" w:color="000000" w:sz="6" w:space="0"/>
              <w:bottom w:val="outset" w:color="000000" w:sz="6" w:space="0"/>
              <w:right w:val="outset" w:color="000000" w:sz="6" w:space="0"/>
            </w:tcBorders>
            <w:shd w:val="clear" w:color="auto" w:fill="CCFFFF"/>
            <w:vAlign w:val="center"/>
          </w:tcPr>
          <w:p>
            <w:pPr>
              <w:rPr>
                <w:kern w:val="0"/>
              </w:rPr>
            </w:pPr>
            <w:r>
              <w:rPr>
                <w:rFonts w:hint="eastAsia"/>
                <w:kern w:val="0"/>
              </w:rPr>
              <w:t>功能</w:t>
            </w:r>
          </w:p>
        </w:tc>
        <w:tc>
          <w:tcPr>
            <w:tcW w:w="0" w:type="auto"/>
            <w:tcBorders>
              <w:top w:val="outset" w:color="000000" w:sz="6" w:space="0"/>
              <w:left w:val="outset" w:color="000000" w:sz="6" w:space="0"/>
              <w:bottom w:val="outset" w:color="000000" w:sz="6" w:space="0"/>
              <w:right w:val="outset" w:color="000000" w:sz="6" w:space="0"/>
            </w:tcBorders>
            <w:shd w:val="clear" w:color="auto" w:fill="99CCFF"/>
            <w:vAlign w:val="center"/>
          </w:tcPr>
          <w:p>
            <w:pPr>
              <w:rPr>
                <w:kern w:val="0"/>
              </w:rPr>
            </w:pPr>
            <w:r>
              <w:rPr>
                <w:rFonts w:hint="eastAsia"/>
                <w:kern w:val="0"/>
              </w:rPr>
              <w:t>热键</w:t>
            </w:r>
          </w:p>
        </w:tc>
        <w:tc>
          <w:tcPr>
            <w:tcW w:w="0" w:type="auto"/>
            <w:tcBorders>
              <w:top w:val="outset" w:color="000000" w:sz="6" w:space="0"/>
              <w:left w:val="outset" w:color="000000" w:sz="6" w:space="0"/>
              <w:bottom w:val="outset" w:color="000000" w:sz="6" w:space="0"/>
              <w:right w:val="outset" w:color="000000" w:sz="6" w:space="0"/>
            </w:tcBorders>
            <w:shd w:val="clear" w:color="auto" w:fill="99CCFF"/>
            <w:vAlign w:val="center"/>
          </w:tcPr>
          <w:p>
            <w:pPr>
              <w:rPr>
                <w:kern w:val="0"/>
              </w:rPr>
            </w:pPr>
            <w:r>
              <w:rPr>
                <w:rFonts w:hint="eastAsia"/>
                <w:kern w:val="0"/>
              </w:rPr>
              <w:t>功能</w:t>
            </w:r>
          </w:p>
        </w:tc>
        <w:tc>
          <w:tcPr>
            <w:tcW w:w="0" w:type="auto"/>
            <w:tcBorders>
              <w:top w:val="outset" w:color="000000" w:sz="6" w:space="0"/>
              <w:left w:val="outset" w:color="000000" w:sz="6" w:space="0"/>
              <w:bottom w:val="outset" w:color="000000" w:sz="6" w:space="0"/>
              <w:right w:val="outset" w:color="000000" w:sz="6" w:space="0"/>
            </w:tcBorders>
            <w:shd w:val="clear" w:color="auto" w:fill="CCCCFF"/>
            <w:vAlign w:val="center"/>
          </w:tcPr>
          <w:p>
            <w:pPr>
              <w:rPr>
                <w:kern w:val="0"/>
              </w:rPr>
            </w:pPr>
            <w:r>
              <w:rPr>
                <w:rFonts w:hint="eastAsia"/>
                <w:kern w:val="0"/>
              </w:rPr>
              <w:t>热键</w:t>
            </w:r>
          </w:p>
        </w:tc>
        <w:tc>
          <w:tcPr>
            <w:tcW w:w="0" w:type="auto"/>
            <w:tcBorders>
              <w:top w:val="outset" w:color="000000" w:sz="6" w:space="0"/>
              <w:left w:val="outset" w:color="000000" w:sz="6" w:space="0"/>
              <w:bottom w:val="outset" w:color="000000" w:sz="6" w:space="0"/>
              <w:right w:val="outset" w:color="000000" w:sz="6" w:space="0"/>
            </w:tcBorders>
            <w:shd w:val="clear" w:color="auto" w:fill="CCCCFF"/>
            <w:vAlign w:val="center"/>
          </w:tcPr>
          <w:p>
            <w:pPr>
              <w:rPr>
                <w:kern w:val="0"/>
              </w:rPr>
            </w:pPr>
            <w:r>
              <w:rPr>
                <w:rFonts w:hint="eastAsia"/>
                <w:kern w:val="0"/>
              </w:rPr>
              <w:t>功能</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.400</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板块分析</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.504</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逐笔成交明细</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.907</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智能选股</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.922</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性价比换股器</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.401</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历史行情.指标排序</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.506</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量比(多空)指标</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.908</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插件选股</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.930</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系统设置</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.402</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强弱分析</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.507</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买卖力道(涨跌率)</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.909</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综合选股</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.931</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自定义板块设置</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.403</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区间涨跌幅度</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.508</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闪电走势图</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.910</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市场雷达设置</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.932</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通讯设置</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.404</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区间换手排名</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.900</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公式管理器</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.911</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市场雷达列表</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.933</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盘后数据下载</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.405</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区间量变幅度</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.901</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自定义数据管理器</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.912</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金融计算器</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.934</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数据维护工具</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.406</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区间振荡幅度</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.902</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扩展数据管理器</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.913</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品种组合计算</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.0XX</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定制版面系列</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.5</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分时走势图</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.903</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程序交易测试系统</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.915</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金融记事本</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.1XX</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大盘行情走势系列</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.501</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分时走势图</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.904</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探索最佳专家系统</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.918</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条件预警设置</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.2XX</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行情栏目排名系列</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.502</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分时成交明细</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.905</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条件选股</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.919</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条件预警列表</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.3XX</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技术分析指标系列</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.503</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分价表</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.906</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定制选股</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.921</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自动选股设置</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.6XX</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扩展市场行情系列</w:t>
            </w:r>
          </w:p>
        </w:tc>
      </w:tr>
    </w:tbl>
    <w:p>
      <w:pPr>
        <w:rPr>
          <w:kern w:val="0"/>
        </w:rPr>
      </w:pPr>
      <w:r>
        <w:rPr>
          <w:rFonts w:hint="eastAsia"/>
          <w:kern w:val="0"/>
        </w:rPr>
        <w:t> </w:t>
      </w:r>
    </w:p>
    <w:tbl>
      <w:tblPr>
        <w:tblStyle w:val="25"/>
        <w:tblW w:w="0" w:type="auto"/>
        <w:tblCellSpacing w:w="0" w:type="dxa"/>
        <w:tblInd w:w="0" w:type="dxa"/>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Layout w:type="autofit"/>
        <w:tblCellMar>
          <w:top w:w="0" w:type="dxa"/>
          <w:left w:w="0" w:type="dxa"/>
          <w:bottom w:w="0" w:type="dxa"/>
          <w:right w:w="0" w:type="dxa"/>
        </w:tblCellMar>
      </w:tblPr>
      <w:tblGrid>
        <w:gridCol w:w="870"/>
        <w:gridCol w:w="1950"/>
        <w:gridCol w:w="840"/>
        <w:gridCol w:w="2145"/>
        <w:gridCol w:w="930"/>
        <w:gridCol w:w="1995"/>
        <w:gridCol w:w="780"/>
        <w:gridCol w:w="2445"/>
      </w:tblGrid>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gridSpan w:val="2"/>
            <w:tcBorders>
              <w:top w:val="outset" w:color="000000" w:sz="6" w:space="0"/>
              <w:left w:val="outset" w:color="000000" w:sz="6" w:space="0"/>
              <w:bottom w:val="outset" w:color="000000" w:sz="6" w:space="0"/>
              <w:right w:val="outset" w:color="000000" w:sz="6" w:space="0"/>
            </w:tcBorders>
            <w:shd w:val="clear" w:color="auto" w:fill="FFFFCC"/>
            <w:vAlign w:val="center"/>
          </w:tcPr>
          <w:p>
            <w:pPr>
              <w:rPr>
                <w:b/>
                <w:bCs/>
                <w:color w:val="FF0000"/>
                <w:kern w:val="0"/>
              </w:rPr>
            </w:pPr>
            <w:r>
              <w:rPr>
                <w:rFonts w:hint="eastAsia"/>
                <w:b/>
                <w:bCs/>
                <w:color w:val="FF0000"/>
                <w:kern w:val="0"/>
              </w:rPr>
              <w:t>数字系列（键盘精灵）：</w:t>
            </w:r>
          </w:p>
        </w:tc>
        <w:tc>
          <w:tcPr>
            <w:tcW w:w="840" w:type="dxa"/>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　</w:t>
            </w:r>
          </w:p>
        </w:tc>
        <w:tc>
          <w:tcPr>
            <w:tcW w:w="2145" w:type="dxa"/>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　</w:t>
            </w:r>
          </w:p>
        </w:tc>
        <w:tc>
          <w:tcPr>
            <w:tcW w:w="930" w:type="dxa"/>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　</w:t>
            </w:r>
          </w:p>
        </w:tc>
        <w:tc>
          <w:tcPr>
            <w:tcW w:w="1995" w:type="dxa"/>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　</w:t>
            </w:r>
          </w:p>
        </w:tc>
        <w:tc>
          <w:tcPr>
            <w:tcW w:w="780" w:type="dxa"/>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　</w:t>
            </w:r>
          </w:p>
        </w:tc>
        <w:tc>
          <w:tcPr>
            <w:tcW w:w="2445" w:type="dxa"/>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　</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870" w:type="dxa"/>
            <w:tcBorders>
              <w:top w:val="outset" w:color="000000" w:sz="6" w:space="0"/>
              <w:left w:val="outset" w:color="000000" w:sz="6" w:space="0"/>
              <w:bottom w:val="outset" w:color="000000" w:sz="6" w:space="0"/>
              <w:right w:val="outset" w:color="000000" w:sz="6" w:space="0"/>
            </w:tcBorders>
            <w:shd w:val="clear" w:color="auto" w:fill="FFFFCC"/>
            <w:vAlign w:val="center"/>
          </w:tcPr>
          <w:p>
            <w:pPr>
              <w:rPr>
                <w:kern w:val="0"/>
              </w:rPr>
            </w:pPr>
            <w:r>
              <w:rPr>
                <w:rFonts w:hint="eastAsia"/>
                <w:kern w:val="0"/>
              </w:rPr>
              <w:t>热键</w:t>
            </w:r>
          </w:p>
        </w:tc>
        <w:tc>
          <w:tcPr>
            <w:tcW w:w="1755" w:type="dxa"/>
            <w:tcBorders>
              <w:top w:val="outset" w:color="000000" w:sz="6" w:space="0"/>
              <w:left w:val="outset" w:color="000000" w:sz="6" w:space="0"/>
              <w:bottom w:val="outset" w:color="000000" w:sz="6" w:space="0"/>
              <w:right w:val="outset" w:color="000000" w:sz="6" w:space="0"/>
            </w:tcBorders>
            <w:shd w:val="clear" w:color="auto" w:fill="FFFFCC"/>
            <w:vAlign w:val="center"/>
          </w:tcPr>
          <w:p>
            <w:pPr>
              <w:rPr>
                <w:kern w:val="0"/>
              </w:rPr>
            </w:pPr>
            <w:r>
              <w:rPr>
                <w:rFonts w:hint="eastAsia"/>
                <w:kern w:val="0"/>
              </w:rPr>
              <w:t>对应功能</w:t>
            </w:r>
          </w:p>
        </w:tc>
        <w:tc>
          <w:tcPr>
            <w:tcW w:w="0" w:type="auto"/>
            <w:tcBorders>
              <w:top w:val="outset" w:color="000000" w:sz="6" w:space="0"/>
              <w:left w:val="outset" w:color="000000" w:sz="6" w:space="0"/>
              <w:bottom w:val="outset" w:color="000000" w:sz="6" w:space="0"/>
              <w:right w:val="outset" w:color="000000" w:sz="6" w:space="0"/>
            </w:tcBorders>
            <w:shd w:val="clear" w:color="auto" w:fill="CCFFFF"/>
            <w:vAlign w:val="center"/>
          </w:tcPr>
          <w:p>
            <w:pPr>
              <w:rPr>
                <w:kern w:val="0"/>
              </w:rPr>
            </w:pPr>
            <w:r>
              <w:rPr>
                <w:rFonts w:hint="eastAsia"/>
                <w:kern w:val="0"/>
              </w:rPr>
              <w:t>热键</w:t>
            </w:r>
          </w:p>
        </w:tc>
        <w:tc>
          <w:tcPr>
            <w:tcW w:w="0" w:type="auto"/>
            <w:tcBorders>
              <w:top w:val="outset" w:color="000000" w:sz="6" w:space="0"/>
              <w:left w:val="outset" w:color="000000" w:sz="6" w:space="0"/>
              <w:bottom w:val="outset" w:color="000000" w:sz="6" w:space="0"/>
              <w:right w:val="outset" w:color="000000" w:sz="6" w:space="0"/>
            </w:tcBorders>
            <w:shd w:val="clear" w:color="auto" w:fill="CCFFFF"/>
            <w:vAlign w:val="center"/>
          </w:tcPr>
          <w:p>
            <w:pPr>
              <w:rPr>
                <w:kern w:val="0"/>
              </w:rPr>
            </w:pPr>
            <w:r>
              <w:rPr>
                <w:rFonts w:hint="eastAsia"/>
                <w:kern w:val="0"/>
              </w:rPr>
              <w:t>对应功能</w:t>
            </w:r>
          </w:p>
        </w:tc>
        <w:tc>
          <w:tcPr>
            <w:tcW w:w="0" w:type="auto"/>
            <w:tcBorders>
              <w:top w:val="outset" w:color="000000" w:sz="6" w:space="0"/>
              <w:left w:val="outset" w:color="000000" w:sz="6" w:space="0"/>
              <w:bottom w:val="outset" w:color="000000" w:sz="6" w:space="0"/>
              <w:right w:val="outset" w:color="000000" w:sz="6" w:space="0"/>
            </w:tcBorders>
            <w:shd w:val="clear" w:color="auto" w:fill="99CCFF"/>
            <w:vAlign w:val="center"/>
          </w:tcPr>
          <w:p>
            <w:pPr>
              <w:rPr>
                <w:kern w:val="0"/>
              </w:rPr>
            </w:pPr>
            <w:r>
              <w:rPr>
                <w:rFonts w:hint="eastAsia"/>
                <w:kern w:val="0"/>
              </w:rPr>
              <w:t>热键</w:t>
            </w:r>
          </w:p>
        </w:tc>
        <w:tc>
          <w:tcPr>
            <w:tcW w:w="0" w:type="auto"/>
            <w:tcBorders>
              <w:top w:val="outset" w:color="000000" w:sz="6" w:space="0"/>
              <w:left w:val="outset" w:color="000000" w:sz="6" w:space="0"/>
              <w:bottom w:val="outset" w:color="000000" w:sz="6" w:space="0"/>
              <w:right w:val="outset" w:color="000000" w:sz="6" w:space="0"/>
            </w:tcBorders>
            <w:shd w:val="clear" w:color="auto" w:fill="99CCFF"/>
            <w:vAlign w:val="center"/>
          </w:tcPr>
          <w:p>
            <w:pPr>
              <w:rPr>
                <w:kern w:val="0"/>
              </w:rPr>
            </w:pPr>
            <w:r>
              <w:rPr>
                <w:rFonts w:hint="eastAsia"/>
                <w:kern w:val="0"/>
              </w:rPr>
              <w:t>对应功能</w:t>
            </w:r>
          </w:p>
        </w:tc>
        <w:tc>
          <w:tcPr>
            <w:tcW w:w="0" w:type="auto"/>
            <w:tcBorders>
              <w:top w:val="outset" w:color="000000" w:sz="6" w:space="0"/>
              <w:left w:val="outset" w:color="000000" w:sz="6" w:space="0"/>
              <w:bottom w:val="outset" w:color="000000" w:sz="6" w:space="0"/>
              <w:right w:val="outset" w:color="000000" w:sz="6" w:space="0"/>
            </w:tcBorders>
            <w:shd w:val="clear" w:color="auto" w:fill="CCCCFF"/>
            <w:vAlign w:val="center"/>
          </w:tcPr>
          <w:p>
            <w:pPr>
              <w:rPr>
                <w:kern w:val="0"/>
              </w:rPr>
            </w:pPr>
            <w:r>
              <w:rPr>
                <w:rFonts w:hint="eastAsia"/>
                <w:kern w:val="0"/>
              </w:rPr>
              <w:t>热键</w:t>
            </w:r>
          </w:p>
        </w:tc>
        <w:tc>
          <w:tcPr>
            <w:tcW w:w="0" w:type="auto"/>
            <w:tcBorders>
              <w:top w:val="outset" w:color="000000" w:sz="6" w:space="0"/>
              <w:left w:val="outset" w:color="000000" w:sz="6" w:space="0"/>
              <w:bottom w:val="outset" w:color="000000" w:sz="6" w:space="0"/>
              <w:right w:val="outset" w:color="000000" w:sz="6" w:space="0"/>
            </w:tcBorders>
            <w:shd w:val="clear" w:color="auto" w:fill="CCCCFF"/>
            <w:vAlign w:val="center"/>
          </w:tcPr>
          <w:p>
            <w:pPr>
              <w:rPr>
                <w:kern w:val="0"/>
              </w:rPr>
            </w:pPr>
            <w:r>
              <w:rPr>
                <w:rFonts w:hint="eastAsia"/>
                <w:kern w:val="0"/>
              </w:rPr>
              <w:t>对应功能</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06</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自选股</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51</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第一个自定义板块</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611</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沪深权证涨幅排名</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812</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创业板综合排名</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1</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上证A股</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52</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第二个自定义板块</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612</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创业板涨幅排名</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815</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板块指数综合排名</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2</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上证B股</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53</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第三个自定义板块</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613</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切换涨幅排名</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818</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科创板综合排名</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3</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深证A股</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54</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第四个自定义板块</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615</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板块指数涨幅排名</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91</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1分钟线</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4</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深证B股</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55</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第五个自定义板块</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618</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科创板涨幅排名</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92</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5分钟线</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5</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上证债券</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56</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第六个自定义板块</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671</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港股通涨幅排名</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93</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15分钟线</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6</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深证债券</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57</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第七个自定义板块</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70</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财经资讯</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94</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30分钟线</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7</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全部A股</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58</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第八个自定义板块</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71</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分类资讯</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95</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60分钟线</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8</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全部B股</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59</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第九个自定义板块</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73</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问董秘</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96</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日线</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9</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北证A股</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500</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中证500走势</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80</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全部A综合排名</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97</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周线</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18</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科创板</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60</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全部A涨幅排名</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81</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沪A综合排名</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98</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月线</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41</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仅显示当日数据</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61</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上证A涨幅排名</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82</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沪B综合排名</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99</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10分钟</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42</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锁定显示开始日期</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62</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上证B涨幅排名</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83</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深A综合排名</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910</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45日线</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45</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未回补跳空缺口</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63</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深证A涨幅排名</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84</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深B综合排名</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911</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季线</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46</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沙盘推演</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64</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深证B涨幅排名</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85</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沪债综合排名</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912</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年线</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47</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训练模式</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65</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上证债涨幅排名</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86</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深债综合排名</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998</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沪深主要指数</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48</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最近浏览品种</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66</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深证渍涨幅排名</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87</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全部A综合排名</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999</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上证重点指数</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49</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锁定显示截止日期</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67</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全部A涨幅排名</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88</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全部B综合排名</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100</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深证100走势</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blCellSpacing w:w="0" w:type="dxa"/>
        </w:trPr>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50</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上证50走势</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68</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全部B涨幅排名</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89</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北证A股综合排名</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180</w:t>
            </w:r>
          </w:p>
        </w:tc>
        <w:tc>
          <w:tcPr>
            <w:tcW w:w="0" w:type="auto"/>
            <w:tcBorders>
              <w:top w:val="outset" w:color="000000" w:sz="6" w:space="0"/>
              <w:left w:val="outset" w:color="000000" w:sz="6" w:space="0"/>
              <w:bottom w:val="outset" w:color="000000" w:sz="6" w:space="0"/>
              <w:right w:val="outset" w:color="000000" w:sz="6" w:space="0"/>
            </w:tcBorders>
            <w:vAlign w:val="center"/>
          </w:tcPr>
          <w:p>
            <w:pPr>
              <w:rPr>
                <w:kern w:val="0"/>
              </w:rPr>
            </w:pPr>
            <w:r>
              <w:rPr>
                <w:rFonts w:hint="eastAsia"/>
                <w:kern w:val="0"/>
              </w:rPr>
              <w:t>上证180走势</w:t>
            </w:r>
          </w:p>
        </w:tc>
      </w:tr>
    </w:tbl>
    <w:p>
      <w:pPr>
        <w:pStyle w:val="3"/>
      </w:pPr>
      <w:bookmarkStart w:id="89" w:name="_Toc90646214"/>
      <w:r>
        <w:rPr>
          <w:rFonts w:hint="eastAsia"/>
        </w:rPr>
        <w:t>常用问题与操作方法</w:t>
      </w:r>
      <w:bookmarkEnd w:id="89"/>
    </w:p>
    <w:p>
      <w:pPr>
        <w:pStyle w:val="4"/>
      </w:pPr>
      <w:r>
        <w:rPr>
          <w:rFonts w:hint="eastAsia"/>
        </w:rPr>
        <w:t>板块概念FAQ</w:t>
      </w:r>
    </w:p>
    <w:p>
      <w:pPr>
        <w:pStyle w:val="34"/>
      </w:pPr>
      <w:r>
        <w:rPr>
          <w:rFonts w:hint="eastAsia"/>
          <w:szCs w:val="27"/>
        </w:rPr>
        <w:t>1、通达信88是怎么选取的？</w:t>
      </w:r>
    </w:p>
    <w:p>
      <w:pPr>
        <w:pStyle w:val="34"/>
        <w:rPr>
          <w:szCs w:val="21"/>
        </w:rPr>
      </w:pPr>
      <w:r>
        <w:rPr>
          <w:rFonts w:hint="eastAsia"/>
          <w:szCs w:val="21"/>
        </w:rPr>
        <w:t>通达信88由通达信公司自行编制选取：1.剔除ST股，上市满一年；2.A股总市值达到50亿,A股市值排名行业前5；3.按最新年报的净资产收益率(ROE)降序取对应行业数量的股票。 </w:t>
      </w:r>
    </w:p>
    <w:p>
      <w:pPr>
        <w:pStyle w:val="34"/>
        <w:rPr>
          <w:szCs w:val="21"/>
        </w:rPr>
      </w:pPr>
      <w:r>
        <w:rPr>
          <w:rFonts w:hint="eastAsia"/>
          <w:szCs w:val="21"/>
        </w:rPr>
        <w:t>定期更新：每年5月第一个交易日所在周 </w:t>
      </w:r>
    </w:p>
    <w:p>
      <w:pPr>
        <w:pStyle w:val="34"/>
        <w:rPr>
          <w:szCs w:val="27"/>
        </w:rPr>
      </w:pPr>
      <w:r>
        <w:rPr>
          <w:rFonts w:hint="eastAsia"/>
          <w:szCs w:val="21"/>
        </w:rPr>
        <w:t>其他情况更新：股票ST，退市(剔除)；超级企业上市满一月(可能加入)</w:t>
      </w:r>
    </w:p>
    <w:p>
      <w:pPr>
        <w:pStyle w:val="34"/>
        <w:rPr>
          <w:szCs w:val="21"/>
        </w:rPr>
      </w:pPr>
      <w:r>
        <w:rPr>
          <w:rFonts w:hint="eastAsia"/>
          <w:szCs w:val="27"/>
        </w:rPr>
        <w:t>2、为什么没有增强现实概念？</w:t>
      </w:r>
    </w:p>
    <w:p>
      <w:pPr>
        <w:pStyle w:val="34"/>
        <w:rPr>
          <w:szCs w:val="27"/>
        </w:rPr>
      </w:pPr>
      <w:r>
        <w:rPr>
          <w:rFonts w:hint="eastAsia"/>
          <w:szCs w:val="21"/>
        </w:rPr>
        <w:t>通达信的虚拟现实概念涵盖了虚拟现实(VR)和增强现实(AR).</w:t>
      </w:r>
    </w:p>
    <w:p>
      <w:pPr>
        <w:pStyle w:val="34"/>
        <w:rPr>
          <w:szCs w:val="21"/>
        </w:rPr>
      </w:pPr>
      <w:r>
        <w:rPr>
          <w:rFonts w:hint="eastAsia"/>
          <w:szCs w:val="27"/>
        </w:rPr>
        <w:t>3、为什么没有迪士尼概念?</w:t>
      </w:r>
    </w:p>
    <w:p>
      <w:pPr>
        <w:pStyle w:val="34"/>
        <w:rPr>
          <w:szCs w:val="27"/>
        </w:rPr>
      </w:pPr>
      <w:r>
        <w:rPr>
          <w:rFonts w:hint="eastAsia"/>
          <w:szCs w:val="21"/>
        </w:rPr>
        <w:t>迪士尼概念主要涉及到的是上海本地的上市公司,上海区域已有上海自贸概念,鉴于两个概念成分股重合度较高,故没有设置迪士尼概念.</w:t>
      </w:r>
    </w:p>
    <w:p>
      <w:pPr>
        <w:pStyle w:val="34"/>
        <w:rPr>
          <w:szCs w:val="21"/>
        </w:rPr>
      </w:pPr>
      <w:r>
        <w:rPr>
          <w:rFonts w:hint="eastAsia"/>
          <w:szCs w:val="27"/>
        </w:rPr>
        <w:t>4、什么是证金汇金、养老金？</w:t>
      </w:r>
    </w:p>
    <w:p>
      <w:pPr>
        <w:pStyle w:val="34"/>
        <w:rPr>
          <w:szCs w:val="21"/>
        </w:rPr>
      </w:pPr>
      <w:r>
        <w:rPr>
          <w:rFonts w:hint="eastAsia"/>
          <w:szCs w:val="21"/>
        </w:rPr>
        <w:t>证金汇金：最新报告期十大流通股中中国证券金融股份有限公司，中央汇金投资有限责任公司持股比例之和(剔除股本大于1000亿的公司)排名前400的股票 </w:t>
      </w:r>
    </w:p>
    <w:p>
      <w:pPr>
        <w:pStyle w:val="34"/>
        <w:rPr>
          <w:szCs w:val="27"/>
        </w:rPr>
      </w:pPr>
      <w:r>
        <w:rPr>
          <w:rFonts w:hint="eastAsia"/>
          <w:szCs w:val="21"/>
        </w:rPr>
        <w:t>养老金：指基本养老保险基金持股的上市公司。</w:t>
      </w:r>
    </w:p>
    <w:p>
      <w:pPr>
        <w:pStyle w:val="34"/>
        <w:rPr>
          <w:szCs w:val="21"/>
        </w:rPr>
      </w:pPr>
      <w:r>
        <w:rPr>
          <w:rFonts w:hint="eastAsia"/>
          <w:szCs w:val="27"/>
        </w:rPr>
        <w:t>5、个人持股、基金独门的选取标准是什么？</w:t>
      </w:r>
    </w:p>
    <w:p>
      <w:pPr>
        <w:pStyle w:val="34"/>
        <w:rPr>
          <w:szCs w:val="21"/>
        </w:rPr>
      </w:pPr>
      <w:r>
        <w:rPr>
          <w:rFonts w:hint="eastAsia"/>
          <w:szCs w:val="21"/>
        </w:rPr>
        <w:t>个人持股：上市满半年、十大流通股东全为自然人的股票. </w:t>
      </w:r>
    </w:p>
    <w:p>
      <w:pPr>
        <w:pStyle w:val="34"/>
        <w:rPr>
          <w:szCs w:val="27"/>
        </w:rPr>
      </w:pPr>
      <w:r>
        <w:rPr>
          <w:rFonts w:hint="eastAsia"/>
          <w:szCs w:val="21"/>
        </w:rPr>
        <w:t>基金独门：只有一个基金公司持股的股票，且持股占流通A股比例&gt;1%；以基金投资前十名股票为样本.</w:t>
      </w:r>
    </w:p>
    <w:p>
      <w:pPr>
        <w:pStyle w:val="34"/>
        <w:rPr>
          <w:szCs w:val="21"/>
        </w:rPr>
      </w:pPr>
      <w:r>
        <w:rPr>
          <w:rFonts w:hint="eastAsia"/>
          <w:szCs w:val="27"/>
        </w:rPr>
        <w:t>6、昨日涨停、昨日较强、昨日较弱、昨日振荡、昨日首板、昨日连板、昨日上榜、近期新高、近期新低、昨高换手、昨成交20、昨收活跃、近端次新、次新超跌、最近闪拉、最近闪跌、最近多板、最近异动是怎么划分的？</w:t>
      </w:r>
    </w:p>
    <w:p>
      <w:pPr>
        <w:pStyle w:val="34"/>
        <w:rPr>
          <w:szCs w:val="21"/>
        </w:rPr>
      </w:pPr>
      <w:r>
        <w:rPr>
          <w:rFonts w:hint="eastAsia"/>
          <w:szCs w:val="21"/>
        </w:rPr>
        <w:t>昨日涨停：涨停个股,剔除新股上市、新股上市连板未打开、新股首次开板当天重新涨停、复牌不设涨跌幅限制的股票；如果当日成分股数量小于3,将当日数据补充到昨日成分股中. </w:t>
      </w:r>
    </w:p>
    <w:p>
      <w:pPr>
        <w:pStyle w:val="34"/>
        <w:rPr>
          <w:szCs w:val="21"/>
        </w:rPr>
      </w:pPr>
      <w:r>
        <w:rPr>
          <w:rFonts w:hint="eastAsia"/>
          <w:szCs w:val="21"/>
        </w:rPr>
        <w:t>昨日较强：涨幅大于等于5,小于等于7的非ST股票.(科创板、创业板涨幅标准为：10-14) </w:t>
      </w:r>
    </w:p>
    <w:p>
      <w:pPr>
        <w:pStyle w:val="34"/>
        <w:rPr>
          <w:szCs w:val="21"/>
        </w:rPr>
      </w:pPr>
      <w:r>
        <w:rPr>
          <w:rFonts w:hint="eastAsia"/>
          <w:szCs w:val="21"/>
        </w:rPr>
        <w:t>昨日较弱：跌幅大于等于-7,小于等于-5的非ST股票.(科创板、创业板涨幅标准为：-14至-10) </w:t>
      </w:r>
    </w:p>
    <w:p>
      <w:pPr>
        <w:pStyle w:val="34"/>
        <w:rPr>
          <w:szCs w:val="21"/>
        </w:rPr>
      </w:pPr>
      <w:r>
        <w:rPr>
          <w:rFonts w:hint="eastAsia"/>
          <w:szCs w:val="21"/>
        </w:rPr>
        <w:t>昨日振荡：振幅&gt;8(科创板、创业板振幅为16)；最低&lt;昨收；最高&gt;昨收；剔除新股上市、复牌无涨跌限制、昨日涨停、跌停的股票；若成分股不足20只,调整振幅&gt;7,其他不变. </w:t>
      </w:r>
    </w:p>
    <w:p>
      <w:pPr>
        <w:pStyle w:val="34"/>
        <w:rPr>
          <w:szCs w:val="21"/>
        </w:rPr>
      </w:pPr>
      <w:r>
        <w:rPr>
          <w:rFonts w:hint="eastAsia"/>
          <w:szCs w:val="21"/>
        </w:rPr>
        <w:t>昨日首板：最近一段时间(5个交易日)内第一次涨停 </w:t>
      </w:r>
    </w:p>
    <w:p>
      <w:pPr>
        <w:pStyle w:val="34"/>
        <w:rPr>
          <w:szCs w:val="21"/>
        </w:rPr>
      </w:pPr>
      <w:r>
        <w:rPr>
          <w:rFonts w:hint="eastAsia"/>
          <w:szCs w:val="21"/>
        </w:rPr>
        <w:t>昨日连板：近两天收盘涨停，不包含新股未开板，新股首次开板当天重新涨停. </w:t>
      </w:r>
    </w:p>
    <w:p>
      <w:pPr>
        <w:pStyle w:val="34"/>
        <w:rPr>
          <w:szCs w:val="21"/>
        </w:rPr>
      </w:pPr>
      <w:r>
        <w:rPr>
          <w:rFonts w:hint="eastAsia"/>
          <w:szCs w:val="21"/>
        </w:rPr>
        <w:t>昨日上榜：最新交易日出现在龙虎榜的成分股，剔除新股未开板、ST、*ST、退市整理期的股票 </w:t>
      </w:r>
    </w:p>
    <w:p>
      <w:pPr>
        <w:pStyle w:val="34"/>
        <w:rPr>
          <w:szCs w:val="21"/>
        </w:rPr>
      </w:pPr>
      <w:r>
        <w:rPr>
          <w:rFonts w:hint="eastAsia"/>
          <w:szCs w:val="21"/>
        </w:rPr>
        <w:t>近期新高：近3天创出近250天(周期会进行调整)新高(前复权),剔除掉上市未满60天、停牌的股票. </w:t>
      </w:r>
    </w:p>
    <w:p>
      <w:pPr>
        <w:pStyle w:val="34"/>
        <w:rPr>
          <w:szCs w:val="21"/>
        </w:rPr>
      </w:pPr>
      <w:r>
        <w:rPr>
          <w:rFonts w:hint="eastAsia"/>
          <w:szCs w:val="21"/>
        </w:rPr>
        <w:t>近期新低：近3天创出近250天(周期会进行调整)新低(前复权),剔除掉上市未满60天、停牌的股票. </w:t>
      </w:r>
    </w:p>
    <w:p>
      <w:pPr>
        <w:pStyle w:val="34"/>
        <w:rPr>
          <w:szCs w:val="21"/>
        </w:rPr>
      </w:pPr>
      <w:r>
        <w:rPr>
          <w:rFonts w:hint="eastAsia"/>
          <w:szCs w:val="21"/>
        </w:rPr>
        <w:t>昨高换手：昨日换手率达到15%(科创板、创业板为30%)的股票. </w:t>
      </w:r>
    </w:p>
    <w:p>
      <w:pPr>
        <w:pStyle w:val="34"/>
        <w:rPr>
          <w:szCs w:val="21"/>
        </w:rPr>
      </w:pPr>
      <w:r>
        <w:rPr>
          <w:rFonts w:hint="eastAsia"/>
          <w:szCs w:val="21"/>
        </w:rPr>
        <w:t>昨成交20：昨日沪深两市成交额前20的股票 </w:t>
      </w:r>
    </w:p>
    <w:p>
      <w:pPr>
        <w:pStyle w:val="34"/>
        <w:rPr>
          <w:szCs w:val="21"/>
        </w:rPr>
      </w:pPr>
      <w:r>
        <w:rPr>
          <w:rFonts w:hint="eastAsia"/>
          <w:szCs w:val="21"/>
        </w:rPr>
        <w:t>昨收活跃：昨日收盘集合竞价成交额大于2500000，且占全天成交额的6%以上的股票 </w:t>
      </w:r>
    </w:p>
    <w:p>
      <w:pPr>
        <w:pStyle w:val="34"/>
        <w:rPr>
          <w:szCs w:val="21"/>
        </w:rPr>
      </w:pPr>
      <w:r>
        <w:rPr>
          <w:rFonts w:hint="eastAsia"/>
          <w:szCs w:val="21"/>
        </w:rPr>
        <w:t>近端次新：次新股上市五日后到六十日的个股. </w:t>
      </w:r>
    </w:p>
    <w:p>
      <w:pPr>
        <w:pStyle w:val="34"/>
        <w:rPr>
          <w:szCs w:val="21"/>
        </w:rPr>
      </w:pPr>
      <w:r>
        <w:rPr>
          <w:rFonts w:hint="eastAsia"/>
          <w:szCs w:val="21"/>
        </w:rPr>
        <w:t>次新超跌：次新股当前股价距上市以来最高价跌幅达到40%. </w:t>
      </w:r>
    </w:p>
    <w:p>
      <w:pPr>
        <w:pStyle w:val="34"/>
        <w:rPr>
          <w:szCs w:val="21"/>
        </w:rPr>
      </w:pPr>
      <w:r>
        <w:rPr>
          <w:rFonts w:hint="eastAsia"/>
          <w:szCs w:val="21"/>
        </w:rPr>
        <w:t>最近闪拉/闪跌：近5个交易日有闪拉/闪跌行为的股票；闪拉/闪跌：2分钟内涨/跌幅达到6% </w:t>
      </w:r>
    </w:p>
    <w:p>
      <w:pPr>
        <w:pStyle w:val="34"/>
        <w:rPr>
          <w:szCs w:val="21"/>
        </w:rPr>
      </w:pPr>
      <w:r>
        <w:rPr>
          <w:rFonts w:hint="eastAsia"/>
          <w:szCs w:val="21"/>
        </w:rPr>
        <w:t>最近多板：近期涨停次数大于等于2，剔除ST、未开板次新股 </w:t>
      </w:r>
    </w:p>
    <w:p>
      <w:pPr>
        <w:pStyle w:val="34"/>
        <w:rPr>
          <w:szCs w:val="21"/>
        </w:rPr>
      </w:pPr>
      <w:r>
        <w:rPr>
          <w:rFonts w:hint="eastAsia"/>
          <w:szCs w:val="21"/>
        </w:rPr>
        <w:t>最近异动：非停牌股,近三日换手&gt;25%,近三日平均振幅&gt;7%.(科创板、创业板为换手率50%，振幅14%) </w:t>
      </w:r>
    </w:p>
    <w:p>
      <w:pPr>
        <w:pStyle w:val="34"/>
        <w:rPr>
          <w:szCs w:val="21"/>
        </w:rPr>
      </w:pPr>
    </w:p>
    <w:p>
      <w:pPr>
        <w:pStyle w:val="34"/>
        <w:rPr>
          <w:szCs w:val="27"/>
        </w:rPr>
      </w:pPr>
      <w:r>
        <w:rPr>
          <w:rFonts w:hint="eastAsia"/>
          <w:szCs w:val="21"/>
        </w:rPr>
        <w:t>tips:次新开板 板块在注册制全面实行后，变更为 近端次新 板块。</w:t>
      </w:r>
    </w:p>
    <w:p>
      <w:pPr>
        <w:pStyle w:val="34"/>
        <w:rPr>
          <w:szCs w:val="21"/>
        </w:rPr>
      </w:pPr>
      <w:r>
        <w:rPr>
          <w:rFonts w:hint="eastAsia"/>
          <w:szCs w:val="27"/>
        </w:rPr>
        <w:t>7、为什么有的活跃股昨日换手率并不高？不活跃股选取标准是什么？</w:t>
      </w:r>
    </w:p>
    <w:p>
      <w:pPr>
        <w:pStyle w:val="34"/>
        <w:rPr>
          <w:szCs w:val="21"/>
        </w:rPr>
      </w:pPr>
      <w:r>
        <w:rPr>
          <w:rFonts w:hint="eastAsia"/>
          <w:szCs w:val="21"/>
        </w:rPr>
        <w:t>活跃股每周调整一次,剔除ST、*ST、上市不足100天的股票，选取周换手率排名前100的股票,若周换手率相同,则选择涨幅大的作为成份股；若涨幅相同,则以周成交量为标准. </w:t>
      </w:r>
    </w:p>
    <w:p>
      <w:pPr>
        <w:pStyle w:val="34"/>
        <w:rPr>
          <w:szCs w:val="27"/>
        </w:rPr>
      </w:pPr>
      <w:r>
        <w:rPr>
          <w:rFonts w:hint="eastAsia"/>
          <w:szCs w:val="21"/>
        </w:rPr>
        <w:t>不活跃股：剔除ST、*ST、上市不足100天、停牌股、涨跌停股、活跃股，当天活跃度小于500，总金额小于1000万,取周自由流通换手率最低的100只股票，若周换手率相同,则选择涨幅小的作为成份股；若涨幅相同,则以周成交量为标准。</w:t>
      </w:r>
    </w:p>
    <w:p>
      <w:pPr>
        <w:pStyle w:val="34"/>
        <w:rPr>
          <w:szCs w:val="21"/>
        </w:rPr>
      </w:pPr>
      <w:r>
        <w:rPr>
          <w:rFonts w:hint="eastAsia"/>
          <w:szCs w:val="27"/>
        </w:rPr>
        <w:t>8、次新股、两年新股是怎么划分的?</w:t>
      </w:r>
    </w:p>
    <w:p>
      <w:pPr>
        <w:pStyle w:val="34"/>
        <w:rPr>
          <w:szCs w:val="21"/>
        </w:rPr>
      </w:pPr>
      <w:r>
        <w:rPr>
          <w:rFonts w:hint="eastAsia"/>
          <w:szCs w:val="21"/>
        </w:rPr>
        <w:t>次新股板块指数：上市时间不足一年并剔除当日新上市个股的股票集合, </w:t>
      </w:r>
    </w:p>
    <w:p>
      <w:pPr>
        <w:pStyle w:val="34"/>
        <w:rPr>
          <w:szCs w:val="21"/>
        </w:rPr>
      </w:pPr>
      <w:r>
        <w:rPr>
          <w:rFonts w:hint="eastAsia"/>
          <w:szCs w:val="21"/>
        </w:rPr>
        <w:t>更新频率：天. </w:t>
      </w:r>
    </w:p>
    <w:p>
      <w:pPr>
        <w:pStyle w:val="34"/>
        <w:rPr>
          <w:szCs w:val="27"/>
        </w:rPr>
      </w:pPr>
      <w:r>
        <w:rPr>
          <w:rFonts w:hint="eastAsia"/>
          <w:szCs w:val="21"/>
        </w:rPr>
        <w:t>两年新股：上市时间满一年未满两年的股票集合,更新频率：天.</w:t>
      </w:r>
    </w:p>
    <w:p>
      <w:pPr>
        <w:pStyle w:val="34"/>
        <w:rPr>
          <w:szCs w:val="21"/>
        </w:rPr>
      </w:pPr>
      <w:r>
        <w:rPr>
          <w:rFonts w:hint="eastAsia"/>
          <w:szCs w:val="27"/>
        </w:rPr>
        <w:t>9、近期强势、近期弱势是怎么划分的?</w:t>
      </w:r>
    </w:p>
    <w:p>
      <w:pPr>
        <w:pStyle w:val="34"/>
        <w:rPr>
          <w:szCs w:val="21"/>
        </w:rPr>
      </w:pPr>
      <w:r>
        <w:rPr>
          <w:rFonts w:hint="eastAsia"/>
          <w:szCs w:val="21"/>
        </w:rPr>
        <w:t>近期强势：20日涨幅&gt;=30%,3日涨幅&gt;0，非停牌、非ST、非未开板次新 </w:t>
      </w:r>
    </w:p>
    <w:p>
      <w:pPr>
        <w:pStyle w:val="34"/>
        <w:rPr>
          <w:szCs w:val="27"/>
        </w:rPr>
      </w:pPr>
      <w:r>
        <w:rPr>
          <w:rFonts w:hint="eastAsia"/>
          <w:szCs w:val="21"/>
        </w:rPr>
        <w:t>近期弱势：20日涨幅&lt;=-10%,3日涨幅&lt;0，非停牌、非ST、非未开板次新</w:t>
      </w:r>
    </w:p>
    <w:p>
      <w:pPr>
        <w:pStyle w:val="34"/>
        <w:rPr>
          <w:szCs w:val="21"/>
        </w:rPr>
      </w:pPr>
      <w:r>
        <w:rPr>
          <w:rFonts w:hint="eastAsia"/>
          <w:szCs w:val="27"/>
        </w:rPr>
        <w:t>10、配股股/配股预案的划分标准?</w:t>
      </w:r>
    </w:p>
    <w:p>
      <w:pPr>
        <w:pStyle w:val="34"/>
        <w:rPr>
          <w:szCs w:val="21"/>
        </w:rPr>
      </w:pPr>
      <w:r>
        <w:rPr>
          <w:rFonts w:hint="eastAsia"/>
          <w:szCs w:val="21"/>
        </w:rPr>
        <w:t>配股股：近一年内配股实施的股票。 </w:t>
      </w:r>
    </w:p>
    <w:p>
      <w:pPr>
        <w:pStyle w:val="34"/>
        <w:rPr>
          <w:szCs w:val="27"/>
        </w:rPr>
      </w:pPr>
      <w:r>
        <w:rPr>
          <w:rFonts w:hint="eastAsia"/>
          <w:szCs w:val="21"/>
        </w:rPr>
        <w:t>配股预案是指发布了配股方案，正处于董事会、股东大会、证监会核准阶段的，还没正式实施的股票.</w:t>
      </w:r>
    </w:p>
    <w:p>
      <w:pPr>
        <w:pStyle w:val="34"/>
        <w:rPr>
          <w:szCs w:val="21"/>
        </w:rPr>
      </w:pPr>
      <w:r>
        <w:rPr>
          <w:rFonts w:hint="eastAsia"/>
          <w:szCs w:val="27"/>
        </w:rPr>
        <w:t>11、重组股/重组预案的 选取标准是什么？</w:t>
      </w:r>
    </w:p>
    <w:p>
      <w:pPr>
        <w:pStyle w:val="34"/>
        <w:rPr>
          <w:szCs w:val="21"/>
        </w:rPr>
      </w:pPr>
      <w:r>
        <w:rPr>
          <w:rFonts w:hint="eastAsia"/>
          <w:szCs w:val="21"/>
        </w:rPr>
        <w:t>重组股：公司的重组方案已获准或已实施，取最近发布公告的400只股票。 </w:t>
      </w:r>
    </w:p>
    <w:p>
      <w:pPr>
        <w:pStyle w:val="34"/>
        <w:rPr>
          <w:szCs w:val="27"/>
        </w:rPr>
      </w:pPr>
      <w:r>
        <w:rPr>
          <w:rFonts w:hint="eastAsia"/>
          <w:szCs w:val="21"/>
        </w:rPr>
        <w:t>重组预案：公司的重组方案处于预案状态，取最近发布公告的400只股票。</w:t>
      </w:r>
    </w:p>
    <w:p>
      <w:pPr>
        <w:pStyle w:val="34"/>
        <w:rPr>
          <w:szCs w:val="21"/>
        </w:rPr>
      </w:pPr>
      <w:r>
        <w:rPr>
          <w:rFonts w:hint="eastAsia"/>
          <w:szCs w:val="27"/>
        </w:rPr>
        <w:t>12、定增股/定增预案的选取标准是什么？</w:t>
      </w:r>
    </w:p>
    <w:p>
      <w:pPr>
        <w:pStyle w:val="34"/>
        <w:rPr>
          <w:szCs w:val="21"/>
        </w:rPr>
      </w:pPr>
      <w:r>
        <w:rPr>
          <w:rFonts w:hint="eastAsia"/>
          <w:szCs w:val="21"/>
        </w:rPr>
        <w:t>定增股：近一年定增获准和近半年定增实施的股票，剔除近半年发布定增预案的上市公司。 </w:t>
      </w:r>
    </w:p>
    <w:p>
      <w:pPr>
        <w:pStyle w:val="34"/>
        <w:rPr>
          <w:szCs w:val="27"/>
        </w:rPr>
      </w:pPr>
      <w:r>
        <w:rPr>
          <w:rFonts w:hint="eastAsia"/>
          <w:szCs w:val="21"/>
        </w:rPr>
        <w:t>定增预案：近半年发布定增预案公告的上市公司。</w:t>
      </w:r>
    </w:p>
    <w:p>
      <w:pPr>
        <w:pStyle w:val="34"/>
        <w:rPr>
          <w:szCs w:val="21"/>
        </w:rPr>
      </w:pPr>
      <w:r>
        <w:rPr>
          <w:rFonts w:hint="eastAsia"/>
          <w:szCs w:val="27"/>
        </w:rPr>
        <w:t>13、为什么有的风格板块里面找不到对应的股票？</w:t>
      </w:r>
    </w:p>
    <w:p>
      <w:pPr>
        <w:pStyle w:val="34"/>
        <w:rPr>
          <w:szCs w:val="27"/>
        </w:rPr>
      </w:pPr>
      <w:r>
        <w:rPr>
          <w:rFonts w:hint="eastAsia"/>
          <w:szCs w:val="21"/>
        </w:rPr>
        <w:t>风格板块中有些板块符合条件的成分股比较多，通常按照对应的条件选取排名前400个作为成分股。比如业绩预升取的是对应预告里面增长幅度排名前400的股票；证金持股取的是(证金+汇金)持股比例(总股本)排名前400名。</w:t>
      </w:r>
    </w:p>
    <w:p>
      <w:pPr>
        <w:pStyle w:val="34"/>
        <w:rPr>
          <w:szCs w:val="21"/>
        </w:rPr>
      </w:pPr>
      <w:r>
        <w:rPr>
          <w:rFonts w:hint="eastAsia"/>
          <w:szCs w:val="27"/>
        </w:rPr>
        <w:t>14、破发行价的选取标准？</w:t>
      </w:r>
    </w:p>
    <w:p>
      <w:pPr>
        <w:pStyle w:val="34"/>
        <w:rPr>
          <w:szCs w:val="27"/>
        </w:rPr>
      </w:pPr>
      <w:r>
        <w:rPr>
          <w:rFonts w:hint="eastAsia"/>
          <w:szCs w:val="21"/>
        </w:rPr>
        <w:t>破发行价选取的是近三年上市，当前价格跌破发行价(跌破幅度&gt;2%)的股票。</w:t>
      </w:r>
    </w:p>
    <w:p>
      <w:pPr>
        <w:pStyle w:val="34"/>
        <w:rPr>
          <w:szCs w:val="21"/>
        </w:rPr>
      </w:pPr>
      <w:r>
        <w:rPr>
          <w:rFonts w:hint="eastAsia"/>
          <w:szCs w:val="27"/>
        </w:rPr>
        <w:t>15、摘帽概念的选取标准？</w:t>
      </w:r>
    </w:p>
    <w:p>
      <w:pPr>
        <w:pStyle w:val="34"/>
        <w:rPr>
          <w:szCs w:val="27"/>
        </w:rPr>
      </w:pPr>
      <w:r>
        <w:rPr>
          <w:rFonts w:hint="eastAsia"/>
          <w:szCs w:val="21"/>
        </w:rPr>
        <w:t>摘帽概念选取的是近一年内撤销特别处理(即摘帽)的股票。</w:t>
      </w:r>
    </w:p>
    <w:p>
      <w:pPr>
        <w:pStyle w:val="34"/>
        <w:rPr>
          <w:szCs w:val="21"/>
        </w:rPr>
      </w:pPr>
      <w:r>
        <w:rPr>
          <w:rFonts w:hint="eastAsia"/>
          <w:szCs w:val="27"/>
        </w:rPr>
        <w:t>16、风险提示是指什么风险？</w:t>
      </w:r>
    </w:p>
    <w:p>
      <w:pPr>
        <w:pStyle w:val="34"/>
        <w:rPr>
          <w:szCs w:val="27"/>
        </w:rPr>
      </w:pPr>
      <w:r>
        <w:rPr>
          <w:rFonts w:hint="eastAsia"/>
          <w:szCs w:val="21"/>
        </w:rPr>
        <w:t>风格板块里面的风险提示，指的是被证监会立案调查，存在暂停上市或退市的风险。</w:t>
      </w:r>
    </w:p>
    <w:p>
      <w:pPr>
        <w:pStyle w:val="34"/>
        <w:rPr>
          <w:szCs w:val="21"/>
        </w:rPr>
      </w:pPr>
      <w:r>
        <w:rPr>
          <w:rFonts w:hint="eastAsia"/>
          <w:szCs w:val="27"/>
        </w:rPr>
        <w:t>17、陆股通买/卖的选取标准是什么？</w:t>
      </w:r>
    </w:p>
    <w:p>
      <w:pPr>
        <w:pStyle w:val="34"/>
        <w:rPr>
          <w:szCs w:val="27"/>
        </w:rPr>
      </w:pPr>
      <w:r>
        <w:rPr>
          <w:rFonts w:hint="eastAsia"/>
          <w:szCs w:val="21"/>
        </w:rPr>
        <w:t>陆股通买(卖)是指北上资金近5日持股变动为正且持股比例变动排名前50的股票。</w:t>
      </w:r>
    </w:p>
    <w:p>
      <w:pPr>
        <w:pStyle w:val="34"/>
        <w:rPr>
          <w:szCs w:val="21"/>
        </w:rPr>
      </w:pPr>
      <w:r>
        <w:rPr>
          <w:rFonts w:hint="eastAsia"/>
          <w:szCs w:val="27"/>
        </w:rPr>
        <w:t>18、拟增持/减持的选取标准是什么？</w:t>
      </w:r>
    </w:p>
    <w:p>
      <w:pPr>
        <w:pStyle w:val="34"/>
        <w:rPr>
          <w:szCs w:val="21"/>
        </w:rPr>
      </w:pPr>
      <w:r>
        <w:rPr>
          <w:rFonts w:hint="eastAsia"/>
          <w:szCs w:val="21"/>
        </w:rPr>
        <w:t>拟减持：近两个月公司发布计划减持公告 </w:t>
      </w:r>
    </w:p>
    <w:p>
      <w:pPr>
        <w:pStyle w:val="34"/>
        <w:rPr>
          <w:szCs w:val="27"/>
        </w:rPr>
      </w:pPr>
      <w:r>
        <w:rPr>
          <w:rFonts w:hint="eastAsia"/>
          <w:szCs w:val="21"/>
        </w:rPr>
        <w:t>拟增持：近两个月公司发布增持计划。</w:t>
      </w:r>
    </w:p>
    <w:p>
      <w:pPr>
        <w:pStyle w:val="34"/>
        <w:rPr>
          <w:szCs w:val="21"/>
        </w:rPr>
      </w:pPr>
      <w:r>
        <w:rPr>
          <w:rFonts w:hint="eastAsia"/>
          <w:szCs w:val="27"/>
        </w:rPr>
        <w:t>19、近期解禁的选取标准？</w:t>
      </w:r>
    </w:p>
    <w:p>
      <w:pPr>
        <w:pStyle w:val="34"/>
        <w:rPr>
          <w:szCs w:val="27"/>
        </w:rPr>
      </w:pPr>
      <w:r>
        <w:rPr>
          <w:rFonts w:hint="eastAsia"/>
          <w:szCs w:val="21"/>
        </w:rPr>
        <w:t>近期解禁：公司未来一个月有股份将解禁。</w:t>
      </w:r>
    </w:p>
    <w:p>
      <w:pPr>
        <w:pStyle w:val="34"/>
        <w:rPr>
          <w:szCs w:val="21"/>
        </w:rPr>
      </w:pPr>
      <w:r>
        <w:rPr>
          <w:rFonts w:hint="eastAsia"/>
          <w:szCs w:val="27"/>
        </w:rPr>
        <w:t>20、次新预增是怎么定义的？</w:t>
      </w:r>
    </w:p>
    <w:p>
      <w:pPr>
        <w:pStyle w:val="34"/>
        <w:rPr>
          <w:szCs w:val="27"/>
        </w:rPr>
      </w:pPr>
      <w:r>
        <w:rPr>
          <w:rFonts w:hint="eastAsia"/>
          <w:szCs w:val="21"/>
        </w:rPr>
        <w:t>次新股中，最新业绩预告为预增和大幅上升的股票(预告报告期大于最新已披露的报告期)</w:t>
      </w:r>
    </w:p>
    <w:p>
      <w:pPr>
        <w:pStyle w:val="34"/>
        <w:rPr>
          <w:szCs w:val="21"/>
        </w:rPr>
      </w:pPr>
      <w:r>
        <w:rPr>
          <w:rFonts w:hint="eastAsia"/>
          <w:szCs w:val="27"/>
        </w:rPr>
        <w:t>21、高融资盘、融资增加是怎么定义的？</w:t>
      </w:r>
    </w:p>
    <w:p>
      <w:pPr>
        <w:pStyle w:val="34"/>
        <w:rPr>
          <w:szCs w:val="21"/>
        </w:rPr>
      </w:pPr>
      <w:r>
        <w:rPr>
          <w:rFonts w:hint="eastAsia"/>
          <w:szCs w:val="21"/>
        </w:rPr>
        <w:t>高融资盘：融资余额占流通市值比例大于15% </w:t>
      </w:r>
    </w:p>
    <w:p>
      <w:pPr>
        <w:pStyle w:val="34"/>
        <w:rPr>
          <w:szCs w:val="27"/>
        </w:rPr>
      </w:pPr>
      <w:r>
        <w:rPr>
          <w:rFonts w:hint="eastAsia"/>
          <w:szCs w:val="21"/>
        </w:rPr>
        <w:t>融资增加：最新融资余额相对于5个交易日前的融资余额增加值占流通市值比例排名前50</w:t>
      </w:r>
    </w:p>
    <w:p>
      <w:pPr>
        <w:pStyle w:val="34"/>
        <w:rPr>
          <w:szCs w:val="21"/>
        </w:rPr>
      </w:pPr>
      <w:r>
        <w:rPr>
          <w:rFonts w:hint="eastAsia"/>
          <w:szCs w:val="27"/>
        </w:rPr>
        <w:t>22、高质押股、高商誉、高负债率是怎么划分的？</w:t>
      </w:r>
    </w:p>
    <w:p>
      <w:pPr>
        <w:pStyle w:val="34"/>
        <w:rPr>
          <w:szCs w:val="21"/>
        </w:rPr>
      </w:pPr>
      <w:r>
        <w:rPr>
          <w:rFonts w:hint="eastAsia"/>
          <w:szCs w:val="21"/>
        </w:rPr>
        <w:t>高质押股：公司股东累计质押的股份占公司总股本的比例大于40%且排名前200名 </w:t>
      </w:r>
    </w:p>
    <w:p>
      <w:pPr>
        <w:pStyle w:val="34"/>
        <w:rPr>
          <w:szCs w:val="21"/>
        </w:rPr>
      </w:pPr>
      <w:r>
        <w:rPr>
          <w:rFonts w:hint="eastAsia"/>
          <w:szCs w:val="21"/>
        </w:rPr>
        <w:t>高商誉：最新报告期商誉占总资产比例达到40% </w:t>
      </w:r>
    </w:p>
    <w:p>
      <w:pPr>
        <w:pStyle w:val="34"/>
        <w:rPr>
          <w:szCs w:val="27"/>
        </w:rPr>
      </w:pPr>
      <w:r>
        <w:rPr>
          <w:rFonts w:hint="eastAsia"/>
          <w:szCs w:val="21"/>
        </w:rPr>
        <w:t>高负债率：公司最新财报中，净资产为正，负债率大于等于(房企：90，非房企：85)，剔除ST、金融类上市公司</w:t>
      </w:r>
    </w:p>
    <w:p>
      <w:pPr>
        <w:pStyle w:val="34"/>
        <w:rPr>
          <w:szCs w:val="21"/>
        </w:rPr>
      </w:pPr>
      <w:r>
        <w:rPr>
          <w:rFonts w:hint="eastAsia"/>
          <w:szCs w:val="27"/>
        </w:rPr>
        <w:t>23、久不分红的划分标准是什么？</w:t>
      </w:r>
    </w:p>
    <w:p>
      <w:pPr>
        <w:pStyle w:val="34"/>
        <w:rPr>
          <w:szCs w:val="27"/>
        </w:rPr>
      </w:pPr>
      <w:r>
        <w:rPr>
          <w:rFonts w:hint="eastAsia"/>
          <w:szCs w:val="21"/>
        </w:rPr>
        <w:t>又称铁公鸡；上市满10年，近10年未现金分红，最新预案不分红,非ST</w:t>
      </w:r>
    </w:p>
    <w:p>
      <w:pPr>
        <w:pStyle w:val="34"/>
        <w:rPr>
          <w:szCs w:val="21"/>
        </w:rPr>
      </w:pPr>
      <w:r>
        <w:rPr>
          <w:rFonts w:hint="eastAsia"/>
          <w:szCs w:val="27"/>
        </w:rPr>
        <w:t>24、中字头的划分标准是什么？</w:t>
      </w:r>
    </w:p>
    <w:p>
      <w:pPr>
        <w:pStyle w:val="34"/>
        <w:rPr>
          <w:szCs w:val="27"/>
        </w:rPr>
      </w:pPr>
      <w:r>
        <w:rPr>
          <w:rFonts w:hint="eastAsia"/>
          <w:szCs w:val="21"/>
        </w:rPr>
        <w:t>名称以中开头，由国家控股，掌握国家经济和资源的上市公司</w:t>
      </w:r>
    </w:p>
    <w:p>
      <w:pPr>
        <w:pStyle w:val="34"/>
        <w:rPr>
          <w:szCs w:val="21"/>
        </w:rPr>
      </w:pPr>
      <w:r>
        <w:rPr>
          <w:rFonts w:hint="eastAsia"/>
          <w:szCs w:val="27"/>
        </w:rPr>
        <w:t>25、板块指数中的涨停数统计不包括哪些股票？</w:t>
      </w:r>
    </w:p>
    <w:p>
      <w:pPr>
        <w:pStyle w:val="34"/>
        <w:rPr>
          <w:szCs w:val="27"/>
        </w:rPr>
      </w:pPr>
      <w:r>
        <w:rPr>
          <w:rFonts w:hint="eastAsia"/>
          <w:szCs w:val="21"/>
        </w:rPr>
        <w:t>板块指数中的涨停数统计不包括未开板次新股和B股。</w:t>
      </w:r>
    </w:p>
    <w:p>
      <w:pPr>
        <w:pStyle w:val="34"/>
        <w:rPr>
          <w:szCs w:val="21"/>
        </w:rPr>
      </w:pPr>
      <w:r>
        <w:rPr>
          <w:rFonts w:hint="eastAsia"/>
          <w:szCs w:val="27"/>
        </w:rPr>
        <w:t>26、昨日涨停,最近闪拉板块为什么不包括在全部板块中？</w:t>
      </w:r>
    </w:p>
    <w:p>
      <w:pPr>
        <w:pStyle w:val="34"/>
        <w:rPr>
          <w:szCs w:val="27"/>
        </w:rPr>
      </w:pPr>
      <w:r>
        <w:rPr>
          <w:rFonts w:hint="eastAsia"/>
          <w:szCs w:val="21"/>
        </w:rPr>
        <w:t>全部板块中不包括"昨日涨停,最近闪拉"等影响排名的部分行情特征风格板块。</w:t>
      </w:r>
    </w:p>
    <w:p>
      <w:pPr>
        <w:pStyle w:val="34"/>
        <w:rPr>
          <w:szCs w:val="21"/>
        </w:rPr>
      </w:pPr>
      <w:r>
        <w:rPr>
          <w:rFonts w:hint="eastAsia"/>
          <w:szCs w:val="27"/>
        </w:rPr>
        <w:t>27、参股金融板块是如何选取成分股的？</w:t>
      </w:r>
    </w:p>
    <w:p>
      <w:pPr>
        <w:pStyle w:val="34"/>
        <w:rPr>
          <w:szCs w:val="27"/>
        </w:rPr>
      </w:pPr>
      <w:r>
        <w:rPr>
          <w:rFonts w:hint="eastAsia"/>
          <w:szCs w:val="21"/>
        </w:rPr>
        <w:t>参股金融包括参股券商、基金、保险、期货公司的非金融类上市公司，并且剔除了市值大于1000亿的公司。</w:t>
      </w:r>
    </w:p>
    <w:p>
      <w:pPr>
        <w:pStyle w:val="34"/>
        <w:rPr>
          <w:szCs w:val="21"/>
        </w:rPr>
      </w:pPr>
      <w:r>
        <w:rPr>
          <w:rFonts w:hint="eastAsia"/>
          <w:szCs w:val="27"/>
        </w:rPr>
        <w:t>28、壳资源板块是如何选取成分股？</w:t>
      </w:r>
    </w:p>
    <w:p>
      <w:pPr>
        <w:pStyle w:val="34"/>
        <w:rPr>
          <w:szCs w:val="27"/>
        </w:rPr>
      </w:pPr>
      <w:r>
        <w:rPr>
          <w:rFonts w:hint="eastAsia"/>
          <w:szCs w:val="21"/>
        </w:rPr>
        <w:t>大股东持股比例大于10%；公司市值较小；公司财务数据不乐观；人工判断。</w:t>
      </w:r>
    </w:p>
    <w:p>
      <w:pPr>
        <w:pStyle w:val="4"/>
      </w:pPr>
      <w:r>
        <w:rPr>
          <w:rFonts w:hint="eastAsia"/>
        </w:rPr>
        <w:t>常用操作方法</w:t>
      </w:r>
    </w:p>
    <w:p>
      <w:pPr>
        <w:pStyle w:val="34"/>
      </w:pPr>
      <w:r>
        <w:rPr>
          <w:rFonts w:hint="eastAsia"/>
        </w:rPr>
        <w:t>1、通达信键盘精灵锁定范围方法</w:t>
      </w:r>
    </w:p>
    <w:p>
      <w:pPr>
        <w:pStyle w:val="34"/>
        <w:rPr>
          <w:szCs w:val="21"/>
        </w:rPr>
      </w:pPr>
      <w:r>
        <w:rPr>
          <w:rFonts w:hint="eastAsia"/>
          <w:szCs w:val="21"/>
        </w:rPr>
        <w:t>1)支持输入代码/名称/简拼/快捷键/点系列键/关键字搜索各类品种、板块、指标、功能等. </w:t>
      </w:r>
    </w:p>
    <w:p>
      <w:pPr>
        <w:pStyle w:val="34"/>
        <w:rPr>
          <w:szCs w:val="21"/>
        </w:rPr>
      </w:pPr>
      <w:r>
        <w:rPr>
          <w:rFonts w:hint="eastAsia"/>
          <w:szCs w:val="21"/>
        </w:rPr>
        <w:t>2)锁定范围方法： </w:t>
      </w:r>
    </w:p>
    <w:p>
      <w:pPr>
        <w:pStyle w:val="34"/>
        <w:rPr>
          <w:szCs w:val="21"/>
        </w:rPr>
      </w:pPr>
      <w:r>
        <w:rPr>
          <w:rFonts w:hint="eastAsia"/>
          <w:szCs w:val="21"/>
        </w:rPr>
        <w:t>BK+点 板块； </w:t>
      </w:r>
    </w:p>
    <w:p>
      <w:pPr>
        <w:pStyle w:val="34"/>
        <w:rPr>
          <w:szCs w:val="21"/>
        </w:rPr>
      </w:pPr>
      <w:r>
        <w:rPr>
          <w:rFonts w:hint="eastAsia"/>
          <w:szCs w:val="21"/>
        </w:rPr>
        <w:t>HK+点 港股； </w:t>
      </w:r>
    </w:p>
    <w:p>
      <w:pPr>
        <w:pStyle w:val="34"/>
        <w:rPr>
          <w:szCs w:val="21"/>
        </w:rPr>
      </w:pPr>
      <w:r>
        <w:rPr>
          <w:rFonts w:hint="eastAsia"/>
          <w:szCs w:val="21"/>
        </w:rPr>
        <w:t>QH+点 期货； </w:t>
      </w:r>
    </w:p>
    <w:p>
      <w:pPr>
        <w:pStyle w:val="34"/>
        <w:rPr>
          <w:szCs w:val="21"/>
        </w:rPr>
      </w:pPr>
      <w:r>
        <w:rPr>
          <w:rFonts w:hint="eastAsia"/>
          <w:szCs w:val="21"/>
        </w:rPr>
        <w:t>QQ+点 期权； </w:t>
      </w:r>
    </w:p>
    <w:p>
      <w:pPr>
        <w:pStyle w:val="34"/>
        <w:rPr>
          <w:szCs w:val="21"/>
        </w:rPr>
      </w:pPr>
      <w:r>
        <w:rPr>
          <w:rFonts w:hint="eastAsia"/>
          <w:szCs w:val="21"/>
        </w:rPr>
        <w:t>US+点 美股； </w:t>
      </w:r>
    </w:p>
    <w:p>
      <w:pPr>
        <w:pStyle w:val="34"/>
        <w:rPr>
          <w:szCs w:val="21"/>
        </w:rPr>
      </w:pPr>
      <w:r>
        <w:rPr>
          <w:rFonts w:hint="eastAsia"/>
          <w:szCs w:val="21"/>
        </w:rPr>
        <w:t>FU+点 开放式基金； </w:t>
      </w:r>
    </w:p>
    <w:p>
      <w:pPr>
        <w:pStyle w:val="34"/>
        <w:rPr>
          <w:szCs w:val="21"/>
        </w:rPr>
      </w:pPr>
      <w:r>
        <w:rPr>
          <w:rFonts w:hint="eastAsia"/>
          <w:szCs w:val="21"/>
        </w:rPr>
        <w:t>如：BK.HY </w:t>
      </w:r>
    </w:p>
    <w:p>
      <w:pPr>
        <w:pStyle w:val="34"/>
        <w:rPr>
          <w:szCs w:val="21"/>
        </w:rPr>
      </w:pPr>
      <w:r>
        <w:rPr>
          <w:rFonts w:hint="eastAsia"/>
          <w:szCs w:val="21"/>
        </w:rPr>
        <w:t>3)输入?(英文符)可模糊匹配 </w:t>
      </w:r>
    </w:p>
    <w:p>
      <w:pPr>
        <w:pStyle w:val="34"/>
        <w:rPr>
          <w:szCs w:val="21"/>
        </w:rPr>
      </w:pPr>
      <w:r>
        <w:rPr>
          <w:rFonts w:hint="eastAsia"/>
          <w:szCs w:val="21"/>
        </w:rPr>
        <w:t>如：??XD 或者 ????兄弟. </w:t>
      </w:r>
    </w:p>
    <w:p>
      <w:pPr>
        <w:pStyle w:val="34"/>
        <w:rPr>
          <w:szCs w:val="21"/>
        </w:rPr>
      </w:pPr>
      <w:r>
        <w:rPr>
          <w:rFonts w:hint="eastAsia"/>
          <w:szCs w:val="21"/>
        </w:rPr>
        <w:t>4)键盘精灵不能敲出股票代码或报价中有些股票没有名称? </w:t>
      </w:r>
    </w:p>
    <w:p>
      <w:pPr>
        <w:pStyle w:val="34"/>
        <w:rPr>
          <w:szCs w:val="21"/>
        </w:rPr>
      </w:pPr>
      <w:r>
        <w:rPr>
          <w:rFonts w:hint="eastAsia"/>
          <w:szCs w:val="21"/>
        </w:rPr>
        <w:t>请用数据维护工具,清理一下再进入客户端.</w:t>
      </w:r>
    </w:p>
    <w:p>
      <w:pPr>
        <w:pStyle w:val="34"/>
      </w:pPr>
      <w:r>
        <w:rPr>
          <w:rFonts w:hint="eastAsia"/>
        </w:rPr>
        <w:t>2、大盘上的黄线和红绿柱表示什么意思?</w:t>
      </w:r>
    </w:p>
    <w:p>
      <w:pPr>
        <w:pStyle w:val="34"/>
        <w:rPr>
          <w:szCs w:val="21"/>
        </w:rPr>
      </w:pPr>
      <w:r>
        <w:rPr>
          <w:rFonts w:hint="eastAsia"/>
          <w:szCs w:val="21"/>
        </w:rPr>
        <w:t>大盘分时图上的白线是交易所发布的指数价线,黄线是软件商自行统计的不加权均线,也就是所有的成份股票按相同的权重进行统计计算,一般来说,如果两线背离严重,说明大盘股和小盘股的涨跌差距较大。 </w:t>
      </w:r>
    </w:p>
    <w:p>
      <w:pPr>
        <w:pStyle w:val="34"/>
        <w:rPr>
          <w:szCs w:val="21"/>
        </w:rPr>
      </w:pPr>
      <w:r>
        <w:rPr>
          <w:rFonts w:hint="eastAsia"/>
          <w:szCs w:val="21"/>
        </w:rPr>
        <w:t>红绿柱是软件商自行统计的领先指标，反映指数对应的市场上，所有个股最新价格涨跌的总体情况。</w:t>
      </w:r>
    </w:p>
    <w:p>
      <w:pPr>
        <w:pStyle w:val="34"/>
      </w:pPr>
      <w:r>
        <w:rPr>
          <w:rFonts w:hint="eastAsia"/>
        </w:rPr>
        <w:t>3、上证指数为什么经常没开盘前都是绿的？</w:t>
      </w:r>
    </w:p>
    <w:p>
      <w:pPr>
        <w:pStyle w:val="34"/>
        <w:rPr>
          <w:szCs w:val="21"/>
        </w:rPr>
      </w:pPr>
      <w:r>
        <w:rPr>
          <w:rFonts w:hint="eastAsia"/>
          <w:szCs w:val="21"/>
        </w:rPr>
        <w:t>关于几种指数： </w:t>
      </w:r>
    </w:p>
    <w:p>
      <w:pPr>
        <w:pStyle w:val="34"/>
        <w:rPr>
          <w:szCs w:val="21"/>
        </w:rPr>
      </w:pPr>
      <w:r>
        <w:rPr>
          <w:rFonts w:hint="eastAsia"/>
          <w:szCs w:val="21"/>
        </w:rPr>
        <w:t>价格指数:分红自动回落(上证指数，沪深300都是这样的,对股指期货有影响但可以忽略) </w:t>
      </w:r>
    </w:p>
    <w:p>
      <w:pPr>
        <w:pStyle w:val="34"/>
        <w:rPr>
          <w:szCs w:val="21"/>
        </w:rPr>
      </w:pPr>
      <w:r>
        <w:rPr>
          <w:rFonts w:hint="eastAsia"/>
          <w:szCs w:val="21"/>
        </w:rPr>
        <w:t>收益指数:分红不自动回落(只有深圳指数有,通达信板块指数和定制品种采用) </w:t>
      </w:r>
    </w:p>
    <w:p>
      <w:pPr>
        <w:pStyle w:val="34"/>
        <w:rPr>
          <w:szCs w:val="21"/>
        </w:rPr>
      </w:pPr>
      <w:r>
        <w:rPr>
          <w:rFonts w:hint="eastAsia"/>
          <w:szCs w:val="21"/>
        </w:rPr>
        <w:t>市值指数:通达信统计指数采用 </w:t>
      </w:r>
    </w:p>
    <w:p>
      <w:pPr>
        <w:pStyle w:val="34"/>
        <w:rPr>
          <w:szCs w:val="21"/>
        </w:rPr>
      </w:pPr>
      <w:r>
        <w:rPr>
          <w:rFonts w:hint="eastAsia"/>
          <w:szCs w:val="21"/>
        </w:rPr>
        <w:t>指数没开盘就下跌,说明当天持仓有分红.没考虑分红除息的指数是我们平时最常见的价格指数.</w:t>
      </w:r>
    </w:p>
    <w:p>
      <w:pPr>
        <w:pStyle w:val="34"/>
      </w:pPr>
      <w:r>
        <w:rPr>
          <w:rFonts w:hint="eastAsia"/>
        </w:rPr>
        <w:t>4、分时图有哪些使用小技巧?</w:t>
      </w:r>
    </w:p>
    <w:p>
      <w:pPr>
        <w:pStyle w:val="34"/>
        <w:rPr>
          <w:szCs w:val="21"/>
        </w:rPr>
      </w:pPr>
      <w:r>
        <w:rPr>
          <w:rFonts w:hint="eastAsia"/>
          <w:szCs w:val="21"/>
        </w:rPr>
        <w:t>1)Ctrl+上(下)箭头可对多日分时图进行增加和减少； </w:t>
      </w:r>
    </w:p>
    <w:p>
      <w:pPr>
        <w:pStyle w:val="34"/>
        <w:rPr>
          <w:szCs w:val="21"/>
        </w:rPr>
      </w:pPr>
      <w:r>
        <w:rPr>
          <w:rFonts w:hint="eastAsia"/>
          <w:szCs w:val="21"/>
        </w:rPr>
        <w:t>2)点击分时图(K线图)右侧纵轴,可实现分时与K线切换显示(Enter键也能实现)；</w:t>
      </w:r>
    </w:p>
    <w:p>
      <w:pPr>
        <w:pStyle w:val="34"/>
      </w:pPr>
      <w:r>
        <w:rPr>
          <w:rFonts w:hint="eastAsia"/>
        </w:rPr>
        <w:t>5、分时图中轴不是昨收如何解决(满占切换)?</w:t>
      </w:r>
    </w:p>
    <w:p>
      <w:pPr>
        <w:pStyle w:val="34"/>
        <w:rPr>
          <w:szCs w:val="21"/>
        </w:rPr>
      </w:pPr>
      <w:r>
        <w:rPr>
          <w:rFonts w:hint="eastAsia"/>
          <w:szCs w:val="21"/>
        </w:rPr>
        <w:t>1)在分时图界面使用快捷键,切换普通坐标/10%坐标/满占坐标； </w:t>
      </w:r>
    </w:p>
    <w:p>
      <w:pPr>
        <w:pStyle w:val="34"/>
        <w:rPr>
          <w:szCs w:val="21"/>
        </w:rPr>
      </w:pPr>
      <w:r>
        <w:rPr>
          <w:rFonts w:hint="eastAsia"/>
          <w:szCs w:val="21"/>
        </w:rPr>
        <w:t>2)在分时图界面右键,选择分时主图坐标,在右侧可选择坐标类型</w:t>
      </w:r>
    </w:p>
    <w:p>
      <w:pPr>
        <w:pStyle w:val="34"/>
      </w:pPr>
      <w:r>
        <w:rPr>
          <w:rFonts w:hint="eastAsia"/>
        </w:rPr>
        <w:t>6、分笔成交中的"B","S"标记是什么意思?</w:t>
      </w:r>
    </w:p>
    <w:p>
      <w:pPr>
        <w:pStyle w:val="34"/>
        <w:rPr>
          <w:szCs w:val="21"/>
        </w:rPr>
      </w:pPr>
      <w:r>
        <w:rPr>
          <w:rFonts w:hint="eastAsia"/>
          <w:szCs w:val="21"/>
        </w:rPr>
        <w:t>"B" 表示是主动性买单(Buy)； </w:t>
      </w:r>
    </w:p>
    <w:p>
      <w:pPr>
        <w:pStyle w:val="34"/>
        <w:rPr>
          <w:szCs w:val="21"/>
        </w:rPr>
      </w:pPr>
      <w:r>
        <w:rPr>
          <w:rFonts w:hint="eastAsia"/>
          <w:szCs w:val="21"/>
        </w:rPr>
        <w:t>"S" 表示是主动性卖单(Sell)； </w:t>
      </w:r>
    </w:p>
    <w:p>
      <w:pPr>
        <w:pStyle w:val="34"/>
        <w:rPr>
          <w:szCs w:val="21"/>
        </w:rPr>
      </w:pPr>
      <w:r>
        <w:rPr>
          <w:rFonts w:hint="eastAsia"/>
          <w:szCs w:val="21"/>
        </w:rPr>
        <w:t>无"B""S" 标记的表示是不明单,系统根据当时的叫买叫卖价无法得知是主动性买单还是卖单.</w:t>
      </w:r>
    </w:p>
    <w:p>
      <w:pPr>
        <w:pStyle w:val="34"/>
      </w:pPr>
      <w:r>
        <w:rPr>
          <w:rFonts w:hint="eastAsia"/>
        </w:rPr>
        <w:t>7、、分笔成交明细中的最右边的灰色数字表示的是什么?</w:t>
      </w:r>
    </w:p>
    <w:p>
      <w:pPr>
        <w:pStyle w:val="34"/>
        <w:rPr>
          <w:szCs w:val="21"/>
        </w:rPr>
      </w:pPr>
      <w:r>
        <w:rPr>
          <w:rFonts w:hint="eastAsia"/>
          <w:szCs w:val="21"/>
        </w:rPr>
        <w:t>灰色数字就是该分笔数据中实际上包含多少笔成交.交易所发布的行情中,每一个分笔并不是只有一笔成交,可能是几笔合成,深交所发布的数据有笔数信息.</w:t>
      </w:r>
    </w:p>
    <w:p>
      <w:pPr>
        <w:pStyle w:val="34"/>
      </w:pPr>
      <w:r>
        <w:rPr>
          <w:rFonts w:hint="eastAsia"/>
        </w:rPr>
        <w:t>8、分笔成交明细和行情信息中有的成交量为紫色,是什么意思?</w:t>
      </w:r>
    </w:p>
    <w:p>
      <w:pPr>
        <w:pStyle w:val="34"/>
        <w:rPr>
          <w:szCs w:val="21"/>
        </w:rPr>
      </w:pPr>
      <w:r>
        <w:rPr>
          <w:rFonts w:hint="eastAsia"/>
          <w:szCs w:val="21"/>
        </w:rPr>
        <w:t>表示是大单,缺省500手以上为大单,此值可以通过“系统设置”-&gt;“参数1”-&gt;现量高亮成交量来调整.</w:t>
      </w:r>
    </w:p>
    <w:p>
      <w:pPr>
        <w:pStyle w:val="34"/>
      </w:pPr>
      <w:r>
        <w:rPr>
          <w:rFonts w:hint="eastAsia"/>
        </w:rPr>
        <w:t>9、系统自带的均线太少,在该指标中添加均线后,重新打开客户端添加的均线会消失,怎么解决?</w:t>
      </w:r>
    </w:p>
    <w:p>
      <w:pPr>
        <w:pStyle w:val="34"/>
        <w:rPr>
          <w:szCs w:val="21"/>
        </w:rPr>
      </w:pPr>
      <w:r>
        <w:rPr>
          <w:rFonts w:hint="eastAsia"/>
          <w:szCs w:val="21"/>
        </w:rPr>
        <w:t>系统自带的指标修改后重启客户端会重新恢复到默认,如需添加或者修改,可修改指标代码后把代码复制到新建指标.</w:t>
      </w:r>
    </w:p>
    <w:p>
      <w:pPr>
        <w:pStyle w:val="34"/>
      </w:pPr>
      <w:r>
        <w:rPr>
          <w:rFonts w:hint="eastAsia"/>
        </w:rPr>
        <w:t>10、F2分价表中的竞买率是什么含义?</w:t>
      </w:r>
    </w:p>
    <w:p>
      <w:pPr>
        <w:pStyle w:val="34"/>
        <w:rPr>
          <w:szCs w:val="21"/>
        </w:rPr>
      </w:pPr>
      <w:r>
        <w:rPr>
          <w:rFonts w:hint="eastAsia"/>
          <w:szCs w:val="21"/>
        </w:rPr>
        <w:t>竞买率表示在此价位上成交的量中,主动性买量占的比率.</w:t>
      </w:r>
    </w:p>
    <w:p>
      <w:pPr>
        <w:pStyle w:val="34"/>
      </w:pPr>
      <w:r>
        <w:rPr>
          <w:rFonts w:hint="eastAsia"/>
        </w:rPr>
        <w:t>11、行情报价中的今开、最高有的带有小方框是什么意思?</w:t>
      </w:r>
    </w:p>
    <w:p>
      <w:pPr>
        <w:pStyle w:val="34"/>
        <w:rPr>
          <w:szCs w:val="21"/>
        </w:rPr>
      </w:pPr>
      <w:r>
        <w:rPr>
          <w:rFonts w:hint="eastAsia"/>
          <w:szCs w:val="21"/>
        </w:rPr>
        <w:t>带有小方框表示股票在最高或者今开达到过涨停.</w:t>
      </w:r>
    </w:p>
    <w:p>
      <w:pPr>
        <w:pStyle w:val="34"/>
      </w:pPr>
      <w:r>
        <w:rPr>
          <w:rFonts w:hint="eastAsia"/>
        </w:rPr>
        <w:t>12、为什么要用999999代码来表示上证指数?</w:t>
      </w:r>
    </w:p>
    <w:p>
      <w:pPr>
        <w:pStyle w:val="34"/>
        <w:rPr>
          <w:szCs w:val="21"/>
        </w:rPr>
      </w:pPr>
      <w:r>
        <w:rPr>
          <w:rFonts w:hint="eastAsia"/>
          <w:szCs w:val="21"/>
        </w:rPr>
        <w:t>上证所发布的上证指数是000001,这与深交所的000001股票代码重复,为了让用户选择上证指数更方面,特采用了999999来表示上证指数,同时用999998,999997来表示A股指数和B股指数.</w:t>
      </w:r>
    </w:p>
    <w:p>
      <w:pPr>
        <w:pStyle w:val="34"/>
      </w:pPr>
      <w:r>
        <w:rPr>
          <w:rFonts w:hint="eastAsia"/>
        </w:rPr>
        <w:t>13、强弱分析的说明</w:t>
      </w:r>
    </w:p>
    <w:p>
      <w:pPr>
        <w:pStyle w:val="34"/>
        <w:rPr>
          <w:szCs w:val="21"/>
        </w:rPr>
      </w:pPr>
      <w:r>
        <w:rPr>
          <w:rFonts w:hint="eastAsia"/>
          <w:szCs w:val="21"/>
        </w:rPr>
        <w:t>强弱分析报表的今日强,3日强,5日强,10,20,60强的含义： </w:t>
      </w:r>
    </w:p>
    <w:p>
      <w:pPr>
        <w:pStyle w:val="34"/>
        <w:rPr>
          <w:szCs w:val="21"/>
        </w:rPr>
      </w:pPr>
      <w:r>
        <w:rPr>
          <w:rFonts w:hint="eastAsia"/>
          <w:szCs w:val="21"/>
        </w:rPr>
        <w:t>如果没有设置基准,相当于股票的今日涨幅,3日来涨幅,5日来涨幅等 </w:t>
      </w:r>
    </w:p>
    <w:p>
      <w:pPr>
        <w:pStyle w:val="34"/>
        <w:rPr>
          <w:szCs w:val="21"/>
        </w:rPr>
      </w:pPr>
      <w:r>
        <w:rPr>
          <w:rFonts w:hint="eastAsia"/>
          <w:szCs w:val="21"/>
        </w:rPr>
        <w:t>如果设置有基准(比如是上证指数),则为涨幅与基准品种的同期涨幅之差。 </w:t>
      </w:r>
    </w:p>
    <w:p>
      <w:pPr>
        <w:pStyle w:val="34"/>
        <w:rPr>
          <w:szCs w:val="21"/>
        </w:rPr>
      </w:pPr>
      <w:r>
        <w:rPr>
          <w:rFonts w:hint="eastAsia"/>
          <w:szCs w:val="21"/>
        </w:rPr>
        <w:t>注意：此功能需要下载完整的盘后日线数据。</w:t>
      </w:r>
    </w:p>
    <w:p>
      <w:pPr>
        <w:pStyle w:val="34"/>
      </w:pPr>
      <w:r>
        <w:rPr>
          <w:rFonts w:hint="eastAsia"/>
        </w:rPr>
        <w:t>14、振幅算法的说明</w:t>
      </w:r>
    </w:p>
    <w:p>
      <w:pPr>
        <w:pStyle w:val="34"/>
        <w:rPr>
          <w:szCs w:val="21"/>
        </w:rPr>
      </w:pPr>
      <w:r>
        <w:rPr>
          <w:rFonts w:hint="eastAsia"/>
          <w:szCs w:val="21"/>
        </w:rPr>
        <w:t>当天行情：振幅=(最高-最低)/前收盘 </w:t>
      </w:r>
    </w:p>
    <w:p>
      <w:pPr>
        <w:pStyle w:val="34"/>
        <w:rPr>
          <w:szCs w:val="21"/>
        </w:rPr>
      </w:pPr>
      <w:r>
        <w:rPr>
          <w:rFonts w:hint="eastAsia"/>
          <w:szCs w:val="21"/>
        </w:rPr>
        <w:t>区间统计：振幅=(最高-最低)/最低</w:t>
      </w:r>
    </w:p>
    <w:p>
      <w:pPr>
        <w:pStyle w:val="34"/>
      </w:pPr>
      <w:r>
        <w:rPr>
          <w:rFonts w:hint="eastAsia"/>
        </w:rPr>
        <w:t>15、右上角行情信息区的证券名称前有G,L,R标识是什么意思?</w:t>
      </w:r>
    </w:p>
    <w:p>
      <w:pPr>
        <w:pStyle w:val="34"/>
        <w:rPr>
          <w:szCs w:val="21"/>
        </w:rPr>
      </w:pPr>
      <w:r>
        <w:rPr>
          <w:rFonts w:hint="eastAsia"/>
          <w:szCs w:val="21"/>
        </w:rPr>
        <w:t>G表示此股有股改信息,点击之可以看详细的对价和承诺信息. </w:t>
      </w:r>
    </w:p>
    <w:p>
      <w:pPr>
        <w:pStyle w:val="34"/>
        <w:rPr>
          <w:szCs w:val="21"/>
        </w:rPr>
      </w:pPr>
      <w:r>
        <w:rPr>
          <w:rFonts w:hint="eastAsia"/>
          <w:szCs w:val="21"/>
        </w:rPr>
        <w:t>L表示此股存在关联品种,比如有B股,可转债,H股或权证等等,点击之可以切换到相关的品种. </w:t>
      </w:r>
    </w:p>
    <w:p>
      <w:pPr>
        <w:pStyle w:val="34"/>
        <w:rPr>
          <w:szCs w:val="21"/>
        </w:rPr>
      </w:pPr>
      <w:r>
        <w:rPr>
          <w:rFonts w:hint="eastAsia"/>
          <w:szCs w:val="21"/>
        </w:rPr>
        <w:t>R表示属于融资融券,不同券商融资融券股票会有细微差别. </w:t>
      </w:r>
    </w:p>
    <w:p>
      <w:pPr>
        <w:pStyle w:val="34"/>
      </w:pPr>
      <w:r>
        <w:rPr>
          <w:rFonts w:hint="eastAsia"/>
        </w:rPr>
        <w:t>16、如果客户端的股票的很多财务数据(不是指F10)长期不更新,该怎么办?</w:t>
      </w:r>
    </w:p>
    <w:p>
      <w:pPr>
        <w:pStyle w:val="34"/>
        <w:rPr>
          <w:szCs w:val="21"/>
        </w:rPr>
      </w:pPr>
      <w:r>
        <w:rPr>
          <w:rFonts w:hint="eastAsia"/>
          <w:szCs w:val="21"/>
        </w:rPr>
        <w:t>这种情况有可能是本地财务数据由于各种原因造成紊乱,请用菜单：数据维护工具-&gt;数据清理-&gt;选中第二项"清理基本资料,股本变迁文件等……",按"执行清理选中栏目" 再重进客户端.</w:t>
      </w:r>
    </w:p>
    <w:p>
      <w:pPr>
        <w:pStyle w:val="34"/>
      </w:pPr>
      <w:r>
        <w:rPr>
          <w:rFonts w:hint="eastAsia"/>
        </w:rPr>
        <w:t>17、设置字体后,行情上的字体为什么会变成斜体?</w:t>
      </w:r>
    </w:p>
    <w:p>
      <w:pPr>
        <w:pStyle w:val="34"/>
        <w:rPr>
          <w:szCs w:val="21"/>
        </w:rPr>
      </w:pPr>
      <w:r>
        <w:rPr>
          <w:rFonts w:hint="eastAsia"/>
          <w:szCs w:val="21"/>
        </w:rPr>
        <w:t>设置字体时不能选择前面带有"@"符号的.</w:t>
      </w:r>
    </w:p>
    <w:p>
      <w:pPr>
        <w:pStyle w:val="34"/>
      </w:pPr>
      <w:r>
        <w:rPr>
          <w:rFonts w:hint="eastAsia"/>
        </w:rPr>
        <w:t>18、请教如何将“自选股”从一个通达信复制到另外一台机器安装通达信?</w:t>
      </w:r>
    </w:p>
    <w:p>
      <w:pPr>
        <w:pStyle w:val="34"/>
        <w:rPr>
          <w:szCs w:val="21"/>
        </w:rPr>
      </w:pPr>
      <w:r>
        <w:rPr>
          <w:rFonts w:hint="eastAsia"/>
          <w:szCs w:val="21"/>
        </w:rPr>
        <w:t>方法一： 菜单： 数据维护工具-&gt;数据备份 设置一备份路径,将你的自定板块备份到这个目录下,然后将此目录拷贝至另一台机器,在终端也使用数据维护工具-&gt;数据恢复. </w:t>
      </w:r>
    </w:p>
    <w:p>
      <w:pPr>
        <w:pStyle w:val="34"/>
        <w:rPr>
          <w:szCs w:val="21"/>
        </w:rPr>
      </w:pPr>
      <w:r>
        <w:rPr>
          <w:rFonts w:hint="eastAsia"/>
          <w:szCs w:val="21"/>
        </w:rPr>
        <w:t>方法二： 按Ctrl+D进入系统设置-&gt;板块-&gt;选中自选股,再选择右边的导出按钮将导出后的文件拷贝至另一台机器,在终端也进入系统设置中的板块,选中自选股,再选择右边的导入按钮. </w:t>
      </w:r>
    </w:p>
    <w:p>
      <w:pPr>
        <w:pStyle w:val="34"/>
        <w:rPr>
          <w:szCs w:val="21"/>
        </w:rPr>
      </w:pPr>
      <w:r>
        <w:rPr>
          <w:rFonts w:hint="eastAsia"/>
          <w:szCs w:val="21"/>
        </w:rPr>
        <w:t>方法三： 将整个T0002拷贝至另一台机器,覆盖软件运行目录下面的T0002. </w:t>
      </w:r>
    </w:p>
    <w:p>
      <w:pPr>
        <w:pStyle w:val="34"/>
        <w:rPr>
          <w:szCs w:val="21"/>
        </w:rPr>
      </w:pPr>
      <w:r>
        <w:rPr>
          <w:rFonts w:hint="eastAsia"/>
          <w:szCs w:val="21"/>
        </w:rPr>
        <w:t>方法四： 将T0002目录下的block.cfg文件和blocknew拷贝至另一台机器,放到软件运行目录下的T0002中.</w:t>
      </w:r>
    </w:p>
    <w:p>
      <w:pPr>
        <w:pStyle w:val="34"/>
      </w:pPr>
      <w:r>
        <w:rPr>
          <w:rFonts w:hint="eastAsia"/>
        </w:rPr>
        <w:t>19、K线图中如何设置涨跌停坐标?</w:t>
      </w:r>
    </w:p>
    <w:p>
      <w:pPr>
        <w:pStyle w:val="34"/>
        <w:rPr>
          <w:szCs w:val="21"/>
        </w:rPr>
      </w:pPr>
      <w:r>
        <w:rPr>
          <w:rFonts w:hint="eastAsia"/>
          <w:szCs w:val="21"/>
        </w:rPr>
        <w:t>在K线图的纵坐标内点右键,里面有一个等比坐标,可以选用在系统设置-&gt;设置3-&gt;可设置等比的比例,缺省是10%.纵坐标线是昨收为基准.</w:t>
      </w:r>
    </w:p>
    <w:p>
      <w:pPr>
        <w:pStyle w:val="34"/>
      </w:pPr>
      <w:r>
        <w:rPr>
          <w:rFonts w:hint="eastAsia"/>
        </w:rPr>
        <w:t>20、如何在通达信里面快速显示某个板块在某个时间段内的涨幅或跌幅?</w:t>
      </w:r>
    </w:p>
    <w:p>
      <w:pPr>
        <w:pStyle w:val="34"/>
        <w:rPr>
          <w:szCs w:val="21"/>
        </w:rPr>
      </w:pPr>
      <w:r>
        <w:rPr>
          <w:rFonts w:hint="eastAsia"/>
          <w:szCs w:val="21"/>
        </w:rPr>
        <w:t>进入热门板块分析(快捷键为.400),在右键中选择“区间热门板块”； </w:t>
      </w:r>
    </w:p>
    <w:p>
      <w:pPr>
        <w:pStyle w:val="34"/>
        <w:rPr>
          <w:szCs w:val="21"/>
        </w:rPr>
      </w:pPr>
      <w:r>
        <w:rPr>
          <w:rFonts w:hint="eastAsia"/>
          <w:szCs w:val="21"/>
        </w:rPr>
        <w:t>使用这个功能的前提是：要下载完整的日线数据.</w:t>
      </w:r>
    </w:p>
    <w:p>
      <w:pPr>
        <w:pStyle w:val="34"/>
      </w:pPr>
      <w:r>
        <w:rPr>
          <w:rFonts w:hint="eastAsia"/>
        </w:rPr>
        <w:t>21、竞价图里的成交量里的红绿柱代表啥?</w:t>
      </w:r>
    </w:p>
    <w:p>
      <w:pPr>
        <w:pStyle w:val="34"/>
        <w:rPr>
          <w:szCs w:val="21"/>
        </w:rPr>
      </w:pPr>
      <w:r>
        <w:rPr>
          <w:rFonts w:hint="eastAsia"/>
          <w:szCs w:val="21"/>
        </w:rPr>
        <w:t>当买方在匹配价格存在未匹配量,即买一和卖一有价量,买二有数量时,显示为红色； </w:t>
      </w:r>
    </w:p>
    <w:p>
      <w:pPr>
        <w:pStyle w:val="34"/>
        <w:rPr>
          <w:szCs w:val="21"/>
        </w:rPr>
      </w:pPr>
      <w:r>
        <w:rPr>
          <w:rFonts w:hint="eastAsia"/>
          <w:szCs w:val="21"/>
        </w:rPr>
        <w:t>当卖方在匹配价格存在未匹配量,即买一和卖一有价量,卖二有数量时,显示为绿色； </w:t>
      </w:r>
    </w:p>
    <w:p>
      <w:pPr>
        <w:pStyle w:val="34"/>
        <w:rPr>
          <w:szCs w:val="21"/>
        </w:rPr>
      </w:pPr>
      <w:r>
        <w:rPr>
          <w:rFonts w:hint="eastAsia"/>
          <w:szCs w:val="21"/>
        </w:rPr>
        <w:t>当买卖双方在匹配价格完全匹配,即买一和卖一有价量,买二和卖二无量,显示为白色.</w:t>
      </w:r>
    </w:p>
    <w:p>
      <w:pPr>
        <w:pStyle w:val="34"/>
      </w:pPr>
      <w:r>
        <w:rPr>
          <w:rFonts w:hint="eastAsia"/>
        </w:rPr>
        <w:t>22、ETF等开放式基金分时成交明细价位后面一列的数字和"+""-"代表什么意思?</w:t>
      </w:r>
    </w:p>
    <w:p>
      <w:pPr>
        <w:pStyle w:val="34"/>
        <w:rPr>
          <w:szCs w:val="21"/>
        </w:rPr>
      </w:pPr>
      <w:r>
        <w:rPr>
          <w:rFonts w:hint="eastAsia"/>
          <w:szCs w:val="21"/>
        </w:rPr>
        <w:t>ETF的参考单位基金净值(IOPV)是由交易所计算的ETF实时单位净值的近似值,以便于投资者估计ETF交易价格是否偏离了内在价值.上海证券交易所除了每15秒钟揭示上证50指数外,也会在相同时间间隔内,揭示上证50指数ETF的单位基金份额估计净值(也就是IOPV),以供投资人参考. </w:t>
      </w:r>
    </w:p>
    <w:p>
      <w:pPr>
        <w:pStyle w:val="34"/>
        <w:rPr>
          <w:szCs w:val="21"/>
        </w:rPr>
      </w:pPr>
      <w:r>
        <w:rPr>
          <w:rFonts w:hint="eastAsia"/>
          <w:szCs w:val="21"/>
        </w:rPr>
        <w:t>IOPV属于一种估算价格,比如分笔成交中的0.874/872+.表示当时成交的二级市场的价格是0.874,当时申购赎回的价格是0.872 后面的"+"表示是溢价成交.</w:t>
      </w:r>
    </w:p>
    <w:p>
      <w:pPr>
        <w:pStyle w:val="34"/>
      </w:pPr>
      <w:r>
        <w:rPr>
          <w:rFonts w:hint="eastAsia"/>
        </w:rPr>
        <w:t>23、自定义指标由于某些原因突然消失后如何恢复?</w:t>
      </w:r>
    </w:p>
    <w:p>
      <w:pPr>
        <w:pStyle w:val="34"/>
        <w:rPr>
          <w:szCs w:val="21"/>
        </w:rPr>
      </w:pPr>
      <w:r>
        <w:rPr>
          <w:rFonts w:hint="eastAsia"/>
          <w:szCs w:val="21"/>
        </w:rPr>
        <w:t>1)公式管理器-&gt;公式恢复-&gt;选择公式消失前一日的备份文件后确定. </w:t>
      </w:r>
    </w:p>
    <w:p>
      <w:pPr>
        <w:pStyle w:val="34"/>
        <w:rPr>
          <w:szCs w:val="21"/>
        </w:rPr>
      </w:pPr>
      <w:r>
        <w:rPr>
          <w:rFonts w:hint="eastAsia"/>
          <w:szCs w:val="21"/>
        </w:rPr>
        <w:t>2)提示：恢复将覆盖当前公式管理器中所有的自定义公式和模块等,请慎重操作.</w:t>
      </w:r>
    </w:p>
    <w:p>
      <w:pPr>
        <w:pStyle w:val="34"/>
      </w:pPr>
      <w:r>
        <w:rPr>
          <w:rFonts w:hint="eastAsia"/>
        </w:rPr>
        <w:t>24、画线和自选股误删了如何恢复</w:t>
      </w:r>
    </w:p>
    <w:p>
      <w:pPr>
        <w:pStyle w:val="34"/>
        <w:rPr>
          <w:szCs w:val="21"/>
        </w:rPr>
      </w:pPr>
      <w:r>
        <w:rPr>
          <w:rFonts w:hint="eastAsia"/>
          <w:szCs w:val="21"/>
        </w:rPr>
        <w:t>1.退出程序 </w:t>
      </w:r>
    </w:p>
    <w:p>
      <w:pPr>
        <w:pStyle w:val="34"/>
        <w:rPr>
          <w:szCs w:val="21"/>
        </w:rPr>
      </w:pPr>
      <w:r>
        <w:rPr>
          <w:rFonts w:hint="eastAsia"/>
          <w:szCs w:val="21"/>
        </w:rPr>
        <w:t>2.打开安装文件夹路径下面的T0002/gs_bak </w:t>
      </w:r>
    </w:p>
    <w:p>
      <w:pPr>
        <w:pStyle w:val="34"/>
        <w:rPr>
          <w:szCs w:val="21"/>
        </w:rPr>
      </w:pPr>
      <w:r>
        <w:rPr>
          <w:rFonts w:hint="eastAsia"/>
          <w:szCs w:val="21"/>
        </w:rPr>
        <w:t>3.找到画线文件：日期_tdxline.dat(如20190120_tdxline.dat)，将其改名为tdxline.dat后拷到T0002目录下； </w:t>
      </w:r>
    </w:p>
    <w:p>
      <w:pPr>
        <w:pStyle w:val="34"/>
        <w:rPr>
          <w:szCs w:val="21"/>
        </w:rPr>
      </w:pPr>
      <w:r>
        <w:rPr>
          <w:rFonts w:hint="eastAsia"/>
          <w:szCs w:val="21"/>
        </w:rPr>
        <w:t>找到自选股文件：日期_ZXG.dat(如20190120_ZXG.dat)，将其改名为ZXG.dat后拷到T0002/blocknew目录下。 </w:t>
      </w:r>
    </w:p>
    <w:p>
      <w:pPr>
        <w:pStyle w:val="34"/>
        <w:rPr>
          <w:szCs w:val="21"/>
        </w:rPr>
      </w:pPr>
      <w:r>
        <w:rPr>
          <w:rFonts w:hint="eastAsia"/>
          <w:szCs w:val="21"/>
        </w:rPr>
        <w:t>4.重新进入客户端</w:t>
      </w:r>
    </w:p>
    <w:p>
      <w:pPr>
        <w:pStyle w:val="34"/>
      </w:pPr>
      <w:r>
        <w:rPr>
          <w:rFonts w:hint="eastAsia"/>
        </w:rPr>
        <w:t>25、为什么前复权后有时出现价格为负的情况?</w:t>
      </w:r>
    </w:p>
    <w:p>
      <w:pPr>
        <w:pStyle w:val="34"/>
        <w:rPr>
          <w:szCs w:val="21"/>
        </w:rPr>
      </w:pPr>
      <w:r>
        <w:rPr>
          <w:rFonts w:hint="eastAsia"/>
          <w:szCs w:val="21"/>
        </w:rPr>
        <w:t>除权之后确实有这个可能,除权价是扣除分红配股等之后,当时的实际交易价格关于除权基准日的相对价格,或者说相对成本.</w:t>
      </w:r>
    </w:p>
    <w:p>
      <w:pPr>
        <w:pStyle w:val="34"/>
      </w:pPr>
      <w:r>
        <w:rPr>
          <w:rFonts w:hint="eastAsia"/>
        </w:rPr>
        <w:t>26、日线上出现上的最高最低价,为什么在分时图或5分钟等周期K线上有时没有出现?</w:t>
      </w:r>
    </w:p>
    <w:p>
      <w:pPr>
        <w:pStyle w:val="34"/>
        <w:rPr>
          <w:szCs w:val="21"/>
        </w:rPr>
      </w:pPr>
      <w:r>
        <w:rPr>
          <w:rFonts w:hint="eastAsia"/>
          <w:szCs w:val="21"/>
        </w:rPr>
        <w:t>最高最低价是交易所报的,但他们提供的快照行情不一定会出现,不是任一笔成交,交易所都会报出来的.目前国内交易所采用的都是快照方式.可在分时图界面按F8进入闪电走势图查看更详细的成交走势.</w:t>
      </w:r>
    </w:p>
    <w:p>
      <w:pPr>
        <w:pStyle w:val="34"/>
      </w:pPr>
      <w:r>
        <w:rPr>
          <w:rFonts w:hint="eastAsia"/>
        </w:rPr>
        <w:t>27、登录时,对话框处验证码以及上面对应的字没有显示齐全,登录窗口不能放大,怎么解决?</w:t>
      </w:r>
    </w:p>
    <w:p>
      <w:pPr>
        <w:pStyle w:val="34"/>
        <w:rPr>
          <w:szCs w:val="21"/>
        </w:rPr>
      </w:pPr>
      <w:r>
        <w:rPr>
          <w:rFonts w:hint="eastAsia"/>
          <w:szCs w:val="21"/>
        </w:rPr>
        <w:t>在控制面板中-&gt;显示-&gt;放大或缩小文本其他项目,把DPI设置为默认的100%.请不要改动DPI.</w:t>
      </w:r>
    </w:p>
    <w:p>
      <w:pPr>
        <w:pStyle w:val="34"/>
      </w:pPr>
      <w:r>
        <w:rPr>
          <w:rFonts w:hint="eastAsia"/>
        </w:rPr>
        <w:t>28、能否在通达信dll里调用画线函数?</w:t>
      </w:r>
    </w:p>
    <w:p>
      <w:pPr>
        <w:pStyle w:val="34"/>
        <w:rPr>
          <w:szCs w:val="21"/>
        </w:rPr>
      </w:pPr>
      <w:r>
        <w:rPr>
          <w:rFonts w:hint="eastAsia"/>
          <w:szCs w:val="21"/>
        </w:rPr>
        <w:t>dll 函数是计算函数,得出计算结果集,用通达信画图函数画出dll函数计算的结果集,dll函数并不能直接调用画线函数.</w:t>
      </w:r>
    </w:p>
    <w:p>
      <w:pPr>
        <w:pStyle w:val="34"/>
      </w:pPr>
      <w:r>
        <w:rPr>
          <w:rFonts w:hint="eastAsia"/>
        </w:rPr>
        <w:t>29、dll绑定失败?</w:t>
      </w:r>
    </w:p>
    <w:p>
      <w:pPr>
        <w:pStyle w:val="34"/>
        <w:rPr>
          <w:szCs w:val="21"/>
        </w:rPr>
      </w:pPr>
      <w:r>
        <w:rPr>
          <w:rFonts w:hint="eastAsia"/>
          <w:szCs w:val="21"/>
        </w:rPr>
        <w:t>方法一： 直接在目录运行TdxW.exe； </w:t>
      </w:r>
    </w:p>
    <w:p>
      <w:pPr>
        <w:pStyle w:val="34"/>
        <w:rPr>
          <w:szCs w:val="21"/>
        </w:rPr>
      </w:pPr>
      <w:r>
        <w:rPr>
          <w:rFonts w:hint="eastAsia"/>
          <w:szCs w:val="21"/>
        </w:rPr>
        <w:t>方法二： 把桌面快捷方式里的起始位置清除留空.</w:t>
      </w:r>
    </w:p>
    <w:p>
      <w:pPr>
        <w:pStyle w:val="34"/>
      </w:pPr>
      <w:r>
        <w:rPr>
          <w:rFonts w:hint="eastAsia"/>
        </w:rPr>
        <w:t>30、如何正确在主图中使用BOLL线?</w:t>
      </w:r>
    </w:p>
    <w:p>
      <w:pPr>
        <w:pStyle w:val="34"/>
        <w:rPr>
          <w:szCs w:val="21"/>
        </w:rPr>
      </w:pPr>
      <w:r>
        <w:rPr>
          <w:rFonts w:hint="eastAsia"/>
          <w:szCs w:val="21"/>
        </w:rPr>
        <w:t>不要在主图叠加其他指标后选择BOLL线,这样的BOLL线形状位置和副图是不一样的.叠加品种的坐标体系是相互独立的. </w:t>
      </w:r>
    </w:p>
    <w:p>
      <w:pPr>
        <w:pStyle w:val="34"/>
        <w:rPr>
          <w:szCs w:val="21"/>
        </w:rPr>
      </w:pPr>
      <w:r>
        <w:rPr>
          <w:rFonts w:hint="eastAsia"/>
          <w:szCs w:val="21"/>
        </w:rPr>
        <w:t>而是在主图指标&gt;-选择主图指标&gt;-选择BOLL-M线,这样就不会受时间段放大缩小影响了.</w:t>
      </w:r>
    </w:p>
    <w:p>
      <w:pPr>
        <w:pStyle w:val="34"/>
      </w:pPr>
      <w:r>
        <w:rPr>
          <w:rFonts w:hint="eastAsia"/>
        </w:rPr>
        <w:t>31、公式中返回的日期或者超长的数据不准确?</w:t>
      </w:r>
    </w:p>
    <w:p>
      <w:pPr>
        <w:pStyle w:val="34"/>
        <w:rPr>
          <w:szCs w:val="21"/>
        </w:rPr>
      </w:pPr>
      <w:r>
        <w:rPr>
          <w:rFonts w:hint="eastAsia"/>
          <w:szCs w:val="21"/>
        </w:rPr>
        <w:t>系统的数据精度是7位数,超过7位数就不再精确.这也就是DATE取值只取7位数的原因,例如当前日期只取1160126.</w:t>
      </w:r>
    </w:p>
    <w:p>
      <w:pPr>
        <w:pStyle w:val="34"/>
      </w:pPr>
      <w:r>
        <w:rPr>
          <w:rFonts w:hint="eastAsia"/>
        </w:rPr>
        <w:t>32、判断数据是否完整的方法有：</w:t>
      </w:r>
    </w:p>
    <w:p>
      <w:pPr>
        <w:pStyle w:val="34"/>
        <w:rPr>
          <w:szCs w:val="21"/>
        </w:rPr>
      </w:pPr>
      <w:r>
        <w:rPr>
          <w:rFonts w:hint="eastAsia"/>
          <w:szCs w:val="21"/>
        </w:rPr>
        <w:t>方法一： 数据下载完整的话选股时不会弹出提示完整下载数据的提示框； </w:t>
      </w:r>
    </w:p>
    <w:p>
      <w:pPr>
        <w:pStyle w:val="34"/>
        <w:rPr>
          <w:szCs w:val="21"/>
        </w:rPr>
      </w:pPr>
      <w:r>
        <w:rPr>
          <w:rFonts w:hint="eastAsia"/>
          <w:szCs w:val="21"/>
        </w:rPr>
        <w:t>方法二： 系统&gt;-盘后数据下载,看看日线分钟线的自动提示下载的日期是否都为今日的,相距甚远则数据不完全； </w:t>
      </w:r>
    </w:p>
    <w:p>
      <w:pPr>
        <w:pStyle w:val="34"/>
        <w:rPr>
          <w:szCs w:val="21"/>
        </w:rPr>
      </w:pPr>
      <w:r>
        <w:rPr>
          <w:rFonts w:hint="eastAsia"/>
          <w:szCs w:val="21"/>
        </w:rPr>
        <w:t>方法三： 还可以用成交额这样的函数显示在副图上,检验日K、分钟K,看看画的线是否出现断缺,多观察几个品种,断缺则数据不完整.</w:t>
      </w:r>
    </w:p>
    <w:p>
      <w:pPr>
        <w:pStyle w:val="34"/>
      </w:pPr>
      <w:r>
        <w:rPr>
          <w:rFonts w:hint="eastAsia"/>
        </w:rPr>
        <w:t>33、重装软件后原来在K线上的画线该怎么备份和恢复?</w:t>
      </w:r>
    </w:p>
    <w:p>
      <w:pPr>
        <w:pStyle w:val="34"/>
        <w:rPr>
          <w:szCs w:val="21"/>
        </w:rPr>
      </w:pPr>
      <w:r>
        <w:rPr>
          <w:rFonts w:hint="eastAsia"/>
          <w:szCs w:val="21"/>
        </w:rPr>
        <w:t>用系统菜单下面的数据维护工具进行备份,装好软件后再用数据备份工具导入.</w:t>
      </w:r>
    </w:p>
    <w:p>
      <w:pPr>
        <w:pStyle w:val="34"/>
      </w:pPr>
      <w:r>
        <w:rPr>
          <w:rFonts w:hint="eastAsia"/>
        </w:rPr>
        <w:t>34、电脑死机,重启后软件里筹码显示都不正常怎么办?</w:t>
      </w:r>
    </w:p>
    <w:p>
      <w:pPr>
        <w:pStyle w:val="34"/>
        <w:rPr>
          <w:szCs w:val="21"/>
        </w:rPr>
      </w:pPr>
      <w:r>
        <w:rPr>
          <w:rFonts w:hint="eastAsia"/>
          <w:szCs w:val="21"/>
        </w:rPr>
        <w:t>退出程序后删除T0002下的cbset.dat. </w:t>
      </w:r>
    </w:p>
    <w:p>
      <w:pPr>
        <w:pStyle w:val="34"/>
        <w:rPr>
          <w:szCs w:val="21"/>
        </w:rPr>
      </w:pPr>
      <w:r>
        <w:rPr>
          <w:rFonts w:hint="eastAsia"/>
          <w:szCs w:val="21"/>
        </w:rPr>
        <w:t>建议使用数据维护工具清理一下数据.</w:t>
      </w:r>
    </w:p>
    <w:p>
      <w:pPr>
        <w:pStyle w:val="34"/>
      </w:pPr>
      <w:r>
        <w:rPr>
          <w:rFonts w:hint="eastAsia"/>
        </w:rPr>
        <w:t>35、为何数据会随K线放大缩小而变动?</w:t>
      </w:r>
    </w:p>
    <w:p>
      <w:pPr>
        <w:pStyle w:val="34"/>
        <w:rPr>
          <w:szCs w:val="21"/>
        </w:rPr>
      </w:pPr>
      <w:r>
        <w:rPr>
          <w:rFonts w:hint="eastAsia"/>
          <w:szCs w:val="21"/>
        </w:rPr>
        <w:t>客户端并不是一次就把所有日线都请求到的.成交加总之类的计算随请求到的数据量多少,会有变动. </w:t>
      </w:r>
    </w:p>
    <w:p>
      <w:pPr>
        <w:pStyle w:val="34"/>
        <w:rPr>
          <w:szCs w:val="21"/>
        </w:rPr>
      </w:pPr>
      <w:r>
        <w:rPr>
          <w:rFonts w:hint="eastAsia"/>
          <w:szCs w:val="21"/>
        </w:rPr>
        <w:t>如果是快速网络,建议在系统设置&gt;-设置2&gt;-初始化数据个数设置为700,设置4&gt;-锁定分析图中初始K线个数,然后重新进入系统.</w:t>
      </w:r>
    </w:p>
    <w:p>
      <w:pPr>
        <w:pStyle w:val="34"/>
      </w:pPr>
      <w:r>
        <w:rPr>
          <w:rFonts w:hint="eastAsia"/>
        </w:rPr>
        <w:t>36、财务计算公式：</w:t>
      </w:r>
    </w:p>
    <w:p>
      <w:pPr>
        <w:pStyle w:val="34"/>
        <w:rPr>
          <w:szCs w:val="21"/>
        </w:rPr>
      </w:pPr>
      <w:r>
        <w:rPr>
          <w:rFonts w:hint="eastAsia"/>
          <w:szCs w:val="21"/>
        </w:rPr>
        <w:t>市盈(动)：现价/折算成全年的每股收益； </w:t>
      </w:r>
    </w:p>
    <w:p>
      <w:pPr>
        <w:pStyle w:val="34"/>
        <w:rPr>
          <w:szCs w:val="21"/>
        </w:rPr>
      </w:pPr>
      <w:r>
        <w:rPr>
          <w:rFonts w:hint="eastAsia"/>
          <w:szCs w:val="21"/>
        </w:rPr>
        <w:t>市盈(静)：每股市价/每股收益,根据最近年报的每股收益得到的市盈率； </w:t>
      </w:r>
    </w:p>
    <w:p>
      <w:pPr>
        <w:pStyle w:val="34"/>
        <w:rPr>
          <w:szCs w:val="21"/>
        </w:rPr>
      </w:pPr>
      <w:r>
        <w:rPr>
          <w:rFonts w:hint="eastAsia"/>
          <w:szCs w:val="21"/>
        </w:rPr>
        <w:t>市盈(TTM)：每股市价/每股收益,根据最近12个月的每股收益得到的市盈率； </w:t>
      </w:r>
    </w:p>
    <w:p>
      <w:pPr>
        <w:pStyle w:val="34"/>
        <w:rPr>
          <w:szCs w:val="21"/>
        </w:rPr>
      </w:pPr>
      <w:r>
        <w:rPr>
          <w:rFonts w:hint="eastAsia"/>
          <w:szCs w:val="21"/>
        </w:rPr>
        <w:t>PB(MRQ市净率)：现价/每股净资产,根据最近一季的财报数据来计算PB； </w:t>
      </w:r>
    </w:p>
    <w:p>
      <w:pPr>
        <w:pStyle w:val="34"/>
        <w:rPr>
          <w:szCs w:val="21"/>
        </w:rPr>
      </w:pPr>
      <w:r>
        <w:rPr>
          <w:rFonts w:hint="eastAsia"/>
          <w:szCs w:val="21"/>
        </w:rPr>
        <w:t>ROE(摊簿)(净益率)：即净资产收益率,当期的净利润/净资产*100； </w:t>
      </w:r>
    </w:p>
    <w:p>
      <w:pPr>
        <w:pStyle w:val="34"/>
        <w:rPr>
          <w:szCs w:val="21"/>
        </w:rPr>
      </w:pPr>
      <w:r>
        <w:rPr>
          <w:rFonts w:hint="eastAsia"/>
          <w:szCs w:val="21"/>
        </w:rPr>
        <w:t>市现率：现价/每股现金流量； </w:t>
      </w:r>
    </w:p>
    <w:p>
      <w:pPr>
        <w:pStyle w:val="34"/>
        <w:rPr>
          <w:szCs w:val="21"/>
        </w:rPr>
      </w:pPr>
      <w:r>
        <w:rPr>
          <w:rFonts w:hint="eastAsia"/>
          <w:szCs w:val="21"/>
        </w:rPr>
        <w:t>市销率：现价/每股营业收入； </w:t>
      </w:r>
    </w:p>
    <w:p>
      <w:pPr>
        <w:pStyle w:val="34"/>
        <w:rPr>
          <w:szCs w:val="21"/>
        </w:rPr>
      </w:pPr>
      <w:r>
        <w:rPr>
          <w:rFonts w:hint="eastAsia"/>
          <w:szCs w:val="21"/>
        </w:rPr>
        <w:t>TTM,trailing twelve month,过去12个月.是一个滚动概念,为连续12个月内的统计数据.取最近的四个季度来反映上市公司的真实情况. </w:t>
      </w:r>
    </w:p>
    <w:p>
      <w:pPr>
        <w:pStyle w:val="34"/>
        <w:rPr>
          <w:szCs w:val="21"/>
        </w:rPr>
      </w:pPr>
      <w:r>
        <w:rPr>
          <w:rFonts w:hint="eastAsia"/>
          <w:szCs w:val="21"/>
        </w:rPr>
        <w:t>MRQ,most recent quarter,最近一季.根据最近一季的财报数据进行计算. </w:t>
      </w:r>
    </w:p>
    <w:p>
      <w:pPr>
        <w:pStyle w:val="34"/>
        <w:rPr>
          <w:szCs w:val="21"/>
        </w:rPr>
      </w:pPr>
      <w:r>
        <w:rPr>
          <w:rFonts w:hint="eastAsia"/>
          <w:szCs w:val="21"/>
        </w:rPr>
        <w:t>贝塔系数,个股相对于大盘的波动表现(最近60天统计),其绝对值越大,显示其收益变化幅度相对于大盘的变化幅度越大；如果是负值,则表示方面相反.0.5为低风险股票,1.0表示为平均风险股票,2.0高风险股票,大多数股票介于0.5到l.5间.</w:t>
      </w:r>
    </w:p>
    <w:p>
      <w:pPr>
        <w:pStyle w:val="34"/>
      </w:pPr>
      <w:r>
        <w:rPr>
          <w:rFonts w:hint="eastAsia"/>
        </w:rPr>
        <w:t>37、分价表界面的介绍：</w:t>
      </w:r>
    </w:p>
    <w:p>
      <w:pPr>
        <w:pStyle w:val="34"/>
        <w:rPr>
          <w:szCs w:val="21"/>
        </w:rPr>
      </w:pPr>
      <w:r>
        <w:rPr>
          <w:rFonts w:hint="eastAsia"/>
          <w:szCs w:val="21"/>
        </w:rPr>
        <w:t>虚框的宽度表示出现过某个价位的最大成交量； </w:t>
      </w:r>
    </w:p>
    <w:p>
      <w:pPr>
        <w:pStyle w:val="34"/>
        <w:rPr>
          <w:szCs w:val="21"/>
        </w:rPr>
      </w:pPr>
      <w:r>
        <w:rPr>
          <w:rFonts w:hint="eastAsia"/>
          <w:szCs w:val="21"/>
        </w:rPr>
        <w:t>红色部分表示此价位的主动性买成交量,绿色部分表示主动性卖成交量,灰色部分表示不明成交量； </w:t>
      </w:r>
    </w:p>
    <w:p>
      <w:pPr>
        <w:pStyle w:val="34"/>
        <w:rPr>
          <w:szCs w:val="21"/>
        </w:rPr>
      </w:pPr>
      <w:r>
        <w:rPr>
          <w:rFonts w:hint="eastAsia"/>
          <w:szCs w:val="21"/>
        </w:rPr>
        <w:t>后面的百分比表示此价位上的成交量占整成交量的占比； </w:t>
      </w:r>
    </w:p>
    <w:p>
      <w:pPr>
        <w:pStyle w:val="34"/>
        <w:rPr>
          <w:szCs w:val="21"/>
        </w:rPr>
      </w:pPr>
      <w:r>
        <w:rPr>
          <w:rFonts w:hint="eastAsia"/>
          <w:szCs w:val="21"/>
        </w:rPr>
        <w:t>灰色菱形表示此价位为当前的现价； </w:t>
      </w:r>
    </w:p>
    <w:p>
      <w:pPr>
        <w:pStyle w:val="34"/>
        <w:rPr>
          <w:szCs w:val="21"/>
        </w:rPr>
      </w:pPr>
      <w:r>
        <w:rPr>
          <w:rFonts w:hint="eastAsia"/>
          <w:szCs w:val="21"/>
        </w:rPr>
        <w:t>向上的灰箭头表示可以向上翻页,向下的灰箭头表示可以向下翻页. </w:t>
      </w:r>
    </w:p>
    <w:p>
      <w:pPr>
        <w:pStyle w:val="34"/>
        <w:rPr>
          <w:szCs w:val="21"/>
        </w:rPr>
      </w:pPr>
      <w:r>
        <w:rPr>
          <w:rFonts w:hint="eastAsia"/>
          <w:szCs w:val="21"/>
        </w:rPr>
        <w:t>数量如果是紫色显示,表示为成交量的最大的前三名.</w:t>
      </w:r>
    </w:p>
    <w:p>
      <w:pPr>
        <w:pStyle w:val="34"/>
      </w:pPr>
      <w:r>
        <w:rPr>
          <w:rFonts w:hint="eastAsia"/>
        </w:rPr>
        <w:t>38、分析图主图变成了美国线、收盘线、宝塔线等,怎么调回原来的K线?</w:t>
      </w:r>
    </w:p>
    <w:p>
      <w:pPr>
        <w:pStyle w:val="34"/>
        <w:rPr>
          <w:szCs w:val="21"/>
        </w:rPr>
      </w:pPr>
      <w:r>
        <w:rPr>
          <w:rFonts w:hint="eastAsia"/>
          <w:szCs w:val="21"/>
        </w:rPr>
        <w:t>直接敲K或在主图空白处右键&gt;-主图其他设置&gt;-选择K线(空心阳线).</w:t>
      </w:r>
    </w:p>
    <w:p>
      <w:pPr>
        <w:pStyle w:val="34"/>
      </w:pPr>
      <w:r>
        <w:rPr>
          <w:rFonts w:hint="eastAsia"/>
        </w:rPr>
        <w:t>39、如何在行情表中显示融资融券和次新股等标识?</w:t>
      </w:r>
    </w:p>
    <w:p>
      <w:pPr>
        <w:pStyle w:val="34"/>
        <w:rPr>
          <w:szCs w:val="21"/>
        </w:rPr>
      </w:pPr>
      <w:r>
        <w:rPr>
          <w:rFonts w:hint="eastAsia"/>
          <w:szCs w:val="21"/>
        </w:rPr>
        <w:t>图形标识设置-&gt;行情表的融资融券和次新股标识 </w:t>
      </w:r>
    </w:p>
    <w:p>
      <w:pPr>
        <w:pStyle w:val="34"/>
        <w:rPr>
          <w:szCs w:val="21"/>
        </w:rPr>
      </w:pPr>
      <w:r>
        <w:rPr>
          <w:rFonts w:hint="eastAsia"/>
          <w:szCs w:val="21"/>
        </w:rPr>
        <w:t>灰N：未开板新股； </w:t>
      </w:r>
    </w:p>
    <w:p>
      <w:pPr>
        <w:pStyle w:val="34"/>
        <w:rPr>
          <w:szCs w:val="21"/>
        </w:rPr>
      </w:pPr>
      <w:r>
        <w:rPr>
          <w:rFonts w:hint="eastAsia"/>
          <w:szCs w:val="21"/>
        </w:rPr>
        <w:t>黄N：次新股； </w:t>
      </w:r>
    </w:p>
    <w:p>
      <w:pPr>
        <w:pStyle w:val="34"/>
        <w:rPr>
          <w:szCs w:val="21"/>
        </w:rPr>
      </w:pPr>
      <w:r>
        <w:rPr>
          <w:rFonts w:hint="eastAsia"/>
          <w:szCs w:val="21"/>
        </w:rPr>
        <w:t>红R：融资融券标的.</w:t>
      </w:r>
    </w:p>
    <w:p>
      <w:pPr>
        <w:pStyle w:val="34"/>
      </w:pPr>
      <w:r>
        <w:rPr>
          <w:rFonts w:hint="eastAsia"/>
        </w:rPr>
        <w:t>40、股票简称前面带的字母有什么含义？</w:t>
      </w:r>
    </w:p>
    <w:p>
      <w:pPr>
        <w:pStyle w:val="34"/>
        <w:rPr>
          <w:szCs w:val="21"/>
        </w:rPr>
      </w:pPr>
      <w:r>
        <w:rPr>
          <w:rFonts w:hint="eastAsia"/>
          <w:szCs w:val="21"/>
        </w:rPr>
        <w:t>N：首日上市，N是新股上市当天专用字母； </w:t>
      </w:r>
    </w:p>
    <w:p>
      <w:pPr>
        <w:pStyle w:val="34"/>
        <w:rPr>
          <w:szCs w:val="21"/>
        </w:rPr>
      </w:pPr>
      <w:r>
        <w:rPr>
          <w:rFonts w:hint="eastAsia"/>
          <w:szCs w:val="21"/>
        </w:rPr>
        <w:t>C：上市第二天到第五天涨跌幅不设限制；（适用于深交所创业板和上交所科创板） </w:t>
      </w:r>
    </w:p>
    <w:p>
      <w:pPr>
        <w:pStyle w:val="34"/>
        <w:rPr>
          <w:szCs w:val="21"/>
        </w:rPr>
      </w:pPr>
      <w:r>
        <w:rPr>
          <w:rFonts w:hint="eastAsia"/>
          <w:szCs w:val="21"/>
        </w:rPr>
        <w:t>XD：除息，是"exit divident"的缩写；(适用于上交所) </w:t>
      </w:r>
    </w:p>
    <w:p>
      <w:pPr>
        <w:pStyle w:val="34"/>
        <w:rPr>
          <w:szCs w:val="21"/>
        </w:rPr>
      </w:pPr>
      <w:r>
        <w:rPr>
          <w:rFonts w:hint="eastAsia"/>
          <w:szCs w:val="21"/>
        </w:rPr>
        <w:t>XR：除权，是"exit right"的缩写；(适用于上交所) </w:t>
      </w:r>
    </w:p>
    <w:p>
      <w:pPr>
        <w:pStyle w:val="34"/>
        <w:rPr>
          <w:szCs w:val="21"/>
        </w:rPr>
      </w:pPr>
      <w:r>
        <w:rPr>
          <w:rFonts w:hint="eastAsia"/>
          <w:szCs w:val="21"/>
        </w:rPr>
        <w:t>DR：除息和除权，是"exit divident and right"的缩写；(适用于上交所) </w:t>
      </w:r>
    </w:p>
    <w:p>
      <w:pPr>
        <w:pStyle w:val="34"/>
        <w:rPr>
          <w:szCs w:val="21"/>
        </w:rPr>
      </w:pPr>
      <w:r>
        <w:rPr>
          <w:rFonts w:hint="eastAsia"/>
          <w:szCs w:val="21"/>
        </w:rPr>
        <w:t>Z：可转债最后交易日</w:t>
      </w:r>
    </w:p>
    <w:p>
      <w:pPr>
        <w:pStyle w:val="34"/>
      </w:pPr>
      <w:r>
        <w:rPr>
          <w:rFonts w:hint="eastAsia"/>
        </w:rPr>
        <w:t>41、股票简称后面带的字母是什么意思？</w:t>
      </w:r>
    </w:p>
    <w:p>
      <w:pPr>
        <w:pStyle w:val="34"/>
        <w:rPr>
          <w:szCs w:val="21"/>
        </w:rPr>
      </w:pPr>
      <w:r>
        <w:rPr>
          <w:rFonts w:hint="eastAsia"/>
          <w:szCs w:val="21"/>
        </w:rPr>
        <w:t>-U：发行人尚未盈利的，其股票或存托凭证的特别标识为“U”；发行人首次实现盈利的，该特别标识取消 </w:t>
      </w:r>
    </w:p>
    <w:p>
      <w:pPr>
        <w:pStyle w:val="34"/>
        <w:rPr>
          <w:szCs w:val="21"/>
        </w:rPr>
      </w:pPr>
      <w:r>
        <w:rPr>
          <w:rFonts w:hint="eastAsia"/>
          <w:szCs w:val="21"/>
        </w:rPr>
        <w:t>-W：发行人具有表决权差异安排的，其股票或存托凭证的特别标识为“W”；上市后不再具有表决权差异安排的，该特别标识取消 </w:t>
      </w:r>
    </w:p>
    <w:p>
      <w:pPr>
        <w:pStyle w:val="34"/>
        <w:rPr>
          <w:szCs w:val="21"/>
        </w:rPr>
      </w:pPr>
      <w:r>
        <w:rPr>
          <w:rFonts w:hint="eastAsia"/>
          <w:szCs w:val="21"/>
        </w:rPr>
        <w:t>-V：发行人具有协议控制架构或者类似特殊安排的，其股票或存托凭证的特别标识为“V”；上市后不再具有相关安排的，该特别标识取消 </w:t>
      </w:r>
    </w:p>
    <w:p>
      <w:pPr>
        <w:pStyle w:val="34"/>
        <w:rPr>
          <w:szCs w:val="21"/>
        </w:rPr>
      </w:pPr>
      <w:r>
        <w:rPr>
          <w:rFonts w:hint="eastAsia"/>
          <w:szCs w:val="21"/>
        </w:rPr>
        <w:t>-D：存托凭证。指在境外(包含中国香港)上市公司将部分已发行上市的股票托管在当地保管银行，由中国境内的存托银行发行、在境内A股市场上市、以人民币交易结算、供国内投资者买卖的投资凭证，从而实现股票的异地买卖 </w:t>
      </w:r>
    </w:p>
    <w:p>
      <w:pPr>
        <w:pStyle w:val="34"/>
        <w:rPr>
          <w:szCs w:val="21"/>
        </w:rPr>
      </w:pPr>
      <w:r>
        <w:rPr>
          <w:rFonts w:hint="eastAsia"/>
          <w:szCs w:val="21"/>
        </w:rPr>
        <w:t>-S：港交所为第二次在港交所上市的公司股票简称后面加上特殊的标记“-S” </w:t>
      </w:r>
    </w:p>
    <w:p>
      <w:pPr>
        <w:pStyle w:val="34"/>
        <w:rPr>
          <w:szCs w:val="21"/>
        </w:rPr>
      </w:pPr>
      <w:r>
        <w:rPr>
          <w:rFonts w:hint="eastAsia"/>
          <w:szCs w:val="21"/>
        </w:rPr>
        <w:t>-B：港交所为了向投资者提示未盈利的生物科技上市公司的风险，要求该类上市公司在其股票简称后添加“-B” </w:t>
      </w:r>
    </w:p>
    <w:p>
      <w:pPr>
        <w:pStyle w:val="34"/>
        <w:rPr>
          <w:szCs w:val="21"/>
        </w:rPr>
      </w:pPr>
      <w:r>
        <w:rPr>
          <w:rFonts w:hint="eastAsia"/>
          <w:szCs w:val="21"/>
        </w:rPr>
        <w:t>-R：港交所也允许上市公司以人民币作为交易货币，所有在港交所上市、以人民币买卖的公司，股票名称后面会被加上-R </w:t>
      </w:r>
    </w:p>
    <w:p>
      <w:pPr>
        <w:pStyle w:val="34"/>
        <w:rPr>
          <w:szCs w:val="21"/>
        </w:rPr>
      </w:pPr>
      <w:r>
        <w:rPr>
          <w:rFonts w:hint="eastAsia"/>
          <w:szCs w:val="21"/>
        </w:rPr>
        <w:t>-U：在港交所上市、以美元买卖的公司，股票名称后面会被加上-U </w:t>
      </w:r>
    </w:p>
    <w:p>
      <w:pPr>
        <w:pStyle w:val="34"/>
        <w:rPr>
          <w:szCs w:val="21"/>
        </w:rPr>
      </w:pPr>
      <w:r>
        <w:rPr>
          <w:rFonts w:hint="eastAsia"/>
          <w:szCs w:val="21"/>
        </w:rPr>
        <w:t>-SS：意为“合订证券”。合订证券，一般是指将发行人的不同证券（如股票+商业信托）捆绑在一起上市。合订证券可以让发行人享受某些税务优惠 </w:t>
      </w:r>
    </w:p>
    <w:p>
      <w:pPr>
        <w:pStyle w:val="34"/>
        <w:rPr>
          <w:szCs w:val="21"/>
        </w:rPr>
      </w:pPr>
      <w:r>
        <w:rPr>
          <w:rFonts w:hint="eastAsia"/>
          <w:szCs w:val="21"/>
        </w:rPr>
        <w:t>-Z：在港交所上市，特殊目的收购公司， 即Special Purpose Acquisition Corporation （SPAC）。</w:t>
      </w:r>
    </w:p>
    <w:p>
      <w:pPr>
        <w:pStyle w:val="34"/>
      </w:pPr>
      <w:r>
        <w:rPr>
          <w:rFonts w:hint="eastAsia"/>
        </w:rPr>
        <w:t>42、行情报价中股票简称后一列中的字母是什么意思？</w:t>
      </w:r>
    </w:p>
    <w:p>
      <w:pPr>
        <w:pStyle w:val="34"/>
        <w:rPr>
          <w:szCs w:val="21"/>
        </w:rPr>
      </w:pPr>
      <w:r>
        <w:rPr>
          <w:rFonts w:hint="eastAsia"/>
          <w:szCs w:val="21"/>
        </w:rPr>
        <w:t>K：科创板 </w:t>
      </w:r>
    </w:p>
    <w:p>
      <w:pPr>
        <w:pStyle w:val="34"/>
        <w:rPr>
          <w:szCs w:val="21"/>
        </w:rPr>
      </w:pPr>
      <w:r>
        <w:rPr>
          <w:rFonts w:hint="eastAsia"/>
          <w:szCs w:val="21"/>
        </w:rPr>
        <w:t>R：融资融券 </w:t>
      </w:r>
    </w:p>
    <w:p>
      <w:pPr>
        <w:pStyle w:val="34"/>
        <w:rPr>
          <w:szCs w:val="21"/>
        </w:rPr>
      </w:pPr>
      <w:r>
        <w:rPr>
          <w:rFonts w:hint="eastAsia"/>
          <w:szCs w:val="21"/>
        </w:rPr>
        <w:t>N：次新股。红N：已开板次新股；灰N：未开板次新股(当天开板的还是显示为灰色，第二天显示为红色) </w:t>
      </w:r>
    </w:p>
    <w:p>
      <w:pPr>
        <w:pStyle w:val="34"/>
      </w:pPr>
      <w:r>
        <w:rPr>
          <w:rFonts w:hint="eastAsia"/>
        </w:rPr>
        <w:t>由于该列展示一个字母，故以上几个字母的显示顺序(优先级)为：K&gt;R&gt;N</w:t>
      </w:r>
    </w:p>
    <w:p>
      <w:pPr>
        <w:pStyle w:val="34"/>
      </w:pPr>
      <w:r>
        <w:rPr>
          <w:rFonts w:hint="eastAsia"/>
        </w:rPr>
        <w:t>43、侧边栏或副图下方资讯等IE界面背景变白色怎么办？</w:t>
      </w:r>
    </w:p>
    <w:p>
      <w:pPr>
        <w:pStyle w:val="34"/>
        <w:rPr>
          <w:szCs w:val="21"/>
        </w:rPr>
      </w:pPr>
      <w:r>
        <w:rPr>
          <w:rFonts w:hint="eastAsia"/>
          <w:szCs w:val="21"/>
        </w:rPr>
        <w:t>电脑设置。Internet选项-&gt;辅助功能-&gt;忽略网页上指定的颜色，此选项不勾选.</w:t>
      </w:r>
    </w:p>
    <w:p>
      <w:pPr>
        <w:pStyle w:val="34"/>
      </w:pPr>
      <w:r>
        <w:rPr>
          <w:rFonts w:hint="eastAsia"/>
        </w:rPr>
        <w:t>44、软件打开后为什么一天会发出几次响声？</w:t>
      </w:r>
    </w:p>
    <w:p>
      <w:pPr>
        <w:pStyle w:val="34"/>
        <w:rPr>
          <w:szCs w:val="21"/>
        </w:rPr>
      </w:pPr>
      <w:r>
        <w:rPr>
          <w:rFonts w:hint="eastAsia"/>
          <w:szCs w:val="21"/>
        </w:rPr>
        <w:t>1).收开市提醒。消息中心（F9）-&gt;设置-&gt;加入上述/删除选中时间点. </w:t>
      </w:r>
    </w:p>
    <w:p>
      <w:pPr>
        <w:pStyle w:val="34"/>
        <w:rPr>
          <w:szCs w:val="21"/>
        </w:rPr>
      </w:pPr>
      <w:r>
        <w:rPr>
          <w:rFonts w:hint="eastAsia"/>
          <w:szCs w:val="21"/>
        </w:rPr>
        <w:t>2).逐笔成交涨跌停提示。系统设置-&gt;高级-&gt;选项-根据逐笔成交提示涨跌停.</w:t>
      </w:r>
    </w:p>
    <w:p>
      <w:pPr>
        <w:pStyle w:val="34"/>
      </w:pPr>
      <w:r>
        <w:rPr>
          <w:rFonts w:hint="eastAsia"/>
        </w:rPr>
        <w:t>45、实时行情有更新，K线图不更新是什么问题？</w:t>
      </w:r>
    </w:p>
    <w:p>
      <w:pPr>
        <w:pStyle w:val="34"/>
        <w:rPr>
          <w:szCs w:val="21"/>
        </w:rPr>
      </w:pPr>
      <w:r>
        <w:rPr>
          <w:rFonts w:hint="eastAsia"/>
          <w:szCs w:val="21"/>
        </w:rPr>
        <w:t>出现这种情况是因为使用了"分析图使用下载的沪深日线数据"功能，可在系统设置(Ctrl+d)中的设置1中找到该功能(分析图使用下载的沪深日线数据)，取消勾选即可</w:t>
      </w:r>
    </w:p>
    <w:p>
      <w:pPr>
        <w:pStyle w:val="34"/>
      </w:pPr>
      <w:r>
        <w:rPr>
          <w:rFonts w:hint="eastAsia"/>
        </w:rPr>
        <w:t>46、短期形态、中期形态、长期形态的周期分别是多少？</w:t>
      </w:r>
    </w:p>
    <w:p>
      <w:pPr>
        <w:pStyle w:val="34"/>
        <w:rPr>
          <w:szCs w:val="21"/>
        </w:rPr>
      </w:pPr>
      <w:r>
        <w:rPr>
          <w:rFonts w:hint="eastAsia"/>
          <w:szCs w:val="21"/>
        </w:rPr>
        <w:t>短期形态：对近60天历史行情走势进行形态判断. </w:t>
      </w:r>
    </w:p>
    <w:p>
      <w:pPr>
        <w:pStyle w:val="34"/>
        <w:rPr>
          <w:szCs w:val="21"/>
        </w:rPr>
      </w:pPr>
      <w:r>
        <w:rPr>
          <w:rFonts w:hint="eastAsia"/>
          <w:szCs w:val="21"/>
        </w:rPr>
        <w:t>中期形态：对近120天历史行情走势进行形态判断. </w:t>
      </w:r>
    </w:p>
    <w:p>
      <w:pPr>
        <w:pStyle w:val="34"/>
        <w:rPr>
          <w:szCs w:val="21"/>
        </w:rPr>
      </w:pPr>
      <w:r>
        <w:rPr>
          <w:rFonts w:hint="eastAsia"/>
          <w:szCs w:val="21"/>
        </w:rPr>
        <w:t>长期形态：对近240-500天历史行情走势进行形态判断.</w:t>
      </w:r>
    </w:p>
    <w:tbl>
      <w:tblPr>
        <w:tblStyle w:val="25"/>
        <w:tblW w:w="14535" w:type="dxa"/>
        <w:tblInd w:w="0" w:type="dxa"/>
        <w:tblLayout w:type="autofit"/>
        <w:tblCellMar>
          <w:top w:w="15" w:type="dxa"/>
          <w:left w:w="15" w:type="dxa"/>
          <w:bottom w:w="15" w:type="dxa"/>
          <w:right w:w="15" w:type="dxa"/>
        </w:tblCellMar>
      </w:tblPr>
      <w:tblGrid>
        <w:gridCol w:w="2700"/>
        <w:gridCol w:w="11835"/>
      </w:tblGrid>
      <w:tr>
        <w:trPr>
          <w:tblHeader/>
        </w:trPr>
        <w:tc>
          <w:tcPr>
            <w:tcW w:w="2700" w:type="dxa"/>
            <w:tcBorders>
              <w:top w:val="nil"/>
            </w:tcBorders>
            <w:shd w:val="clear" w:color="auto" w:fill="EBEBEB"/>
            <w:tcMar>
              <w:top w:w="120" w:type="dxa"/>
              <w:left w:w="120" w:type="dxa"/>
              <w:bottom w:w="120" w:type="dxa"/>
              <w:right w:w="120" w:type="dxa"/>
            </w:tcMar>
          </w:tcPr>
          <w:p>
            <w:pPr>
              <w:pStyle w:val="34"/>
            </w:pPr>
            <w:r>
              <w:t>股票形态</w:t>
            </w:r>
          </w:p>
        </w:tc>
        <w:tc>
          <w:tcPr>
            <w:tcW w:w="0" w:type="auto"/>
            <w:tcBorders>
              <w:top w:val="nil"/>
            </w:tcBorders>
            <w:shd w:val="clear" w:color="auto" w:fill="EBEBEB"/>
            <w:tcMar>
              <w:top w:w="120" w:type="dxa"/>
              <w:left w:w="120" w:type="dxa"/>
              <w:bottom w:w="120" w:type="dxa"/>
              <w:right w:w="120" w:type="dxa"/>
            </w:tcMar>
          </w:tcPr>
          <w:p>
            <w:pPr>
              <w:pStyle w:val="34"/>
            </w:pPr>
            <w:r>
              <w:t>形态说明</w:t>
            </w:r>
          </w:p>
        </w:tc>
      </w:tr>
      <w:tr>
        <w:tblPrEx>
          <w:tblCellMar>
            <w:top w:w="15" w:type="dxa"/>
            <w:left w:w="15" w:type="dxa"/>
            <w:bottom w:w="15" w:type="dxa"/>
            <w:right w:w="15" w:type="dxa"/>
          </w:tblCellMar>
        </w:tblPrEx>
        <w:tc>
          <w:tcPr>
            <w:tcW w:w="0" w:type="auto"/>
            <w:tcBorders>
              <w:top w:val="single" w:color="DDDDDD" w:sz="6" w:space="0"/>
            </w:tcBorders>
            <w:tcMar>
              <w:top w:w="120" w:type="dxa"/>
              <w:left w:w="120" w:type="dxa"/>
              <w:bottom w:w="120" w:type="dxa"/>
              <w:right w:w="120" w:type="dxa"/>
            </w:tcMar>
          </w:tcPr>
          <w:p>
            <w:pPr>
              <w:pStyle w:val="34"/>
            </w:pPr>
            <w:r>
              <w:t>倒V型反转</w:t>
            </w:r>
            <w:r>
              <w:fldChar w:fldCharType="begin"/>
            </w:r>
            <w:r>
              <w:instrText xml:space="preserve"> INCLUDEPICTURE  "https://www.tdx.com.cn/products/helpfile/tdxjysm/images/2_%E5%80%92V%E5%9E%8B%E5%8F%8D%E8%BD%AC.png" \* MERGEFORMATINET </w:instrText>
            </w:r>
            <w:r>
              <w:fldChar w:fldCharType="separate"/>
            </w:r>
            <w:r>
              <w:fldChar w:fldCharType="begin"/>
            </w:r>
            <w:r>
              <w:instrText xml:space="preserve"> INCLUDEPICTURE  "https://www.tdx.com.cn/products/helpfile/tdxjysm/images/2_%E5%80%92V%E5%9E%8B%E5%8F%8D%E8%BD%AC.png" \* MERGEFORMATINET </w:instrText>
            </w:r>
            <w:r>
              <w:fldChar w:fldCharType="separate"/>
            </w:r>
            <w:r>
              <w:fldChar w:fldCharType="begin"/>
            </w:r>
            <w:r>
              <w:instrText xml:space="preserve"> INCLUDEPICTURE  "https://www.tdx.com.cn/products/helpfile/tdxjysm/images/2_%E5%80%92V%E5%9E%8B%E5%8F%8D%E8%BD%AC.png" \* MERGEFORMATINET </w:instrText>
            </w:r>
            <w:r>
              <w:fldChar w:fldCharType="separate"/>
            </w:r>
            <w:r>
              <w:fldChar w:fldCharType="begin"/>
            </w:r>
            <w:r>
              <w:instrText xml:space="preserve"> INCLUDEPICTURE  "https://www.tdx.com.cn/products/helpfile/tdxjysm/images/2_%E5%80%92V%E5%9E%8B%E5%8F%8D%E8%BD%AC.png" \* MERGEFORMATINET </w:instrText>
            </w:r>
            <w:r>
              <w:fldChar w:fldCharType="separate"/>
            </w:r>
            <w:r>
              <w:drawing>
                <wp:inline distT="0" distB="0" distL="114300" distR="114300">
                  <wp:extent cx="457200" cy="257175"/>
                  <wp:effectExtent l="0" t="0" r="0" b="9525"/>
                  <wp:docPr id="570" name="图片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图片 626"/>
                          <pic:cNvPicPr>
                            <a:picLocks noChangeAspect="1"/>
                          </pic:cNvPicPr>
                        </pic:nvPicPr>
                        <pic:blipFill>
                          <a:blip r:embed="rId1055" r:link="rId1056"/>
                          <a:stretch>
                            <a:fillRect/>
                          </a:stretch>
                        </pic:blipFill>
                        <pic:spPr>
                          <a:xfrm>
                            <a:off x="0" y="0"/>
                            <a:ext cx="457200" cy="257175"/>
                          </a:xfrm>
                          <a:prstGeom prst="rect">
                            <a:avLst/>
                          </a:prstGeom>
                          <a:noFill/>
                          <a:ln>
                            <a:noFill/>
                          </a:ln>
                        </pic:spPr>
                      </pic:pic>
                    </a:graphicData>
                  </a:graphic>
                </wp:inline>
              </w:drawing>
            </w:r>
            <w:r>
              <w:fldChar w:fldCharType="end"/>
            </w:r>
            <w:r>
              <w:fldChar w:fldCharType="end"/>
            </w:r>
            <w:r>
              <w:fldChar w:fldCharType="end"/>
            </w:r>
            <w:r>
              <w:fldChar w:fldCharType="end"/>
            </w:r>
          </w:p>
        </w:tc>
        <w:tc>
          <w:tcPr>
            <w:tcW w:w="0" w:type="auto"/>
            <w:tcBorders>
              <w:top w:val="single" w:color="DDDDDD" w:sz="6" w:space="0"/>
            </w:tcBorders>
            <w:tcMar>
              <w:top w:w="120" w:type="dxa"/>
              <w:left w:w="120" w:type="dxa"/>
              <w:bottom w:w="120" w:type="dxa"/>
              <w:right w:w="120" w:type="dxa"/>
            </w:tcMar>
          </w:tcPr>
          <w:p>
            <w:pPr>
              <w:pStyle w:val="34"/>
            </w:pPr>
            <w:r>
              <w:t>倒V型是指股价先一路上涨，随后股价一路下跌，头部为尖顶，在图形上就像倒写的英文字母V。</w:t>
            </w:r>
          </w:p>
          <w:p>
            <w:pPr>
              <w:pStyle w:val="34"/>
            </w:pPr>
            <w:r>
              <w:t>形成机理：股价在上涨趋势中，由于市场看好的气氛使得买盘强劲增多，股价上涨的速度越来越快，最后出现宣泄式暴涨，多头得到极度宣泄之后，便出现了危机，短线客见股价上涨乏力便会反手做空，这种现象越演越烈，股价走势也出现了戏剧性的变化，股价触顶后便一路下跌，这样就产生了倒V形走势。</w:t>
            </w:r>
          </w:p>
          <w:p>
            <w:pPr>
              <w:pStyle w:val="34"/>
            </w:pPr>
            <w:r>
              <w:t>应用法则：反转形态，后势看跌。</w:t>
            </w:r>
          </w:p>
        </w:tc>
      </w:tr>
      <w:tr>
        <w:tblPrEx>
          <w:tblCellMar>
            <w:top w:w="15" w:type="dxa"/>
            <w:left w:w="15" w:type="dxa"/>
            <w:bottom w:w="15" w:type="dxa"/>
            <w:right w:w="15" w:type="dxa"/>
          </w:tblCellMar>
        </w:tblPrEx>
        <w:tc>
          <w:tcPr>
            <w:tcW w:w="0" w:type="auto"/>
            <w:tcBorders>
              <w:top w:val="single" w:color="DDDDDD" w:sz="6" w:space="0"/>
            </w:tcBorders>
            <w:tcMar>
              <w:top w:w="120" w:type="dxa"/>
              <w:left w:w="120" w:type="dxa"/>
              <w:bottom w:w="120" w:type="dxa"/>
              <w:right w:w="120" w:type="dxa"/>
            </w:tcMar>
          </w:tcPr>
          <w:p>
            <w:pPr>
              <w:pStyle w:val="34"/>
            </w:pPr>
            <w:r>
              <w:t>V型反转</w:t>
            </w:r>
            <w:r>
              <w:fldChar w:fldCharType="begin"/>
            </w:r>
            <w:r>
              <w:instrText xml:space="preserve"> INCLUDEPICTURE  "https://www.tdx.com.cn/products/helpfile/tdxjysm/images/1_V%E5%9E%8B%E5%8F%8D%E8%BD%AC.png" \* MERGEFORMATINET </w:instrText>
            </w:r>
            <w:r>
              <w:fldChar w:fldCharType="separate"/>
            </w:r>
            <w:r>
              <w:fldChar w:fldCharType="begin"/>
            </w:r>
            <w:r>
              <w:instrText xml:space="preserve"> INCLUDEPICTURE  "https://www.tdx.com.cn/products/helpfile/tdxjysm/images/1_V%E5%9E%8B%E5%8F%8D%E8%BD%AC.png" \* MERGEFORMATINET </w:instrText>
            </w:r>
            <w:r>
              <w:fldChar w:fldCharType="separate"/>
            </w:r>
            <w:r>
              <w:fldChar w:fldCharType="begin"/>
            </w:r>
            <w:r>
              <w:instrText xml:space="preserve"> INCLUDEPICTURE  "https://www.tdx.com.cn/products/helpfile/tdxjysm/images/1_V%E5%9E%8B%E5%8F%8D%E8%BD%AC.png" \* MERGEFORMATINET </w:instrText>
            </w:r>
            <w:r>
              <w:fldChar w:fldCharType="separate"/>
            </w:r>
            <w:r>
              <w:fldChar w:fldCharType="begin"/>
            </w:r>
            <w:r>
              <w:instrText xml:space="preserve"> INCLUDEPICTURE  "https://www.tdx.com.cn/products/helpfile/tdxjysm/images/1_V%E5%9E%8B%E5%8F%8D%E8%BD%AC.png" \* MERGEFORMATINET </w:instrText>
            </w:r>
            <w:r>
              <w:fldChar w:fldCharType="separate"/>
            </w:r>
            <w:r>
              <w:drawing>
                <wp:inline distT="0" distB="0" distL="114300" distR="114300">
                  <wp:extent cx="457200" cy="257175"/>
                  <wp:effectExtent l="0" t="0" r="0" b="9525"/>
                  <wp:docPr id="571" name="图片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图片 627"/>
                          <pic:cNvPicPr>
                            <a:picLocks noChangeAspect="1"/>
                          </pic:cNvPicPr>
                        </pic:nvPicPr>
                        <pic:blipFill>
                          <a:blip r:embed="rId1057" r:link="rId1058"/>
                          <a:stretch>
                            <a:fillRect/>
                          </a:stretch>
                        </pic:blipFill>
                        <pic:spPr>
                          <a:xfrm>
                            <a:off x="0" y="0"/>
                            <a:ext cx="457200" cy="257175"/>
                          </a:xfrm>
                          <a:prstGeom prst="rect">
                            <a:avLst/>
                          </a:prstGeom>
                          <a:noFill/>
                          <a:ln>
                            <a:noFill/>
                          </a:ln>
                        </pic:spPr>
                      </pic:pic>
                    </a:graphicData>
                  </a:graphic>
                </wp:inline>
              </w:drawing>
            </w:r>
            <w:r>
              <w:fldChar w:fldCharType="end"/>
            </w:r>
            <w:r>
              <w:fldChar w:fldCharType="end"/>
            </w:r>
            <w:r>
              <w:fldChar w:fldCharType="end"/>
            </w:r>
            <w:r>
              <w:fldChar w:fldCharType="end"/>
            </w:r>
          </w:p>
        </w:tc>
        <w:tc>
          <w:tcPr>
            <w:tcW w:w="0" w:type="auto"/>
            <w:tcBorders>
              <w:top w:val="single" w:color="DDDDDD" w:sz="6" w:space="0"/>
            </w:tcBorders>
            <w:tcMar>
              <w:top w:w="120" w:type="dxa"/>
              <w:left w:w="120" w:type="dxa"/>
              <w:bottom w:w="120" w:type="dxa"/>
              <w:right w:w="120" w:type="dxa"/>
            </w:tcMar>
          </w:tcPr>
          <w:p>
            <w:pPr>
              <w:pStyle w:val="34"/>
            </w:pPr>
            <w:r>
              <w:t>在底部k线形态中出现“V”字型运行轨迹，这意味着这是一种强烈的反转信号，股价一破下跌到底部并受到强烈支撑之后强势反转股价上升。其技术应用上当空方连续将股价打低并且做空能量衰竭时，多方就会立即发起反攻也不给空方喘气的机会，并在成交量的配合下，将股价逐步推高，最终呈“V”字形上升趋势。</w:t>
            </w:r>
          </w:p>
        </w:tc>
      </w:tr>
      <w:tr>
        <w:tblPrEx>
          <w:tblCellMar>
            <w:top w:w="15" w:type="dxa"/>
            <w:left w:w="15" w:type="dxa"/>
            <w:bottom w:w="15" w:type="dxa"/>
            <w:right w:w="15" w:type="dxa"/>
          </w:tblCellMar>
        </w:tblPrEx>
        <w:tc>
          <w:tcPr>
            <w:tcW w:w="0" w:type="auto"/>
            <w:tcBorders>
              <w:top w:val="single" w:color="DDDDDD" w:sz="6" w:space="0"/>
            </w:tcBorders>
            <w:tcMar>
              <w:top w:w="120" w:type="dxa"/>
              <w:left w:w="120" w:type="dxa"/>
              <w:bottom w:w="120" w:type="dxa"/>
              <w:right w:w="120" w:type="dxa"/>
            </w:tcMar>
          </w:tcPr>
          <w:p>
            <w:pPr>
              <w:pStyle w:val="34"/>
            </w:pPr>
            <w:r>
              <w:t>W底</w:t>
            </w:r>
            <w:r>
              <w:fldChar w:fldCharType="begin"/>
            </w:r>
            <w:r>
              <w:instrText xml:space="preserve"> INCLUDEPICTURE  "https://www.tdx.com.cn/products/helpfile/tdxjysm/images/3_W%E5%BA%95.png" \* MERGEFORMATINET </w:instrText>
            </w:r>
            <w:r>
              <w:fldChar w:fldCharType="separate"/>
            </w:r>
            <w:r>
              <w:fldChar w:fldCharType="begin"/>
            </w:r>
            <w:r>
              <w:instrText xml:space="preserve"> INCLUDEPICTURE  "https://www.tdx.com.cn/products/helpfile/tdxjysm/images/3_W%E5%BA%95.png" \* MERGEFORMATINET </w:instrText>
            </w:r>
            <w:r>
              <w:fldChar w:fldCharType="separate"/>
            </w:r>
            <w:r>
              <w:fldChar w:fldCharType="begin"/>
            </w:r>
            <w:r>
              <w:instrText xml:space="preserve"> INCLUDEPICTURE  "https://www.tdx.com.cn/products/helpfile/tdxjysm/images/3_W%E5%BA%95.png" \* MERGEFORMATINET </w:instrText>
            </w:r>
            <w:r>
              <w:fldChar w:fldCharType="separate"/>
            </w:r>
            <w:r>
              <w:fldChar w:fldCharType="begin"/>
            </w:r>
            <w:r>
              <w:instrText xml:space="preserve"> INCLUDEPICTURE  "https://www.tdx.com.cn/products/helpfile/tdxjysm/images/3_W%E5%BA%95.png" \* MERGEFORMATINET </w:instrText>
            </w:r>
            <w:r>
              <w:fldChar w:fldCharType="separate"/>
            </w:r>
            <w:r>
              <w:drawing>
                <wp:inline distT="0" distB="0" distL="114300" distR="114300">
                  <wp:extent cx="457200" cy="257175"/>
                  <wp:effectExtent l="0" t="0" r="0" b="9525"/>
                  <wp:docPr id="572" name="图片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图片 628"/>
                          <pic:cNvPicPr>
                            <a:picLocks noChangeAspect="1"/>
                          </pic:cNvPicPr>
                        </pic:nvPicPr>
                        <pic:blipFill>
                          <a:blip r:embed="rId1059" r:link="rId1060"/>
                          <a:stretch>
                            <a:fillRect/>
                          </a:stretch>
                        </pic:blipFill>
                        <pic:spPr>
                          <a:xfrm>
                            <a:off x="0" y="0"/>
                            <a:ext cx="457200" cy="257175"/>
                          </a:xfrm>
                          <a:prstGeom prst="rect">
                            <a:avLst/>
                          </a:prstGeom>
                          <a:noFill/>
                          <a:ln>
                            <a:noFill/>
                          </a:ln>
                        </pic:spPr>
                      </pic:pic>
                    </a:graphicData>
                  </a:graphic>
                </wp:inline>
              </w:drawing>
            </w:r>
            <w:r>
              <w:fldChar w:fldCharType="end"/>
            </w:r>
            <w:r>
              <w:fldChar w:fldCharType="end"/>
            </w:r>
            <w:r>
              <w:fldChar w:fldCharType="end"/>
            </w:r>
            <w:r>
              <w:fldChar w:fldCharType="end"/>
            </w:r>
          </w:p>
        </w:tc>
        <w:tc>
          <w:tcPr>
            <w:tcW w:w="0" w:type="auto"/>
            <w:tcBorders>
              <w:top w:val="single" w:color="DDDDDD" w:sz="6" w:space="0"/>
            </w:tcBorders>
            <w:tcMar>
              <w:top w:w="120" w:type="dxa"/>
              <w:left w:w="120" w:type="dxa"/>
              <w:bottom w:w="120" w:type="dxa"/>
              <w:right w:w="120" w:type="dxa"/>
            </w:tcMar>
          </w:tcPr>
          <w:p>
            <w:pPr>
              <w:pStyle w:val="34"/>
            </w:pPr>
            <w:r>
              <w:t>股价在经过一波调整之后，见低点后展开反弹，随后再次回落，并且在前一个低点附近形成新的低点，此后股价再次往上运行，这样就形成了两个底部，称之为双底，其中两个低点之前的高点价格称之为“颈线”价格。</w:t>
            </w:r>
          </w:p>
          <w:p>
            <w:pPr>
              <w:pStyle w:val="34"/>
            </w:pPr>
            <w:r>
              <w:t>技术形态：在两个底部中第二个底部的位置更高，意味着市场做多的力量占据上风，否则就表明当前走势是弱势的，即这种双底是很弱的。</w:t>
            </w:r>
          </w:p>
        </w:tc>
      </w:tr>
      <w:tr>
        <w:tblPrEx>
          <w:tblCellMar>
            <w:top w:w="15" w:type="dxa"/>
            <w:left w:w="15" w:type="dxa"/>
            <w:bottom w:w="15" w:type="dxa"/>
            <w:right w:w="15" w:type="dxa"/>
          </w:tblCellMar>
        </w:tblPrEx>
        <w:tc>
          <w:tcPr>
            <w:tcW w:w="0" w:type="auto"/>
            <w:tcBorders>
              <w:top w:val="single" w:color="DDDDDD" w:sz="6" w:space="0"/>
            </w:tcBorders>
            <w:tcMar>
              <w:top w:w="120" w:type="dxa"/>
              <w:left w:w="120" w:type="dxa"/>
              <w:bottom w:w="120" w:type="dxa"/>
              <w:right w:w="120" w:type="dxa"/>
            </w:tcMar>
          </w:tcPr>
          <w:p>
            <w:pPr>
              <w:pStyle w:val="34"/>
            </w:pPr>
            <w:r>
              <w:t>M顶</w:t>
            </w:r>
            <w:r>
              <w:fldChar w:fldCharType="begin"/>
            </w:r>
            <w:r>
              <w:instrText xml:space="preserve"> INCLUDEPICTURE  "https://www.tdx.com.cn/products/helpfile/tdxjysm/images/4_M%E9%A1%B6.png" \* MERGEFORMATINET </w:instrText>
            </w:r>
            <w:r>
              <w:fldChar w:fldCharType="separate"/>
            </w:r>
            <w:r>
              <w:fldChar w:fldCharType="begin"/>
            </w:r>
            <w:r>
              <w:instrText xml:space="preserve"> INCLUDEPICTURE  "https://www.tdx.com.cn/products/helpfile/tdxjysm/images/4_M%E9%A1%B6.png" \* MERGEFORMATINET </w:instrText>
            </w:r>
            <w:r>
              <w:fldChar w:fldCharType="separate"/>
            </w:r>
            <w:r>
              <w:fldChar w:fldCharType="begin"/>
            </w:r>
            <w:r>
              <w:instrText xml:space="preserve"> INCLUDEPICTURE  "https://www.tdx.com.cn/products/helpfile/tdxjysm/images/4_M%E9%A1%B6.png" \* MERGEFORMATINET </w:instrText>
            </w:r>
            <w:r>
              <w:fldChar w:fldCharType="separate"/>
            </w:r>
            <w:r>
              <w:fldChar w:fldCharType="begin"/>
            </w:r>
            <w:r>
              <w:instrText xml:space="preserve"> INCLUDEPICTURE  "https://www.tdx.com.cn/products/helpfile/tdxjysm/images/4_M%E9%A1%B6.png" \* MERGEFORMATINET </w:instrText>
            </w:r>
            <w:r>
              <w:fldChar w:fldCharType="separate"/>
            </w:r>
            <w:r>
              <w:drawing>
                <wp:inline distT="0" distB="0" distL="114300" distR="114300">
                  <wp:extent cx="457200" cy="257175"/>
                  <wp:effectExtent l="0" t="0" r="0" b="9525"/>
                  <wp:docPr id="573" name="图片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图片 629"/>
                          <pic:cNvPicPr>
                            <a:picLocks noChangeAspect="1"/>
                          </pic:cNvPicPr>
                        </pic:nvPicPr>
                        <pic:blipFill>
                          <a:blip r:embed="rId1061" r:link="rId1062"/>
                          <a:stretch>
                            <a:fillRect/>
                          </a:stretch>
                        </pic:blipFill>
                        <pic:spPr>
                          <a:xfrm>
                            <a:off x="0" y="0"/>
                            <a:ext cx="457200" cy="257175"/>
                          </a:xfrm>
                          <a:prstGeom prst="rect">
                            <a:avLst/>
                          </a:prstGeom>
                          <a:noFill/>
                          <a:ln>
                            <a:noFill/>
                          </a:ln>
                        </pic:spPr>
                      </pic:pic>
                    </a:graphicData>
                  </a:graphic>
                </wp:inline>
              </w:drawing>
            </w:r>
            <w:r>
              <w:fldChar w:fldCharType="end"/>
            </w:r>
            <w:r>
              <w:fldChar w:fldCharType="end"/>
            </w:r>
            <w:r>
              <w:fldChar w:fldCharType="end"/>
            </w:r>
            <w:r>
              <w:fldChar w:fldCharType="end"/>
            </w:r>
          </w:p>
        </w:tc>
        <w:tc>
          <w:tcPr>
            <w:tcW w:w="0" w:type="auto"/>
            <w:tcBorders>
              <w:top w:val="single" w:color="DDDDDD" w:sz="6" w:space="0"/>
            </w:tcBorders>
            <w:tcMar>
              <w:top w:w="120" w:type="dxa"/>
              <w:left w:w="120" w:type="dxa"/>
              <w:bottom w:w="120" w:type="dxa"/>
              <w:right w:w="120" w:type="dxa"/>
            </w:tcMar>
          </w:tcPr>
          <w:p>
            <w:pPr>
              <w:pStyle w:val="34"/>
            </w:pPr>
            <w:r>
              <w:t>M顶也称之为双顶、双头、M头、双重顶，股价波动的形态类似英文字母M。形态：在连续上升过程中，当股价上涨至某一水平，成交量显著放大，股价就掉头回落；在下跌至某一位置时，股价再度反弹上行，但成交量较第一次的高峰时略有收缩； 在反弹至前高附近时，股价再次下跌，并跌破第一次回落的低点，双重顶便形成。</w:t>
            </w:r>
          </w:p>
          <w:p>
            <w:pPr>
              <w:pStyle w:val="34"/>
            </w:pPr>
            <w:r>
              <w:t>M顶体现了股价再度上涨时多方力度的不足，在连续上涨后的高位，一旦多方力度不足，下跌的风险将会增大。</w:t>
            </w:r>
          </w:p>
        </w:tc>
      </w:tr>
      <w:tr>
        <w:tblPrEx>
          <w:tblCellMar>
            <w:top w:w="15" w:type="dxa"/>
            <w:left w:w="15" w:type="dxa"/>
            <w:bottom w:w="15" w:type="dxa"/>
            <w:right w:w="15" w:type="dxa"/>
          </w:tblCellMar>
        </w:tblPrEx>
        <w:tc>
          <w:tcPr>
            <w:tcW w:w="0" w:type="auto"/>
            <w:tcBorders>
              <w:top w:val="single" w:color="DDDDDD" w:sz="6" w:space="0"/>
            </w:tcBorders>
            <w:tcMar>
              <w:top w:w="120" w:type="dxa"/>
              <w:left w:w="120" w:type="dxa"/>
              <w:bottom w:w="120" w:type="dxa"/>
              <w:right w:w="120" w:type="dxa"/>
            </w:tcMar>
          </w:tcPr>
          <w:p>
            <w:pPr>
              <w:pStyle w:val="34"/>
            </w:pPr>
            <w:r>
              <w:t>盘整</w:t>
            </w:r>
            <w:r>
              <w:fldChar w:fldCharType="begin"/>
            </w:r>
            <w:r>
              <w:instrText xml:space="preserve"> INCLUDEPICTURE  "https://www.tdx.com.cn/products/helpfile/tdxjysm/images/5_%E7%9B%98%E6%95%B4.png" \* MERGEFORMATINET </w:instrText>
            </w:r>
            <w:r>
              <w:fldChar w:fldCharType="separate"/>
            </w:r>
            <w:r>
              <w:fldChar w:fldCharType="begin"/>
            </w:r>
            <w:r>
              <w:instrText xml:space="preserve"> INCLUDEPICTURE  "https://www.tdx.com.cn/products/helpfile/tdxjysm/images/5_%E7%9B%98%E6%95%B4.png" \* MERGEFORMATINET </w:instrText>
            </w:r>
            <w:r>
              <w:fldChar w:fldCharType="separate"/>
            </w:r>
            <w:r>
              <w:fldChar w:fldCharType="begin"/>
            </w:r>
            <w:r>
              <w:instrText xml:space="preserve"> INCLUDEPICTURE  "https://www.tdx.com.cn/products/helpfile/tdxjysm/images/5_%E7%9B%98%E6%95%B4.png" \* MERGEFORMATINET </w:instrText>
            </w:r>
            <w:r>
              <w:fldChar w:fldCharType="separate"/>
            </w:r>
            <w:r>
              <w:fldChar w:fldCharType="begin"/>
            </w:r>
            <w:r>
              <w:instrText xml:space="preserve"> INCLUDEPICTURE  "https://www.tdx.com.cn/products/helpfile/tdxjysm/images/5_%E7%9B%98%E6%95%B4.png" \* MERGEFORMATINET </w:instrText>
            </w:r>
            <w:r>
              <w:fldChar w:fldCharType="separate"/>
            </w:r>
            <w:r>
              <w:drawing>
                <wp:inline distT="0" distB="0" distL="114300" distR="114300">
                  <wp:extent cx="457200" cy="257175"/>
                  <wp:effectExtent l="0" t="0" r="0" b="9525"/>
                  <wp:docPr id="574" name="图片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图片 630"/>
                          <pic:cNvPicPr>
                            <a:picLocks noChangeAspect="1"/>
                          </pic:cNvPicPr>
                        </pic:nvPicPr>
                        <pic:blipFill>
                          <a:blip r:embed="rId1063" r:link="rId1064"/>
                          <a:stretch>
                            <a:fillRect/>
                          </a:stretch>
                        </pic:blipFill>
                        <pic:spPr>
                          <a:xfrm>
                            <a:off x="0" y="0"/>
                            <a:ext cx="457200" cy="257175"/>
                          </a:xfrm>
                          <a:prstGeom prst="rect">
                            <a:avLst/>
                          </a:prstGeom>
                          <a:noFill/>
                          <a:ln>
                            <a:noFill/>
                          </a:ln>
                        </pic:spPr>
                      </pic:pic>
                    </a:graphicData>
                  </a:graphic>
                </wp:inline>
              </w:drawing>
            </w:r>
            <w:r>
              <w:fldChar w:fldCharType="end"/>
            </w:r>
            <w:r>
              <w:fldChar w:fldCharType="end"/>
            </w:r>
            <w:r>
              <w:fldChar w:fldCharType="end"/>
            </w:r>
            <w:r>
              <w:fldChar w:fldCharType="end"/>
            </w:r>
          </w:p>
        </w:tc>
        <w:tc>
          <w:tcPr>
            <w:tcW w:w="0" w:type="auto"/>
            <w:tcBorders>
              <w:top w:val="single" w:color="DDDDDD" w:sz="6" w:space="0"/>
            </w:tcBorders>
            <w:tcMar>
              <w:top w:w="120" w:type="dxa"/>
              <w:left w:w="120" w:type="dxa"/>
              <w:bottom w:w="120" w:type="dxa"/>
              <w:right w:w="120" w:type="dxa"/>
            </w:tcMar>
          </w:tcPr>
          <w:p>
            <w:pPr>
              <w:pStyle w:val="34"/>
            </w:pPr>
            <w:r>
              <w:t>盘整亦称 “整理”，股价经历了一段时间的急速上涨或下跌之后，遇到了阻力线或支撑线，因而股价波动幅度开始变小的现象。盘整现象的产生，说明利多和利空消息现已出尽，下面有可能出现较大的趋势性变动。一般认为，股价上下波动幅度约在15%左右的情况下，且这种状况会持续一段时间，这表明股市进入了盘整阶段。在盘整阶段，空头和多头将会相互竞争，使价位交错变动。一段时间的盘整往往意味着新的趋势的即将开始。</w:t>
            </w:r>
          </w:p>
        </w:tc>
      </w:tr>
      <w:tr>
        <w:tblPrEx>
          <w:tblCellMar>
            <w:top w:w="15" w:type="dxa"/>
            <w:left w:w="15" w:type="dxa"/>
            <w:bottom w:w="15" w:type="dxa"/>
            <w:right w:w="15" w:type="dxa"/>
          </w:tblCellMar>
        </w:tblPrEx>
        <w:tc>
          <w:tcPr>
            <w:tcW w:w="0" w:type="auto"/>
            <w:tcBorders>
              <w:top w:val="single" w:color="DDDDDD" w:sz="6" w:space="0"/>
            </w:tcBorders>
            <w:tcMar>
              <w:top w:w="120" w:type="dxa"/>
              <w:left w:w="120" w:type="dxa"/>
              <w:bottom w:w="120" w:type="dxa"/>
              <w:right w:w="120" w:type="dxa"/>
            </w:tcMar>
          </w:tcPr>
          <w:p>
            <w:pPr>
              <w:pStyle w:val="34"/>
            </w:pPr>
            <w:r>
              <w:t>盘整后上行</w:t>
            </w:r>
            <w:r>
              <w:fldChar w:fldCharType="begin"/>
            </w:r>
            <w:r>
              <w:instrText xml:space="preserve"> INCLUDEPICTURE  "https://www.tdx.com.cn/products/helpfile/tdxjysm/images/6_%E7%9B%98%E6%95%B4%E5%90%8E%E4%B8%8A%E8%A1%8C.png" \* MERGEFORMATINET </w:instrText>
            </w:r>
            <w:r>
              <w:fldChar w:fldCharType="separate"/>
            </w:r>
            <w:r>
              <w:fldChar w:fldCharType="begin"/>
            </w:r>
            <w:r>
              <w:instrText xml:space="preserve"> INCLUDEPICTURE  "https://www.tdx.com.cn/products/helpfile/tdxjysm/images/6_%E7%9B%98%E6%95%B4%E5%90%8E%E4%B8%8A%E8%A1%8C.png" \* MERGEFORMATINET </w:instrText>
            </w:r>
            <w:r>
              <w:fldChar w:fldCharType="separate"/>
            </w:r>
            <w:r>
              <w:fldChar w:fldCharType="begin"/>
            </w:r>
            <w:r>
              <w:instrText xml:space="preserve"> INCLUDEPICTURE  "https://www.tdx.com.cn/products/helpfile/tdxjysm/images/6_%E7%9B%98%E6%95%B4%E5%90%8E%E4%B8%8A%E8%A1%8C.png" \* MERGEFORMATINET </w:instrText>
            </w:r>
            <w:r>
              <w:fldChar w:fldCharType="separate"/>
            </w:r>
            <w:r>
              <w:fldChar w:fldCharType="begin"/>
            </w:r>
            <w:r>
              <w:instrText xml:space="preserve"> INCLUDEPICTURE  "https://www.tdx.com.cn/products/helpfile/tdxjysm/images/6_%E7%9B%98%E6%95%B4%E5%90%8E%E4%B8%8A%E8%A1%8C.png" \* MERGEFORMATINET </w:instrText>
            </w:r>
            <w:r>
              <w:fldChar w:fldCharType="separate"/>
            </w:r>
            <w:r>
              <w:drawing>
                <wp:inline distT="0" distB="0" distL="114300" distR="114300">
                  <wp:extent cx="457200" cy="257175"/>
                  <wp:effectExtent l="0" t="0" r="0" b="9525"/>
                  <wp:docPr id="575" name="图片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 name="图片 631"/>
                          <pic:cNvPicPr>
                            <a:picLocks noChangeAspect="1"/>
                          </pic:cNvPicPr>
                        </pic:nvPicPr>
                        <pic:blipFill>
                          <a:blip r:embed="rId1065" r:link="rId1066"/>
                          <a:stretch>
                            <a:fillRect/>
                          </a:stretch>
                        </pic:blipFill>
                        <pic:spPr>
                          <a:xfrm>
                            <a:off x="0" y="0"/>
                            <a:ext cx="457200" cy="257175"/>
                          </a:xfrm>
                          <a:prstGeom prst="rect">
                            <a:avLst/>
                          </a:prstGeom>
                          <a:noFill/>
                          <a:ln>
                            <a:noFill/>
                          </a:ln>
                        </pic:spPr>
                      </pic:pic>
                    </a:graphicData>
                  </a:graphic>
                </wp:inline>
              </w:drawing>
            </w:r>
            <w:r>
              <w:fldChar w:fldCharType="end"/>
            </w:r>
            <w:r>
              <w:fldChar w:fldCharType="end"/>
            </w:r>
            <w:r>
              <w:fldChar w:fldCharType="end"/>
            </w:r>
            <w:r>
              <w:fldChar w:fldCharType="end"/>
            </w:r>
          </w:p>
        </w:tc>
        <w:tc>
          <w:tcPr>
            <w:tcW w:w="0" w:type="auto"/>
            <w:tcBorders>
              <w:top w:val="single" w:color="DDDDDD" w:sz="6" w:space="0"/>
            </w:tcBorders>
            <w:tcMar>
              <w:top w:w="120" w:type="dxa"/>
              <w:left w:w="120" w:type="dxa"/>
              <w:bottom w:w="120" w:type="dxa"/>
              <w:right w:w="120" w:type="dxa"/>
            </w:tcMar>
          </w:tcPr>
          <w:p>
            <w:pPr>
              <w:pStyle w:val="34"/>
            </w:pPr>
            <w:r>
              <w:t>股价经历一段小幅振荡的盘整期后出现的股价上涨现象。</w:t>
            </w:r>
          </w:p>
        </w:tc>
      </w:tr>
      <w:tr>
        <w:tblPrEx>
          <w:tblCellMar>
            <w:top w:w="15" w:type="dxa"/>
            <w:left w:w="15" w:type="dxa"/>
            <w:bottom w:w="15" w:type="dxa"/>
            <w:right w:w="15" w:type="dxa"/>
          </w:tblCellMar>
        </w:tblPrEx>
        <w:tc>
          <w:tcPr>
            <w:tcW w:w="0" w:type="auto"/>
            <w:tcBorders>
              <w:top w:val="single" w:color="DDDDDD" w:sz="6" w:space="0"/>
            </w:tcBorders>
            <w:tcMar>
              <w:top w:w="120" w:type="dxa"/>
              <w:left w:w="120" w:type="dxa"/>
              <w:bottom w:w="120" w:type="dxa"/>
              <w:right w:w="120" w:type="dxa"/>
            </w:tcMar>
          </w:tcPr>
          <w:p>
            <w:pPr>
              <w:pStyle w:val="34"/>
            </w:pPr>
            <w:r>
              <w:t>盘整后下跌</w:t>
            </w:r>
            <w:r>
              <w:fldChar w:fldCharType="begin"/>
            </w:r>
            <w:r>
              <w:instrText xml:space="preserve"> INCLUDEPICTURE  "https://www.tdx.com.cn/products/helpfile/tdxjysm/images/7_%E7%9B%98%E6%95%B4%E5%90%8E%E4%B8%8B%E8%B7%8C.png" \* MERGEFORMATINET </w:instrText>
            </w:r>
            <w:r>
              <w:fldChar w:fldCharType="separate"/>
            </w:r>
            <w:r>
              <w:fldChar w:fldCharType="begin"/>
            </w:r>
            <w:r>
              <w:instrText xml:space="preserve"> INCLUDEPICTURE  "https://www.tdx.com.cn/products/helpfile/tdxjysm/images/7_%E7%9B%98%E6%95%B4%E5%90%8E%E4%B8%8B%E8%B7%8C.png" \* MERGEFORMATINET </w:instrText>
            </w:r>
            <w:r>
              <w:fldChar w:fldCharType="separate"/>
            </w:r>
            <w:r>
              <w:fldChar w:fldCharType="begin"/>
            </w:r>
            <w:r>
              <w:instrText xml:space="preserve"> INCLUDEPICTURE  "https://www.tdx.com.cn/products/helpfile/tdxjysm/images/7_%E7%9B%98%E6%95%B4%E5%90%8E%E4%B8%8B%E8%B7%8C.png" \* MERGEFORMATINET </w:instrText>
            </w:r>
            <w:r>
              <w:fldChar w:fldCharType="separate"/>
            </w:r>
            <w:r>
              <w:fldChar w:fldCharType="begin"/>
            </w:r>
            <w:r>
              <w:instrText xml:space="preserve"> INCLUDEPICTURE  "https://www.tdx.com.cn/products/helpfile/tdxjysm/images/7_%E7%9B%98%E6%95%B4%E5%90%8E%E4%B8%8B%E8%B7%8C.png" \* MERGEFORMATINET </w:instrText>
            </w:r>
            <w:r>
              <w:fldChar w:fldCharType="separate"/>
            </w:r>
            <w:r>
              <w:drawing>
                <wp:inline distT="0" distB="0" distL="114300" distR="114300">
                  <wp:extent cx="457200" cy="257175"/>
                  <wp:effectExtent l="0" t="0" r="0" b="9525"/>
                  <wp:docPr id="576" name="图片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图片 632"/>
                          <pic:cNvPicPr>
                            <a:picLocks noChangeAspect="1"/>
                          </pic:cNvPicPr>
                        </pic:nvPicPr>
                        <pic:blipFill>
                          <a:blip r:embed="rId1067" r:link="rId1068"/>
                          <a:stretch>
                            <a:fillRect/>
                          </a:stretch>
                        </pic:blipFill>
                        <pic:spPr>
                          <a:xfrm>
                            <a:off x="0" y="0"/>
                            <a:ext cx="457200" cy="257175"/>
                          </a:xfrm>
                          <a:prstGeom prst="rect">
                            <a:avLst/>
                          </a:prstGeom>
                          <a:noFill/>
                          <a:ln>
                            <a:noFill/>
                          </a:ln>
                        </pic:spPr>
                      </pic:pic>
                    </a:graphicData>
                  </a:graphic>
                </wp:inline>
              </w:drawing>
            </w:r>
            <w:r>
              <w:fldChar w:fldCharType="end"/>
            </w:r>
            <w:r>
              <w:fldChar w:fldCharType="end"/>
            </w:r>
            <w:r>
              <w:fldChar w:fldCharType="end"/>
            </w:r>
            <w:r>
              <w:fldChar w:fldCharType="end"/>
            </w:r>
          </w:p>
        </w:tc>
        <w:tc>
          <w:tcPr>
            <w:tcW w:w="0" w:type="auto"/>
            <w:tcBorders>
              <w:top w:val="single" w:color="DDDDDD" w:sz="6" w:space="0"/>
            </w:tcBorders>
            <w:tcMar>
              <w:top w:w="120" w:type="dxa"/>
              <w:left w:w="120" w:type="dxa"/>
              <w:bottom w:w="120" w:type="dxa"/>
              <w:right w:w="120" w:type="dxa"/>
            </w:tcMar>
          </w:tcPr>
          <w:p>
            <w:pPr>
              <w:pStyle w:val="34"/>
            </w:pPr>
            <w:r>
              <w:t>股价经历一段小幅振荡的盘整期后出现的股价下跌现象。</w:t>
            </w:r>
          </w:p>
        </w:tc>
      </w:tr>
      <w:tr>
        <w:tblPrEx>
          <w:tblCellMar>
            <w:top w:w="15" w:type="dxa"/>
            <w:left w:w="15" w:type="dxa"/>
            <w:bottom w:w="15" w:type="dxa"/>
            <w:right w:w="15" w:type="dxa"/>
          </w:tblCellMar>
        </w:tblPrEx>
        <w:tc>
          <w:tcPr>
            <w:tcW w:w="0" w:type="auto"/>
            <w:tcBorders>
              <w:top w:val="single" w:color="DDDDDD" w:sz="6" w:space="0"/>
            </w:tcBorders>
            <w:tcMar>
              <w:top w:w="120" w:type="dxa"/>
              <w:left w:w="120" w:type="dxa"/>
              <w:bottom w:w="120" w:type="dxa"/>
              <w:right w:w="120" w:type="dxa"/>
            </w:tcMar>
          </w:tcPr>
          <w:p>
            <w:pPr>
              <w:pStyle w:val="34"/>
            </w:pPr>
            <w:r>
              <w:t>上升通道</w:t>
            </w:r>
            <w:r>
              <w:fldChar w:fldCharType="begin"/>
            </w:r>
            <w:r>
              <w:instrText xml:space="preserve"> INCLUDEPICTURE  "https://www.tdx.com.cn/products/helpfile/tdxjysm/images/8_%E4%B8%8A%E5%8D%87%E9%80%9A%E9%81%93.png" \* MERGEFORMATINET </w:instrText>
            </w:r>
            <w:r>
              <w:fldChar w:fldCharType="separate"/>
            </w:r>
            <w:r>
              <w:fldChar w:fldCharType="begin"/>
            </w:r>
            <w:r>
              <w:instrText xml:space="preserve"> INCLUDEPICTURE  "https://www.tdx.com.cn/products/helpfile/tdxjysm/images/8_%E4%B8%8A%E5%8D%87%E9%80%9A%E9%81%93.png" \* MERGEFORMATINET </w:instrText>
            </w:r>
            <w:r>
              <w:fldChar w:fldCharType="separate"/>
            </w:r>
            <w:r>
              <w:fldChar w:fldCharType="begin"/>
            </w:r>
            <w:r>
              <w:instrText xml:space="preserve"> INCLUDEPICTURE  "https://www.tdx.com.cn/products/helpfile/tdxjysm/images/8_%E4%B8%8A%E5%8D%87%E9%80%9A%E9%81%93.png" \* MERGEFORMATINET </w:instrText>
            </w:r>
            <w:r>
              <w:fldChar w:fldCharType="separate"/>
            </w:r>
            <w:r>
              <w:fldChar w:fldCharType="begin"/>
            </w:r>
            <w:r>
              <w:instrText xml:space="preserve"> INCLUDEPICTURE  "https://www.tdx.com.cn/products/helpfile/tdxjysm/images/8_%E4%B8%8A%E5%8D%87%E9%80%9A%E9%81%93.png" \* MERGEFORMATINET </w:instrText>
            </w:r>
            <w:r>
              <w:fldChar w:fldCharType="separate"/>
            </w:r>
            <w:r>
              <w:drawing>
                <wp:inline distT="0" distB="0" distL="114300" distR="114300">
                  <wp:extent cx="457200" cy="257175"/>
                  <wp:effectExtent l="0" t="0" r="0" b="9525"/>
                  <wp:docPr id="577" name="图片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 name="图片 633"/>
                          <pic:cNvPicPr>
                            <a:picLocks noChangeAspect="1"/>
                          </pic:cNvPicPr>
                        </pic:nvPicPr>
                        <pic:blipFill>
                          <a:blip r:embed="rId1069" r:link="rId1070"/>
                          <a:stretch>
                            <a:fillRect/>
                          </a:stretch>
                        </pic:blipFill>
                        <pic:spPr>
                          <a:xfrm>
                            <a:off x="0" y="0"/>
                            <a:ext cx="457200" cy="257175"/>
                          </a:xfrm>
                          <a:prstGeom prst="rect">
                            <a:avLst/>
                          </a:prstGeom>
                          <a:noFill/>
                          <a:ln>
                            <a:noFill/>
                          </a:ln>
                        </pic:spPr>
                      </pic:pic>
                    </a:graphicData>
                  </a:graphic>
                </wp:inline>
              </w:drawing>
            </w:r>
            <w:r>
              <w:fldChar w:fldCharType="end"/>
            </w:r>
            <w:r>
              <w:fldChar w:fldCharType="end"/>
            </w:r>
            <w:r>
              <w:fldChar w:fldCharType="end"/>
            </w:r>
            <w:r>
              <w:fldChar w:fldCharType="end"/>
            </w:r>
          </w:p>
        </w:tc>
        <w:tc>
          <w:tcPr>
            <w:tcW w:w="0" w:type="auto"/>
            <w:tcBorders>
              <w:top w:val="single" w:color="DDDDDD" w:sz="6" w:space="0"/>
            </w:tcBorders>
            <w:tcMar>
              <w:top w:w="120" w:type="dxa"/>
              <w:left w:w="120" w:type="dxa"/>
              <w:bottom w:w="120" w:type="dxa"/>
              <w:right w:w="120" w:type="dxa"/>
            </w:tcMar>
          </w:tcPr>
          <w:p>
            <w:pPr>
              <w:pStyle w:val="34"/>
            </w:pPr>
            <w:r>
              <w:t>上升通道是股市中股票上升趋势的形象化描述，由两条平行线组成。在低位买进的多单可以在市价接近或到达上侧轨道线时获利出单；市价回落至下侧平行线或接近下侧平行线时可选择进仓。</w:t>
            </w:r>
          </w:p>
          <w:p>
            <w:pPr>
              <w:pStyle w:val="34"/>
            </w:pPr>
            <w:r>
              <w:t>在股票涨跌图表中按照如下方式定义两条平行轨线，两线之间的部分即为上升通道：</w:t>
            </w:r>
          </w:p>
          <w:p>
            <w:pPr>
              <w:pStyle w:val="34"/>
            </w:pPr>
            <w:r>
              <w:t>1.以局部股价最高点为基准做直线，使得图像均在该直线下方且直线与图像至少还有一个交点；</w:t>
            </w:r>
          </w:p>
          <w:p>
            <w:pPr>
              <w:pStyle w:val="34"/>
            </w:pPr>
            <w:r>
              <w:t>2.做上述直线的平行线，使得第二条直线与图像至少有一个交点，且图像均在第二条直线上方。</w:t>
            </w:r>
          </w:p>
        </w:tc>
      </w:tr>
      <w:tr>
        <w:tblPrEx>
          <w:tblCellMar>
            <w:top w:w="15" w:type="dxa"/>
            <w:left w:w="15" w:type="dxa"/>
            <w:bottom w:w="15" w:type="dxa"/>
            <w:right w:w="15" w:type="dxa"/>
          </w:tblCellMar>
        </w:tblPrEx>
        <w:tc>
          <w:tcPr>
            <w:tcW w:w="0" w:type="auto"/>
            <w:tcBorders>
              <w:top w:val="single" w:color="DDDDDD" w:sz="6" w:space="0"/>
            </w:tcBorders>
            <w:tcMar>
              <w:top w:w="120" w:type="dxa"/>
              <w:left w:w="120" w:type="dxa"/>
              <w:bottom w:w="120" w:type="dxa"/>
              <w:right w:w="120" w:type="dxa"/>
            </w:tcMar>
          </w:tcPr>
          <w:p>
            <w:pPr>
              <w:pStyle w:val="34"/>
            </w:pPr>
            <w:r>
              <w:t>下降通道</w:t>
            </w:r>
            <w:r>
              <w:fldChar w:fldCharType="begin"/>
            </w:r>
            <w:r>
              <w:instrText xml:space="preserve"> INCLUDEPICTURE  "https://www.tdx.com.cn/products/helpfile/tdxjysm/images/9_%E4%B8%8B%E9%99%8D%E9%80%9A%E9%81%93.png" \* MERGEFORMATINET </w:instrText>
            </w:r>
            <w:r>
              <w:fldChar w:fldCharType="separate"/>
            </w:r>
            <w:r>
              <w:fldChar w:fldCharType="begin"/>
            </w:r>
            <w:r>
              <w:instrText xml:space="preserve"> INCLUDEPICTURE  "https://www.tdx.com.cn/products/helpfile/tdxjysm/images/9_%E4%B8%8B%E9%99%8D%E9%80%9A%E9%81%93.png" \* MERGEFORMATINET </w:instrText>
            </w:r>
            <w:r>
              <w:fldChar w:fldCharType="separate"/>
            </w:r>
            <w:r>
              <w:fldChar w:fldCharType="begin"/>
            </w:r>
            <w:r>
              <w:instrText xml:space="preserve"> INCLUDEPICTURE  "https://www.tdx.com.cn/products/helpfile/tdxjysm/images/9_%E4%B8%8B%E9%99%8D%E9%80%9A%E9%81%93.png" \* MERGEFORMATINET </w:instrText>
            </w:r>
            <w:r>
              <w:fldChar w:fldCharType="separate"/>
            </w:r>
            <w:r>
              <w:fldChar w:fldCharType="begin"/>
            </w:r>
            <w:r>
              <w:instrText xml:space="preserve"> INCLUDEPICTURE  "https://www.tdx.com.cn/products/helpfile/tdxjysm/images/9_%E4%B8%8B%E9%99%8D%E9%80%9A%E9%81%93.png" \* MERGEFORMATINET </w:instrText>
            </w:r>
            <w:r>
              <w:fldChar w:fldCharType="separate"/>
            </w:r>
            <w:r>
              <w:drawing>
                <wp:inline distT="0" distB="0" distL="114300" distR="114300">
                  <wp:extent cx="457200" cy="257175"/>
                  <wp:effectExtent l="0" t="0" r="0" b="9525"/>
                  <wp:docPr id="578" name="图片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图片 634"/>
                          <pic:cNvPicPr>
                            <a:picLocks noChangeAspect="1"/>
                          </pic:cNvPicPr>
                        </pic:nvPicPr>
                        <pic:blipFill>
                          <a:blip r:embed="rId1071" r:link="rId1072"/>
                          <a:stretch>
                            <a:fillRect/>
                          </a:stretch>
                        </pic:blipFill>
                        <pic:spPr>
                          <a:xfrm>
                            <a:off x="0" y="0"/>
                            <a:ext cx="457200" cy="257175"/>
                          </a:xfrm>
                          <a:prstGeom prst="rect">
                            <a:avLst/>
                          </a:prstGeom>
                          <a:noFill/>
                          <a:ln>
                            <a:noFill/>
                          </a:ln>
                        </pic:spPr>
                      </pic:pic>
                    </a:graphicData>
                  </a:graphic>
                </wp:inline>
              </w:drawing>
            </w:r>
            <w:r>
              <w:fldChar w:fldCharType="end"/>
            </w:r>
            <w:r>
              <w:fldChar w:fldCharType="end"/>
            </w:r>
            <w:r>
              <w:fldChar w:fldCharType="end"/>
            </w:r>
            <w:r>
              <w:fldChar w:fldCharType="end"/>
            </w:r>
          </w:p>
        </w:tc>
        <w:tc>
          <w:tcPr>
            <w:tcW w:w="0" w:type="auto"/>
            <w:tcBorders>
              <w:top w:val="single" w:color="DDDDDD" w:sz="6" w:space="0"/>
            </w:tcBorders>
            <w:tcMar>
              <w:top w:w="120" w:type="dxa"/>
              <w:left w:w="120" w:type="dxa"/>
              <w:bottom w:w="120" w:type="dxa"/>
              <w:right w:w="120" w:type="dxa"/>
            </w:tcMar>
          </w:tcPr>
          <w:p>
            <w:pPr>
              <w:pStyle w:val="34"/>
            </w:pPr>
            <w:r>
              <w:t>沿支撑线（阶段性低点）或阻力线（阶段性高点）划一条平行线所形成的向上或向下的通道，常称其为上升或下降的通道。股票连续下跌，其上引线和下引线分别在一个时间段内逐渐趋向下降，就是进入了下降通道。</w:t>
            </w:r>
          </w:p>
        </w:tc>
      </w:tr>
      <w:tr>
        <w:tblPrEx>
          <w:tblCellMar>
            <w:top w:w="15" w:type="dxa"/>
            <w:left w:w="15" w:type="dxa"/>
            <w:bottom w:w="15" w:type="dxa"/>
            <w:right w:w="15" w:type="dxa"/>
          </w:tblCellMar>
        </w:tblPrEx>
        <w:tc>
          <w:tcPr>
            <w:tcW w:w="0" w:type="auto"/>
            <w:tcBorders>
              <w:top w:val="single" w:color="DDDDDD" w:sz="6" w:space="0"/>
            </w:tcBorders>
            <w:tcMar>
              <w:top w:w="120" w:type="dxa"/>
              <w:left w:w="120" w:type="dxa"/>
              <w:bottom w:w="120" w:type="dxa"/>
              <w:right w:w="120" w:type="dxa"/>
            </w:tcMar>
          </w:tcPr>
          <w:p>
            <w:pPr>
              <w:pStyle w:val="34"/>
            </w:pPr>
            <w:r>
              <w:t>拐头上升</w:t>
            </w:r>
            <w:r>
              <w:fldChar w:fldCharType="begin"/>
            </w:r>
            <w:r>
              <w:instrText xml:space="preserve"> INCLUDEPICTURE  "https://www.tdx.com.cn/products/helpfile/tdxjysm/images/10_%E6%8B%90%E5%A4%B4%E4%B8%8A%E5%8D%87.png" \* MERGEFORMATINET </w:instrText>
            </w:r>
            <w:r>
              <w:fldChar w:fldCharType="separate"/>
            </w:r>
            <w:r>
              <w:fldChar w:fldCharType="begin"/>
            </w:r>
            <w:r>
              <w:instrText xml:space="preserve"> INCLUDEPICTURE  "https://www.tdx.com.cn/products/helpfile/tdxjysm/images/10_%E6%8B%90%E5%A4%B4%E4%B8%8A%E5%8D%87.png" \* MERGEFORMATINET </w:instrText>
            </w:r>
            <w:r>
              <w:fldChar w:fldCharType="separate"/>
            </w:r>
            <w:r>
              <w:fldChar w:fldCharType="begin"/>
            </w:r>
            <w:r>
              <w:instrText xml:space="preserve"> INCLUDEPICTURE  "https://www.tdx.com.cn/products/helpfile/tdxjysm/images/10_%E6%8B%90%E5%A4%B4%E4%B8%8A%E5%8D%87.png" \* MERGEFORMATINET </w:instrText>
            </w:r>
            <w:r>
              <w:fldChar w:fldCharType="separate"/>
            </w:r>
            <w:r>
              <w:fldChar w:fldCharType="begin"/>
            </w:r>
            <w:r>
              <w:instrText xml:space="preserve"> INCLUDEPICTURE  "https://www.tdx.com.cn/products/helpfile/tdxjysm/images/10_%E6%8B%90%E5%A4%B4%E4%B8%8A%E5%8D%87.png" \* MERGEFORMATINET </w:instrText>
            </w:r>
            <w:r>
              <w:fldChar w:fldCharType="separate"/>
            </w:r>
            <w:r>
              <w:drawing>
                <wp:inline distT="0" distB="0" distL="114300" distR="114300">
                  <wp:extent cx="457200" cy="257175"/>
                  <wp:effectExtent l="0" t="0" r="0" b="9525"/>
                  <wp:docPr id="579" name="图片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图片 635"/>
                          <pic:cNvPicPr>
                            <a:picLocks noChangeAspect="1"/>
                          </pic:cNvPicPr>
                        </pic:nvPicPr>
                        <pic:blipFill>
                          <a:blip r:embed="rId1073" r:link="rId1074"/>
                          <a:stretch>
                            <a:fillRect/>
                          </a:stretch>
                        </pic:blipFill>
                        <pic:spPr>
                          <a:xfrm>
                            <a:off x="0" y="0"/>
                            <a:ext cx="457200" cy="257175"/>
                          </a:xfrm>
                          <a:prstGeom prst="rect">
                            <a:avLst/>
                          </a:prstGeom>
                          <a:noFill/>
                          <a:ln>
                            <a:noFill/>
                          </a:ln>
                        </pic:spPr>
                      </pic:pic>
                    </a:graphicData>
                  </a:graphic>
                </wp:inline>
              </w:drawing>
            </w:r>
            <w:r>
              <w:fldChar w:fldCharType="end"/>
            </w:r>
            <w:r>
              <w:fldChar w:fldCharType="end"/>
            </w:r>
            <w:r>
              <w:fldChar w:fldCharType="end"/>
            </w:r>
            <w:r>
              <w:fldChar w:fldCharType="end"/>
            </w:r>
          </w:p>
        </w:tc>
        <w:tc>
          <w:tcPr>
            <w:tcW w:w="0" w:type="auto"/>
            <w:tcBorders>
              <w:top w:val="single" w:color="DDDDDD" w:sz="6" w:space="0"/>
            </w:tcBorders>
            <w:tcMar>
              <w:top w:w="120" w:type="dxa"/>
              <w:left w:w="120" w:type="dxa"/>
              <w:bottom w:w="120" w:type="dxa"/>
              <w:right w:w="120" w:type="dxa"/>
            </w:tcMar>
          </w:tcPr>
          <w:p>
            <w:pPr>
              <w:pStyle w:val="34"/>
            </w:pPr>
            <w:r>
              <w:t>股价从下跌趋势中突然拐头上涨。</w:t>
            </w:r>
          </w:p>
        </w:tc>
      </w:tr>
      <w:tr>
        <w:tblPrEx>
          <w:tblCellMar>
            <w:top w:w="15" w:type="dxa"/>
            <w:left w:w="15" w:type="dxa"/>
            <w:bottom w:w="15" w:type="dxa"/>
            <w:right w:w="15" w:type="dxa"/>
          </w:tblCellMar>
        </w:tblPrEx>
        <w:tc>
          <w:tcPr>
            <w:tcW w:w="0" w:type="auto"/>
            <w:tcBorders>
              <w:top w:val="single" w:color="DDDDDD" w:sz="6" w:space="0"/>
            </w:tcBorders>
            <w:tcMar>
              <w:top w:w="120" w:type="dxa"/>
              <w:left w:w="120" w:type="dxa"/>
              <w:bottom w:w="120" w:type="dxa"/>
              <w:right w:w="120" w:type="dxa"/>
            </w:tcMar>
          </w:tcPr>
          <w:p>
            <w:pPr>
              <w:pStyle w:val="34"/>
            </w:pPr>
            <w:r>
              <w:t>拐头下跌</w:t>
            </w:r>
            <w:r>
              <w:fldChar w:fldCharType="begin"/>
            </w:r>
            <w:r>
              <w:instrText xml:space="preserve"> INCLUDEPICTURE  "https://www.tdx.com.cn/products/helpfile/tdxjysm/images/11_%E6%8B%90%E5%A4%B4%E4%B8%8B%E8%B7%8C.png" \* MERGEFORMATINET </w:instrText>
            </w:r>
            <w:r>
              <w:fldChar w:fldCharType="separate"/>
            </w:r>
            <w:r>
              <w:fldChar w:fldCharType="begin"/>
            </w:r>
            <w:r>
              <w:instrText xml:space="preserve"> INCLUDEPICTURE  "https://www.tdx.com.cn/products/helpfile/tdxjysm/images/11_%E6%8B%90%E5%A4%B4%E4%B8%8B%E8%B7%8C.png" \* MERGEFORMATINET </w:instrText>
            </w:r>
            <w:r>
              <w:fldChar w:fldCharType="separate"/>
            </w:r>
            <w:r>
              <w:fldChar w:fldCharType="begin"/>
            </w:r>
            <w:r>
              <w:instrText xml:space="preserve"> INCLUDEPICTURE  "https://www.tdx.com.cn/products/helpfile/tdxjysm/images/11_%E6%8B%90%E5%A4%B4%E4%B8%8B%E8%B7%8C.png" \* MERGEFORMATINET </w:instrText>
            </w:r>
            <w:r>
              <w:fldChar w:fldCharType="separate"/>
            </w:r>
            <w:r>
              <w:fldChar w:fldCharType="begin"/>
            </w:r>
            <w:r>
              <w:instrText xml:space="preserve"> INCLUDEPICTURE  "https://www.tdx.com.cn/products/helpfile/tdxjysm/images/11_%E6%8B%90%E5%A4%B4%E4%B8%8B%E8%B7%8C.png" \* MERGEFORMATINET </w:instrText>
            </w:r>
            <w:r>
              <w:fldChar w:fldCharType="separate"/>
            </w:r>
            <w:r>
              <w:drawing>
                <wp:inline distT="0" distB="0" distL="114300" distR="114300">
                  <wp:extent cx="457200" cy="257175"/>
                  <wp:effectExtent l="0" t="0" r="0" b="9525"/>
                  <wp:docPr id="580" name="图片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图片 636"/>
                          <pic:cNvPicPr>
                            <a:picLocks noChangeAspect="1"/>
                          </pic:cNvPicPr>
                        </pic:nvPicPr>
                        <pic:blipFill>
                          <a:blip r:embed="rId1075" r:link="rId1076"/>
                          <a:stretch>
                            <a:fillRect/>
                          </a:stretch>
                        </pic:blipFill>
                        <pic:spPr>
                          <a:xfrm>
                            <a:off x="0" y="0"/>
                            <a:ext cx="457200" cy="257175"/>
                          </a:xfrm>
                          <a:prstGeom prst="rect">
                            <a:avLst/>
                          </a:prstGeom>
                          <a:noFill/>
                          <a:ln>
                            <a:noFill/>
                          </a:ln>
                        </pic:spPr>
                      </pic:pic>
                    </a:graphicData>
                  </a:graphic>
                </wp:inline>
              </w:drawing>
            </w:r>
            <w:r>
              <w:fldChar w:fldCharType="end"/>
            </w:r>
            <w:r>
              <w:fldChar w:fldCharType="end"/>
            </w:r>
            <w:r>
              <w:fldChar w:fldCharType="end"/>
            </w:r>
            <w:r>
              <w:fldChar w:fldCharType="end"/>
            </w:r>
          </w:p>
        </w:tc>
        <w:tc>
          <w:tcPr>
            <w:tcW w:w="0" w:type="auto"/>
            <w:tcBorders>
              <w:top w:val="single" w:color="DDDDDD" w:sz="6" w:space="0"/>
            </w:tcBorders>
            <w:tcMar>
              <w:top w:w="120" w:type="dxa"/>
              <w:left w:w="120" w:type="dxa"/>
              <w:bottom w:w="120" w:type="dxa"/>
              <w:right w:w="120" w:type="dxa"/>
            </w:tcMar>
          </w:tcPr>
          <w:p>
            <w:pPr>
              <w:pStyle w:val="34"/>
            </w:pPr>
            <w:r>
              <w:t>股价从上升趋势中突然拐头下跌。</w:t>
            </w:r>
          </w:p>
        </w:tc>
      </w:tr>
      <w:tr>
        <w:tblPrEx>
          <w:tblCellMar>
            <w:top w:w="15" w:type="dxa"/>
            <w:left w:w="15" w:type="dxa"/>
            <w:bottom w:w="15" w:type="dxa"/>
            <w:right w:w="15" w:type="dxa"/>
          </w:tblCellMar>
        </w:tblPrEx>
        <w:tc>
          <w:tcPr>
            <w:tcW w:w="0" w:type="auto"/>
            <w:tcBorders>
              <w:top w:val="single" w:color="DDDDDD" w:sz="6" w:space="0"/>
            </w:tcBorders>
            <w:tcMar>
              <w:top w:w="120" w:type="dxa"/>
              <w:left w:w="120" w:type="dxa"/>
              <w:bottom w:w="120" w:type="dxa"/>
              <w:right w:w="120" w:type="dxa"/>
            </w:tcMar>
          </w:tcPr>
          <w:p>
            <w:pPr>
              <w:pStyle w:val="34"/>
            </w:pPr>
            <w:r>
              <w:t>上行盘整</w:t>
            </w:r>
            <w:r>
              <w:fldChar w:fldCharType="begin"/>
            </w:r>
            <w:r>
              <w:instrText xml:space="preserve"> INCLUDEPICTURE  "https://www.tdx.com.cn/products/helpfile/tdxjysm/images/12_%E4%B8%8A%E8%A1%8C%E7%9B%98%E6%95%B4.png" \* MERGEFORMATINET </w:instrText>
            </w:r>
            <w:r>
              <w:fldChar w:fldCharType="separate"/>
            </w:r>
            <w:r>
              <w:fldChar w:fldCharType="begin"/>
            </w:r>
            <w:r>
              <w:instrText xml:space="preserve"> INCLUDEPICTURE  "https://www.tdx.com.cn/products/helpfile/tdxjysm/images/12_%E4%B8%8A%E8%A1%8C%E7%9B%98%E6%95%B4.png" \* MERGEFORMATINET </w:instrText>
            </w:r>
            <w:r>
              <w:fldChar w:fldCharType="separate"/>
            </w:r>
            <w:r>
              <w:fldChar w:fldCharType="begin"/>
            </w:r>
            <w:r>
              <w:instrText xml:space="preserve"> INCLUDEPICTURE  "https://www.tdx.com.cn/products/helpfile/tdxjysm/images/12_%E4%B8%8A%E8%A1%8C%E7%9B%98%E6%95%B4.png" \* MERGEFORMATINET </w:instrText>
            </w:r>
            <w:r>
              <w:fldChar w:fldCharType="separate"/>
            </w:r>
            <w:r>
              <w:fldChar w:fldCharType="begin"/>
            </w:r>
            <w:r>
              <w:instrText xml:space="preserve"> INCLUDEPICTURE  "https://www.tdx.com.cn/products/helpfile/tdxjysm/images/12_%E4%B8%8A%E8%A1%8C%E7%9B%98%E6%95%B4.png" \* MERGEFORMATINET </w:instrText>
            </w:r>
            <w:r>
              <w:fldChar w:fldCharType="separate"/>
            </w:r>
            <w:r>
              <w:drawing>
                <wp:inline distT="0" distB="0" distL="114300" distR="114300">
                  <wp:extent cx="457200" cy="257175"/>
                  <wp:effectExtent l="0" t="0" r="0" b="9525"/>
                  <wp:docPr id="581" name="图片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 name="图片 637"/>
                          <pic:cNvPicPr>
                            <a:picLocks noChangeAspect="1"/>
                          </pic:cNvPicPr>
                        </pic:nvPicPr>
                        <pic:blipFill>
                          <a:blip r:embed="rId1077" r:link="rId1078"/>
                          <a:stretch>
                            <a:fillRect/>
                          </a:stretch>
                        </pic:blipFill>
                        <pic:spPr>
                          <a:xfrm>
                            <a:off x="0" y="0"/>
                            <a:ext cx="457200" cy="257175"/>
                          </a:xfrm>
                          <a:prstGeom prst="rect">
                            <a:avLst/>
                          </a:prstGeom>
                          <a:noFill/>
                          <a:ln>
                            <a:noFill/>
                          </a:ln>
                        </pic:spPr>
                      </pic:pic>
                    </a:graphicData>
                  </a:graphic>
                </wp:inline>
              </w:drawing>
            </w:r>
            <w:r>
              <w:fldChar w:fldCharType="end"/>
            </w:r>
            <w:r>
              <w:fldChar w:fldCharType="end"/>
            </w:r>
            <w:r>
              <w:fldChar w:fldCharType="end"/>
            </w:r>
            <w:r>
              <w:fldChar w:fldCharType="end"/>
            </w:r>
          </w:p>
        </w:tc>
        <w:tc>
          <w:tcPr>
            <w:tcW w:w="0" w:type="auto"/>
            <w:tcBorders>
              <w:top w:val="single" w:color="DDDDDD" w:sz="6" w:space="0"/>
            </w:tcBorders>
            <w:tcMar>
              <w:top w:w="120" w:type="dxa"/>
              <w:left w:w="120" w:type="dxa"/>
              <w:bottom w:w="120" w:type="dxa"/>
              <w:right w:w="120" w:type="dxa"/>
            </w:tcMar>
          </w:tcPr>
          <w:p>
            <w:pPr>
              <w:pStyle w:val="34"/>
            </w:pPr>
            <w:r>
              <w:t>即上涨中的盘整，是股价经过一段时间急速的上涨后，稍作歇息，然后再次上行。其所对应的前一段涨势往往是弱势后的急速上升，从成交量上看，价升量增，到了盘整阶段，成交量并不萎缩，虽有获利回吐盘抛出，但买气旺盛，足以击退空方。该盘整一般以楔形、旗形整理形态出现。</w:t>
            </w:r>
          </w:p>
        </w:tc>
      </w:tr>
      <w:tr>
        <w:tblPrEx>
          <w:tblCellMar>
            <w:top w:w="15" w:type="dxa"/>
            <w:left w:w="15" w:type="dxa"/>
            <w:bottom w:w="15" w:type="dxa"/>
            <w:right w:w="15" w:type="dxa"/>
          </w:tblCellMar>
        </w:tblPrEx>
        <w:tc>
          <w:tcPr>
            <w:tcW w:w="0" w:type="auto"/>
            <w:tcBorders>
              <w:top w:val="single" w:color="DDDDDD" w:sz="6" w:space="0"/>
            </w:tcBorders>
            <w:tcMar>
              <w:top w:w="120" w:type="dxa"/>
              <w:left w:w="120" w:type="dxa"/>
              <w:bottom w:w="120" w:type="dxa"/>
              <w:right w:w="120" w:type="dxa"/>
            </w:tcMar>
          </w:tcPr>
          <w:p>
            <w:pPr>
              <w:pStyle w:val="34"/>
            </w:pPr>
            <w:r>
              <w:t>下跌盘整</w:t>
            </w:r>
            <w:r>
              <w:fldChar w:fldCharType="begin"/>
            </w:r>
            <w:r>
              <w:instrText xml:space="preserve"> INCLUDEPICTURE  "https://www.tdx.com.cn/products/helpfile/tdxjysm/images/13_%E4%B8%8B%E8%B7%8C%E7%9B%98%E6%95%B4.png" \* MERGEFORMATINET </w:instrText>
            </w:r>
            <w:r>
              <w:fldChar w:fldCharType="separate"/>
            </w:r>
            <w:r>
              <w:fldChar w:fldCharType="begin"/>
            </w:r>
            <w:r>
              <w:instrText xml:space="preserve"> INCLUDEPICTURE  "https://www.tdx.com.cn/products/helpfile/tdxjysm/images/13_%E4%B8%8B%E8%B7%8C%E7%9B%98%E6%95%B4.png" \* MERGEFORMATINET </w:instrText>
            </w:r>
            <w:r>
              <w:fldChar w:fldCharType="separate"/>
            </w:r>
            <w:r>
              <w:fldChar w:fldCharType="begin"/>
            </w:r>
            <w:r>
              <w:instrText xml:space="preserve"> INCLUDEPICTURE  "https://www.tdx.com.cn/products/helpfile/tdxjysm/images/13_%E4%B8%8B%E8%B7%8C%E7%9B%98%E6%95%B4.png" \* MERGEFORMATINET </w:instrText>
            </w:r>
            <w:r>
              <w:fldChar w:fldCharType="separate"/>
            </w:r>
            <w:r>
              <w:fldChar w:fldCharType="begin"/>
            </w:r>
            <w:r>
              <w:instrText xml:space="preserve"> INCLUDEPICTURE  "https://www.tdx.com.cn/products/helpfile/tdxjysm/images/13_%E4%B8%8B%E8%B7%8C%E7%9B%98%E6%95%B4.png" \* MERGEFORMATINET </w:instrText>
            </w:r>
            <w:r>
              <w:fldChar w:fldCharType="separate"/>
            </w:r>
            <w:r>
              <w:drawing>
                <wp:inline distT="0" distB="0" distL="114300" distR="114300">
                  <wp:extent cx="457200" cy="257175"/>
                  <wp:effectExtent l="0" t="0" r="0" b="9525"/>
                  <wp:docPr id="582" name="图片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图片 638"/>
                          <pic:cNvPicPr>
                            <a:picLocks noChangeAspect="1"/>
                          </pic:cNvPicPr>
                        </pic:nvPicPr>
                        <pic:blipFill>
                          <a:blip r:embed="rId1079" r:link="rId1080"/>
                          <a:stretch>
                            <a:fillRect/>
                          </a:stretch>
                        </pic:blipFill>
                        <pic:spPr>
                          <a:xfrm>
                            <a:off x="0" y="0"/>
                            <a:ext cx="457200" cy="257175"/>
                          </a:xfrm>
                          <a:prstGeom prst="rect">
                            <a:avLst/>
                          </a:prstGeom>
                          <a:noFill/>
                          <a:ln>
                            <a:noFill/>
                          </a:ln>
                        </pic:spPr>
                      </pic:pic>
                    </a:graphicData>
                  </a:graphic>
                </wp:inline>
              </w:drawing>
            </w:r>
            <w:r>
              <w:fldChar w:fldCharType="end"/>
            </w:r>
            <w:r>
              <w:fldChar w:fldCharType="end"/>
            </w:r>
            <w:r>
              <w:fldChar w:fldCharType="end"/>
            </w:r>
            <w:r>
              <w:fldChar w:fldCharType="end"/>
            </w:r>
          </w:p>
        </w:tc>
        <w:tc>
          <w:tcPr>
            <w:tcW w:w="0" w:type="auto"/>
            <w:tcBorders>
              <w:top w:val="single" w:color="DDDDDD" w:sz="6" w:space="0"/>
            </w:tcBorders>
            <w:tcMar>
              <w:top w:w="120" w:type="dxa"/>
              <w:left w:w="120" w:type="dxa"/>
              <w:bottom w:w="120" w:type="dxa"/>
              <w:right w:w="120" w:type="dxa"/>
            </w:tcMar>
          </w:tcPr>
          <w:p>
            <w:pPr>
              <w:pStyle w:val="34"/>
            </w:pPr>
            <w:r>
              <w:t>即下跌中的盘整，是股价经过一段下跌后，稍有企稳，略有反弹，然后再次调头下行。其所对应的前一段下跌受利空打击，盘整只是空方略作休息，股价略有回升，但经不起空方再次进攻，股价再度下跌，从成交量看，价跌量增。</w:t>
            </w:r>
          </w:p>
        </w:tc>
      </w:tr>
      <w:tr>
        <w:tblPrEx>
          <w:tblCellMar>
            <w:top w:w="15" w:type="dxa"/>
            <w:left w:w="15" w:type="dxa"/>
            <w:bottom w:w="15" w:type="dxa"/>
            <w:right w:w="15" w:type="dxa"/>
          </w:tblCellMar>
        </w:tblPrEx>
        <w:tc>
          <w:tcPr>
            <w:tcW w:w="0" w:type="auto"/>
            <w:tcBorders>
              <w:top w:val="single" w:color="DDDDDD" w:sz="6" w:space="0"/>
            </w:tcBorders>
            <w:tcMar>
              <w:top w:w="120" w:type="dxa"/>
              <w:left w:w="120" w:type="dxa"/>
              <w:bottom w:w="120" w:type="dxa"/>
              <w:right w:w="120" w:type="dxa"/>
            </w:tcMar>
          </w:tcPr>
          <w:p>
            <w:pPr>
              <w:pStyle w:val="34"/>
            </w:pPr>
            <w:r>
              <w:t>其它形态</w:t>
            </w:r>
            <w:r>
              <w:fldChar w:fldCharType="begin"/>
            </w:r>
            <w:r>
              <w:instrText xml:space="preserve"> INCLUDEPICTURE  "https://www.tdx.com.cn/products/helpfile/tdxjysm/images/14_%E5%85%B6%E5%AE%83%E5%BD%A2%E6%80%81.png" \* MERGEFORMATINET </w:instrText>
            </w:r>
            <w:r>
              <w:fldChar w:fldCharType="separate"/>
            </w:r>
            <w:r>
              <w:fldChar w:fldCharType="begin"/>
            </w:r>
            <w:r>
              <w:instrText xml:space="preserve"> INCLUDEPICTURE  "https://www.tdx.com.cn/products/helpfile/tdxjysm/images/14_%E5%85%B6%E5%AE%83%E5%BD%A2%E6%80%81.png" \* MERGEFORMATINET </w:instrText>
            </w:r>
            <w:r>
              <w:fldChar w:fldCharType="separate"/>
            </w:r>
            <w:r>
              <w:fldChar w:fldCharType="begin"/>
            </w:r>
            <w:r>
              <w:instrText xml:space="preserve"> INCLUDEPICTURE  "https://www.tdx.com.cn/products/helpfile/tdxjysm/images/14_%E5%85%B6%E5%AE%83%E5%BD%A2%E6%80%81.png" \* MERGEFORMATINET </w:instrText>
            </w:r>
            <w:r>
              <w:fldChar w:fldCharType="separate"/>
            </w:r>
            <w:r>
              <w:fldChar w:fldCharType="begin"/>
            </w:r>
            <w:r>
              <w:instrText xml:space="preserve"> INCLUDEPICTURE  "https://www.tdx.com.cn/products/helpfile/tdxjysm/images/14_%E5%85%B6%E5%AE%83%E5%BD%A2%E6%80%81.png" \* MERGEFORMATINET </w:instrText>
            </w:r>
            <w:r>
              <w:fldChar w:fldCharType="separate"/>
            </w:r>
            <w:r>
              <w:drawing>
                <wp:inline distT="0" distB="0" distL="114300" distR="114300">
                  <wp:extent cx="457200" cy="257175"/>
                  <wp:effectExtent l="0" t="0" r="0" b="9525"/>
                  <wp:docPr id="583" name="图片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图片 639"/>
                          <pic:cNvPicPr>
                            <a:picLocks noChangeAspect="1"/>
                          </pic:cNvPicPr>
                        </pic:nvPicPr>
                        <pic:blipFill>
                          <a:blip r:embed="rId1081" r:link="rId1082"/>
                          <a:stretch>
                            <a:fillRect/>
                          </a:stretch>
                        </pic:blipFill>
                        <pic:spPr>
                          <a:xfrm>
                            <a:off x="0" y="0"/>
                            <a:ext cx="457200" cy="257175"/>
                          </a:xfrm>
                          <a:prstGeom prst="rect">
                            <a:avLst/>
                          </a:prstGeom>
                          <a:noFill/>
                          <a:ln>
                            <a:noFill/>
                          </a:ln>
                        </pic:spPr>
                      </pic:pic>
                    </a:graphicData>
                  </a:graphic>
                </wp:inline>
              </w:drawing>
            </w:r>
            <w:r>
              <w:fldChar w:fldCharType="end"/>
            </w:r>
            <w:r>
              <w:fldChar w:fldCharType="end"/>
            </w:r>
            <w:r>
              <w:fldChar w:fldCharType="end"/>
            </w:r>
            <w:r>
              <w:fldChar w:fldCharType="end"/>
            </w:r>
          </w:p>
        </w:tc>
        <w:tc>
          <w:tcPr>
            <w:tcW w:w="0" w:type="auto"/>
            <w:tcBorders>
              <w:top w:val="single" w:color="DDDDDD" w:sz="6" w:space="0"/>
            </w:tcBorders>
            <w:tcMar>
              <w:top w:w="120" w:type="dxa"/>
              <w:left w:w="120" w:type="dxa"/>
              <w:bottom w:w="120" w:type="dxa"/>
              <w:right w:w="120" w:type="dxa"/>
            </w:tcMar>
          </w:tcPr>
          <w:p>
            <w:pPr>
              <w:pStyle w:val="34"/>
            </w:pPr>
            <w:r>
              <w:t>其它股票形态。</w:t>
            </w:r>
          </w:p>
        </w:tc>
      </w:tr>
    </w:tbl>
    <w:p>
      <w:pPr>
        <w:pStyle w:val="34"/>
      </w:pPr>
      <w:r>
        <w:rPr>
          <w:rFonts w:hint="eastAsia"/>
        </w:rPr>
        <w:t>47、什么是前复权？</w:t>
      </w:r>
    </w:p>
    <w:p>
      <w:pPr>
        <w:pStyle w:val="34"/>
        <w:rPr>
          <w:szCs w:val="21"/>
        </w:rPr>
      </w:pPr>
      <w:r>
        <w:rPr>
          <w:rFonts w:hint="eastAsia"/>
          <w:szCs w:val="21"/>
        </w:rPr>
        <w:t>前复权是以当前价为基准复权，其意义是让你一目了然的看到成本分布情况。保持现有价位不变，将以前的价格缩减，将除权前的K线向下平移，使图形吻合，保持股价走势的连续性。</w:t>
      </w:r>
    </w:p>
    <w:p>
      <w:pPr>
        <w:pStyle w:val="34"/>
        <w:rPr>
          <w:szCs w:val="21"/>
        </w:rPr>
      </w:pPr>
      <w:r>
        <w:rPr>
          <w:rFonts w:hint="eastAsia"/>
          <w:szCs w:val="21"/>
        </w:rPr>
        <w:t>前复权：复权后价格=(复权前价格-现金红利)÷(1+流通股份变动比例)。</w:t>
      </w:r>
    </w:p>
    <w:p>
      <w:pPr>
        <w:pStyle w:val="34"/>
      </w:pPr>
      <w:r>
        <w:rPr>
          <w:rFonts w:hint="eastAsia"/>
        </w:rPr>
        <w:t>48、每股收益的算法及说明</w:t>
      </w:r>
    </w:p>
    <w:p>
      <w:pPr>
        <w:pStyle w:val="34"/>
        <w:rPr>
          <w:szCs w:val="21"/>
        </w:rPr>
      </w:pPr>
      <w:r>
        <w:rPr>
          <w:rFonts w:hint="eastAsia"/>
          <w:szCs w:val="21"/>
        </w:rPr>
        <w:t>每股收益EPS-基本：上市公司定期报告中披露的基本每股收益(2006年报以前的名称为“加权每股收益”)。每股收益是衡量上市公司盈利能力最常用的财务指标，反映普通股的获利水平。该指标不反映股票所含有的风险。 </w:t>
      </w:r>
    </w:p>
    <w:p>
      <w:pPr>
        <w:pStyle w:val="34"/>
        <w:rPr>
          <w:szCs w:val="21"/>
        </w:rPr>
      </w:pPr>
      <w:r>
        <w:rPr>
          <w:rFonts w:hint="eastAsia"/>
          <w:szCs w:val="21"/>
        </w:rPr>
        <w:t>算法：</w:t>
      </w:r>
    </w:p>
    <w:p>
      <w:pPr>
        <w:pStyle w:val="34"/>
      </w:pPr>
      <w:r>
        <w:rPr>
          <w:rFonts w:hint="eastAsia"/>
        </w:rPr>
        <w:t>分子=归属于普通股股东的当期净利润；分母=当期实际发行在外的普通股加权平均数=∑(发行在外普通股股数*发行在外月份数)/12；</w:t>
      </w:r>
    </w:p>
    <w:p>
      <w:pPr>
        <w:pStyle w:val="34"/>
      </w:pPr>
      <w:r>
        <w:rPr>
          <w:rFonts w:hint="eastAsia"/>
        </w:rPr>
        <w:t>计算值=分子/分母。 </w:t>
      </w:r>
    </w:p>
    <w:p>
      <w:pPr>
        <w:pStyle w:val="34"/>
      </w:pPr>
    </w:p>
    <w:p>
      <w:pPr>
        <w:pStyle w:val="34"/>
      </w:pPr>
      <w:r>
        <w:rPr>
          <w:rFonts w:hint="eastAsia"/>
        </w:rPr>
        <w:t>每股收益EPS-稀释：上市公司定期报告中披露的稀释每股收益(2007年开始披露，2006年以前没有此指标)。稀释性潜在普通股通常指可转换债券、可转换优先股、认股权证等。 </w:t>
      </w:r>
    </w:p>
    <w:p>
      <w:pPr>
        <w:pStyle w:val="34"/>
      </w:pPr>
      <w:r>
        <w:rPr>
          <w:rFonts w:hint="eastAsia"/>
        </w:rPr>
        <w:t>算法：</w:t>
      </w:r>
    </w:p>
    <w:p>
      <w:pPr>
        <w:pStyle w:val="34"/>
      </w:pPr>
      <w:r>
        <w:rPr>
          <w:rFonts w:hint="eastAsia"/>
        </w:rPr>
        <w:t>分子=归属于普通股股东的当期净利润(扣除当期已确认为费用的稀释性潜在普通股的利息、稀释性潜在普通股转换时将产生的收益或费用、相关所得税的影响)；</w:t>
      </w:r>
    </w:p>
    <w:p>
      <w:pPr>
        <w:pStyle w:val="34"/>
      </w:pPr>
      <w:r>
        <w:rPr>
          <w:rFonts w:hint="eastAsia"/>
        </w:rPr>
        <w:t>分母=假设稀释性潜在普通股于当期期初(或发行日)已经全部转换为普通股，于此计算的普通股股数的加权平均数；</w:t>
      </w:r>
    </w:p>
    <w:p>
      <w:pPr>
        <w:pStyle w:val="34"/>
      </w:pPr>
      <w:r>
        <w:rPr>
          <w:rFonts w:hint="eastAsia"/>
        </w:rPr>
        <w:t>计算值=分子/分母。 </w:t>
      </w:r>
    </w:p>
    <w:p>
      <w:pPr>
        <w:pStyle w:val="34"/>
      </w:pPr>
    </w:p>
    <w:p>
      <w:pPr>
        <w:pStyle w:val="34"/>
      </w:pPr>
      <w:r>
        <w:rPr>
          <w:rFonts w:hint="eastAsia"/>
        </w:rPr>
        <w:t>每股收益EPS-扣除非经常性损益：</w:t>
      </w:r>
    </w:p>
    <w:p>
      <w:pPr>
        <w:pStyle w:val="34"/>
      </w:pPr>
      <w:r>
        <w:rPr>
          <w:rFonts w:hint="eastAsia"/>
        </w:rPr>
        <w:t>上市公司定期报告中披露的扣除非经常性损益后的基本每股收益（2006年以前的名称为“扣除非经常性损益后的加权每股收益”）。又称“扣除非经常损益后基本每股收益”，指扣除与主营业务无关的一次性损益后的净利润除以流动在外的普通股得出的每股收益。 </w:t>
      </w:r>
    </w:p>
    <w:p>
      <w:pPr>
        <w:pStyle w:val="34"/>
      </w:pPr>
      <w:r>
        <w:rPr>
          <w:rFonts w:hint="eastAsia"/>
        </w:rPr>
        <w:t>算法：</w:t>
      </w:r>
    </w:p>
    <w:p>
      <w:pPr>
        <w:pStyle w:val="34"/>
      </w:pPr>
      <w:r>
        <w:rPr>
          <w:rFonts w:hint="eastAsia"/>
        </w:rPr>
        <w:t>分子=归属于普通股股东的扣除非经常性损益后的净利润；</w:t>
      </w:r>
    </w:p>
    <w:p>
      <w:pPr>
        <w:pStyle w:val="34"/>
      </w:pPr>
      <w:r>
        <w:rPr>
          <w:rFonts w:hint="eastAsia"/>
        </w:rPr>
        <w:t>分母=当期实际发行在外的普通股加权平均数=E(发行在外普通股股数*发行在外月份数)/12；</w:t>
      </w:r>
    </w:p>
    <w:p>
      <w:pPr>
        <w:pStyle w:val="34"/>
      </w:pPr>
      <w:r>
        <w:rPr>
          <w:rFonts w:hint="eastAsia"/>
        </w:rPr>
        <w:t>计算值=分子/分母。 </w:t>
      </w:r>
    </w:p>
    <w:p>
      <w:pPr>
        <w:pStyle w:val="34"/>
      </w:pPr>
    </w:p>
    <w:p>
      <w:pPr>
        <w:pStyle w:val="34"/>
      </w:pPr>
      <w:r>
        <w:rPr>
          <w:rFonts w:hint="eastAsia"/>
        </w:rPr>
        <w:t>每股收益EPS-期末股本摊薄：2006年报及以前上市公司披露的“摊薄每股收益”，2007年以后由通达信计算，参见算法。 </w:t>
      </w:r>
    </w:p>
    <w:p>
      <w:pPr>
        <w:pStyle w:val="34"/>
      </w:pPr>
      <w:r>
        <w:rPr>
          <w:rFonts w:hint="eastAsia"/>
        </w:rPr>
        <w:t>算法：归属母公司股东的净利润/报告期期末总股本。 </w:t>
      </w:r>
    </w:p>
    <w:p>
      <w:pPr>
        <w:pStyle w:val="34"/>
      </w:pPr>
      <w:r>
        <w:rPr>
          <w:rFonts w:hint="eastAsia"/>
        </w:rPr>
        <w:t>注：“归属母公司股东的净利润”即旧准则利润表公布的“净利润”。 </w:t>
      </w:r>
    </w:p>
    <w:p>
      <w:pPr>
        <w:pStyle w:val="34"/>
      </w:pPr>
    </w:p>
    <w:p>
      <w:pPr>
        <w:pStyle w:val="34"/>
      </w:pPr>
      <w:r>
        <w:rPr>
          <w:rFonts w:hint="eastAsia"/>
        </w:rPr>
        <w:t>每股收益EPS-最新股本摊薄：指定报告期净利润除以最新总股本。按最新总股本追述计算各历史报告期的每股收益。 </w:t>
      </w:r>
    </w:p>
    <w:p>
      <w:pPr>
        <w:pStyle w:val="34"/>
      </w:pPr>
      <w:r>
        <w:rPr>
          <w:rFonts w:hint="eastAsia"/>
        </w:rPr>
        <w:t>算法：归属母公司股东的净利润/最新总股本。 </w:t>
      </w:r>
    </w:p>
    <w:p>
      <w:pPr>
        <w:pStyle w:val="34"/>
      </w:pPr>
      <w:r>
        <w:rPr>
          <w:rFonts w:hint="eastAsia"/>
        </w:rPr>
        <w:t>注：“归属母公司股东的净利润”即旧准则利润表公布的“净利润”。 </w:t>
      </w:r>
    </w:p>
    <w:p>
      <w:pPr>
        <w:pStyle w:val="34"/>
      </w:pPr>
    </w:p>
    <w:p>
      <w:pPr>
        <w:pStyle w:val="34"/>
      </w:pPr>
      <w:r>
        <w:rPr>
          <w:rFonts w:hint="eastAsia"/>
        </w:rPr>
        <w:t>每股收益EPS(TTM)：前推12个月的净利润除以最新总股本计算的每股收益。 </w:t>
      </w:r>
    </w:p>
    <w:p>
      <w:pPr>
        <w:pStyle w:val="34"/>
      </w:pPr>
      <w:r>
        <w:rPr>
          <w:rFonts w:hint="eastAsia"/>
        </w:rPr>
        <w:t>算法：归属母公司股东的净利润TTM/截至交易日最新总股本</w:t>
      </w:r>
    </w:p>
    <w:p>
      <w:pPr>
        <w:pStyle w:val="34"/>
      </w:pPr>
      <w:r>
        <w:rPr>
          <w:rFonts w:hint="eastAsia"/>
        </w:rPr>
        <w:t>49、为什么分析图中设置对数坐标后，使用一段时间后，又切换回了普通坐标？</w:t>
      </w:r>
    </w:p>
    <w:p>
      <w:pPr>
        <w:pStyle w:val="34"/>
      </w:pPr>
      <w:r>
        <w:rPr>
          <w:rFonts w:hint="eastAsia"/>
        </w:rPr>
        <w:t>由于某些股票前复权后,前期的K线价格出现了负数,对数数值无法表达,所以切换回了普通坐标</w:t>
      </w:r>
    </w:p>
    <w:p>
      <w:pPr>
        <w:pStyle w:val="34"/>
      </w:pPr>
      <w:r>
        <w:rPr>
          <w:rFonts w:hint="eastAsia"/>
        </w:rPr>
        <w:t>50、为什么有些沪深股票的周月线复权的K线看起来不对，没有补除权除息缺口？</w:t>
      </w:r>
    </w:p>
    <w:p>
      <w:pPr>
        <w:pStyle w:val="34"/>
      </w:pPr>
      <w:r>
        <w:rPr>
          <w:rFonts w:hint="eastAsia"/>
        </w:rPr>
        <w:t>沪深股票周月线的复权是在本地进行的，需要下载此股票完整的日线； </w:t>
      </w:r>
    </w:p>
    <w:p>
      <w:pPr>
        <w:pStyle w:val="34"/>
      </w:pPr>
      <w:r>
        <w:rPr>
          <w:rFonts w:hint="eastAsia"/>
        </w:rPr>
        <w:t>如果没有完整日线的话，需要在此股票周月线复权的K线状态下，重新选择前复权或按二次Ctrl+V键。</w:t>
      </w:r>
    </w:p>
    <w:p>
      <w:pPr>
        <w:pStyle w:val="34"/>
      </w:pPr>
      <w:r>
        <w:rPr>
          <w:rFonts w:hint="eastAsia"/>
        </w:rPr>
        <w:t>51、所有股票某一天的K线突然变黄了 是什么原因？如何取消？</w:t>
      </w:r>
    </w:p>
    <w:p>
      <w:pPr>
        <w:pStyle w:val="34"/>
      </w:pPr>
      <w:r>
        <w:rPr>
          <w:rFonts w:hint="eastAsia"/>
        </w:rPr>
        <w:t>原因：按住Ctrl键的同时在该天的K线上点击了鼠标左键 </w:t>
      </w:r>
    </w:p>
    <w:p>
      <w:pPr>
        <w:pStyle w:val="34"/>
      </w:pPr>
      <w:r>
        <w:rPr>
          <w:rFonts w:hint="eastAsia"/>
        </w:rPr>
        <w:t>取消显示：可按住Ctrl键，同时在该天的K线上再次点击鼠标左键 </w:t>
      </w:r>
    </w:p>
    <w:p>
      <w:pPr>
        <w:pStyle w:val="34"/>
      </w:pPr>
      <w:r>
        <w:rPr>
          <w:rFonts w:hint="eastAsia"/>
        </w:rPr>
        <w:t>注：这是通达信特有的技术分析时点功能 便于查看不同时点的K线走势 支持多个时点不同周期，可通过K线界面：右键→主图其它设置→技术分析时点 进行管理</w:t>
      </w:r>
    </w:p>
    <w:p>
      <w:pPr>
        <w:pStyle w:val="34"/>
      </w:pPr>
      <w:r>
        <w:rPr>
          <w:rFonts w:hint="eastAsia"/>
        </w:rPr>
        <w:t>52、键盘精灵中出现的黄色显示的股票代码和名称是什么意思？</w:t>
      </w:r>
    </w:p>
    <w:p>
      <w:pPr>
        <w:pStyle w:val="34"/>
      </w:pPr>
      <w:r>
        <w:rPr>
          <w:rFonts w:hint="eastAsia"/>
        </w:rPr>
        <w:t>表示此股票属于自选股</w:t>
      </w:r>
    </w:p>
    <w:p>
      <w:pPr>
        <w:pStyle w:val="34"/>
      </w:pPr>
      <w:r>
        <w:rPr>
          <w:rFonts w:hint="eastAsia"/>
        </w:rPr>
        <w:t>53、市值A、市值B和市值H代表什么？</w:t>
      </w:r>
    </w:p>
    <w:p>
      <w:pPr>
        <w:pStyle w:val="34"/>
      </w:pPr>
      <w:r>
        <w:rPr>
          <w:rFonts w:hint="eastAsia"/>
        </w:rPr>
        <w:t>市值A指该股在A股股票的市值，市值B指该股在B股股票的市值，市值H指该股的港股股票市值。</w:t>
      </w:r>
    </w:p>
    <w:p>
      <w:pPr>
        <w:pStyle w:val="34"/>
      </w:pPr>
      <w:r>
        <w:rPr>
          <w:rFonts w:hint="eastAsia"/>
        </w:rPr>
        <w:t>54、个别股票K线上的权息变动数据跟竞品有差异, 导致行情上阶段最高价或最低价有差异,是怎么回事 ?</w:t>
      </w:r>
    </w:p>
    <w:p>
      <w:pPr>
        <w:pStyle w:val="34"/>
      </w:pPr>
      <w:r>
        <w:rPr>
          <w:rFonts w:hint="eastAsia"/>
        </w:rPr>
        <w:t>计入实际分红送转:分红送转的对象是全体股东的;重整转增中,实际转增给中小股东的部分。</w:t>
      </w:r>
    </w:p>
    <w:p>
      <w:pPr>
        <w:pStyle w:val="34"/>
      </w:pPr>
      <w:r>
        <w:rPr>
          <w:rFonts w:hint="eastAsia"/>
        </w:rPr>
        <w:t>不计入实际分红送转:分红送转的对象是特定股东、非原股东等情况的;重整转增中,不是转增给中小股东的部分。 </w:t>
      </w:r>
    </w:p>
    <w:p>
      <w:pPr>
        <w:pStyle w:val="34"/>
      </w:pPr>
      <w:r>
        <w:rPr>
          <w:rFonts w:hint="eastAsia"/>
        </w:rPr>
        <w:t>原因说明:这样处理才符台普通投资者的实际权益情况。</w:t>
      </w:r>
    </w:p>
    <w:p>
      <w:pPr>
        <w:pStyle w:val="34"/>
      </w:pPr>
      <w:r>
        <w:rPr>
          <w:rFonts w:hint="eastAsia"/>
        </w:rPr>
        <w:t>55、如何快速进入多股同列和多周期同列?</w:t>
      </w:r>
    </w:p>
    <w:p>
      <w:pPr>
        <w:pStyle w:val="34"/>
      </w:pPr>
      <w:r>
        <w:rPr>
          <w:rFonts w:hint="eastAsia"/>
        </w:rPr>
        <w:t>鼠标放在分析图的左上角 出现图标时 点击进入多周期同列; </w:t>
      </w:r>
    </w:p>
    <w:p>
      <w:pPr>
        <w:pStyle w:val="34"/>
      </w:pPr>
      <w:r>
        <w:rPr>
          <w:rFonts w:hint="eastAsia"/>
        </w:rPr>
        <w:t>鼠标放在分析图或分时图的右上角 出现图标时 点击进入多股同列</w:t>
      </w:r>
    </w:p>
    <w:p>
      <w:pPr>
        <w:pStyle w:val="3"/>
      </w:pPr>
      <w:bookmarkStart w:id="90" w:name="_Toc90646215"/>
      <w:r>
        <w:rPr>
          <w:rFonts w:hint="eastAsia"/>
        </w:rPr>
        <w:t>我们是这样使用的</w:t>
      </w:r>
      <w:bookmarkEnd w:id="90"/>
    </w:p>
    <w:p>
      <w:pPr>
        <w:pStyle w:val="34"/>
      </w:pPr>
      <w:r>
        <w:rPr>
          <w:rFonts w:hint="eastAsia"/>
        </w:rPr>
        <w:t>1. 通达信金融终端网上交易软件 快捷键分为四种 </w:t>
      </w:r>
    </w:p>
    <w:p>
      <w:pPr>
        <w:pStyle w:val="34"/>
      </w:pPr>
      <w:r>
        <w:rPr>
          <w:rFonts w:hint="eastAsia"/>
        </w:rPr>
        <w:t>数字键:比如1,61,81,10,91等 </w:t>
      </w:r>
    </w:p>
    <w:p>
      <w:pPr>
        <w:pStyle w:val="34"/>
      </w:pPr>
      <w:r>
        <w:rPr>
          <w:rFonts w:hint="eastAsia"/>
        </w:rPr>
        <w:t>点系列键:比如.101,.201,.301.... .909等 </w:t>
      </w:r>
    </w:p>
    <w:p>
      <w:pPr>
        <w:pStyle w:val="34"/>
      </w:pPr>
      <w:r>
        <w:rPr>
          <w:rFonts w:hint="eastAsia"/>
        </w:rPr>
        <w:t>功能键:比如F1,F2... 空格键,减号键,TAB等 </w:t>
      </w:r>
    </w:p>
    <w:p>
      <w:pPr>
        <w:pStyle w:val="34"/>
      </w:pPr>
      <w:r>
        <w:rPr>
          <w:rFonts w:hint="eastAsia"/>
        </w:rPr>
        <w:t>组合键:比如Ctrl+V,Alt+1,Ctrl+Z等 </w:t>
      </w:r>
    </w:p>
    <w:p>
      <w:pPr>
        <w:pStyle w:val="34"/>
      </w:pPr>
      <w:r>
        <w:rPr>
          <w:rFonts w:hint="eastAsia"/>
        </w:rPr>
        <w:t>1）.Ctrl+V 切换前复权与还原 Ctrl+B切换后复权与还原 </w:t>
      </w:r>
    </w:p>
    <w:p>
      <w:pPr>
        <w:pStyle w:val="34"/>
      </w:pPr>
      <w:r>
        <w:rPr>
          <w:rFonts w:hint="eastAsia"/>
        </w:rPr>
        <w:t>2）.在分时图或分析图界面下,使用Ctrl+W进行本屏的区间统计 </w:t>
      </w:r>
    </w:p>
    <w:p>
      <w:pPr>
        <w:pStyle w:val="34"/>
      </w:pPr>
      <w:r>
        <w:rPr>
          <w:rFonts w:hint="eastAsia"/>
        </w:rPr>
        <w:t>3）.Ctrl+M 按当前的股票集合进入多股界面 </w:t>
      </w:r>
    </w:p>
    <w:p>
      <w:pPr>
        <w:pStyle w:val="34"/>
      </w:pPr>
      <w:r>
        <w:rPr>
          <w:rFonts w:hint="eastAsia"/>
        </w:rPr>
        <w:t>4）.Ctrl+R 所属板块 </w:t>
      </w:r>
    </w:p>
    <w:p>
      <w:pPr>
        <w:pStyle w:val="34"/>
      </w:pPr>
      <w:r>
        <w:rPr>
          <w:rFonts w:hint="eastAsia"/>
        </w:rPr>
        <w:t>5）.Ctrl+D 系统设置 </w:t>
      </w:r>
    </w:p>
    <w:p>
      <w:pPr>
        <w:pStyle w:val="34"/>
      </w:pPr>
      <w:r>
        <w:rPr>
          <w:rFonts w:hint="eastAsia"/>
        </w:rPr>
        <w:t>6）.Ctrl+Z 加入到板块 Shift+Ctrl+Z 从板块中删除 </w:t>
      </w:r>
    </w:p>
    <w:p>
      <w:pPr>
        <w:pStyle w:val="34"/>
      </w:pPr>
      <w:r>
        <w:rPr>
          <w:rFonts w:hint="eastAsia"/>
        </w:rPr>
        <w:t>7）.在分时图或分析图界面下,Ctrl+O 叠加股票,Ctrl+G 删除叠加 </w:t>
      </w:r>
    </w:p>
    <w:p>
      <w:pPr>
        <w:pStyle w:val="34"/>
      </w:pPr>
      <w:r>
        <w:rPr>
          <w:rFonts w:hint="eastAsia"/>
        </w:rPr>
        <w:t>8）.Ctrl+J 进入主力监控精灵,再按Ctrl+J 退回 </w:t>
      </w:r>
    </w:p>
    <w:p>
      <w:pPr>
        <w:pStyle w:val="34"/>
      </w:pPr>
      <w:r>
        <w:rPr>
          <w:rFonts w:hint="eastAsia"/>
        </w:rPr>
        <w:t>9）.Ctr+F进入公式编辑器 </w:t>
      </w:r>
    </w:p>
    <w:p>
      <w:pPr>
        <w:pStyle w:val="34"/>
      </w:pPr>
      <w:r>
        <w:rPr>
          <w:rFonts w:hint="eastAsia"/>
        </w:rPr>
        <w:t>10）.Shift+F10 进入基本权息资料界面 </w:t>
      </w:r>
    </w:p>
    <w:p>
      <w:pPr>
        <w:pStyle w:val="34"/>
      </w:pPr>
      <w:r>
        <w:rPr>
          <w:rFonts w:hint="eastAsia"/>
        </w:rPr>
        <w:t>11）.在有信息地雷的画面,按Shift+回车键进入信息地雷 </w:t>
      </w:r>
    </w:p>
    <w:p>
      <w:pPr>
        <w:pStyle w:val="34"/>
      </w:pPr>
      <w:r>
        <w:rPr>
          <w:rFonts w:hint="eastAsia"/>
        </w:rPr>
        <w:t>12）.Ctrl+1,Ctrl+2显隐辅助区和功能树 Ctrl+3,Ctrl+4显隐工具栏和状态栏 Ctrl+5显隐滚动资讯栏 </w:t>
      </w:r>
    </w:p>
    <w:p>
      <w:pPr>
        <w:pStyle w:val="34"/>
      </w:pPr>
      <w:r>
        <w:rPr>
          <w:rFonts w:hint="eastAsia"/>
        </w:rPr>
        <w:t>13）.Ctrl+L显隐右边信息区(也可以敲 .6) </w:t>
      </w:r>
    </w:p>
    <w:p>
      <w:pPr>
        <w:pStyle w:val="34"/>
      </w:pPr>
      <w:r>
        <w:rPr>
          <w:rFonts w:hint="eastAsia"/>
        </w:rPr>
        <w:t>14）.快速排名 点系列键 .202至.226 </w:t>
      </w:r>
    </w:p>
    <w:p>
      <w:pPr>
        <w:pStyle w:val="34"/>
      </w:pPr>
      <w:r>
        <w:rPr>
          <w:rFonts w:hint="eastAsia"/>
        </w:rPr>
        <w:t>15）.热门板块分析 点系列键 .400 </w:t>
      </w:r>
    </w:p>
    <w:p>
      <w:pPr>
        <w:pStyle w:val="34"/>
      </w:pPr>
      <w:r>
        <w:rPr>
          <w:rFonts w:hint="eastAsia"/>
        </w:rPr>
        <w:t>16）.使用减号键"-"来启动或停止6自动换页" </w:t>
      </w:r>
    </w:p>
    <w:p>
      <w:pPr>
        <w:pStyle w:val="34"/>
      </w:pPr>
      <w:r>
        <w:rPr>
          <w:rFonts w:hint="eastAsia"/>
        </w:rPr>
        <w:t>17）.在走势图或分析图画面,使用加号键"+"来切换右下角的内容,Shift+加号键反向切换 </w:t>
      </w:r>
    </w:p>
    <w:p>
      <w:pPr>
        <w:pStyle w:val="34"/>
      </w:pPr>
      <w:r>
        <w:rPr>
          <w:rFonts w:hint="eastAsia"/>
        </w:rPr>
        <w:t>18）.在报价界面和报表界面,使用空格键打开股票集合的菜单等,使用]或[键切换各分类 </w:t>
      </w:r>
    </w:p>
    <w:p>
      <w:pPr>
        <w:pStyle w:val="34"/>
      </w:pPr>
      <w:r>
        <w:rPr>
          <w:rFonts w:hint="eastAsia"/>
        </w:rPr>
        <w:t>19）.深证100 快捷键:100 上证180 快捷键:180 沪深300 快捷键:300 </w:t>
      </w:r>
    </w:p>
    <w:p>
      <w:pPr>
        <w:pStyle w:val="34"/>
      </w:pPr>
      <w:r>
        <w:rPr>
          <w:rFonts w:hint="eastAsia"/>
        </w:rPr>
        <w:t>20）.在财经资讯和信息地雷浏览过程中,可以连续按回车键或连续双击鼠标来快速切换标题区和内容区 </w:t>
      </w:r>
    </w:p>
    <w:p>
      <w:pPr>
        <w:pStyle w:val="34"/>
      </w:pPr>
      <w:r>
        <w:rPr>
          <w:rFonts w:hint="eastAsia"/>
        </w:rPr>
        <w:t>21）.新版本支持16(信息地雷),18(机构评测和诊断) </w:t>
      </w:r>
    </w:p>
    <w:p>
      <w:pPr>
        <w:pStyle w:val="34"/>
      </w:pPr>
      <w:r>
        <w:rPr>
          <w:rFonts w:hint="eastAsia"/>
        </w:rPr>
        <w:t>22）.画线工具:Alt+F12 </w:t>
      </w:r>
    </w:p>
    <w:p>
      <w:pPr>
        <w:pStyle w:val="34"/>
      </w:pPr>
      <w:r>
        <w:rPr>
          <w:rFonts w:hint="eastAsia"/>
        </w:rPr>
        <w:t>23）.条件选股 .905或按Ctrl+T 定制选股 ；.906 ；模式选股 .907 综合选股 .909 </w:t>
      </w:r>
    </w:p>
    <w:p>
      <w:pPr>
        <w:pStyle w:val="34"/>
      </w:pPr>
      <w:r>
        <w:rPr>
          <w:rFonts w:hint="eastAsia"/>
        </w:rPr>
        <w:t>24）.Ctrl+P 全屏和非全屏的切换 全屏显示 画面更清爽干净 </w:t>
      </w:r>
    </w:p>
    <w:p>
      <w:pPr>
        <w:pStyle w:val="34"/>
      </w:pPr>
      <w:r>
        <w:rPr>
          <w:rFonts w:hint="eastAsia"/>
        </w:rPr>
        <w:t>25）.快捷键 67,87 （深沪A）全市场的涨幅排名和综合排名 ；69/89（北证A股涨幅排名和综合排名）</w:t>
      </w:r>
    </w:p>
    <w:p>
      <w:pPr>
        <w:pStyle w:val="34"/>
      </w:pPr>
      <w:r>
        <w:rPr>
          <w:rFonts w:hint="eastAsia"/>
        </w:rPr>
        <w:t>26）.Atl+数字键的用途: 在走势图画面,切换多日分时图;在分析图画面,切换子窗口个数 </w:t>
      </w:r>
    </w:p>
    <w:p>
      <w:pPr>
        <w:pStyle w:val="34"/>
      </w:pPr>
      <w:r>
        <w:rPr>
          <w:rFonts w:hint="eastAsia"/>
        </w:rPr>
        <w:t>27）.TAB的用途:在行情报价画面,切换行情信息和财务信息,在分时图画面,切换上下午半场,在分析图画面,叠加或删除主图指标 </w:t>
      </w:r>
    </w:p>
    <w:p>
      <w:pPr>
        <w:pStyle w:val="34"/>
      </w:pPr>
      <w:r>
        <w:rPr>
          <w:rFonts w:hint="eastAsia"/>
        </w:rPr>
        <w:t>28）.中括号键"[ ""]"的用途:在行情报价画面,分类股票切换；在分析图用于轮换周期。 </w:t>
      </w:r>
    </w:p>
    <w:p>
      <w:pPr>
        <w:pStyle w:val="34"/>
      </w:pPr>
      <w:r>
        <w:rPr>
          <w:rFonts w:hint="eastAsia"/>
        </w:rPr>
        <w:t>29）.5.51版本以上支持的快捷键:30:切换关联股票 31:金融计算器 32:金融记事本 </w:t>
      </w:r>
    </w:p>
    <w:p>
      <w:pPr>
        <w:pStyle w:val="34"/>
      </w:pPr>
      <w:r>
        <w:rPr>
          <w:rFonts w:hint="eastAsia"/>
        </w:rPr>
        <w:t>30）.Ctrl+Q(新版本)支持对某只股票标记文本信息 </w:t>
      </w:r>
    </w:p>
    <w:p>
      <w:pPr>
        <w:pStyle w:val="34"/>
      </w:pPr>
      <w:r>
        <w:rPr>
          <w:rFonts w:hint="eastAsia"/>
        </w:rPr>
        <w:t>31）.Ctrl+Tab切换打开的几个窗口 （记录了客户的操作）</w:t>
      </w:r>
    </w:p>
    <w:p>
      <w:pPr>
        <w:pStyle w:val="34"/>
      </w:pPr>
      <w:r>
        <w:rPr>
          <w:rFonts w:hint="eastAsia"/>
        </w:rPr>
        <w:t>32）.如果有自定义的版面,使用点系列键 .001至.099 </w:t>
      </w:r>
    </w:p>
    <w:p>
      <w:pPr>
        <w:pStyle w:val="34"/>
      </w:pPr>
      <w:r>
        <w:rPr>
          <w:rFonts w:hint="eastAsia"/>
        </w:rPr>
        <w:t>2.通过菜单项后面的提示,键盘精灵的提示和帮助文件等,大家可以知道更多的快捷键. </w:t>
      </w:r>
    </w:p>
    <w:p>
      <w:pPr>
        <w:pStyle w:val="34"/>
      </w:pPr>
      <w:r>
        <w:rPr>
          <w:rFonts w:hint="eastAsia"/>
        </w:rPr>
        <w:t>详细买卖盘快捷键：M </w:t>
      </w:r>
    </w:p>
    <w:p>
      <w:pPr>
        <w:pStyle w:val="34"/>
      </w:pPr>
      <w:r>
        <w:rPr>
          <w:rFonts w:hint="eastAsia"/>
        </w:rPr>
        <w:t>或点击K线右下方：盘 </w:t>
      </w:r>
    </w:p>
    <w:p>
      <w:pPr>
        <w:pStyle w:val="34"/>
      </w:pPr>
      <w:r>
        <w:rPr>
          <w:rFonts w:hint="eastAsia"/>
        </w:rPr>
        <w:t>K线快捷键： </w:t>
      </w:r>
    </w:p>
    <w:p>
      <w:pPr>
        <w:pStyle w:val="34"/>
      </w:pPr>
      <w:r>
        <w:rPr>
          <w:rFonts w:hint="eastAsia"/>
        </w:rPr>
        <w:t>年K线：Y </w:t>
      </w:r>
    </w:p>
    <w:p>
      <w:pPr>
        <w:pStyle w:val="34"/>
      </w:pPr>
      <w:r>
        <w:rPr>
          <w:rFonts w:hint="eastAsia"/>
        </w:rPr>
        <w:t>季K线：S </w:t>
      </w:r>
    </w:p>
    <w:p>
      <w:pPr>
        <w:pStyle w:val="34"/>
      </w:pPr>
      <w:r>
        <w:rPr>
          <w:rFonts w:hint="eastAsia"/>
        </w:rPr>
        <w:t>月K线：MO </w:t>
      </w:r>
    </w:p>
    <w:p>
      <w:pPr>
        <w:pStyle w:val="34"/>
      </w:pPr>
      <w:r>
        <w:rPr>
          <w:rFonts w:hint="eastAsia"/>
        </w:rPr>
        <w:t>周K线：W </w:t>
      </w:r>
    </w:p>
    <w:p>
      <w:pPr>
        <w:pStyle w:val="34"/>
      </w:pPr>
      <w:r>
        <w:rPr>
          <w:rFonts w:hint="eastAsia"/>
        </w:rPr>
        <w:t>日K线：D </w:t>
      </w:r>
    </w:p>
    <w:p>
      <w:pPr>
        <w:pStyle w:val="34"/>
      </w:pPr>
      <w:r>
        <w:rPr>
          <w:rFonts w:hint="eastAsia"/>
        </w:rPr>
        <w:t>60分钟：M60 </w:t>
      </w:r>
    </w:p>
    <w:p>
      <w:pPr>
        <w:pStyle w:val="34"/>
      </w:pPr>
      <w:r>
        <w:rPr>
          <w:rFonts w:hint="eastAsia"/>
        </w:rPr>
        <w:t>30分钟：M30 </w:t>
      </w:r>
    </w:p>
    <w:p>
      <w:pPr>
        <w:pStyle w:val="34"/>
      </w:pPr>
      <w:r>
        <w:rPr>
          <w:rFonts w:hint="eastAsia"/>
        </w:rPr>
        <w:t>15分钟：M15 </w:t>
      </w:r>
    </w:p>
    <w:p>
      <w:pPr>
        <w:pStyle w:val="34"/>
      </w:pPr>
      <w:r>
        <w:rPr>
          <w:rFonts w:hint="eastAsia"/>
        </w:rPr>
        <w:t>5分钟：M5 </w:t>
      </w:r>
    </w:p>
    <w:p>
      <w:pPr>
        <w:pStyle w:val="34"/>
      </w:pPr>
      <w:r>
        <w:rPr>
          <w:rFonts w:hint="eastAsia"/>
        </w:rPr>
        <w:t>1分钟：M1 </w:t>
      </w:r>
    </w:p>
    <w:p>
      <w:pPr>
        <w:pStyle w:val="34"/>
      </w:pPr>
      <w:r>
        <w:rPr>
          <w:rFonts w:hint="eastAsia"/>
        </w:rPr>
        <w:t>用键盘精灵输入91,92,...912 也可一步进入各种周期Ｋ线 </w:t>
      </w:r>
    </w:p>
    <w:p>
      <w:pPr>
        <w:pStyle w:val="34"/>
      </w:pPr>
      <w:r>
        <w:rPr>
          <w:rFonts w:hint="eastAsia"/>
        </w:rPr>
        <w:t>新增在F10切换至下一分类:空格键 切换至上一分类:退格键 </w:t>
      </w:r>
    </w:p>
    <w:p>
      <w:pPr>
        <w:pStyle w:val="34"/>
      </w:pPr>
      <w:r>
        <w:rPr>
          <w:rFonts w:hint="eastAsia"/>
        </w:rPr>
        <w:t>还有一个快捷键Ctrl+Tab(其实是Windows多文档的快捷键),用于切换打开的几个窗口. </w:t>
      </w:r>
    </w:p>
    <w:p>
      <w:pPr>
        <w:pStyle w:val="34"/>
      </w:pPr>
      <w:r>
        <w:rPr>
          <w:rFonts w:hint="eastAsia"/>
        </w:rPr>
        <w:t>权证快捷键：11,611,811等 </w:t>
      </w:r>
    </w:p>
    <w:p>
      <w:pPr>
        <w:pStyle w:val="34"/>
      </w:pPr>
      <w:r>
        <w:rPr>
          <w:rFonts w:hint="eastAsia"/>
        </w:rPr>
        <w:t>G股板块快捷键：GGBK </w:t>
      </w:r>
    </w:p>
    <w:p>
      <w:pPr>
        <w:pStyle w:val="34"/>
      </w:pPr>
      <w:r>
        <w:rPr>
          <w:rFonts w:hint="eastAsia"/>
        </w:rPr>
        <w:t>ST板块快捷键：STBK </w:t>
      </w:r>
    </w:p>
    <w:p>
      <w:pPr>
        <w:pStyle w:val="34"/>
      </w:pPr>
      <w:r>
        <w:rPr>
          <w:rFonts w:hint="eastAsia"/>
        </w:rPr>
        <w:t>快捷键F7-&gt;财经资讯</w:t>
      </w:r>
    </w:p>
    <w:p>
      <w:pPr>
        <w:pStyle w:val="34"/>
      </w:pPr>
      <w:r>
        <w:rPr>
          <w:rFonts w:hint="eastAsia"/>
        </w:rPr>
        <w:t>3.小技巧 </w:t>
      </w:r>
    </w:p>
    <w:p>
      <w:pPr>
        <w:pStyle w:val="34"/>
      </w:pPr>
      <w:r>
        <w:rPr>
          <w:rFonts w:hint="eastAsia"/>
        </w:rPr>
        <w:t>1）.在进行叠加股票操作时(在分时图和分析图画面,可以叠加三只),在弹出的选择股票对话框中,除了深沪指数,还自动加入了相关的品种,叠加后你可以对相关品种进行套利分析</w:t>
      </w:r>
    </w:p>
    <w:p>
      <w:pPr>
        <w:pStyle w:val="34"/>
      </w:pPr>
      <w:r>
        <w:rPr>
          <w:rFonts w:hint="eastAsia"/>
        </w:rPr>
        <w:t>2）.用鼠标右键点击分析图的指标输出线名，也可弹出此指标的右键菜单，你可以调整参数，修改公式等，比用鼠标去捕捉某根线要快捷得多 </w:t>
      </w:r>
    </w:p>
    <w:p>
      <w:pPr>
        <w:pStyle w:val="34"/>
      </w:pPr>
      <w:r>
        <w:rPr>
          <w:rFonts w:hint="eastAsia"/>
        </w:rPr>
        <w:t>3）.在分析图，将光标移到某个K线上，再按上下箭头即可按照这根K线为中心进行放缩，这是 通达信金融终端网上交易软件 不同于其它软件的特色点 </w:t>
      </w:r>
    </w:p>
    <w:p>
      <w:pPr>
        <w:pStyle w:val="34"/>
      </w:pPr>
      <w:r>
        <w:rPr>
          <w:rFonts w:hint="eastAsia"/>
        </w:rPr>
        <w:t>4）.在"查看"-&gt;"系统设置"-&gt;"系统参数1"-&gt;将"纵坐标线"打勾 </w:t>
      </w:r>
    </w:p>
    <w:p>
      <w:pPr>
        <w:pStyle w:val="34"/>
      </w:pPr>
      <w:r>
        <w:rPr>
          <w:rFonts w:hint="eastAsia"/>
        </w:rPr>
        <w:t>这样的话,在看各种周期K线时,会画出一些分隔的纵坐标线,用来将一月,一季,或1天等分隔开来 </w:t>
      </w:r>
    </w:p>
    <w:p>
      <w:pPr>
        <w:pStyle w:val="34"/>
      </w:pPr>
      <w:r>
        <w:rPr>
          <w:rFonts w:hint="eastAsia"/>
        </w:rPr>
        <w:t>5）.一次性读取更多K线数据 </w:t>
      </w:r>
    </w:p>
    <w:p>
      <w:pPr>
        <w:pStyle w:val="34"/>
      </w:pPr>
      <w:r>
        <w:rPr>
          <w:rFonts w:hint="eastAsia"/>
        </w:rPr>
        <w:t>如果你进行技术分析时，需要使用更多的数据，又不想使用下箭头来不断增量请求，可以在系统设置中将上网环境设为"较快环境"或"快速环境"，但前提是你的网速比较快,否则等待时间可能较长。 </w:t>
      </w:r>
    </w:p>
    <w:p>
      <w:pPr>
        <w:pStyle w:val="34"/>
      </w:pPr>
      <w:r>
        <w:rPr>
          <w:rFonts w:hint="eastAsia"/>
        </w:rPr>
        <w:t>6）.将自己特别关注的个股行情信息放在状态栏上 </w:t>
      </w:r>
    </w:p>
    <w:p>
      <w:pPr>
        <w:pStyle w:val="34"/>
      </w:pPr>
      <w:r>
        <w:rPr>
          <w:rFonts w:hint="eastAsia"/>
        </w:rPr>
        <w:t>新的5.49以上版本，在系统设置的状态栏行情设置中，可以设置最多4个指数或个股到状态栏上 </w:t>
      </w:r>
    </w:p>
    <w:p>
      <w:pPr>
        <w:pStyle w:val="34"/>
      </w:pPr>
      <w:r>
        <w:rPr>
          <w:rFonts w:hint="eastAsia"/>
        </w:rPr>
        <w:t>7）.分时走势图使用粗线 </w:t>
      </w:r>
    </w:p>
    <w:p>
      <w:pPr>
        <w:pStyle w:val="34"/>
      </w:pPr>
      <w:r>
        <w:rPr>
          <w:rFonts w:hint="eastAsia"/>
        </w:rPr>
        <w:t>新的5.49以上版本，在系统设置中，可以打开"分时走势图使用粗线"选项 这样在显示走势图的价线时看起来"更有穿透力” </w:t>
      </w:r>
    </w:p>
    <w:p>
      <w:pPr>
        <w:pStyle w:val="34"/>
      </w:pPr>
      <w:r>
        <w:rPr>
          <w:rFonts w:hint="eastAsia"/>
        </w:rPr>
        <w:t>8）.在分时界面或者分析图界面如果想让界面自动按照行情中顺序跳转界面的话那么就可以按“-”键，启动“自动翻页”功能，或者“工具”——“自动翻页”调出自动翻页功能。 </w:t>
      </w:r>
    </w:p>
    <w:p>
      <w:pPr>
        <w:pStyle w:val="34"/>
      </w:pPr>
      <w:r>
        <w:rPr>
          <w:rFonts w:hint="eastAsia"/>
        </w:rPr>
        <w:t>9）.扩展区的快速显隐“'”单引号作为快捷键。（单引号要在英文输入法下才可以作为此功能使用。） </w:t>
      </w:r>
    </w:p>
    <w:p>
      <w:pPr>
        <w:pStyle w:val="34"/>
      </w:pPr>
      <w:r>
        <w:rPr>
          <w:rFonts w:hint="eastAsia"/>
        </w:rPr>
        <w:t>10）.某段时间的区间统计操作方法: </w:t>
      </w:r>
    </w:p>
    <w:p>
      <w:pPr>
        <w:pStyle w:val="34"/>
      </w:pPr>
      <w:r>
        <w:rPr>
          <w:rFonts w:hint="eastAsia"/>
        </w:rPr>
        <w:t>A.用光标定位到某一时间点,按空格键,再定位到另一时间点,再按空格键,就可以统计这段时间(分析图中也如此操作) </w:t>
      </w:r>
    </w:p>
    <w:p>
      <w:pPr>
        <w:pStyle w:val="34"/>
      </w:pPr>
      <w:r>
        <w:rPr>
          <w:rFonts w:hint="eastAsia"/>
        </w:rPr>
        <w:t>B.用右键拖出一段区间,松开,然后在右键中选择"区间统计" </w:t>
      </w:r>
    </w:p>
    <w:p>
      <w:pPr>
        <w:pStyle w:val="34"/>
      </w:pPr>
      <w:r>
        <w:rPr>
          <w:rFonts w:hint="eastAsia"/>
        </w:rPr>
        <w:t>4. 通达信金融终端网上交易软件版 块操作方法汇总： </w:t>
      </w:r>
    </w:p>
    <w:p>
      <w:pPr>
        <w:pStyle w:val="34"/>
      </w:pPr>
      <w:r>
        <w:rPr>
          <w:rFonts w:hint="eastAsia"/>
        </w:rPr>
        <w:t>1).在任一个股界面，使用Ctrl+Z或Alt+Z将当前股票加入到某个板块，使用Alt+D或Shift+Ctrl+Z将当前股票从某个板块中删除，也可以使用右键菜单中的'加入到板块','从板块中删除'等菜单项。在自定义板块的行情报价中，直接使用Del键可从当前板块中删除当前股票。 </w:t>
      </w:r>
    </w:p>
    <w:p>
      <w:pPr>
        <w:pStyle w:val="34"/>
      </w:pPr>
      <w:r>
        <w:rPr>
          <w:rFonts w:hint="eastAsia"/>
        </w:rPr>
        <w:t>2).在行情报价中，使用右键菜单中的"批量操作",可以将一屏股票加入到某板块或从当前板块中删除。 </w:t>
      </w:r>
    </w:p>
    <w:p>
      <w:pPr>
        <w:pStyle w:val="34"/>
      </w:pPr>
      <w:r>
        <w:rPr>
          <w:rFonts w:hint="eastAsia"/>
        </w:rPr>
        <w:t>3).在自定义板块的行情报价中，使用鼠标上下拖动，即可移动板块内股票的前后顺序。 </w:t>
      </w:r>
    </w:p>
    <w:p>
      <w:pPr>
        <w:pStyle w:val="34"/>
      </w:pPr>
      <w:r>
        <w:rPr>
          <w:rFonts w:hint="eastAsia"/>
        </w:rPr>
        <w:t>4).进入"系统设置"的"快捷"设置页中，可以新建或删除板块,修改板块名称,修改板块的键盘精灵简称,加入板块,上移下移板块内股票的顺序,将板块导入导出等更全面的板块操作。 </w:t>
      </w:r>
    </w:p>
    <w:p>
      <w:pPr>
        <w:pStyle w:val="34"/>
      </w:pPr>
      <w:r>
        <w:rPr>
          <w:rFonts w:hint="eastAsia"/>
        </w:rPr>
        <w:t>5).使用"监控剪贴板功能"功能,可以从文章或网页中批量将股票加入到某板块中</w:t>
      </w:r>
    </w:p>
    <w:p>
      <w:pPr>
        <w:pStyle w:val="34"/>
      </w:pPr>
      <w:r>
        <w:rPr>
          <w:rFonts w:hint="eastAsia"/>
        </w:rPr>
        <w:t>5.股票代码的快速输入：三位优先按上海代码；四位优先按深圳代码；同时也支持中文汉字的输入查找，目前一些版本已经实现。 </w:t>
      </w:r>
    </w:p>
    <w:p>
      <w:pPr>
        <w:pStyle w:val="34"/>
      </w:pPr>
      <w:r>
        <w:rPr>
          <w:rFonts w:hint="eastAsia"/>
        </w:rPr>
        <w:t>比如敲001进入600001,0001进入000001 </w:t>
      </w:r>
    </w:p>
    <w:p>
      <w:pPr>
        <w:pStyle w:val="34"/>
      </w:pPr>
      <w:r>
        <w:rPr>
          <w:rFonts w:hint="eastAsia"/>
        </w:rPr>
        <w:t>我要找到中国石化:只需输入028或者输入“中国石化” </w:t>
      </w:r>
    </w:p>
    <w:p>
      <w:pPr>
        <w:pStyle w:val="34"/>
      </w:pPr>
      <w:r>
        <w:rPr>
          <w:rFonts w:hint="eastAsia"/>
        </w:rPr>
        <w:t>我要找到苏宁电器:只需输入2024 或者 “苏宁电器”键盘精灵中支持?键 </w:t>
      </w:r>
    </w:p>
    <w:p>
      <w:pPr>
        <w:pStyle w:val="34"/>
      </w:pPr>
      <w:r>
        <w:rPr>
          <w:rFonts w:hint="eastAsia"/>
        </w:rPr>
        <w:t>比如我输入H?GS 就可列出 海南高速,华北高速,湖南高速(旧名也可以列出来)</w:t>
      </w:r>
    </w:p>
    <w:p>
      <w:pPr>
        <w:pStyle w:val="34"/>
      </w:pPr>
      <w:r>
        <w:rPr>
          <w:rFonts w:hint="eastAsia"/>
        </w:rPr>
        <w:t>6.分时图操作方法: </w:t>
      </w:r>
    </w:p>
    <w:p>
      <w:pPr>
        <w:pStyle w:val="34"/>
      </w:pPr>
      <w:r>
        <w:rPr>
          <w:rFonts w:hint="eastAsia"/>
        </w:rPr>
        <w:t>1).在分时图画面,在右键菜单中使用"切换走势模式",或者使用*和/键,可以查看"量比"和"买卖力道"。 </w:t>
      </w:r>
    </w:p>
    <w:p>
      <w:pPr>
        <w:pStyle w:val="34"/>
      </w:pPr>
      <w:r>
        <w:rPr>
          <w:rFonts w:hint="eastAsia"/>
        </w:rPr>
        <w:t>2).在右键菜单中使用"多日分时图",或使用Alt+数字键来切换,可以同时查看此股最近10天的分时图。此状态一直有效，除非你解除此状态或退出系统 </w:t>
      </w:r>
    </w:p>
    <w:p>
      <w:pPr>
        <w:pStyle w:val="34"/>
      </w:pPr>
      <w:r>
        <w:rPr>
          <w:rFonts w:hint="eastAsia"/>
        </w:rPr>
        <w:t>3).使用叠加股票功能，或使用Ctrl+O键，将其它股票加入到这只股票的分时图上来,一起对比查看。此状态一直有效，除非你解除此状态或退出系统 </w:t>
      </w:r>
    </w:p>
    <w:p>
      <w:pPr>
        <w:pStyle w:val="34"/>
      </w:pPr>
      <w:r>
        <w:rPr>
          <w:rFonts w:hint="eastAsia"/>
        </w:rPr>
        <w:t>4).用右键在分时图拖拽一个区间，松开，选中右键菜单“区间统计”，会弹出这个区间的分时统计情况。如果想对整个交易日进行统计，直接使用Ctrl+W。区间统计同样适合于多日分时图。 </w:t>
      </w:r>
    </w:p>
    <w:p>
      <w:pPr>
        <w:pStyle w:val="34"/>
      </w:pPr>
      <w:r>
        <w:rPr>
          <w:rFonts w:hint="eastAsia"/>
        </w:rPr>
        <w:t>5). 进入分时图，双击鼠标，出现光标竖线，把竖线定位到某个时刻，按回车键，这时右下角的每笔分笔成交会跳转到这个时刻，显示这个时刻附近的成交明细。如果右下角是“详细买卖盘”，也是同样的跳转，显示这个时刻附近的详细买卖盘。</w:t>
      </w:r>
    </w:p>
    <w:p>
      <w:pPr>
        <w:pStyle w:val="34"/>
      </w:pPr>
      <w:r>
        <w:rPr>
          <w:rFonts w:hint="eastAsia"/>
        </w:rPr>
        <w:t>另附: </w:t>
      </w:r>
    </w:p>
    <w:p>
      <w:pPr>
        <w:pStyle w:val="34"/>
      </w:pPr>
      <w:r>
        <w:rPr>
          <w:rFonts w:hint="eastAsia"/>
        </w:rPr>
        <w:t>（1).双击右下角的"每笔成交明细","分价表","每分钟成交","详细买卖盘",双击（或者右键选择“放大”）可以将这些功能界面放大到全屏,放大后,可以用鼠标滚轮进行上下翻页，再次双击，恢复到原来的状态。 </w:t>
      </w:r>
    </w:p>
    <w:p>
      <w:pPr>
        <w:pStyle w:val="34"/>
      </w:pPr>
      <w:r>
        <w:rPr>
          <w:rFonts w:hint="eastAsia"/>
        </w:rPr>
        <w:t>（2).点击右边行情信息区的"换手"，"市盈","股本","净资","收益"，"流通"这几个栏目的窗口区域,可以直接调出"权息资料"信息。 </w:t>
      </w:r>
    </w:p>
    <w:p>
      <w:pPr>
        <w:pStyle w:val="34"/>
      </w:pPr>
      <w:r>
        <w:rPr>
          <w:rFonts w:hint="eastAsia"/>
        </w:rPr>
        <w:t>（3）双击状态栏不同地方会跳转到不同的界面：如下的分别跳到上证指数、深圳成指、创业板指、自选股、主力监控精灵、市场雷达、条件预警、系统状态。</w:t>
      </w:r>
    </w:p>
    <w:p>
      <w:pPr>
        <w:pStyle w:val="34"/>
      </w:pPr>
      <w:r>
        <w:rPr>
          <w:rFonts w:hint="eastAsia"/>
        </w:rPr>
        <w:t> </w:t>
      </w:r>
      <w:r>
        <w:fldChar w:fldCharType="begin"/>
      </w:r>
      <w:r>
        <w:instrText xml:space="preserve"> HYPERLINK "http://www.tdx.com.cn/" </w:instrText>
      </w:r>
      <w:r>
        <w:fldChar w:fldCharType="separate"/>
      </w:r>
      <w:r>
        <w:fldChar w:fldCharType="begin"/>
      </w:r>
      <w:r>
        <w:instrText xml:space="preserve"> INCLUDEPICTURE  "https://www.tdx.com.cn/products/helpfile/tdxw/chm/%E7%AC%AC%E4%B9%9D%E7%AB%A0  %E9%80%9A%E8%BE%BE%E4%BF%A1%E8%BD%AF%E4%BB%B6%E6%9C%80%E6%96%B0%E5%8A%A8%E6%80%81/9-3/1.png" \* MERGEFORMATINET </w:instrText>
      </w:r>
      <w:r>
        <w:fldChar w:fldCharType="separate"/>
      </w:r>
      <w:r>
        <w:fldChar w:fldCharType="begin"/>
      </w:r>
      <w:r>
        <w:instrText xml:space="preserve"> INCLUDEPICTURE  "https://www.tdx.com.cn/products/helpfile/tdxw/chm/%E7%AC%AC%E4%B9%9D%E7%AB%A0  %E9%80%9A%E8%BE%BE%E4%BF%A1%E8%BD%AF%E4%BB%B6%E6%9C%80%E6%96%B0%E5%8A%A8%E6%80%81/9-3/1.png" \* MERGEFORMATINET </w:instrText>
      </w:r>
      <w:r>
        <w:fldChar w:fldCharType="separate"/>
      </w:r>
      <w:r>
        <w:fldChar w:fldCharType="begin"/>
      </w:r>
      <w:r>
        <w:instrText xml:space="preserve"> INCLUDEPICTURE  "https://www.tdx.com.cn/products/helpfile/tdxw/chm/%E7%AC%AC%E4%B9%9D%E7%AB%A0  %E9%80%9A%E8%BE%BE%E4%BF%A1%E8%BD%AF%E4%BB%B6%E6%9C%80%E6%96%B0%E5%8A%A8%E6%80%81/9-3/1.png" \* MERGEFORMATINET </w:instrText>
      </w:r>
      <w:r>
        <w:fldChar w:fldCharType="separate"/>
      </w:r>
      <w:r>
        <w:fldChar w:fldCharType="begin"/>
      </w:r>
      <w:r>
        <w:instrText xml:space="preserve"> INCLUDEPICTURE  "https://www.tdx.com.cn/products/helpfile/tdxw/chm/%E7%AC%AC%E4%B9%9D%E7%AB%A0  %E9%80%9A%E8%BE%BE%E4%BF%A1%E8%BD%AF%E4%BB%B6%E6%9C%80%E6%96%B0%E5%8A%A8%E6%80%81/9-3/1.png" \* MERGEFORMATINET </w:instrText>
      </w:r>
      <w:r>
        <w:fldChar w:fldCharType="separate"/>
      </w:r>
      <w:r>
        <w:drawing>
          <wp:inline distT="0" distB="0" distL="114300" distR="114300">
            <wp:extent cx="8220075" cy="47625"/>
            <wp:effectExtent l="0" t="0" r="9525" b="9525"/>
            <wp:docPr id="584" name="图片 640" descr="通达信网站">
              <a:hlinkClick xmlns:a="http://schemas.openxmlformats.org/drawingml/2006/main" r:id="rId6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图片 640" descr="通达信网站"/>
                    <pic:cNvPicPr>
                      <a:picLocks noChangeAspect="1"/>
                    </pic:cNvPicPr>
                  </pic:nvPicPr>
                  <pic:blipFill>
                    <a:blip r:embed="rId1083" r:link="rId1084"/>
                    <a:stretch>
                      <a:fillRect/>
                    </a:stretch>
                  </pic:blipFill>
                  <pic:spPr>
                    <a:xfrm>
                      <a:off x="0" y="0"/>
                      <a:ext cx="8220075" cy="47625"/>
                    </a:xfrm>
                    <a:prstGeom prst="rect">
                      <a:avLst/>
                    </a:prstGeom>
                    <a:noFill/>
                    <a:ln>
                      <a:noFill/>
                    </a:ln>
                  </pic:spPr>
                </pic:pic>
              </a:graphicData>
            </a:graphic>
          </wp:inline>
        </w:drawing>
      </w:r>
      <w:r>
        <w:fldChar w:fldCharType="end"/>
      </w:r>
      <w:r>
        <w:fldChar w:fldCharType="end"/>
      </w:r>
      <w:r>
        <w:fldChar w:fldCharType="end"/>
      </w:r>
      <w:r>
        <w:fldChar w:fldCharType="end"/>
      </w:r>
      <w:r>
        <w:fldChar w:fldCharType="end"/>
      </w:r>
    </w:p>
    <w:p>
      <w:pPr>
        <w:pStyle w:val="3"/>
        <w:rPr>
          <w:rFonts w:ascii="宋体" w:hAnsi="宋体" w:eastAsia="宋体"/>
          <w:sz w:val="27"/>
          <w:szCs w:val="27"/>
        </w:rPr>
      </w:pPr>
      <w:bookmarkStart w:id="91" w:name="_Toc90646216"/>
      <w:r>
        <w:rPr>
          <w:rFonts w:hint="eastAsia"/>
        </w:rPr>
        <w:t>实用功能详细介绍</w:t>
      </w:r>
      <w:bookmarkEnd w:id="91"/>
    </w:p>
    <w:p>
      <w:pPr>
        <w:pStyle w:val="34"/>
      </w:pPr>
      <w:r>
        <w:rPr>
          <w:rFonts w:hint="eastAsia"/>
        </w:rPr>
        <w:t>1、K线分析界面的指标模板功能： </w:t>
      </w:r>
    </w:p>
    <w:p>
      <w:pPr>
        <w:pStyle w:val="34"/>
      </w:pPr>
      <w:r>
        <w:rPr>
          <w:rFonts w:hint="eastAsia"/>
        </w:rPr>
        <w:t>方式一：K线界面右键“指标模板”—“指标模板管理” </w:t>
      </w:r>
    </w:p>
    <w:p>
      <w:pPr>
        <w:pStyle w:val="34"/>
      </w:pPr>
      <w:r>
        <w:rPr>
          <w:rFonts w:hint="eastAsia"/>
        </w:rPr>
        <w:t>方式二：K线界面的左下方的指标图最下面一行点击“模板”—“管理”</w:t>
      </w:r>
    </w:p>
    <w:p>
      <w:pPr>
        <w:pStyle w:val="34"/>
        <w:rPr>
          <w:szCs w:val="27"/>
        </w:rPr>
      </w:pPr>
      <w:r>
        <w:rPr>
          <w:rFonts w:hint="eastAsia"/>
        </w:rPr>
        <w:t>指标板块功能使用：</w:t>
      </w:r>
    </w:p>
    <w:p>
      <w:pPr>
        <w:pStyle w:val="34"/>
      </w:pPr>
      <w:r>
        <w:fldChar w:fldCharType="begin"/>
      </w:r>
      <w:r>
        <w:instrText xml:space="preserve"> INCLUDEPICTURE  "https://www.tdx.com.cn/products/helpfile/tdxw/chm/%E7%AC%AC%E4%B9%9D%E7%AB%A0  %E9%80%9A%E8%BE%BE%E4%BF%A1%E8%BD%AF%E4%BB%B6%E6%9C%80%E6%96%B0%E5%8A%A8%E6%80%81/9-5/1.png" \* MERGEFORMATINET </w:instrText>
      </w:r>
      <w:r>
        <w:fldChar w:fldCharType="separate"/>
      </w:r>
      <w:r>
        <w:fldChar w:fldCharType="begin"/>
      </w:r>
      <w:r>
        <w:instrText xml:space="preserve"> INCLUDEPICTURE  "https://www.tdx.com.cn/products/helpfile/tdxw/chm/%E7%AC%AC%E4%B9%9D%E7%AB%A0  %E9%80%9A%E8%BE%BE%E4%BF%A1%E8%BD%AF%E4%BB%B6%E6%9C%80%E6%96%B0%E5%8A%A8%E6%80%81/9-5/1.png" \* MERGEFORMATINET </w:instrText>
      </w:r>
      <w:r>
        <w:fldChar w:fldCharType="separate"/>
      </w:r>
      <w:r>
        <w:fldChar w:fldCharType="begin"/>
      </w:r>
      <w:r>
        <w:instrText xml:space="preserve"> INCLUDEPICTURE  "https://www.tdx.com.cn/products/helpfile/tdxw/chm/%E7%AC%AC%E4%B9%9D%E7%AB%A0  %E9%80%9A%E8%BE%BE%E4%BF%A1%E8%BD%AF%E4%BB%B6%E6%9C%80%E6%96%B0%E5%8A%A8%E6%80%81/9-5/1.png" \* MERGEFORMATINET </w:instrText>
      </w:r>
      <w:r>
        <w:fldChar w:fldCharType="separate"/>
      </w:r>
      <w:r>
        <w:fldChar w:fldCharType="begin"/>
      </w:r>
      <w:r>
        <w:instrText xml:space="preserve"> INCLUDEPICTURE  "https://www.tdx.com.cn/products/helpfile/tdxw/chm/%E7%AC%AC%E4%B9%9D%E7%AB%A0  %E9%80%9A%E8%BE%BE%E4%BF%A1%E8%BD%AF%E4%BB%B6%E6%9C%80%E6%96%B0%E5%8A%A8%E6%80%81/9-5/1.png" \* MERGEFORMATINET </w:instrText>
      </w:r>
      <w:r>
        <w:fldChar w:fldCharType="separate"/>
      </w:r>
      <w:r>
        <w:drawing>
          <wp:inline distT="0" distB="0" distL="114300" distR="114300">
            <wp:extent cx="4248150" cy="3952875"/>
            <wp:effectExtent l="0" t="0" r="0" b="9525"/>
            <wp:docPr id="585" name="图片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 name="图片 641"/>
                    <pic:cNvPicPr>
                      <a:picLocks noChangeAspect="1"/>
                    </pic:cNvPicPr>
                  </pic:nvPicPr>
                  <pic:blipFill>
                    <a:blip r:embed="rId1085" r:link="rId1086"/>
                    <a:stretch>
                      <a:fillRect/>
                    </a:stretch>
                  </pic:blipFill>
                  <pic:spPr>
                    <a:xfrm>
                      <a:off x="0" y="0"/>
                      <a:ext cx="4248150" cy="3952875"/>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选择适合自己指标组合把组合存成指标模板：这里选择了主图指标“XT”，副图指标“MACD”、“EXPMA_S”、“MTM”这几个指标然后点击“另存为”或者是右键“指标模板”—“当前组合另存为模板”调出另存为指标模板的菜单界面：填入模板名称，点击“保存”这个123指标模板就创建成功了。 </w:t>
      </w:r>
    </w:p>
    <w:p>
      <w:pPr>
        <w:pStyle w:val="34"/>
      </w:pPr>
      <w:r>
        <w:fldChar w:fldCharType="begin"/>
      </w:r>
      <w:r>
        <w:instrText xml:space="preserve"> INCLUDEPICTURE  "https://www.tdx.com.cn/products/helpfile/tdxw/chm/%E7%AC%AC%E4%B9%9D%E7%AB%A0  %E9%80%9A%E8%BE%BE%E4%BF%A1%E8%BD%AF%E4%BB%B6%E6%9C%80%E6%96%B0%E5%8A%A8%E6%80%81/9-5/2.png" \* MERGEFORMATINET </w:instrText>
      </w:r>
      <w:r>
        <w:fldChar w:fldCharType="separate"/>
      </w:r>
      <w:r>
        <w:fldChar w:fldCharType="begin"/>
      </w:r>
      <w:r>
        <w:instrText xml:space="preserve"> INCLUDEPICTURE  "https://www.tdx.com.cn/products/helpfile/tdxw/chm/%E7%AC%AC%E4%B9%9D%E7%AB%A0  %E9%80%9A%E8%BE%BE%E4%BF%A1%E8%BD%AF%E4%BB%B6%E6%9C%80%E6%96%B0%E5%8A%A8%E6%80%81/9-5/2.png" \* MERGEFORMATINET </w:instrText>
      </w:r>
      <w:r>
        <w:fldChar w:fldCharType="separate"/>
      </w:r>
      <w:r>
        <w:fldChar w:fldCharType="begin"/>
      </w:r>
      <w:r>
        <w:instrText xml:space="preserve"> INCLUDEPICTURE  "https://www.tdx.com.cn/products/helpfile/tdxw/chm/%E7%AC%AC%E4%B9%9D%E7%AB%A0  %E9%80%9A%E8%BE%BE%E4%BF%A1%E8%BD%AF%E4%BB%B6%E6%9C%80%E6%96%B0%E5%8A%A8%E6%80%81/9-5/2.png" \* MERGEFORMATINET </w:instrText>
      </w:r>
      <w:r>
        <w:fldChar w:fldCharType="separate"/>
      </w:r>
      <w:r>
        <w:fldChar w:fldCharType="begin"/>
      </w:r>
      <w:r>
        <w:instrText xml:space="preserve"> INCLUDEPICTURE  "https://www.tdx.com.cn/products/helpfile/tdxw/chm/%E7%AC%AC%E4%B9%9D%E7%AB%A0  %E9%80%9A%E8%BE%BE%E4%BF%A1%E8%BD%AF%E4%BB%B6%E6%9C%80%E6%96%B0%E5%8A%A8%E6%80%81/9-5/2.png" \* MERGEFORMATINET </w:instrText>
      </w:r>
      <w:r>
        <w:fldChar w:fldCharType="separate"/>
      </w:r>
      <w:r>
        <w:drawing>
          <wp:inline distT="0" distB="0" distL="114300" distR="114300">
            <wp:extent cx="4248150" cy="3952875"/>
            <wp:effectExtent l="0" t="0" r="0" b="9525"/>
            <wp:docPr id="586" name="图片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图片 642"/>
                    <pic:cNvPicPr>
                      <a:picLocks noChangeAspect="1"/>
                    </pic:cNvPicPr>
                  </pic:nvPicPr>
                  <pic:blipFill>
                    <a:blip r:embed="rId1087" r:link="rId1088"/>
                    <a:stretch>
                      <a:fillRect/>
                    </a:stretch>
                  </pic:blipFill>
                  <pic:spPr>
                    <a:xfrm>
                      <a:off x="0" y="0"/>
                      <a:ext cx="4248150" cy="3952875"/>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当要使用这个指标模板看股时只需要在左下方的菜单中选中123 或者是右键——指标模板——123调出这个模板，那么就可以按照这个模板的指标组合查看股票信息。 </w:t>
      </w:r>
      <w:r>
        <w:fldChar w:fldCharType="begin"/>
      </w:r>
      <w:r>
        <w:instrText xml:space="preserve"> HYPERLINK "http://www.tdx.com.cn/" </w:instrText>
      </w:r>
      <w:r>
        <w:fldChar w:fldCharType="separate"/>
      </w:r>
      <w:r>
        <w:fldChar w:fldCharType="begin"/>
      </w:r>
      <w:r>
        <w:instrText xml:space="preserve"> INCLUDEPICTURE  "https://www.tdx.com.cn/products/helpfile/tdxw/chm/%E7%AC%AC%E4%B9%9D%E7%AB%A0  %E9%80%9A%E8%BE%BE%E4%BF%A1%E8%BD%AF%E4%BB%B6%E6%9C%80%E6%96%B0%E5%8A%A8%E6%80%81/9-5/3.png" \* MERGEFORMATINET </w:instrText>
      </w:r>
      <w:r>
        <w:fldChar w:fldCharType="separate"/>
      </w:r>
      <w:r>
        <w:fldChar w:fldCharType="begin"/>
      </w:r>
      <w:r>
        <w:instrText xml:space="preserve"> INCLUDEPICTURE  "https://www.tdx.com.cn/products/helpfile/tdxw/chm/%E7%AC%AC%E4%B9%9D%E7%AB%A0  %E9%80%9A%E8%BE%BE%E4%BF%A1%E8%BD%AF%E4%BB%B6%E6%9C%80%E6%96%B0%E5%8A%A8%E6%80%81/9-5/3.png" \* MERGEFORMATINET </w:instrText>
      </w:r>
      <w:r>
        <w:fldChar w:fldCharType="separate"/>
      </w:r>
      <w:r>
        <w:fldChar w:fldCharType="begin"/>
      </w:r>
      <w:r>
        <w:instrText xml:space="preserve"> INCLUDEPICTURE  "https://www.tdx.com.cn/products/helpfile/tdxw/chm/%E7%AC%AC%E4%B9%9D%E7%AB%A0  %E9%80%9A%E8%BE%BE%E4%BF%A1%E8%BD%AF%E4%BB%B6%E6%9C%80%E6%96%B0%E5%8A%A8%E6%80%81/9-5/3.png" \* MERGEFORMATINET </w:instrText>
      </w:r>
      <w:r>
        <w:fldChar w:fldCharType="separate"/>
      </w:r>
      <w:r>
        <w:fldChar w:fldCharType="begin"/>
      </w:r>
      <w:r>
        <w:instrText xml:space="preserve"> INCLUDEPICTURE  "https://www.tdx.com.cn/products/helpfile/tdxw/chm/%E7%AC%AC%E4%B9%9D%E7%AB%A0  %E9%80%9A%E8%BE%BE%E4%BF%A1%E8%BD%AF%E4%BB%B6%E6%9C%80%E6%96%B0%E5%8A%A8%E6%80%81/9-5/3.png" \* MERGEFORMATINET </w:instrText>
      </w:r>
      <w:r>
        <w:fldChar w:fldCharType="separate"/>
      </w:r>
      <w:r>
        <w:drawing>
          <wp:inline distT="0" distB="0" distL="114300" distR="114300">
            <wp:extent cx="3714750" cy="209550"/>
            <wp:effectExtent l="0" t="0" r="0" b="0"/>
            <wp:docPr id="587" name="图片 643">
              <a:hlinkClick xmlns:a="http://schemas.openxmlformats.org/drawingml/2006/main" r:id="rId6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图片 643"/>
                    <pic:cNvPicPr>
                      <a:picLocks noChangeAspect="1"/>
                    </pic:cNvPicPr>
                  </pic:nvPicPr>
                  <pic:blipFill>
                    <a:blip r:embed="rId1089" r:link="rId1090"/>
                    <a:stretch>
                      <a:fillRect/>
                    </a:stretch>
                  </pic:blipFill>
                  <pic:spPr>
                    <a:xfrm>
                      <a:off x="0" y="0"/>
                      <a:ext cx="3714750" cy="209550"/>
                    </a:xfrm>
                    <a:prstGeom prst="rect">
                      <a:avLst/>
                    </a:prstGeom>
                    <a:noFill/>
                    <a:ln>
                      <a:noFill/>
                    </a:ln>
                  </pic:spPr>
                </pic:pic>
              </a:graphicData>
            </a:graphic>
          </wp:inline>
        </w:drawing>
      </w:r>
      <w:r>
        <w:fldChar w:fldCharType="end"/>
      </w:r>
      <w:r>
        <w:fldChar w:fldCharType="end"/>
      </w:r>
      <w:r>
        <w:fldChar w:fldCharType="end"/>
      </w:r>
      <w:r>
        <w:fldChar w:fldCharType="end"/>
      </w:r>
      <w:r>
        <w:fldChar w:fldCharType="end"/>
      </w:r>
    </w:p>
    <w:p>
      <w:pPr>
        <w:pStyle w:val="34"/>
      </w:pPr>
      <w:r>
        <w:rPr>
          <w:rFonts w:hint="eastAsia"/>
        </w:rPr>
        <w:t>最后指标模板还可以绑定周期和证券： </w:t>
      </w:r>
    </w:p>
    <w:p>
      <w:pPr>
        <w:pStyle w:val="34"/>
      </w:pPr>
      <w:r>
        <w:rPr>
          <w:rFonts w:hint="eastAsia"/>
        </w:rPr>
        <w:t>绑定周期：另存为或者右键调出另存为指标模板的菜单绑定周期勾选（会绑定周期为进行绑定操作前的K线的指标组合和K线的周期），然后点“保存”。 </w:t>
      </w:r>
    </w:p>
    <w:p>
      <w:pPr>
        <w:pStyle w:val="34"/>
      </w:pPr>
      <w:r>
        <w:rPr>
          <w:rFonts w:hint="eastAsia"/>
        </w:rPr>
        <w:t>如果给已有的模板换周期或者绑定周期只需要勾选绑定周期，然后双击要被修改的模板，确认替换就好了。</w:t>
      </w:r>
    </w:p>
    <w:p>
      <w:pPr>
        <w:pStyle w:val="34"/>
      </w:pPr>
      <w:r>
        <w:rPr>
          <w:rFonts w:hint="eastAsia"/>
        </w:rPr>
        <w:t>绑定证券：想要绑定哪只证券就进入哪只证券的K线界面，然后选择要绑定的模板，再右键“指标模板”—“当前品种绑定到模板”然后在弹出的“当前品种绑定到指标模板”的菜单中选择模板，点击“确定”即可。然后再进入到此个股时就会用选定的那个指标模板显示K线和指标组合。如果绑定了周期，也会是绑定的周期显示。</w:t>
      </w:r>
    </w:p>
    <w:p>
      <w:pPr>
        <w:pStyle w:val="34"/>
      </w:pPr>
      <w:r>
        <w:rPr>
          <w:rFonts w:hint="eastAsia"/>
        </w:rPr>
        <w:t>注意：绑定证券后不是说选择那个被绑定证券的指标模板后就会跳到此股票，其他股票也是可以在这个指标模板的样式下显示的。但是当跳到此只股票时一定会是这个指标模板形式显示此股票的。</w:t>
      </w:r>
    </w:p>
    <w:p>
      <w:pPr>
        <w:pStyle w:val="34"/>
      </w:pPr>
      <w:r>
        <w:rPr>
          <w:rFonts w:hint="eastAsia"/>
        </w:rPr>
        <w:t>2、K线分析界面的区间统计功能： (强调右键拖出一段区间进行区间统计也可以进入到区间统计、形态匹配选股、所有形态匹配) </w:t>
      </w:r>
    </w:p>
    <w:p>
      <w:pPr>
        <w:pStyle w:val="34"/>
      </w:pPr>
      <w:r>
        <w:rPr>
          <w:rFonts w:hint="eastAsia"/>
        </w:rPr>
        <w:t>进入区间统计功能的方式在前面的“个股分析界面”篇已经介绍了，这里直接介绍这个菜单可以的操作。 </w:t>
      </w:r>
    </w:p>
    <w:p>
      <w:pPr>
        <w:pStyle w:val="34"/>
      </w:pPr>
      <w:r>
        <w:drawing>
          <wp:inline distT="0" distB="0" distL="114300" distR="114300">
            <wp:extent cx="2019300" cy="2876550"/>
            <wp:effectExtent l="0" t="0" r="0" b="0"/>
            <wp:docPr id="588" name="图片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图片 644"/>
                    <pic:cNvPicPr>
                      <a:picLocks noChangeAspect="1"/>
                    </pic:cNvPicPr>
                  </pic:nvPicPr>
                  <pic:blipFill>
                    <a:blip r:embed="rId1091"/>
                    <a:stretch>
                      <a:fillRect/>
                    </a:stretch>
                  </pic:blipFill>
                  <pic:spPr>
                    <a:xfrm>
                      <a:off x="0" y="0"/>
                      <a:ext cx="2019300" cy="2876550"/>
                    </a:xfrm>
                    <a:prstGeom prst="rect">
                      <a:avLst/>
                    </a:prstGeom>
                    <a:noFill/>
                    <a:ln>
                      <a:noFill/>
                    </a:ln>
                  </pic:spPr>
                </pic:pic>
              </a:graphicData>
            </a:graphic>
          </wp:inline>
        </w:drawing>
      </w:r>
    </w:p>
    <w:p>
      <w:pPr>
        <w:pStyle w:val="34"/>
      </w:pPr>
      <w:r>
        <w:rPr>
          <w:rFonts w:hint="eastAsia"/>
        </w:rPr>
        <w:t>3、形态匹配： </w:t>
      </w:r>
    </w:p>
    <w:p>
      <w:pPr>
        <w:pStyle w:val="34"/>
      </w:pPr>
      <w:r>
        <w:fldChar w:fldCharType="begin"/>
      </w:r>
      <w:r>
        <w:instrText xml:space="preserve"> HYPERLINK "http://www.tdx.com.cn/" </w:instrText>
      </w:r>
      <w:r>
        <w:fldChar w:fldCharType="separate"/>
      </w:r>
      <w:r>
        <w:fldChar w:fldCharType="begin"/>
      </w:r>
      <w:r>
        <w:instrText xml:space="preserve"> INCLUDEPICTURE  "https://www.tdx.com.cn/products/helpfile/tdxw/chm/%E7%AC%AC%E4%B9%9D%E7%AB%A0  %E9%80%9A%E8%BE%BE%E4%BF%A1%E8%BD%AF%E4%BB%B6%E6%9C%80%E6%96%B0%E5%8A%A8%E6%80%81/9-5/5.png" \* MERGEFORMATINET </w:instrText>
      </w:r>
      <w:r>
        <w:fldChar w:fldCharType="separate"/>
      </w:r>
      <w:r>
        <w:fldChar w:fldCharType="begin"/>
      </w:r>
      <w:r>
        <w:instrText xml:space="preserve"> INCLUDEPICTURE  "https://www.tdx.com.cn/products/helpfile/tdxw/chm/%E7%AC%AC%E4%B9%9D%E7%AB%A0  %E9%80%9A%E8%BE%BE%E4%BF%A1%E8%BD%AF%E4%BB%B6%E6%9C%80%E6%96%B0%E5%8A%A8%E6%80%81/9-5/5.png" \* MERGEFORMATINET </w:instrText>
      </w:r>
      <w:r>
        <w:fldChar w:fldCharType="separate"/>
      </w:r>
      <w:r>
        <w:fldChar w:fldCharType="begin"/>
      </w:r>
      <w:r>
        <w:instrText xml:space="preserve"> INCLUDEPICTURE  "https://www.tdx.com.cn/products/helpfile/tdxw/chm/%E7%AC%AC%E4%B9%9D%E7%AB%A0  %E9%80%9A%E8%BE%BE%E4%BF%A1%E8%BD%AF%E4%BB%B6%E6%9C%80%E6%96%B0%E5%8A%A8%E6%80%81/9-5/5.png" \* MERGEFORMATINET </w:instrText>
      </w:r>
      <w:r>
        <w:fldChar w:fldCharType="separate"/>
      </w:r>
      <w:r>
        <w:fldChar w:fldCharType="begin"/>
      </w:r>
      <w:r>
        <w:instrText xml:space="preserve"> INCLUDEPICTURE  "https://www.tdx.com.cn/products/helpfile/tdxw/chm/%E7%AC%AC%E4%B9%9D%E7%AB%A0  %E9%80%9A%E8%BE%BE%E4%BF%A1%E8%BD%AF%E4%BB%B6%E6%9C%80%E6%96%B0%E5%8A%A8%E6%80%81/9-5/5.png" \* MERGEFORMATINET </w:instrText>
      </w:r>
      <w:r>
        <w:fldChar w:fldCharType="separate"/>
      </w:r>
      <w:r>
        <w:drawing>
          <wp:inline distT="0" distB="0" distL="114300" distR="114300">
            <wp:extent cx="8086725" cy="3352800"/>
            <wp:effectExtent l="0" t="0" r="9525" b="0"/>
            <wp:docPr id="589" name="图片 645">
              <a:hlinkClick xmlns:a="http://schemas.openxmlformats.org/drawingml/2006/main" r:id="rId6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 name="图片 645"/>
                    <pic:cNvPicPr>
                      <a:picLocks noChangeAspect="1"/>
                    </pic:cNvPicPr>
                  </pic:nvPicPr>
                  <pic:blipFill>
                    <a:blip r:embed="rId1092" r:link="rId1093"/>
                    <a:stretch>
                      <a:fillRect/>
                    </a:stretch>
                  </pic:blipFill>
                  <pic:spPr>
                    <a:xfrm>
                      <a:off x="0" y="0"/>
                      <a:ext cx="8086725" cy="3352800"/>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fldChar w:fldCharType="end"/>
      </w:r>
      <w:r>
        <w:rPr>
          <w:rFonts w:hint="eastAsia"/>
        </w:rPr>
        <w:t>区间统计里设置的时间段为（20110523—20110624），选择的基准股票是中国国贸，那么选股就会选择符合左侧设置的股票。（选择的参考就是右侧的显示部分的形态趋势）。</w:t>
      </w:r>
    </w:p>
    <w:p>
      <w:pPr>
        <w:pStyle w:val="34"/>
      </w:pPr>
      <w:r>
        <w:rPr>
          <w:rFonts w:hint="eastAsia"/>
        </w:rPr>
        <w:t>4、阶段排行： </w:t>
      </w:r>
    </w:p>
    <w:p>
      <w:pPr>
        <w:pStyle w:val="34"/>
      </w:pPr>
      <w:r>
        <w:fldChar w:fldCharType="begin"/>
      </w:r>
      <w:r>
        <w:instrText xml:space="preserve"> HYPERLINK "http://www.tdx.com.cn/" </w:instrText>
      </w:r>
      <w:r>
        <w:fldChar w:fldCharType="separate"/>
      </w:r>
      <w:r>
        <w:fldChar w:fldCharType="begin"/>
      </w:r>
      <w:r>
        <w:instrText xml:space="preserve"> INCLUDEPICTURE  "https://www.tdx.com.cn/products/helpfile/tdxw/chm/%E7%AC%AC%E4%B9%9D%E7%AB%A0  %E9%80%9A%E8%BE%BE%E4%BF%A1%E8%BD%AF%E4%BB%B6%E6%9C%80%E6%96%B0%E5%8A%A8%E6%80%81/9-5/6.png" \* MERGEFORMATINET </w:instrText>
      </w:r>
      <w:r>
        <w:fldChar w:fldCharType="separate"/>
      </w:r>
      <w:r>
        <w:fldChar w:fldCharType="begin"/>
      </w:r>
      <w:r>
        <w:instrText xml:space="preserve"> INCLUDEPICTURE  "https://www.tdx.com.cn/products/helpfile/tdxw/chm/%E7%AC%AC%E4%B9%9D%E7%AB%A0  %E9%80%9A%E8%BE%BE%E4%BF%A1%E8%BD%AF%E4%BB%B6%E6%9C%80%E6%96%B0%E5%8A%A8%E6%80%81/9-5/6.png" \* MERGEFORMATINET </w:instrText>
      </w:r>
      <w:r>
        <w:fldChar w:fldCharType="separate"/>
      </w:r>
      <w:r>
        <w:fldChar w:fldCharType="begin"/>
      </w:r>
      <w:r>
        <w:instrText xml:space="preserve"> INCLUDEPICTURE  "https://www.tdx.com.cn/products/helpfile/tdxw/chm/%E7%AC%AC%E4%B9%9D%E7%AB%A0  %E9%80%9A%E8%BE%BE%E4%BF%A1%E8%BD%AF%E4%BB%B6%E6%9C%80%E6%96%B0%E5%8A%A8%E6%80%81/9-5/6.png" \* MERGEFORMATINET </w:instrText>
      </w:r>
      <w:r>
        <w:fldChar w:fldCharType="separate"/>
      </w:r>
      <w:r>
        <w:fldChar w:fldCharType="begin"/>
      </w:r>
      <w:r>
        <w:instrText xml:space="preserve"> INCLUDEPICTURE  "https://www.tdx.com.cn/products/helpfile/tdxw/chm/%E7%AC%AC%E4%B9%9D%E7%AB%A0  %E9%80%9A%E8%BE%BE%E4%BF%A1%E8%BD%AF%E4%BB%B6%E6%9C%80%E6%96%B0%E5%8A%A8%E6%80%81/9-5/6.png" \* MERGEFORMATINET </w:instrText>
      </w:r>
      <w:r>
        <w:fldChar w:fldCharType="separate"/>
      </w:r>
      <w:r>
        <w:drawing>
          <wp:inline distT="0" distB="0" distL="114300" distR="114300">
            <wp:extent cx="3590925" cy="2514600"/>
            <wp:effectExtent l="0" t="0" r="9525" b="0"/>
            <wp:docPr id="590" name="图片 646">
              <a:hlinkClick xmlns:a="http://schemas.openxmlformats.org/drawingml/2006/main" r:id="rId6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图片 646"/>
                    <pic:cNvPicPr>
                      <a:picLocks noChangeAspect="1"/>
                    </pic:cNvPicPr>
                  </pic:nvPicPr>
                  <pic:blipFill>
                    <a:blip r:embed="rId1094" r:link="rId1095"/>
                    <a:stretch>
                      <a:fillRect/>
                    </a:stretch>
                  </pic:blipFill>
                  <pic:spPr>
                    <a:xfrm>
                      <a:off x="0" y="0"/>
                      <a:ext cx="3590925" cy="2514600"/>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fldChar w:fldCharType="end"/>
      </w:r>
      <w:r>
        <w:rPr>
          <w:rFonts w:hint="eastAsia"/>
        </w:rPr>
        <w:t>和报价功能菜单下的阶段排行的功能是一样的，可以选择排行的指标，排行的证券范围，排行的时间段。</w:t>
      </w:r>
    </w:p>
    <w:p>
      <w:pPr>
        <w:pStyle w:val="34"/>
      </w:pPr>
      <w:r>
        <w:rPr>
          <w:rFonts w:hint="eastAsia"/>
        </w:rPr>
        <w:t>5、板块排行： </w:t>
      </w:r>
    </w:p>
    <w:p>
      <w:pPr>
        <w:pStyle w:val="34"/>
      </w:pPr>
      <w:r>
        <w:rPr>
          <w:rFonts w:hint="eastAsia"/>
        </w:rPr>
        <w:t>报价—热门板块分析 或者 .400都可以进入到热门板块分析。可以查看区间统计时间区键段股票板块的均涨幅、权涨幅、总成交、领涨股票、涨股比、市场比、换手率、市盈率（动）、主力净流入、10日净流入、60日净流入、总资金流入。</w:t>
      </w:r>
    </w:p>
    <w:p>
      <w:pPr>
        <w:pStyle w:val="34"/>
      </w:pPr>
      <w:r>
        <w:rPr>
          <w:rFonts w:hint="eastAsia"/>
        </w:rPr>
        <w:t>注： </w:t>
      </w:r>
    </w:p>
    <w:p>
      <w:pPr>
        <w:pStyle w:val="34"/>
      </w:pPr>
      <w:r>
        <w:rPr>
          <w:rFonts w:hint="eastAsia"/>
        </w:rPr>
        <w:t>市场比：此区间内该板块股票总成交金额占市场总成交金额的比例。 </w:t>
      </w:r>
    </w:p>
    <w:p>
      <w:pPr>
        <w:pStyle w:val="34"/>
      </w:pPr>
      <w:r>
        <w:rPr>
          <w:rFonts w:hint="eastAsia"/>
        </w:rPr>
        <w:t>换手率：板块股成交量占板块股总流通量。 </w:t>
      </w:r>
    </w:p>
    <w:p>
      <w:pPr>
        <w:pStyle w:val="34"/>
      </w:pPr>
      <w:r>
        <w:rPr>
          <w:rFonts w:hint="eastAsia"/>
        </w:rPr>
        <w:t>6、分析图界面的右键历史同步回忆功能：</w:t>
      </w:r>
    </w:p>
    <w:p>
      <w:pPr>
        <w:pStyle w:val="34"/>
      </w:pPr>
      <w:r>
        <w:rPr>
          <w:rFonts w:hint="eastAsia"/>
        </w:rPr>
        <w:t>（可以查看历史某天的分时区间统计或者历史的某时间段的分时区间统计（20天之内）） </w:t>
      </w:r>
    </w:p>
    <w:p>
      <w:pPr>
        <w:pStyle w:val="34"/>
      </w:pPr>
      <w:r>
        <w:rPr>
          <w:rFonts w:hint="eastAsia"/>
        </w:rPr>
        <w:t>分析图右键——历史同步回忆 或者 左右键出现十字光标时把光标移动到某天的K线上然后按“ENTER”键进入到历史同步回忆——历史分笔中支持每次成交的笔数。</w:t>
      </w:r>
    </w:p>
    <w:p>
      <w:pPr>
        <w:pStyle w:val="34"/>
      </w:pPr>
      <w:r>
        <w:fldChar w:fldCharType="begin"/>
      </w:r>
      <w:r>
        <w:instrText xml:space="preserve"> INCLUDEPICTURE  "https://www.tdx.com.cn/products/helpfile/tdxw/chm/%E7%AC%AC%E4%B9%9D%E7%AB%A0  %E9%80%9A%E8%BE%BE%E4%BF%A1%E8%BD%AF%E4%BB%B6%E6%9C%80%E6%96%B0%E5%8A%A8%E6%80%81/9-5/7.png" \* MERGEFORMATINET </w:instrText>
      </w:r>
      <w:r>
        <w:fldChar w:fldCharType="separate"/>
      </w:r>
      <w:r>
        <w:fldChar w:fldCharType="begin"/>
      </w:r>
      <w:r>
        <w:instrText xml:space="preserve"> INCLUDEPICTURE  "https://www.tdx.com.cn/products/helpfile/tdxw/chm/%E7%AC%AC%E4%B9%9D%E7%AB%A0  %E9%80%9A%E8%BE%BE%E4%BF%A1%E8%BD%AF%E4%BB%B6%E6%9C%80%E6%96%B0%E5%8A%A8%E6%80%81/9-5/7.png" \* MERGEFORMATINET </w:instrText>
      </w:r>
      <w:r>
        <w:fldChar w:fldCharType="separate"/>
      </w:r>
      <w:r>
        <w:fldChar w:fldCharType="begin"/>
      </w:r>
      <w:r>
        <w:instrText xml:space="preserve"> INCLUDEPICTURE  "https://www.tdx.com.cn/products/helpfile/tdxw/chm/%E7%AC%AC%E4%B9%9D%E7%AB%A0  %E9%80%9A%E8%BE%BE%E4%BF%A1%E8%BD%AF%E4%BB%B6%E6%9C%80%E6%96%B0%E5%8A%A8%E6%80%81/9-5/7.png" \* MERGEFORMATINET </w:instrText>
      </w:r>
      <w:r>
        <w:fldChar w:fldCharType="separate"/>
      </w:r>
      <w:r>
        <w:fldChar w:fldCharType="begin"/>
      </w:r>
      <w:r>
        <w:instrText xml:space="preserve"> INCLUDEPICTURE  "https://www.tdx.com.cn/products/helpfile/tdxw/chm/%E7%AC%AC%E4%B9%9D%E7%AB%A0  %E9%80%9A%E8%BE%BE%E4%BF%A1%E8%BD%AF%E4%BB%B6%E6%9C%80%E6%96%B0%E5%8A%A8%E6%80%81/9-5/7.png" \* MERGEFORMATINET </w:instrText>
      </w:r>
      <w:r>
        <w:fldChar w:fldCharType="separate"/>
      </w:r>
      <w:r>
        <w:drawing>
          <wp:inline distT="0" distB="0" distL="114300" distR="114300">
            <wp:extent cx="6391275" cy="4419600"/>
            <wp:effectExtent l="0" t="0" r="9525" b="0"/>
            <wp:docPr id="591" name="图片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图片 647"/>
                    <pic:cNvPicPr>
                      <a:picLocks noChangeAspect="1"/>
                    </pic:cNvPicPr>
                  </pic:nvPicPr>
                  <pic:blipFill>
                    <a:blip r:embed="rId1096" r:link="rId1097"/>
                    <a:stretch>
                      <a:fillRect/>
                    </a:stretch>
                  </pic:blipFill>
                  <pic:spPr>
                    <a:xfrm>
                      <a:off x="0" y="0"/>
                      <a:ext cx="6391275" cy="4419600"/>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下端有“操作”、“分笔”、“分钟”、“详盘”、“数值”五个菜单构成。分笔就是分时成交明细记录，分钟每分钟的成交明细记录，数值就是个股相关的行情信息。</w:t>
      </w:r>
    </w:p>
    <w:p>
      <w:pPr>
        <w:pStyle w:val="34"/>
      </w:pPr>
      <w:r>
        <w:rPr>
          <w:rFonts w:hint="eastAsia"/>
        </w:rPr>
        <w:t>其中操作菜单的子菜单如下： (可以方便快捷地经过此菜单进入历史行情指标排序)</w:t>
      </w:r>
    </w:p>
    <w:p>
      <w:pPr>
        <w:pStyle w:val="34"/>
      </w:pPr>
      <w:r>
        <w:fldChar w:fldCharType="begin"/>
      </w:r>
      <w:r>
        <w:instrText xml:space="preserve"> INCLUDEPICTURE  "https://www.tdx.com.cn/products/helpfile/tdxw/chm/%E7%AC%AC%E4%B9%9D%E7%AB%A0  %E9%80%9A%E8%BE%BE%E4%BF%A1%E8%BD%AF%E4%BB%B6%E6%9C%80%E6%96%B0%E5%8A%A8%E6%80%81/9-5/8.png" \* MERGEFORMATINET </w:instrText>
      </w:r>
      <w:r>
        <w:fldChar w:fldCharType="separate"/>
      </w:r>
      <w:r>
        <w:fldChar w:fldCharType="begin"/>
      </w:r>
      <w:r>
        <w:instrText xml:space="preserve"> INCLUDEPICTURE  "https://www.tdx.com.cn/products/helpfile/tdxw/chm/%E7%AC%AC%E4%B9%9D%E7%AB%A0  %E9%80%9A%E8%BE%BE%E4%BF%A1%E8%BD%AF%E4%BB%B6%E6%9C%80%E6%96%B0%E5%8A%A8%E6%80%81/9-5/8.png" \* MERGEFORMATINET </w:instrText>
      </w:r>
      <w:r>
        <w:fldChar w:fldCharType="separate"/>
      </w:r>
      <w:r>
        <w:fldChar w:fldCharType="begin"/>
      </w:r>
      <w:r>
        <w:instrText xml:space="preserve"> INCLUDEPICTURE  "https://www.tdx.com.cn/products/helpfile/tdxw/chm/%E7%AC%AC%E4%B9%9D%E7%AB%A0  %E9%80%9A%E8%BE%BE%E4%BF%A1%E8%BD%AF%E4%BB%B6%E6%9C%80%E6%96%B0%E5%8A%A8%E6%80%81/9-5/8.png" \* MERGEFORMATINET </w:instrText>
      </w:r>
      <w:r>
        <w:fldChar w:fldCharType="separate"/>
      </w:r>
      <w:r>
        <w:fldChar w:fldCharType="begin"/>
      </w:r>
      <w:r>
        <w:instrText xml:space="preserve"> INCLUDEPICTURE  "https://www.tdx.com.cn/products/helpfile/tdxw/chm/%E7%AC%AC%E4%B9%9D%E7%AB%A0  %E9%80%9A%E8%BE%BE%E4%BF%A1%E8%BD%AF%E4%BB%B6%E6%9C%80%E6%96%B0%E5%8A%A8%E6%80%81/9-5/8.png" \* MERGEFORMATINET </w:instrText>
      </w:r>
      <w:r>
        <w:fldChar w:fldCharType="separate"/>
      </w:r>
      <w:r>
        <w:drawing>
          <wp:inline distT="0" distB="0" distL="114300" distR="114300">
            <wp:extent cx="1981200" cy="2000250"/>
            <wp:effectExtent l="0" t="0" r="0" b="0"/>
            <wp:docPr id="592" name="图片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 name="图片 648"/>
                    <pic:cNvPicPr>
                      <a:picLocks noChangeAspect="1"/>
                    </pic:cNvPicPr>
                  </pic:nvPicPr>
                  <pic:blipFill>
                    <a:blip r:embed="rId1098" r:link="rId1099"/>
                    <a:stretch>
                      <a:fillRect/>
                    </a:stretch>
                  </pic:blipFill>
                  <pic:spPr>
                    <a:xfrm>
                      <a:off x="0" y="0"/>
                      <a:ext cx="1981200" cy="2000250"/>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7分时区间统计：包括统计信息、大单成交、价量分布等信息。</w:t>
      </w:r>
    </w:p>
    <w:p>
      <w:pPr>
        <w:pStyle w:val="34"/>
      </w:pPr>
      <w:r>
        <w:fldChar w:fldCharType="begin"/>
      </w:r>
      <w:r>
        <w:instrText xml:space="preserve"> INCLUDEPICTURE  "https://www.tdx.com.cn/products/helpfile/tdxw/chm/%E7%AC%AC%E4%B9%9D%E7%AB%A0  %E9%80%9A%E8%BE%BE%E4%BF%A1%E8%BD%AF%E4%BB%B6%E6%9C%80%E6%96%B0%E5%8A%A8%E6%80%81/9-5/9.png" \* MERGEFORMATINET </w:instrText>
      </w:r>
      <w:r>
        <w:fldChar w:fldCharType="separate"/>
      </w:r>
      <w:r>
        <w:fldChar w:fldCharType="begin"/>
      </w:r>
      <w:r>
        <w:instrText xml:space="preserve"> INCLUDEPICTURE  "https://www.tdx.com.cn/products/helpfile/tdxw/chm/%E7%AC%AC%E4%B9%9D%E7%AB%A0  %E9%80%9A%E8%BE%BE%E4%BF%A1%E8%BD%AF%E4%BB%B6%E6%9C%80%E6%96%B0%E5%8A%A8%E6%80%81/9-5/9.png" \* MERGEFORMATINET </w:instrText>
      </w:r>
      <w:r>
        <w:fldChar w:fldCharType="separate"/>
      </w:r>
      <w:r>
        <w:fldChar w:fldCharType="begin"/>
      </w:r>
      <w:r>
        <w:instrText xml:space="preserve"> INCLUDEPICTURE  "https://www.tdx.com.cn/products/helpfile/tdxw/chm/%E7%AC%AC%E4%B9%9D%E7%AB%A0  %E9%80%9A%E8%BE%BE%E4%BF%A1%E8%BD%AF%E4%BB%B6%E6%9C%80%E6%96%B0%E5%8A%A8%E6%80%81/9-5/9.png" \* MERGEFORMATINET </w:instrText>
      </w:r>
      <w:r>
        <w:fldChar w:fldCharType="separate"/>
      </w:r>
      <w:r>
        <w:fldChar w:fldCharType="begin"/>
      </w:r>
      <w:r>
        <w:instrText xml:space="preserve"> INCLUDEPICTURE  "https://www.tdx.com.cn/products/helpfile/tdxw/chm/%E7%AC%AC%E4%B9%9D%E7%AB%A0  %E9%80%9A%E8%BE%BE%E4%BF%A1%E8%BD%AF%E4%BB%B6%E6%9C%80%E6%96%B0%E5%8A%A8%E6%80%81/9-5/9.png" \* MERGEFORMATINET </w:instrText>
      </w:r>
      <w:r>
        <w:fldChar w:fldCharType="separate"/>
      </w:r>
      <w:r>
        <w:drawing>
          <wp:inline distT="0" distB="0" distL="114300" distR="114300">
            <wp:extent cx="3448050" cy="3724275"/>
            <wp:effectExtent l="0" t="0" r="0" b="9525"/>
            <wp:docPr id="593" name="图片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 name="图片 649"/>
                    <pic:cNvPicPr>
                      <a:picLocks noChangeAspect="1"/>
                    </pic:cNvPicPr>
                  </pic:nvPicPr>
                  <pic:blipFill>
                    <a:blip r:embed="rId1100" r:link="rId1101"/>
                    <a:stretch>
                      <a:fillRect/>
                    </a:stretch>
                  </pic:blipFill>
                  <pic:spPr>
                    <a:xfrm>
                      <a:off x="0" y="0"/>
                      <a:ext cx="3448050" cy="3724275"/>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如果再选择多日分时图的“最近3日”，那么分时区间统计图又如下：显示得就是最近三日的信息统计情况。</w:t>
      </w:r>
    </w:p>
    <w:p>
      <w:pPr>
        <w:pStyle w:val="34"/>
      </w:pPr>
      <w:r>
        <w:fldChar w:fldCharType="begin"/>
      </w:r>
      <w:r>
        <w:instrText xml:space="preserve"> INCLUDEPICTURE  "https://www.tdx.com.cn/products/helpfile/tdxw/chm/%E7%AC%AC%E4%B9%9D%E7%AB%A0  %E9%80%9A%E8%BE%BE%E4%BF%A1%E8%BD%AF%E4%BB%B6%E6%9C%80%E6%96%B0%E5%8A%A8%E6%80%81/9-5/10.png" \* MERGEFORMATINET </w:instrText>
      </w:r>
      <w:r>
        <w:fldChar w:fldCharType="separate"/>
      </w:r>
      <w:r>
        <w:fldChar w:fldCharType="begin"/>
      </w:r>
      <w:r>
        <w:instrText xml:space="preserve"> INCLUDEPICTURE  "https://www.tdx.com.cn/products/helpfile/tdxw/chm/%E7%AC%AC%E4%B9%9D%E7%AB%A0  %E9%80%9A%E8%BE%BE%E4%BF%A1%E8%BD%AF%E4%BB%B6%E6%9C%80%E6%96%B0%E5%8A%A8%E6%80%81/9-5/10.png" \* MERGEFORMATINET </w:instrText>
      </w:r>
      <w:r>
        <w:fldChar w:fldCharType="separate"/>
      </w:r>
      <w:r>
        <w:fldChar w:fldCharType="begin"/>
      </w:r>
      <w:r>
        <w:instrText xml:space="preserve"> INCLUDEPICTURE  "https://www.tdx.com.cn/products/helpfile/tdxw/chm/%E7%AC%AC%E4%B9%9D%E7%AB%A0  %E9%80%9A%E8%BE%BE%E4%BF%A1%E8%BD%AF%E4%BB%B6%E6%9C%80%E6%96%B0%E5%8A%A8%E6%80%81/9-5/10.png" \* MERGEFORMATINET </w:instrText>
      </w:r>
      <w:r>
        <w:fldChar w:fldCharType="separate"/>
      </w:r>
      <w:r>
        <w:fldChar w:fldCharType="begin"/>
      </w:r>
      <w:r>
        <w:instrText xml:space="preserve"> INCLUDEPICTURE  "https://www.tdx.com.cn/products/helpfile/tdxw/chm/%E7%AC%AC%E4%B9%9D%E7%AB%A0  %E9%80%9A%E8%BE%BE%E4%BF%A1%E8%BD%AF%E4%BB%B6%E6%9C%80%E6%96%B0%E5%8A%A8%E6%80%81/9-5/10.png" \* MERGEFORMATINET </w:instrText>
      </w:r>
      <w:r>
        <w:fldChar w:fldCharType="separate"/>
      </w:r>
      <w:r>
        <w:drawing>
          <wp:inline distT="0" distB="0" distL="114300" distR="114300">
            <wp:extent cx="3448050" cy="3724275"/>
            <wp:effectExtent l="0" t="0" r="0" b="9525"/>
            <wp:docPr id="594" name="图片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图片 650"/>
                    <pic:cNvPicPr>
                      <a:picLocks noChangeAspect="1"/>
                    </pic:cNvPicPr>
                  </pic:nvPicPr>
                  <pic:blipFill>
                    <a:blip r:embed="rId1102" r:link="rId1103"/>
                    <a:stretch>
                      <a:fillRect/>
                    </a:stretch>
                  </pic:blipFill>
                  <pic:spPr>
                    <a:xfrm>
                      <a:off x="0" y="0"/>
                      <a:ext cx="3448050" cy="3724275"/>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8切换分时指标：（调出分时指标） </w:t>
      </w:r>
    </w:p>
    <w:p>
      <w:pPr>
        <w:pStyle w:val="34"/>
      </w:pPr>
      <w:r>
        <w:rPr>
          <w:rFonts w:hint="eastAsia"/>
        </w:rPr>
        <w:t>历史同步回忆的下方会多出一个制表窗口。下方图形比上方的图形多了一个MACD指标窗口。</w:t>
      </w:r>
    </w:p>
    <w:p>
      <w:pPr>
        <w:pStyle w:val="34"/>
      </w:pPr>
      <w:r>
        <w:fldChar w:fldCharType="begin"/>
      </w:r>
      <w:r>
        <w:instrText xml:space="preserve"> INCLUDEPICTURE  "https://www.tdx.com.cn/products/helpfile/tdxw/chm/%E7%AC%AC%E4%B9%9D%E7%AB%A0  %E9%80%9A%E8%BE%BE%E4%BF%A1%E8%BD%AF%E4%BB%B6%E6%9C%80%E6%96%B0%E5%8A%A8%E6%80%81/9-5/11.png" \* MERGEFORMATINET </w:instrText>
      </w:r>
      <w:r>
        <w:fldChar w:fldCharType="separate"/>
      </w:r>
      <w:r>
        <w:fldChar w:fldCharType="begin"/>
      </w:r>
      <w:r>
        <w:instrText xml:space="preserve"> INCLUDEPICTURE  "https://www.tdx.com.cn/products/helpfile/tdxw/chm/%E7%AC%AC%E4%B9%9D%E7%AB%A0  %E9%80%9A%E8%BE%BE%E4%BF%A1%E8%BD%AF%E4%BB%B6%E6%9C%80%E6%96%B0%E5%8A%A8%E6%80%81/9-5/11.png" \* MERGEFORMATINET </w:instrText>
      </w:r>
      <w:r>
        <w:fldChar w:fldCharType="separate"/>
      </w:r>
      <w:r>
        <w:fldChar w:fldCharType="begin"/>
      </w:r>
      <w:r>
        <w:instrText xml:space="preserve"> INCLUDEPICTURE  "https://www.tdx.com.cn/products/helpfile/tdxw/chm/%E7%AC%AC%E4%B9%9D%E7%AB%A0  %E9%80%9A%E8%BE%BE%E4%BF%A1%E8%BD%AF%E4%BB%B6%E6%9C%80%E6%96%B0%E5%8A%A8%E6%80%81/9-5/11.png" \* MERGEFORMATINET </w:instrText>
      </w:r>
      <w:r>
        <w:fldChar w:fldCharType="separate"/>
      </w:r>
      <w:r>
        <w:fldChar w:fldCharType="begin"/>
      </w:r>
      <w:r>
        <w:instrText xml:space="preserve"> INCLUDEPICTURE  "https://www.tdx.com.cn/products/helpfile/tdxw/chm/%E7%AC%AC%E4%B9%9D%E7%AB%A0  %E9%80%9A%E8%BE%BE%E4%BF%A1%E8%BD%AF%E4%BB%B6%E6%9C%80%E6%96%B0%E5%8A%A8%E6%80%81/9-5/11.png" \* MERGEFORMATINET </w:instrText>
      </w:r>
      <w:r>
        <w:fldChar w:fldCharType="separate"/>
      </w:r>
      <w:r>
        <w:drawing>
          <wp:inline distT="0" distB="0" distL="114300" distR="114300">
            <wp:extent cx="8277225" cy="5629275"/>
            <wp:effectExtent l="0" t="0" r="9525" b="9525"/>
            <wp:docPr id="595" name="图片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 name="图片 651"/>
                    <pic:cNvPicPr>
                      <a:picLocks noChangeAspect="1"/>
                    </pic:cNvPicPr>
                  </pic:nvPicPr>
                  <pic:blipFill>
                    <a:blip r:embed="rId1104" r:link="rId1105"/>
                    <a:stretch>
                      <a:fillRect/>
                    </a:stretch>
                  </pic:blipFill>
                  <pic:spPr>
                    <a:xfrm>
                      <a:off x="0" y="0"/>
                      <a:ext cx="8277225" cy="5629275"/>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fldChar w:fldCharType="begin"/>
      </w:r>
      <w:r>
        <w:instrText xml:space="preserve"> INCLUDEPICTURE  "https://www.tdx.com.cn/products/helpfile/tdxw/chm/%E7%AC%AC%E4%B9%9D%E7%AB%A0  %E9%80%9A%E8%BE%BE%E4%BF%A1%E8%BD%AF%E4%BB%B6%E6%9C%80%E6%96%B0%E5%8A%A8%E6%80%81/9-5/12.png" \* MERGEFORMATINET </w:instrText>
      </w:r>
      <w:r>
        <w:fldChar w:fldCharType="separate"/>
      </w:r>
      <w:r>
        <w:fldChar w:fldCharType="begin"/>
      </w:r>
      <w:r>
        <w:instrText xml:space="preserve"> INCLUDEPICTURE  "https://www.tdx.com.cn/products/helpfile/tdxw/chm/%E7%AC%AC%E4%B9%9D%E7%AB%A0  %E9%80%9A%E8%BE%BE%E4%BF%A1%E8%BD%AF%E4%BB%B6%E6%9C%80%E6%96%B0%E5%8A%A8%E6%80%81/9-5/12.png" \* MERGEFORMATINET </w:instrText>
      </w:r>
      <w:r>
        <w:fldChar w:fldCharType="separate"/>
      </w:r>
      <w:r>
        <w:fldChar w:fldCharType="begin"/>
      </w:r>
      <w:r>
        <w:instrText xml:space="preserve"> INCLUDEPICTURE  "https://www.tdx.com.cn/products/helpfile/tdxw/chm/%E7%AC%AC%E4%B9%9D%E7%AB%A0  %E9%80%9A%E8%BE%BE%E4%BF%A1%E8%BD%AF%E4%BB%B6%E6%9C%80%E6%96%B0%E5%8A%A8%E6%80%81/9-5/12.png" \* MERGEFORMATINET </w:instrText>
      </w:r>
      <w:r>
        <w:fldChar w:fldCharType="separate"/>
      </w:r>
      <w:r>
        <w:fldChar w:fldCharType="begin"/>
      </w:r>
      <w:r>
        <w:instrText xml:space="preserve"> INCLUDEPICTURE  "https://www.tdx.com.cn/products/helpfile/tdxw/chm/%E7%AC%AC%E4%B9%9D%E7%AB%A0  %E9%80%9A%E8%BE%BE%E4%BF%A1%E8%BD%AF%E4%BB%B6%E6%9C%80%E6%96%B0%E5%8A%A8%E6%80%81/9-5/12.png" \* MERGEFORMATINET </w:instrText>
      </w:r>
      <w:r>
        <w:fldChar w:fldCharType="separate"/>
      </w:r>
      <w:r>
        <w:drawing>
          <wp:inline distT="0" distB="0" distL="114300" distR="114300">
            <wp:extent cx="8277225" cy="5629275"/>
            <wp:effectExtent l="0" t="0" r="9525" b="9525"/>
            <wp:docPr id="596" name="图片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图片 652"/>
                    <pic:cNvPicPr>
                      <a:picLocks noChangeAspect="1"/>
                    </pic:cNvPicPr>
                  </pic:nvPicPr>
                  <pic:blipFill>
                    <a:blip r:embed="rId1106" r:link="rId1107"/>
                    <a:stretch>
                      <a:fillRect/>
                    </a:stretch>
                  </pic:blipFill>
                  <pic:spPr>
                    <a:xfrm>
                      <a:off x="0" y="0"/>
                      <a:ext cx="8277225" cy="5629275"/>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鼠标放在MACD指标窗口，右键显示分时指标菜单（选择不同的分时指标）。</w:t>
      </w:r>
    </w:p>
    <w:p>
      <w:pPr>
        <w:pStyle w:val="34"/>
      </w:pPr>
      <w:r>
        <w:fldChar w:fldCharType="begin"/>
      </w:r>
      <w:r>
        <w:instrText xml:space="preserve"> INCLUDEPICTURE  "https://www.tdx.com.cn/products/helpfile/tdxw/chm/%E7%AC%AC%E4%B9%9D%E7%AB%A0  %E9%80%9A%E8%BE%BE%E4%BF%A1%E8%BD%AF%E4%BB%B6%E6%9C%80%E6%96%B0%E5%8A%A8%E6%80%81/9-5/13.png" \* MERGEFORMATINET </w:instrText>
      </w:r>
      <w:r>
        <w:fldChar w:fldCharType="separate"/>
      </w:r>
      <w:r>
        <w:fldChar w:fldCharType="begin"/>
      </w:r>
      <w:r>
        <w:instrText xml:space="preserve"> INCLUDEPICTURE  "https://www.tdx.com.cn/products/helpfile/tdxw/chm/%E7%AC%AC%E4%B9%9D%E7%AB%A0  %E9%80%9A%E8%BE%BE%E4%BF%A1%E8%BD%AF%E4%BB%B6%E6%9C%80%E6%96%B0%E5%8A%A8%E6%80%81/9-5/13.png" \* MERGEFORMATINET </w:instrText>
      </w:r>
      <w:r>
        <w:fldChar w:fldCharType="separate"/>
      </w:r>
      <w:r>
        <w:fldChar w:fldCharType="begin"/>
      </w:r>
      <w:r>
        <w:instrText xml:space="preserve"> INCLUDEPICTURE  "https://www.tdx.com.cn/products/helpfile/tdxw/chm/%E7%AC%AC%E4%B9%9D%E7%AB%A0  %E9%80%9A%E8%BE%BE%E4%BF%A1%E8%BD%AF%E4%BB%B6%E6%9C%80%E6%96%B0%E5%8A%A8%E6%80%81/9-5/13.png" \* MERGEFORMATINET </w:instrText>
      </w:r>
      <w:r>
        <w:fldChar w:fldCharType="separate"/>
      </w:r>
      <w:r>
        <w:fldChar w:fldCharType="begin"/>
      </w:r>
      <w:r>
        <w:instrText xml:space="preserve"> INCLUDEPICTURE  "https://www.tdx.com.cn/products/helpfile/tdxw/chm/%E7%AC%AC%E4%B9%9D%E7%AB%A0  %E9%80%9A%E8%BE%BE%E4%BF%A1%E8%BD%AF%E4%BB%B6%E6%9C%80%E6%96%B0%E5%8A%A8%E6%80%81/9-5/13.png" \* MERGEFORMATINET </w:instrText>
      </w:r>
      <w:r>
        <w:fldChar w:fldCharType="separate"/>
      </w:r>
      <w:r>
        <w:drawing>
          <wp:inline distT="0" distB="0" distL="114300" distR="114300">
            <wp:extent cx="2466975" cy="4238625"/>
            <wp:effectExtent l="0" t="0" r="9525" b="9525"/>
            <wp:docPr id="597" name="图片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 name="图片 653"/>
                    <pic:cNvPicPr>
                      <a:picLocks noChangeAspect="1"/>
                    </pic:cNvPicPr>
                  </pic:nvPicPr>
                  <pic:blipFill>
                    <a:blip r:embed="rId1108" r:link="rId1109"/>
                    <a:stretch>
                      <a:fillRect/>
                    </a:stretch>
                  </pic:blipFill>
                  <pic:spPr>
                    <a:xfrm>
                      <a:off x="0" y="0"/>
                      <a:ext cx="2466975" cy="4238625"/>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9明细数据导出：</w:t>
      </w:r>
    </w:p>
    <w:p>
      <w:pPr>
        <w:pStyle w:val="34"/>
      </w:pPr>
      <w:r>
        <w:rPr>
          <w:rFonts w:hint="eastAsia"/>
        </w:rPr>
        <w:t>必须要在这天的分时成交结束（当天数据的话非交易时间不能导出）；而且右边的菜单停留在“分笔”才会导出成功。</w:t>
      </w:r>
      <w:r>
        <w:fldChar w:fldCharType="begin"/>
      </w:r>
      <w:r>
        <w:instrText xml:space="preserve"> INCLUDEPICTURE  "https://www.tdx.com.cn/products/helpfile/tdxw/chm/%E7%AC%AC%E4%B9%9D%E7%AB%A0  %E9%80%9A%E8%BE%BE%E4%BF%A1%E8%BD%AF%E4%BB%B6%E6%9C%80%E6%96%B0%E5%8A%A8%E6%80%81/9-5/14.png" \* MERGEFORMATINET </w:instrText>
      </w:r>
      <w:r>
        <w:fldChar w:fldCharType="separate"/>
      </w:r>
      <w:r>
        <w:fldChar w:fldCharType="begin"/>
      </w:r>
      <w:r>
        <w:instrText xml:space="preserve"> INCLUDEPICTURE  "https://www.tdx.com.cn/products/helpfile/tdxw/chm/%E7%AC%AC%E4%B9%9D%E7%AB%A0  %E9%80%9A%E8%BE%BE%E4%BF%A1%E8%BD%AF%E4%BB%B6%E6%9C%80%E6%96%B0%E5%8A%A8%E6%80%81/9-5/14.png" \* MERGEFORMATINET </w:instrText>
      </w:r>
      <w:r>
        <w:fldChar w:fldCharType="separate"/>
      </w:r>
      <w:r>
        <w:fldChar w:fldCharType="begin"/>
      </w:r>
      <w:r>
        <w:instrText xml:space="preserve"> INCLUDEPICTURE  "https://www.tdx.com.cn/products/helpfile/tdxw/chm/%E7%AC%AC%E4%B9%9D%E7%AB%A0  %E9%80%9A%E8%BE%BE%E4%BF%A1%E8%BD%AF%E4%BB%B6%E6%9C%80%E6%96%B0%E5%8A%A8%E6%80%81/9-5/14.png" \* MERGEFORMATINET </w:instrText>
      </w:r>
      <w:r>
        <w:fldChar w:fldCharType="separate"/>
      </w:r>
      <w:r>
        <w:fldChar w:fldCharType="begin"/>
      </w:r>
      <w:r>
        <w:instrText xml:space="preserve"> INCLUDEPICTURE  "https://www.tdx.com.cn/products/helpfile/tdxw/chm/%E7%AC%AC%E4%B9%9D%E7%AB%A0  %E9%80%9A%E8%BE%BE%E4%BF%A1%E8%BD%AF%E4%BB%B6%E6%9C%80%E6%96%B0%E5%8A%A8%E6%80%81/9-5/14.png" \* MERGEFORMATINET </w:instrText>
      </w:r>
      <w:r>
        <w:fldChar w:fldCharType="separate"/>
      </w:r>
      <w:r>
        <w:drawing>
          <wp:inline distT="0" distB="0" distL="114300" distR="114300">
            <wp:extent cx="1895475" cy="200025"/>
            <wp:effectExtent l="0" t="0" r="9525" b="9525"/>
            <wp:docPr id="598" name="图片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 name="图片 654"/>
                    <pic:cNvPicPr>
                      <a:picLocks noChangeAspect="1"/>
                    </pic:cNvPicPr>
                  </pic:nvPicPr>
                  <pic:blipFill>
                    <a:blip r:embed="rId1110" r:link="rId1111"/>
                    <a:stretch>
                      <a:fillRect/>
                    </a:stretch>
                  </pic:blipFill>
                  <pic:spPr>
                    <a:xfrm>
                      <a:off x="0" y="0"/>
                      <a:ext cx="1895475" cy="200025"/>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导出明细数据。</w:t>
      </w:r>
    </w:p>
    <w:p>
      <w:pPr>
        <w:pStyle w:val="34"/>
      </w:pPr>
      <w:r>
        <w:rPr>
          <w:rFonts w:hint="eastAsia"/>
        </w:rPr>
        <w:t>10分时图界面的右键条件预警设置功能：</w:t>
      </w:r>
    </w:p>
    <w:p>
      <w:pPr>
        <w:pStyle w:val="34"/>
      </w:pPr>
      <w:r>
        <w:rPr>
          <w:rFonts w:hint="eastAsia"/>
        </w:rPr>
        <w:t>方式一：分时图中右键——条件预警设置 </w:t>
      </w:r>
    </w:p>
    <w:p>
      <w:pPr>
        <w:pStyle w:val="34"/>
      </w:pPr>
      <w:r>
        <w:rPr>
          <w:rFonts w:hint="eastAsia"/>
        </w:rPr>
        <w:t>方式二：CTRL+Y</w:t>
      </w:r>
    </w:p>
    <w:p>
      <w:pPr>
        <w:pStyle w:val="34"/>
      </w:pPr>
      <w:r>
        <w:rPr>
          <w:rFonts w:hint="eastAsia"/>
        </w:rPr>
        <w:t>条件预警功能的使用： </w:t>
      </w:r>
    </w:p>
    <w:p>
      <w:pPr>
        <w:pStyle w:val="34"/>
      </w:pPr>
      <w:r>
        <w:fldChar w:fldCharType="begin"/>
      </w:r>
      <w:r>
        <w:instrText xml:space="preserve"> INCLUDEPICTURE  "https://www.tdx.com.cn/products/helpfile/tdxw/chm/%E7%AC%AC%E4%B9%9D%E7%AB%A0  %E9%80%9A%E8%BE%BE%E4%BF%A1%E8%BD%AF%E4%BB%B6%E6%9C%80%E6%96%B0%E5%8A%A8%E6%80%81/9-5/15.png" \* MERGEFORMATINET </w:instrText>
      </w:r>
      <w:r>
        <w:fldChar w:fldCharType="separate"/>
      </w:r>
      <w:r>
        <w:fldChar w:fldCharType="begin"/>
      </w:r>
      <w:r>
        <w:instrText xml:space="preserve"> INCLUDEPICTURE  "https://www.tdx.com.cn/products/helpfile/tdxw/chm/%E7%AC%AC%E4%B9%9D%E7%AB%A0  %E9%80%9A%E8%BE%BE%E4%BF%A1%E8%BD%AF%E4%BB%B6%E6%9C%80%E6%96%B0%E5%8A%A8%E6%80%81/9-5/15.png" \* MERGEFORMATINET </w:instrText>
      </w:r>
      <w:r>
        <w:fldChar w:fldCharType="separate"/>
      </w:r>
      <w:r>
        <w:fldChar w:fldCharType="begin"/>
      </w:r>
      <w:r>
        <w:instrText xml:space="preserve"> INCLUDEPICTURE  "https://www.tdx.com.cn/products/helpfile/tdxw/chm/%E7%AC%AC%E4%B9%9D%E7%AB%A0  %E9%80%9A%E8%BE%BE%E4%BF%A1%E8%BD%AF%E4%BB%B6%E6%9C%80%E6%96%B0%E5%8A%A8%E6%80%81/9-5/15.png" \* MERGEFORMATINET </w:instrText>
      </w:r>
      <w:r>
        <w:fldChar w:fldCharType="separate"/>
      </w:r>
      <w:r>
        <w:fldChar w:fldCharType="begin"/>
      </w:r>
      <w:r>
        <w:instrText xml:space="preserve"> INCLUDEPICTURE  "https://www.tdx.com.cn/products/helpfile/tdxw/chm/%E7%AC%AC%E4%B9%9D%E7%AB%A0  %E9%80%9A%E8%BE%BE%E4%BF%A1%E8%BD%AF%E4%BB%B6%E6%9C%80%E6%96%B0%E5%8A%A8%E6%80%81/9-5/15.png" \* MERGEFORMATINET </w:instrText>
      </w:r>
      <w:r>
        <w:fldChar w:fldCharType="separate"/>
      </w:r>
      <w:r>
        <w:drawing>
          <wp:inline distT="0" distB="0" distL="114300" distR="114300">
            <wp:extent cx="4057650" cy="2752725"/>
            <wp:effectExtent l="0" t="0" r="0" b="9525"/>
            <wp:docPr id="599" name="图片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 name="图片 655"/>
                    <pic:cNvPicPr>
                      <a:picLocks noChangeAspect="1"/>
                    </pic:cNvPicPr>
                  </pic:nvPicPr>
                  <pic:blipFill>
                    <a:blip r:embed="rId1112" r:link="rId1113"/>
                    <a:stretch>
                      <a:fillRect/>
                    </a:stretch>
                  </pic:blipFill>
                  <pic:spPr>
                    <a:xfrm>
                      <a:off x="0" y="0"/>
                      <a:ext cx="4057650" cy="2752725"/>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条件预警进入分时界面当前的股票的预警设置，可以设置上破价、下破价、均线的金叉死叉提醒、换手率的定点提醒、如果是ETF基金可以设置折溢价率的提醒。这几天设置应该归属于预警品种。点击“所有设置”进入 </w:t>
      </w:r>
    </w:p>
    <w:p>
      <w:pPr>
        <w:pStyle w:val="34"/>
      </w:pPr>
      <w:r>
        <w:fldChar w:fldCharType="begin"/>
      </w:r>
      <w:r>
        <w:instrText xml:space="preserve"> INCLUDEPICTURE  "https://www.tdx.com.cn/products/helpfile/tdxw/chm/%E7%AC%AC%E4%B9%9D%E7%AB%A0  %E9%80%9A%E8%BE%BE%E4%BF%A1%E8%BD%AF%E4%BB%B6%E6%9C%80%E6%96%B0%E5%8A%A8%E6%80%81/9-5/16.png" \* MERGEFORMATINET </w:instrText>
      </w:r>
      <w:r>
        <w:fldChar w:fldCharType="separate"/>
      </w:r>
      <w:r>
        <w:fldChar w:fldCharType="begin"/>
      </w:r>
      <w:r>
        <w:instrText xml:space="preserve"> INCLUDEPICTURE  "https://www.tdx.com.cn/products/helpfile/tdxw/chm/%E7%AC%AC%E4%B9%9D%E7%AB%A0  %E9%80%9A%E8%BE%BE%E4%BF%A1%E8%BD%AF%E4%BB%B6%E6%9C%80%E6%96%B0%E5%8A%A8%E6%80%81/9-5/16.png" \* MERGEFORMATINET </w:instrText>
      </w:r>
      <w:r>
        <w:fldChar w:fldCharType="separate"/>
      </w:r>
      <w:r>
        <w:fldChar w:fldCharType="begin"/>
      </w:r>
      <w:r>
        <w:instrText xml:space="preserve"> INCLUDEPICTURE  "https://www.tdx.com.cn/products/helpfile/tdxw/chm/%E7%AC%AC%E4%B9%9D%E7%AB%A0  %E9%80%9A%E8%BE%BE%E4%BF%A1%E8%BD%AF%E4%BB%B6%E6%9C%80%E6%96%B0%E5%8A%A8%E6%80%81/9-5/16.png" \* MERGEFORMATINET </w:instrText>
      </w:r>
      <w:r>
        <w:fldChar w:fldCharType="separate"/>
      </w:r>
      <w:r>
        <w:fldChar w:fldCharType="begin"/>
      </w:r>
      <w:r>
        <w:instrText xml:space="preserve"> INCLUDEPICTURE  "https://www.tdx.com.cn/products/helpfile/tdxw/chm/%E7%AC%AC%E4%B9%9D%E7%AB%A0  %E9%80%9A%E8%BE%BE%E4%BF%A1%E8%BD%AF%E4%BB%B6%E6%9C%80%E6%96%B0%E5%8A%A8%E6%80%81/9-5/16.png" \* MERGEFORMATINET </w:instrText>
      </w:r>
      <w:r>
        <w:fldChar w:fldCharType="separate"/>
      </w:r>
      <w:r>
        <w:drawing>
          <wp:inline distT="0" distB="0" distL="114300" distR="114300">
            <wp:extent cx="5048250" cy="3390900"/>
            <wp:effectExtent l="0" t="0" r="0" b="0"/>
            <wp:docPr id="600" name="图片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图片 656"/>
                    <pic:cNvPicPr>
                      <a:picLocks noChangeAspect="1"/>
                    </pic:cNvPicPr>
                  </pic:nvPicPr>
                  <pic:blipFill>
                    <a:blip r:embed="rId1114" r:link="rId1115"/>
                    <a:stretch>
                      <a:fillRect/>
                    </a:stretch>
                  </pic:blipFill>
                  <pic:spPr>
                    <a:xfrm>
                      <a:off x="0" y="0"/>
                      <a:ext cx="5048250" cy="3390900"/>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昨收价：昨天收盘价系统自动填充；上破价、下破价客户自己设定的那两个值；均线是否勾选了“启用分时线上穿和下破均线预警（分时线金叉和死叉）”；换手率和折溢价的设置。 </w:t>
      </w:r>
    </w:p>
    <w:p>
      <w:pPr>
        <w:pStyle w:val="34"/>
      </w:pPr>
      <w:r>
        <w:rPr>
          <w:rFonts w:hint="eastAsia"/>
        </w:rPr>
        <w:t>公式设置可以选择选股公式指标，如果有符合此公式的股票就预警，如添加了“UPN 连涨数天”的预警公式，那么当有连涨几天的股票时就会预警告知客户。 </w:t>
      </w:r>
    </w:p>
    <w:p>
      <w:pPr>
        <w:pStyle w:val="34"/>
      </w:pPr>
      <w:r>
        <w:rPr>
          <w:rFonts w:hint="eastAsia"/>
        </w:rPr>
        <w:t>其他设置实际是对条件预警的方式的设置，如“无声音”表示条件预警条件符合时不发出声音，这样也许客户就不会知道预警这时候起作用改了。系统扬声器声音，默认的预警声音是系统扬声器的声音，如果客户认为系统声音太少或者对这个系统声音不够敏感，不易察觉，那么也可以自己指定声音文件作为预警的声音。 “弹出列表对话框”当条件预警达到时是否自动弹出预警列表对话框。如果开启，那么在符合条件时预警就会弹出预警列表供客户查看。</w:t>
      </w:r>
    </w:p>
    <w:p>
      <w:pPr>
        <w:pStyle w:val="34"/>
      </w:pPr>
      <w:r>
        <w:fldChar w:fldCharType="begin"/>
      </w:r>
      <w:r>
        <w:instrText xml:space="preserve"> INCLUDEPICTURE  "https://www.tdx.com.cn/products/helpfile/tdxw/chm/%E7%AC%AC%E4%B9%9D%E7%AB%A0  %E9%80%9A%E8%BE%BE%E4%BF%A1%E8%BD%AF%E4%BB%B6%E6%9C%80%E6%96%B0%E5%8A%A8%E6%80%81/9-5/17.png" \* MERGEFORMATINET </w:instrText>
      </w:r>
      <w:r>
        <w:fldChar w:fldCharType="separate"/>
      </w:r>
      <w:r>
        <w:fldChar w:fldCharType="begin"/>
      </w:r>
      <w:r>
        <w:instrText xml:space="preserve"> INCLUDEPICTURE  "https://www.tdx.com.cn/products/helpfile/tdxw/chm/%E7%AC%AC%E4%B9%9D%E7%AB%A0  %E9%80%9A%E8%BE%BE%E4%BF%A1%E8%BD%AF%E4%BB%B6%E6%9C%80%E6%96%B0%E5%8A%A8%E6%80%81/9-5/17.png" \* MERGEFORMATINET </w:instrText>
      </w:r>
      <w:r>
        <w:fldChar w:fldCharType="separate"/>
      </w:r>
      <w:r>
        <w:fldChar w:fldCharType="begin"/>
      </w:r>
      <w:r>
        <w:instrText xml:space="preserve"> INCLUDEPICTURE  "https://www.tdx.com.cn/products/helpfile/tdxw/chm/%E7%AC%AC%E4%B9%9D%E7%AB%A0  %E9%80%9A%E8%BE%BE%E4%BF%A1%E8%BD%AF%E4%BB%B6%E6%9C%80%E6%96%B0%E5%8A%A8%E6%80%81/9-5/17.png" \* MERGEFORMATINET </w:instrText>
      </w:r>
      <w:r>
        <w:fldChar w:fldCharType="separate"/>
      </w:r>
      <w:r>
        <w:fldChar w:fldCharType="begin"/>
      </w:r>
      <w:r>
        <w:instrText xml:space="preserve"> INCLUDEPICTURE  "https://www.tdx.com.cn/products/helpfile/tdxw/chm/%E7%AC%AC%E4%B9%9D%E7%AB%A0  %E9%80%9A%E8%BE%BE%E4%BF%A1%E8%BD%AF%E4%BB%B6%E6%9C%80%E6%96%B0%E5%8A%A8%E6%80%81/9-5/17.png" \* MERGEFORMATINET </w:instrText>
      </w:r>
      <w:r>
        <w:fldChar w:fldCharType="separate"/>
      </w:r>
      <w:r>
        <w:drawing>
          <wp:inline distT="0" distB="0" distL="114300" distR="114300">
            <wp:extent cx="3581400" cy="2124075"/>
            <wp:effectExtent l="0" t="0" r="0" b="9525"/>
            <wp:docPr id="601" name="图片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图片 657"/>
                    <pic:cNvPicPr>
                      <a:picLocks noChangeAspect="1"/>
                    </pic:cNvPicPr>
                  </pic:nvPicPr>
                  <pic:blipFill>
                    <a:blip r:embed="rId1116" r:link="rId1117"/>
                    <a:stretch>
                      <a:fillRect/>
                    </a:stretch>
                  </pic:blipFill>
                  <pic:spPr>
                    <a:xfrm>
                      <a:off x="0" y="0"/>
                      <a:ext cx="3581400" cy="2124075"/>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弹出预警列表对话框后，“存盘”：将结果存为板块、将内容导为文件；设置又回到“条件预警设置”对话框。</w:t>
      </w:r>
    </w:p>
    <w:p>
      <w:pPr>
        <w:pStyle w:val="34"/>
      </w:pPr>
      <w:r>
        <w:rPr>
          <w:rFonts w:hint="eastAsia"/>
        </w:rPr>
        <w:t>1系统设置3的回车键一键到底功能： </w:t>
      </w:r>
    </w:p>
    <w:p>
      <w:pPr>
        <w:pStyle w:val="34"/>
      </w:pPr>
      <w:r>
        <w:fldChar w:fldCharType="begin"/>
      </w:r>
      <w:r>
        <w:instrText xml:space="preserve"> INCLUDEPICTURE  "https://www.tdx.com.cn/products/helpfile/tdxw/chm/%E7%AC%AC%E4%B9%9D%E7%AB%A0  %E9%80%9A%E8%BE%BE%E4%BF%A1%E8%BD%AF%E4%BB%B6%E6%9C%80%E6%96%B0%E5%8A%A8%E6%80%81/9-5/18.png" \* MERGEFORMATINET </w:instrText>
      </w:r>
      <w:r>
        <w:fldChar w:fldCharType="separate"/>
      </w:r>
      <w:r>
        <w:fldChar w:fldCharType="begin"/>
      </w:r>
      <w:r>
        <w:instrText xml:space="preserve"> INCLUDEPICTURE  "https://www.tdx.com.cn/products/helpfile/tdxw/chm/%E7%AC%AC%E4%B9%9D%E7%AB%A0  %E9%80%9A%E8%BE%BE%E4%BF%A1%E8%BD%AF%E4%BB%B6%E6%9C%80%E6%96%B0%E5%8A%A8%E6%80%81/9-5/18.png" \* MERGEFORMATINET </w:instrText>
      </w:r>
      <w:r>
        <w:fldChar w:fldCharType="separate"/>
      </w:r>
      <w:r>
        <w:fldChar w:fldCharType="begin"/>
      </w:r>
      <w:r>
        <w:instrText xml:space="preserve"> INCLUDEPICTURE  "https://www.tdx.com.cn/products/helpfile/tdxw/chm/%E7%AC%AC%E4%B9%9D%E7%AB%A0  %E9%80%9A%E8%BE%BE%E4%BF%A1%E8%BD%AF%E4%BB%B6%E6%9C%80%E6%96%B0%E5%8A%A8%E6%80%81/9-5/18.png" \* MERGEFORMATINET </w:instrText>
      </w:r>
      <w:r>
        <w:fldChar w:fldCharType="separate"/>
      </w:r>
      <w:r>
        <w:fldChar w:fldCharType="begin"/>
      </w:r>
      <w:r>
        <w:instrText xml:space="preserve"> INCLUDEPICTURE  "https://www.tdx.com.cn/products/helpfile/tdxw/chm/%E7%AC%AC%E4%B9%9D%E7%AB%A0  %E9%80%9A%E8%BE%BE%E4%BF%A1%E8%BD%AF%E4%BB%B6%E6%9C%80%E6%96%B0%E5%8A%A8%E6%80%81/9-5/18.png" \* MERGEFORMATINET </w:instrText>
      </w:r>
      <w:r>
        <w:fldChar w:fldCharType="separate"/>
      </w:r>
      <w:r>
        <w:drawing>
          <wp:inline distT="0" distB="0" distL="114300" distR="114300">
            <wp:extent cx="5248275" cy="3848100"/>
            <wp:effectExtent l="0" t="0" r="9525" b="0"/>
            <wp:docPr id="602" name="图片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图片 658"/>
                    <pic:cNvPicPr>
                      <a:picLocks noChangeAspect="1"/>
                    </pic:cNvPicPr>
                  </pic:nvPicPr>
                  <pic:blipFill>
                    <a:blip r:embed="rId1118" r:link="rId1119"/>
                    <a:stretch>
                      <a:fillRect/>
                    </a:stretch>
                  </pic:blipFill>
                  <pic:spPr>
                    <a:xfrm>
                      <a:off x="0" y="0"/>
                      <a:ext cx="5248275" cy="3848100"/>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分时、分析图之间循环：在报价或者分时、分时界面只要按回车键就会在分时图和分析图之间循环来回切换；分时、分析图、基本资料之间循环：在报价或者分时、分析、基本资料的界面按回车键那么就会在分时、分析图、基本资料这三个界面间按序循环切换；报价、分时、分析图之间循环：在报价、分时、分析图这三个界面按回车键时就会在这三个界面之间按序循环切换；报价、分时、分析图、基本资料之间循环如果在报价、分时、分析图、基本资料任何一个界面连续按回车键那么就会在这四个功能界面来回的切换。</w:t>
      </w:r>
    </w:p>
    <w:p>
      <w:pPr>
        <w:pStyle w:val="34"/>
      </w:pPr>
      <w:r>
        <w:rPr>
          <w:rFonts w:hint="eastAsia"/>
        </w:rPr>
        <w:t>12系统设置4状态栏行情设置功能：</w:t>
      </w:r>
    </w:p>
    <w:p>
      <w:pPr>
        <w:pStyle w:val="34"/>
      </w:pPr>
      <w:r>
        <w:rPr>
          <w:rFonts w:hint="eastAsia"/>
        </w:rPr>
        <w:t>设置状态栏里可以显示的品种，可以是板块也可以是用户自己想要关注的个股信息，主要显示的信息有现价、涨跌、成交总金额这三项信息。 </w:t>
      </w:r>
    </w:p>
    <w:p>
      <w:pPr>
        <w:pStyle w:val="34"/>
      </w:pPr>
      <w:r>
        <w:fldChar w:fldCharType="begin"/>
      </w:r>
      <w:r>
        <w:instrText xml:space="preserve"> INCLUDEPICTURE  "https://www.tdx.com.cn/products/helpfile/tdxw/chm/%E7%AC%AC%E4%B9%9D%E7%AB%A0  %E9%80%9A%E8%BE%BE%E4%BF%A1%E8%BD%AF%E4%BB%B6%E6%9C%80%E6%96%B0%E5%8A%A8%E6%80%81/9-5/19.png" \* MERGEFORMATINET </w:instrText>
      </w:r>
      <w:r>
        <w:fldChar w:fldCharType="separate"/>
      </w:r>
      <w:r>
        <w:fldChar w:fldCharType="begin"/>
      </w:r>
      <w:r>
        <w:instrText xml:space="preserve"> INCLUDEPICTURE  "https://www.tdx.com.cn/products/helpfile/tdxw/chm/%E7%AC%AC%E4%B9%9D%E7%AB%A0  %E9%80%9A%E8%BE%BE%E4%BF%A1%E8%BD%AF%E4%BB%B6%E6%9C%80%E6%96%B0%E5%8A%A8%E6%80%81/9-5/19.png" \* MERGEFORMATINET </w:instrText>
      </w:r>
      <w:r>
        <w:fldChar w:fldCharType="separate"/>
      </w:r>
      <w:r>
        <w:fldChar w:fldCharType="begin"/>
      </w:r>
      <w:r>
        <w:instrText xml:space="preserve"> INCLUDEPICTURE  "https://www.tdx.com.cn/products/helpfile/tdxw/chm/%E7%AC%AC%E4%B9%9D%E7%AB%A0  %E9%80%9A%E8%BE%BE%E4%BF%A1%E8%BD%AF%E4%BB%B6%E6%9C%80%E6%96%B0%E5%8A%A8%E6%80%81/9-5/19.png" \* MERGEFORMATINET </w:instrText>
      </w:r>
      <w:r>
        <w:fldChar w:fldCharType="separate"/>
      </w:r>
      <w:r>
        <w:fldChar w:fldCharType="begin"/>
      </w:r>
      <w:r>
        <w:instrText xml:space="preserve"> INCLUDEPICTURE  "https://www.tdx.com.cn/products/helpfile/tdxw/chm/%E7%AC%AC%E4%B9%9D%E7%AB%A0  %E9%80%9A%E8%BE%BE%E4%BF%A1%E8%BD%AF%E4%BB%B6%E6%9C%80%E6%96%B0%E5%8A%A8%E6%80%81/9-5/19.png" \* MERGEFORMATINET </w:instrText>
      </w:r>
      <w:r>
        <w:fldChar w:fldCharType="separate"/>
      </w:r>
      <w:r>
        <w:drawing>
          <wp:inline distT="0" distB="0" distL="114300" distR="114300">
            <wp:extent cx="5248275" cy="3848100"/>
            <wp:effectExtent l="0" t="0" r="9525" b="0"/>
            <wp:docPr id="603" name="图片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 name="图片 659"/>
                    <pic:cNvPicPr>
                      <a:picLocks noChangeAspect="1"/>
                    </pic:cNvPicPr>
                  </pic:nvPicPr>
                  <pic:blipFill>
                    <a:blip r:embed="rId1120" r:link="rId1121"/>
                    <a:stretch>
                      <a:fillRect/>
                    </a:stretch>
                  </pic:blipFill>
                  <pic:spPr>
                    <a:xfrm>
                      <a:off x="0" y="0"/>
                      <a:ext cx="5248275" cy="3848100"/>
                    </a:xfrm>
                    <a:prstGeom prst="rect">
                      <a:avLst/>
                    </a:prstGeom>
                    <a:noFill/>
                    <a:ln>
                      <a:noFill/>
                    </a:ln>
                  </pic:spPr>
                </pic:pic>
              </a:graphicData>
            </a:graphic>
          </wp:inline>
        </w:drawing>
      </w:r>
      <w:r>
        <w:fldChar w:fldCharType="end"/>
      </w:r>
      <w:r>
        <w:fldChar w:fldCharType="end"/>
      </w:r>
      <w:r>
        <w:fldChar w:fldCharType="end"/>
      </w:r>
      <w:r>
        <w:fldChar w:fldCharType="end"/>
      </w:r>
    </w:p>
    <w:p>
      <w:pPr>
        <w:pStyle w:val="34"/>
      </w:pPr>
      <w:r>
        <w:rPr>
          <w:rFonts w:hint="eastAsia"/>
        </w:rPr>
        <w:t>选择设置第一层品种、设置第二层品种后进入到选择品种的对话框中。设定状态栏要显示的股票就好了！ </w:t>
      </w:r>
    </w:p>
    <w:p>
      <w:pPr>
        <w:pStyle w:val="34"/>
      </w:pPr>
      <w:r>
        <w:fldChar w:fldCharType="begin"/>
      </w:r>
      <w:r>
        <w:instrText xml:space="preserve"> INCLUDEPICTURE  "https://www.tdx.com.cn/products/helpfile/tdxw/chm/%E7%AC%AC%E4%B9%9D%E7%AB%A0  %E9%80%9A%E8%BE%BE%E4%BF%A1%E8%BD%AF%E4%BB%B6%E6%9C%80%E6%96%B0%E5%8A%A8%E6%80%81/9-5/20.png" \* MERGEFORMATINET </w:instrText>
      </w:r>
      <w:r>
        <w:fldChar w:fldCharType="separate"/>
      </w:r>
      <w:r>
        <w:fldChar w:fldCharType="begin"/>
      </w:r>
      <w:r>
        <w:instrText xml:space="preserve"> INCLUDEPICTURE  "https://www.tdx.com.cn/products/helpfile/tdxw/chm/%E7%AC%AC%E4%B9%9D%E7%AB%A0  %E9%80%9A%E8%BE%BE%E4%BF%A1%E8%BD%AF%E4%BB%B6%E6%9C%80%E6%96%B0%E5%8A%A8%E6%80%81/9-5/20.png" \* MERGEFORMATINET </w:instrText>
      </w:r>
      <w:r>
        <w:fldChar w:fldCharType="separate"/>
      </w:r>
      <w:r>
        <w:fldChar w:fldCharType="begin"/>
      </w:r>
      <w:r>
        <w:instrText xml:space="preserve"> INCLUDEPICTURE  "https://www.tdx.com.cn/products/helpfile/tdxw/chm/%E7%AC%AC%E4%B9%9D%E7%AB%A0  %E9%80%9A%E8%BE%BE%E4%BF%A1%E8%BD%AF%E4%BB%B6%E6%9C%80%E6%96%B0%E5%8A%A8%E6%80%81/9-5/20.png" \* MERGEFORMATINET </w:instrText>
      </w:r>
      <w:r>
        <w:fldChar w:fldCharType="separate"/>
      </w:r>
      <w:r>
        <w:fldChar w:fldCharType="begin"/>
      </w:r>
      <w:r>
        <w:instrText xml:space="preserve"> INCLUDEPICTURE  "https://www.tdx.com.cn/products/helpfile/tdxw/chm/%E7%AC%AC%E4%B9%9D%E7%AB%A0  %E9%80%9A%E8%BE%BE%E4%BF%A1%E8%BD%AF%E4%BB%B6%E6%9C%80%E6%96%B0%E5%8A%A8%E6%80%81/9-5/20.png" \* MERGEFORMATINET </w:instrText>
      </w:r>
      <w:r>
        <w:fldChar w:fldCharType="separate"/>
      </w:r>
      <w:r>
        <w:drawing>
          <wp:inline distT="0" distB="0" distL="114300" distR="114300">
            <wp:extent cx="6858000" cy="4781550"/>
            <wp:effectExtent l="0" t="0" r="0" b="0"/>
            <wp:docPr id="604" name="图片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图片 660"/>
                    <pic:cNvPicPr>
                      <a:picLocks noChangeAspect="1"/>
                    </pic:cNvPicPr>
                  </pic:nvPicPr>
                  <pic:blipFill>
                    <a:blip r:embed="rId1122" r:link="rId1123"/>
                    <a:stretch>
                      <a:fillRect/>
                    </a:stretch>
                  </pic:blipFill>
                  <pic:spPr>
                    <a:xfrm>
                      <a:off x="0" y="0"/>
                      <a:ext cx="6858000" cy="4781550"/>
                    </a:xfrm>
                    <a:prstGeom prst="rect">
                      <a:avLst/>
                    </a:prstGeom>
                    <a:noFill/>
                    <a:ln>
                      <a:noFill/>
                    </a:ln>
                  </pic:spPr>
                </pic:pic>
              </a:graphicData>
            </a:graphic>
          </wp:inline>
        </w:drawing>
      </w:r>
      <w:r>
        <w:fldChar w:fldCharType="end"/>
      </w:r>
      <w:r>
        <w:fldChar w:fldCharType="end"/>
      </w:r>
      <w:r>
        <w:fldChar w:fldCharType="end"/>
      </w:r>
      <w:r>
        <w:fldChar w:fldCharType="end"/>
      </w:r>
    </w:p>
    <w:p>
      <w:pPr>
        <w:pStyle w:val="3"/>
      </w:pPr>
      <w:bookmarkStart w:id="92" w:name="_Toc90646217"/>
      <w:bookmarkStart w:id="93" w:name="_GoBack"/>
      <w:bookmarkEnd w:id="93"/>
      <w:r>
        <w:rPr>
          <w:rFonts w:hint="eastAsia"/>
        </w:rPr>
        <w:t>新增经典指标用法介绍</w:t>
      </w:r>
      <w:bookmarkEnd w:id="92"/>
    </w:p>
    <w:p>
      <w:pPr>
        <w:pStyle w:val="34"/>
      </w:pPr>
      <w:r>
        <w:rPr>
          <w:rFonts w:hint="eastAsia"/>
        </w:rPr>
        <w:t>1、操盘BS点</w:t>
      </w:r>
    </w:p>
    <w:p>
      <w:pPr>
        <w:pStyle w:val="34"/>
      </w:pPr>
      <w:r>
        <w:rPr>
          <w:rFonts w:hint="eastAsia"/>
        </w:rPr>
        <w:t>特色型主图叠加指标，这个指标在K线图中将B、S买卖点都标出来了。</w:t>
      </w:r>
    </w:p>
    <w:p>
      <w:pPr>
        <w:pStyle w:val="34"/>
      </w:pPr>
      <w:r>
        <w:drawing>
          <wp:inline distT="0" distB="0" distL="114300" distR="114300">
            <wp:extent cx="7353300" cy="4524375"/>
            <wp:effectExtent l="0" t="0" r="0" b="9525"/>
            <wp:docPr id="605" name="图片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图片 661"/>
                    <pic:cNvPicPr>
                      <a:picLocks noChangeAspect="1"/>
                    </pic:cNvPicPr>
                  </pic:nvPicPr>
                  <pic:blipFill>
                    <a:blip r:embed="rId1124"/>
                    <a:stretch>
                      <a:fillRect/>
                    </a:stretch>
                  </pic:blipFill>
                  <pic:spPr>
                    <a:xfrm>
                      <a:off x="0" y="0"/>
                      <a:ext cx="7353300" cy="4524375"/>
                    </a:xfrm>
                    <a:prstGeom prst="rect">
                      <a:avLst/>
                    </a:prstGeom>
                    <a:noFill/>
                    <a:ln>
                      <a:noFill/>
                    </a:ln>
                  </pic:spPr>
                </pic:pic>
              </a:graphicData>
            </a:graphic>
          </wp:inline>
        </w:drawing>
      </w:r>
    </w:p>
    <w:p>
      <w:pPr>
        <w:pStyle w:val="34"/>
      </w:pPr>
      <w:r>
        <w:rPr>
          <w:rFonts w:hint="eastAsia"/>
        </w:rPr>
        <w:t>2、撑压线</w:t>
      </w:r>
    </w:p>
    <w:p>
      <w:pPr>
        <w:pStyle w:val="34"/>
      </w:pPr>
      <w:r>
        <w:rPr>
          <w:rFonts w:hint="eastAsia"/>
        </w:rPr>
        <w:t>特色型主图叠加指标，这个指标在K线图中画出短期压力线（红色）、短期支撑线（绿色）。</w:t>
      </w:r>
    </w:p>
    <w:p>
      <w:pPr>
        <w:pStyle w:val="34"/>
      </w:pPr>
      <w:r>
        <w:drawing>
          <wp:inline distT="0" distB="0" distL="114300" distR="114300">
            <wp:extent cx="8010525" cy="5181600"/>
            <wp:effectExtent l="0" t="0" r="9525" b="0"/>
            <wp:docPr id="606" name="图片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图片 662"/>
                    <pic:cNvPicPr>
                      <a:picLocks noChangeAspect="1"/>
                    </pic:cNvPicPr>
                  </pic:nvPicPr>
                  <pic:blipFill>
                    <a:blip r:embed="rId1125"/>
                    <a:stretch>
                      <a:fillRect/>
                    </a:stretch>
                  </pic:blipFill>
                  <pic:spPr>
                    <a:xfrm>
                      <a:off x="0" y="0"/>
                      <a:ext cx="8010525" cy="5181600"/>
                    </a:xfrm>
                    <a:prstGeom prst="rect">
                      <a:avLst/>
                    </a:prstGeom>
                    <a:noFill/>
                    <a:ln>
                      <a:noFill/>
                    </a:ln>
                  </pic:spPr>
                </pic:pic>
              </a:graphicData>
            </a:graphic>
          </wp:inline>
        </w:drawing>
      </w:r>
    </w:p>
    <w:p>
      <w:pPr>
        <w:pStyle w:val="34"/>
      </w:pPr>
      <w:r>
        <w:rPr>
          <w:rFonts w:hint="eastAsia"/>
        </w:rPr>
        <w:t>3、波浪分析</w:t>
      </w:r>
    </w:p>
    <w:p>
      <w:pPr>
        <w:pStyle w:val="34"/>
      </w:pPr>
      <w:r>
        <w:rPr>
          <w:rFonts w:hint="eastAsia"/>
        </w:rPr>
        <w:t>特色型主图指标，此波浪分析时画出波段的上升下降趋势，不过具有一定的持后性。处于上升段的可能马上会转向下降，处于下降段的可能马上转向上升。但是整体的趋势可以让用户一目了然。</w:t>
      </w:r>
    </w:p>
    <w:p>
      <w:pPr>
        <w:pStyle w:val="34"/>
      </w:pPr>
      <w:r>
        <w:drawing>
          <wp:inline distT="0" distB="0" distL="114300" distR="114300">
            <wp:extent cx="8029575" cy="5210175"/>
            <wp:effectExtent l="0" t="0" r="9525" b="9525"/>
            <wp:docPr id="607" name="图片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 name="图片 663"/>
                    <pic:cNvPicPr>
                      <a:picLocks noChangeAspect="1"/>
                    </pic:cNvPicPr>
                  </pic:nvPicPr>
                  <pic:blipFill>
                    <a:blip r:embed="rId1126"/>
                    <a:stretch>
                      <a:fillRect/>
                    </a:stretch>
                  </pic:blipFill>
                  <pic:spPr>
                    <a:xfrm>
                      <a:off x="0" y="0"/>
                      <a:ext cx="8029575" cy="5210175"/>
                    </a:xfrm>
                    <a:prstGeom prst="rect">
                      <a:avLst/>
                    </a:prstGeom>
                    <a:noFill/>
                    <a:ln>
                      <a:noFill/>
                    </a:ln>
                  </pic:spPr>
                </pic:pic>
              </a:graphicData>
            </a:graphic>
          </wp:inline>
        </w:drawing>
      </w:r>
    </w:p>
    <w:p>
      <w:pPr>
        <w:pStyle w:val="34"/>
      </w:pPr>
      <w:r>
        <w:rPr>
          <w:rFonts w:hint="eastAsia"/>
        </w:rPr>
        <w:t>4、吸拉派落</w:t>
      </w:r>
    </w:p>
    <w:p>
      <w:pPr>
        <w:pStyle w:val="34"/>
      </w:pPr>
      <w:r>
        <w:rPr>
          <w:rFonts w:hint="eastAsia"/>
        </w:rPr>
        <w:t>副图指标吸拉派落，把庄家对当前个股的吸筹、拉升、派货、回落的四个操作步骤形象的展示了出来。</w:t>
      </w:r>
    </w:p>
    <w:p>
      <w:pPr>
        <w:pStyle w:val="34"/>
      </w:pPr>
      <w:r>
        <w:drawing>
          <wp:inline distT="0" distB="0" distL="114300" distR="114300">
            <wp:extent cx="8048625" cy="5181600"/>
            <wp:effectExtent l="0" t="0" r="9525" b="0"/>
            <wp:docPr id="608" name="图片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图片 664"/>
                    <pic:cNvPicPr>
                      <a:picLocks noChangeAspect="1"/>
                    </pic:cNvPicPr>
                  </pic:nvPicPr>
                  <pic:blipFill>
                    <a:blip r:embed="rId1127"/>
                    <a:stretch>
                      <a:fillRect/>
                    </a:stretch>
                  </pic:blipFill>
                  <pic:spPr>
                    <a:xfrm>
                      <a:off x="0" y="0"/>
                      <a:ext cx="8048625" cy="5181600"/>
                    </a:xfrm>
                    <a:prstGeom prst="rect">
                      <a:avLst/>
                    </a:prstGeom>
                    <a:noFill/>
                    <a:ln>
                      <a:noFill/>
                    </a:ln>
                  </pic:spPr>
                </pic:pic>
              </a:graphicData>
            </a:graphic>
          </wp:inline>
        </w:drawing>
      </w:r>
    </w:p>
    <w:p>
      <w:pPr>
        <w:pStyle w:val="34"/>
      </w:pPr>
      <w:r>
        <w:rPr>
          <w:rFonts w:hint="eastAsia"/>
        </w:rPr>
        <w:t>5、财富阶梯</w:t>
      </w:r>
    </w:p>
    <w:p>
      <w:pPr>
        <w:pStyle w:val="34"/>
      </w:pPr>
      <w:r>
        <w:rPr>
          <w:rFonts w:hint="eastAsia"/>
        </w:rPr>
        <w:t>特色型主图叠加指标，把多空方力量的强弱用彩色阶梯清晰的展现给用户。红色块是多方力量强的上升阶段，绿色块是空方强的下降阶段。一般都是利用出现红色块把握买的时机，出现绿色块把握卖的时机。是比较好理解好用的新指标。</w:t>
      </w:r>
    </w:p>
    <w:p>
      <w:pPr>
        <w:pStyle w:val="34"/>
      </w:pPr>
      <w:r>
        <w:drawing>
          <wp:inline distT="0" distB="0" distL="114300" distR="114300">
            <wp:extent cx="8086725" cy="5162550"/>
            <wp:effectExtent l="0" t="0" r="9525" b="0"/>
            <wp:docPr id="609" name="图片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 name="图片 665"/>
                    <pic:cNvPicPr>
                      <a:picLocks noChangeAspect="1"/>
                    </pic:cNvPicPr>
                  </pic:nvPicPr>
                  <pic:blipFill>
                    <a:blip r:embed="rId1128"/>
                    <a:stretch>
                      <a:fillRect/>
                    </a:stretch>
                  </pic:blipFill>
                  <pic:spPr>
                    <a:xfrm>
                      <a:off x="0" y="0"/>
                      <a:ext cx="8086725" cy="5162550"/>
                    </a:xfrm>
                    <a:prstGeom prst="rect">
                      <a:avLst/>
                    </a:prstGeom>
                    <a:noFill/>
                    <a:ln>
                      <a:noFill/>
                    </a:ln>
                  </pic:spPr>
                </pic:pic>
              </a:graphicData>
            </a:graphic>
          </wp:inline>
        </w:drawing>
      </w:r>
    </w:p>
    <w:p>
      <w:pPr>
        <w:pStyle w:val="34"/>
      </w:pPr>
      <w:r>
        <w:rPr>
          <w:rFonts w:hint="eastAsia"/>
        </w:rPr>
        <w:t>6、太极成交量</w:t>
      </w:r>
    </w:p>
    <w:p>
      <w:pPr>
        <w:pStyle w:val="34"/>
      </w:pPr>
      <w:r>
        <w:rPr>
          <w:rFonts w:hint="eastAsia"/>
        </w:rPr>
        <w:t>副图指标，红色柱为吸货量,绿色为出货量,黄色为天量,蓝色为地量。</w:t>
      </w:r>
    </w:p>
    <w:p>
      <w:pPr>
        <w:pStyle w:val="34"/>
      </w:pPr>
      <w:r>
        <w:drawing>
          <wp:inline distT="0" distB="0" distL="114300" distR="114300">
            <wp:extent cx="8105775" cy="5114925"/>
            <wp:effectExtent l="0" t="0" r="9525" b="9525"/>
            <wp:docPr id="610" name="图片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 name="图片 666"/>
                    <pic:cNvPicPr>
                      <a:picLocks noChangeAspect="1"/>
                    </pic:cNvPicPr>
                  </pic:nvPicPr>
                  <pic:blipFill>
                    <a:blip r:embed="rId1129"/>
                    <a:stretch>
                      <a:fillRect/>
                    </a:stretch>
                  </pic:blipFill>
                  <pic:spPr>
                    <a:xfrm>
                      <a:off x="0" y="0"/>
                      <a:ext cx="8105775" cy="5114925"/>
                    </a:xfrm>
                    <a:prstGeom prst="rect">
                      <a:avLst/>
                    </a:prstGeom>
                    <a:noFill/>
                    <a:ln>
                      <a:noFill/>
                    </a:ln>
                  </pic:spPr>
                </pic:pic>
              </a:graphicData>
            </a:graphic>
          </wp:inline>
        </w:drawing>
      </w:r>
    </w:p>
    <w:p>
      <w:pPr>
        <w:pStyle w:val="34"/>
      </w:pPr>
    </w:p>
    <w:p>
      <w:pPr>
        <w:pStyle w:val="34"/>
        <w:ind w:firstLine="0" w:firstLineChars="0"/>
      </w:pPr>
    </w:p>
    <w:sectPr>
      <w:headerReference r:id="rId5" w:type="default"/>
      <w:footerReference r:id="rId6" w:type="default"/>
      <w:pgSz w:w="16838" w:h="11906" w:orient="landscape"/>
      <w:pgMar w:top="1080" w:right="1440" w:bottom="1080" w:left="1440" w:header="850" w:footer="948" w:gutter="0"/>
      <w:pgNumType w:start="1"/>
      <w:cols w:space="425" w:num="1"/>
      <w:docGrid w:type="lines" w:linePitch="326"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Cambria">
    <w:panose1 w:val="02040503050406030204"/>
    <w:charset w:val="00"/>
    <w:family w:val="roman"/>
    <w:pitch w:val="default"/>
    <w:sig w:usb0="E00006FF" w:usb1="420024FF" w:usb2="02000000" w:usb3="00000000" w:csb0="2000019F" w:csb1="00000000"/>
  </w:font>
  <w:font w:name="Arial">
    <w:panose1 w:val="020B0604020202020204"/>
    <w:charset w:val="00"/>
    <w:family w:val="swiss"/>
    <w:pitch w:val="default"/>
    <w:sig w:usb0="E0002EFF" w:usb1="C000785B" w:usb2="00000009" w:usb3="00000000" w:csb0="400001FF" w:csb1="FFFF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jc w:val="center"/>
      <w:rPr>
        <w:b/>
        <w:bCs/>
        <w:sz w:val="24"/>
        <w:szCs w:val="24"/>
      </w:rPr>
    </w:pPr>
    <w:r>
      <w:rPr>
        <w:b/>
        <w:bCs/>
        <w:sz w:val="24"/>
        <w:szCs w:val="24"/>
      </w:rPr>
      <w:fldChar w:fldCharType="begin"/>
    </w:r>
    <w:r>
      <w:rPr>
        <w:b/>
        <w:bCs/>
      </w:rPr>
      <w:instrText xml:space="preserve">PAGE</w:instrText>
    </w:r>
    <w:r>
      <w:rPr>
        <w:b/>
        <w:bCs/>
        <w:sz w:val="24"/>
        <w:szCs w:val="24"/>
      </w:rPr>
      <w:fldChar w:fldCharType="separate"/>
    </w:r>
    <w:r>
      <w:rPr>
        <w:b/>
        <w:bCs/>
      </w:rPr>
      <w:t>598</w:t>
    </w:r>
    <w:r>
      <w:rPr>
        <w:b/>
        <w:bCs/>
        <w:sz w:val="24"/>
        <w:szCs w:val="24"/>
      </w:rPr>
      <w:fldChar w:fldCharType="end"/>
    </w:r>
    <w:r>
      <w:rPr>
        <w:lang w:val="zh-CN"/>
      </w:rPr>
      <w:t xml:space="preserve"> / </w:t>
    </w:r>
    <w:r>
      <w:rPr>
        <w:b/>
        <w:bCs/>
        <w:sz w:val="24"/>
        <w:szCs w:val="24"/>
      </w:rPr>
      <w:fldChar w:fldCharType="begin"/>
    </w:r>
    <w:r>
      <w:rPr>
        <w:b/>
        <w:bCs/>
      </w:rPr>
      <w:instrText xml:space="preserve">NUMPAGES</w:instrText>
    </w:r>
    <w:r>
      <w:rPr>
        <w:b/>
        <w:bCs/>
        <w:sz w:val="24"/>
        <w:szCs w:val="24"/>
      </w:rPr>
      <w:fldChar w:fldCharType="separate"/>
    </w:r>
    <w:r>
      <w:rPr>
        <w:b/>
        <w:bCs/>
      </w:rPr>
      <w:t>717</w:t>
    </w:r>
    <w:r>
      <w:rPr>
        <w:b/>
        <w:bCs/>
        <w:sz w:val="24"/>
        <w:szCs w:val="24"/>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00" w:lineRule="auto"/>
      </w:pPr>
      <w:r>
        <w:separator/>
      </w:r>
    </w:p>
  </w:footnote>
  <w:footnote w:type="continuationSeparator" w:id="1">
    <w:p>
      <w:pPr>
        <w:spacing w:line="30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widowControl/>
      <w:spacing w:line="240" w:lineRule="auto"/>
      <w:jc w:val="left"/>
      <w:rPr>
        <w:rFonts w:cs="宋体"/>
        <w:kern w:val="0"/>
      </w:rPr>
    </w:pPr>
    <w:r>
      <w:rPr>
        <w:rFonts w:cs="宋体"/>
        <w:kern w:val="0"/>
      </w:rPr>
      <w:fldChar w:fldCharType="begin"/>
    </w:r>
    <w:r>
      <w:rPr>
        <w:rFonts w:cs="宋体"/>
        <w:kern w:val="0"/>
      </w:rPr>
      <w:instrText xml:space="preserve"> INCLUDEPICTURE  "C:\\Users\\Administrator\\Dell\\Documents\\Tencent Files\\2602671830\\Image\\C2C\\Image3\\9ZE_L@PJ~W_]TR{E]~SR0SV.png" \* MERGEFORMATINET </w:instrText>
    </w:r>
    <w:r>
      <w:rPr>
        <w:rFonts w:cs="宋体"/>
        <w:kern w:val="0"/>
      </w:rPr>
      <w:fldChar w:fldCharType="separate"/>
    </w:r>
    <w:r>
      <w:rPr>
        <w:rFonts w:cs="宋体"/>
        <w:kern w:val="0"/>
      </w:rPr>
      <w:fldChar w:fldCharType="begin"/>
    </w:r>
    <w:r>
      <w:rPr>
        <w:rFonts w:cs="宋体"/>
        <w:kern w:val="0"/>
      </w:rPr>
      <w:instrText xml:space="preserve"> INCLUDEPICTURE  "C:\\Users\\Administrator\\Dell\\Documents\\Tencent Files\\2602671830\\Image\\C2C\\Image3\\9ZE_L@PJ~W_]TR{E]~SR0SV.png" \* MERGEFORMATINET </w:instrText>
    </w:r>
    <w:r>
      <w:rPr>
        <w:rFonts w:cs="宋体"/>
        <w:kern w:val="0"/>
      </w:rPr>
      <w:fldChar w:fldCharType="separate"/>
    </w:r>
    <w:r>
      <w:rPr>
        <w:rFonts w:cs="宋体"/>
        <w:kern w:val="0"/>
      </w:rPr>
      <w:fldChar w:fldCharType="begin"/>
    </w:r>
    <w:r>
      <w:rPr>
        <w:rFonts w:cs="宋体"/>
        <w:kern w:val="0"/>
      </w:rPr>
      <w:instrText xml:space="preserve"> INCLUDEPICTURE  "C:\\Users\\Administrator\\Dell\\Documents\\Tencent Files\\2602671830\\Image\\C2C\\Image3\\9ZE_L@PJ~W_]TR{E]~SR0SV.png" \* MERGEFORMATINET </w:instrText>
    </w:r>
    <w:r>
      <w:rPr>
        <w:rFonts w:cs="宋体"/>
        <w:kern w:val="0"/>
      </w:rPr>
      <w:fldChar w:fldCharType="separate"/>
    </w:r>
    <w:r>
      <w:rPr>
        <w:rFonts w:cs="宋体"/>
        <w:kern w:val="0"/>
      </w:rPr>
      <w:fldChar w:fldCharType="begin"/>
    </w:r>
    <w:r>
      <w:rPr>
        <w:rFonts w:cs="宋体"/>
        <w:kern w:val="0"/>
      </w:rPr>
      <w:instrText xml:space="preserve"> INCLUDEPICTURE  "C:\\Users\\Administrator\\Dell\\Documents\\Tencent Files\\2602671830\\Image\\C2C\\Image3\\9ZE_L@PJ~W_]TR{E]~SR0SV.png" \* MERGEFORMATINET </w:instrText>
    </w:r>
    <w:r>
      <w:rPr>
        <w:rFonts w:cs="宋体"/>
        <w:kern w:val="0"/>
      </w:rPr>
      <w:fldChar w:fldCharType="separate"/>
    </w:r>
    <w:r>
      <w:rPr>
        <w:rFonts w:cs="宋体"/>
        <w:kern w:val="0"/>
      </w:rPr>
      <w:drawing>
        <wp:inline distT="0" distB="0" distL="114300" distR="114300">
          <wp:extent cx="9296400" cy="428625"/>
          <wp:effectExtent l="0" t="0" r="0" b="9525"/>
          <wp:docPr id="611" name="图片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 name="图片 667"/>
                  <pic:cNvPicPr>
                    <a:picLocks noChangeAspect="1"/>
                  </pic:cNvPicPr>
                </pic:nvPicPr>
                <pic:blipFill>
                  <a:blip r:embed="rId1" r:link="rId2"/>
                  <a:stretch>
                    <a:fillRect/>
                  </a:stretch>
                </pic:blipFill>
                <pic:spPr>
                  <a:xfrm>
                    <a:off x="0" y="0"/>
                    <a:ext cx="9296400" cy="428625"/>
                  </a:xfrm>
                  <a:prstGeom prst="rect">
                    <a:avLst/>
                  </a:prstGeom>
                  <a:noFill/>
                  <a:ln>
                    <a:noFill/>
                  </a:ln>
                </pic:spPr>
              </pic:pic>
            </a:graphicData>
          </a:graphic>
        </wp:inline>
      </w:drawing>
    </w:r>
    <w:r>
      <w:rPr>
        <w:rFonts w:cs="宋体"/>
        <w:kern w:val="0"/>
      </w:rPr>
      <w:fldChar w:fldCharType="end"/>
    </w:r>
    <w:r>
      <w:rPr>
        <w:rFonts w:cs="宋体"/>
        <w:kern w:val="0"/>
      </w:rPr>
      <w:fldChar w:fldCharType="end"/>
    </w:r>
    <w:r>
      <w:rPr>
        <w:rFonts w:cs="宋体"/>
        <w:kern w:val="0"/>
      </w:rPr>
      <w:fldChar w:fldCharType="end"/>
    </w:r>
    <w:r>
      <w:rPr>
        <w:rFonts w:cs="宋体"/>
        <w:kern w:val="0"/>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2C8668D"/>
    <w:multiLevelType w:val="multilevel"/>
    <w:tmpl w:val="02C8668D"/>
    <w:lvl w:ilvl="0" w:tentative="0">
      <w:start w:val="1"/>
      <w:numFmt w:val="decimal"/>
      <w:lvlText w:val="%1、"/>
      <w:lvlJc w:val="left"/>
      <w:pPr>
        <w:ind w:left="840" w:hanging="36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
    <w:nsid w:val="2A3E5280"/>
    <w:multiLevelType w:val="multilevel"/>
    <w:tmpl w:val="2A3E5280"/>
    <w:lvl w:ilvl="0" w:tentative="0">
      <w:start w:val="1"/>
      <w:numFmt w:val="decimal"/>
      <w:pStyle w:val="2"/>
      <w:lvlText w:val="第%1节"/>
      <w:lvlJc w:val="left"/>
      <w:pPr>
        <w:tabs>
          <w:tab w:val="left" w:pos="1134"/>
        </w:tabs>
        <w:ind w:left="1134" w:hanging="1134"/>
      </w:pPr>
      <w:rPr>
        <w:rFonts w:cs="Times New Roman"/>
        <w:b w:val="0"/>
        <w:bCs w:val="0"/>
        <w:i w:val="0"/>
        <w:iCs w:val="0"/>
        <w:caps w:val="0"/>
        <w:smallCaps w:val="0"/>
        <w:strike w:val="0"/>
        <w:dstrike w:val="0"/>
        <w:outline w:val="0"/>
        <w:shadow w:val="0"/>
        <w:emboss w:val="0"/>
        <w:imprint w:val="0"/>
        <w:vanish w:val="0"/>
        <w:spacing w:val="0"/>
        <w:position w:val="0"/>
        <w:u w:val="none"/>
        <w:vertAlign w:val="baseline"/>
      </w:rPr>
    </w:lvl>
    <w:lvl w:ilvl="1" w:tentative="0">
      <w:start w:val="1"/>
      <w:numFmt w:val="decimal"/>
      <w:pStyle w:val="3"/>
      <w:lvlText w:val="%1.%2"/>
      <w:lvlJc w:val="left"/>
      <w:pPr>
        <w:tabs>
          <w:tab w:val="left" w:pos="851"/>
        </w:tabs>
        <w:ind w:left="851" w:hanging="851"/>
      </w:pPr>
      <w:rPr>
        <w:rFonts w:hint="eastAsia" w:cs="Times New Roman"/>
        <w:b w:val="0"/>
        <w:bCs w:val="0"/>
        <w:i w:val="0"/>
        <w:iCs w:val="0"/>
        <w:caps w:val="0"/>
        <w:smallCaps w:val="0"/>
        <w:strike w:val="0"/>
        <w:dstrike w:val="0"/>
        <w:outline w:val="0"/>
        <w:shadow w:val="0"/>
        <w:emboss w:val="0"/>
        <w:imprint w:val="0"/>
        <w:vanish w:val="0"/>
        <w:spacing w:val="0"/>
        <w:position w:val="0"/>
        <w:u w:val="none"/>
        <w:vertAlign w:val="baseline"/>
      </w:rPr>
    </w:lvl>
    <w:lvl w:ilvl="2" w:tentative="0">
      <w:start w:val="1"/>
      <w:numFmt w:val="decimal"/>
      <w:pStyle w:val="4"/>
      <w:lvlText w:val="%1.%2.%3"/>
      <w:lvlJc w:val="left"/>
      <w:pPr>
        <w:tabs>
          <w:tab w:val="left" w:pos="1134"/>
        </w:tabs>
        <w:ind w:left="1134" w:hanging="1134"/>
      </w:pPr>
      <w:rPr>
        <w:rFonts w:hint="eastAsia" w:ascii="黑体" w:eastAsia="黑体"/>
        <w:sz w:val="28"/>
        <w:szCs w:val="28"/>
      </w:rPr>
    </w:lvl>
    <w:lvl w:ilvl="3" w:tentative="0">
      <w:start w:val="1"/>
      <w:numFmt w:val="decimal"/>
      <w:pStyle w:val="5"/>
      <w:lvlText w:val="%1.%2.%3.%4"/>
      <w:lvlJc w:val="left"/>
      <w:pPr>
        <w:tabs>
          <w:tab w:val="left" w:pos="1418"/>
        </w:tabs>
        <w:ind w:left="1418" w:hanging="1418"/>
      </w:pPr>
      <w:rPr>
        <w:rFonts w:hint="eastAsia" w:ascii="黑体" w:eastAsia="黑体" w:cs="Times New Roman"/>
        <w:b w:val="0"/>
        <w:bCs w:val="0"/>
        <w:i w:val="0"/>
        <w:iCs w:val="0"/>
        <w:caps w:val="0"/>
        <w:smallCaps w:val="0"/>
        <w:strike w:val="0"/>
        <w:dstrike w:val="0"/>
        <w:outline w:val="0"/>
        <w:shadow w:val="0"/>
        <w:emboss w:val="0"/>
        <w:imprint w:val="0"/>
        <w:vanish w:val="0"/>
        <w:spacing w:val="0"/>
        <w:position w:val="0"/>
        <w:sz w:val="24"/>
        <w:szCs w:val="24"/>
        <w:u w:val="none"/>
        <w:vertAlign w:val="baseline"/>
      </w:rPr>
    </w:lvl>
    <w:lvl w:ilvl="4" w:tentative="0">
      <w:start w:val="1"/>
      <w:numFmt w:val="decimal"/>
      <w:pStyle w:val="6"/>
      <w:lvlText w:val="%1.%2.%3.%4.%5"/>
      <w:lvlJc w:val="left"/>
      <w:pPr>
        <w:ind w:left="1008" w:hanging="1008"/>
      </w:pPr>
      <w:rPr>
        <w:rFonts w:hint="eastAsia"/>
      </w:rPr>
    </w:lvl>
    <w:lvl w:ilvl="5" w:tentative="0">
      <w:start w:val="1"/>
      <w:numFmt w:val="decimal"/>
      <w:pStyle w:val="7"/>
      <w:lvlText w:val="%1.%2.%3.%4.%5.%6"/>
      <w:lvlJc w:val="left"/>
      <w:pPr>
        <w:ind w:left="1152" w:hanging="1152"/>
      </w:pPr>
      <w:rPr>
        <w:rFonts w:hint="eastAsia"/>
      </w:rPr>
    </w:lvl>
    <w:lvl w:ilvl="6" w:tentative="0">
      <w:start w:val="1"/>
      <w:numFmt w:val="decimal"/>
      <w:pStyle w:val="8"/>
      <w:lvlText w:val="%1.%2.%3.%4.%5.%6.%7"/>
      <w:lvlJc w:val="left"/>
      <w:pPr>
        <w:ind w:left="1296" w:hanging="1296"/>
      </w:pPr>
      <w:rPr>
        <w:rFonts w:hint="eastAsia"/>
      </w:rPr>
    </w:lvl>
    <w:lvl w:ilvl="7" w:tentative="0">
      <w:start w:val="1"/>
      <w:numFmt w:val="decimal"/>
      <w:pStyle w:val="9"/>
      <w:lvlText w:val="%1.%2.%3.%4.%5.%6.%7.%8"/>
      <w:lvlJc w:val="left"/>
      <w:pPr>
        <w:ind w:left="1440" w:hanging="1440"/>
      </w:pPr>
      <w:rPr>
        <w:rFonts w:hint="eastAsia"/>
      </w:rPr>
    </w:lvl>
    <w:lvl w:ilvl="8" w:tentative="0">
      <w:start w:val="1"/>
      <w:numFmt w:val="decimal"/>
      <w:pStyle w:val="10"/>
      <w:lvlText w:val="%1.%2.%3.%4.%5.%6.%7.%8.%9"/>
      <w:lvlJc w:val="left"/>
      <w:pPr>
        <w:ind w:left="1584" w:hanging="1584"/>
      </w:pPr>
      <w:rPr>
        <w:rFonts w:hint="eastAsia"/>
      </w:rPr>
    </w:lvl>
  </w:abstractNum>
  <w:abstractNum w:abstractNumId="2">
    <w:nsid w:val="5A43656E"/>
    <w:multiLevelType w:val="singleLevel"/>
    <w:tmpl w:val="5A43656E"/>
    <w:lvl w:ilvl="0" w:tentative="0">
      <w:start w:val="1"/>
      <w:numFmt w:val="decimal"/>
      <w:suff w:val="nothing"/>
      <w:lvlText w:val="（%1）"/>
      <w:lvlJc w:val="left"/>
    </w:lvl>
  </w:abstractNum>
  <w:abstractNum w:abstractNumId="3">
    <w:nsid w:val="5A436838"/>
    <w:multiLevelType w:val="singleLevel"/>
    <w:tmpl w:val="5A436838"/>
    <w:lvl w:ilvl="0" w:tentative="0">
      <w:start w:val="1"/>
      <w:numFmt w:val="decimal"/>
      <w:suff w:val="nothing"/>
      <w:lvlText w:val="（%1）"/>
      <w:lvlJc w:val="left"/>
    </w:lvl>
  </w:abstractNum>
  <w:num w:numId="1">
    <w:abstractNumId w:val="1"/>
  </w:num>
  <w:num w:numId="2">
    <w:abstractNumId w:val="0"/>
  </w:num>
  <w:num w:numId="3">
    <w:abstractNumId w:val="2"/>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40"/>
  <w:bordersDoNotSurroundHeader w:val="1"/>
  <w:bordersDoNotSurroundFooter w:val="1"/>
  <w:hideSpellingErrors/>
  <w:doNotTrackMoves/>
  <w:attachedTemplate r:id="rId1"/>
  <w:documentProtection w:enforcement="0"/>
  <w:defaultTabStop w:val="420"/>
  <w:drawingGridHorizontalSpacing w:val="120"/>
  <w:drawingGridVerticalSpacing w:val="163"/>
  <w:displayHorizontalDrawingGridEvery w:val="0"/>
  <w:displayVerticalDrawingGridEvery w:val="2"/>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WZiZjEyMzNmZDRlZjk1ZGU0MTBjODY0ZWFmOWE3ZmMifQ=="/>
  </w:docVars>
  <w:rsids>
    <w:rsidRoot w:val="00614F99"/>
    <w:rsid w:val="00006905"/>
    <w:rsid w:val="00006B1B"/>
    <w:rsid w:val="00007963"/>
    <w:rsid w:val="0001102B"/>
    <w:rsid w:val="000219DB"/>
    <w:rsid w:val="00022ABB"/>
    <w:rsid w:val="00023EE2"/>
    <w:rsid w:val="000256D5"/>
    <w:rsid w:val="00027A30"/>
    <w:rsid w:val="00032071"/>
    <w:rsid w:val="00032603"/>
    <w:rsid w:val="000335C1"/>
    <w:rsid w:val="0003538A"/>
    <w:rsid w:val="00037CF4"/>
    <w:rsid w:val="000423C0"/>
    <w:rsid w:val="00042B43"/>
    <w:rsid w:val="00044DD1"/>
    <w:rsid w:val="00046241"/>
    <w:rsid w:val="0004753B"/>
    <w:rsid w:val="00051C05"/>
    <w:rsid w:val="00052659"/>
    <w:rsid w:val="0005350D"/>
    <w:rsid w:val="00054D4C"/>
    <w:rsid w:val="00055086"/>
    <w:rsid w:val="00055392"/>
    <w:rsid w:val="00055F27"/>
    <w:rsid w:val="000567FC"/>
    <w:rsid w:val="00056AE3"/>
    <w:rsid w:val="00056EEA"/>
    <w:rsid w:val="0005701D"/>
    <w:rsid w:val="00057229"/>
    <w:rsid w:val="00060B5E"/>
    <w:rsid w:val="000666D4"/>
    <w:rsid w:val="000715F7"/>
    <w:rsid w:val="00073510"/>
    <w:rsid w:val="00073A06"/>
    <w:rsid w:val="00075D5E"/>
    <w:rsid w:val="00075FF1"/>
    <w:rsid w:val="000763EA"/>
    <w:rsid w:val="00076886"/>
    <w:rsid w:val="00076DCC"/>
    <w:rsid w:val="0008233E"/>
    <w:rsid w:val="000825BA"/>
    <w:rsid w:val="0008423D"/>
    <w:rsid w:val="00085FB4"/>
    <w:rsid w:val="0009168C"/>
    <w:rsid w:val="00092C99"/>
    <w:rsid w:val="000935A0"/>
    <w:rsid w:val="00094458"/>
    <w:rsid w:val="0009493A"/>
    <w:rsid w:val="00094C81"/>
    <w:rsid w:val="000A435E"/>
    <w:rsid w:val="000A6D85"/>
    <w:rsid w:val="000A72A5"/>
    <w:rsid w:val="000B100E"/>
    <w:rsid w:val="000B35CA"/>
    <w:rsid w:val="000B39F6"/>
    <w:rsid w:val="000B6744"/>
    <w:rsid w:val="000B6F33"/>
    <w:rsid w:val="000C03E3"/>
    <w:rsid w:val="000C0DED"/>
    <w:rsid w:val="000C177D"/>
    <w:rsid w:val="000C46BD"/>
    <w:rsid w:val="000C52A8"/>
    <w:rsid w:val="000C55C6"/>
    <w:rsid w:val="000C597C"/>
    <w:rsid w:val="000D0470"/>
    <w:rsid w:val="000D116C"/>
    <w:rsid w:val="000D365C"/>
    <w:rsid w:val="000D4462"/>
    <w:rsid w:val="000D4535"/>
    <w:rsid w:val="000D5177"/>
    <w:rsid w:val="000D6E8D"/>
    <w:rsid w:val="000E30E9"/>
    <w:rsid w:val="000E47BA"/>
    <w:rsid w:val="000E4C2B"/>
    <w:rsid w:val="000E52B3"/>
    <w:rsid w:val="000E79FA"/>
    <w:rsid w:val="000E7E3C"/>
    <w:rsid w:val="000F042F"/>
    <w:rsid w:val="000F2654"/>
    <w:rsid w:val="000F289C"/>
    <w:rsid w:val="000F2CB6"/>
    <w:rsid w:val="000F4962"/>
    <w:rsid w:val="000F5337"/>
    <w:rsid w:val="0010145C"/>
    <w:rsid w:val="0010276D"/>
    <w:rsid w:val="00102DCF"/>
    <w:rsid w:val="00104ABF"/>
    <w:rsid w:val="00105C7E"/>
    <w:rsid w:val="001060A4"/>
    <w:rsid w:val="001079CE"/>
    <w:rsid w:val="001148C6"/>
    <w:rsid w:val="00114D36"/>
    <w:rsid w:val="00114FDB"/>
    <w:rsid w:val="00117084"/>
    <w:rsid w:val="00117152"/>
    <w:rsid w:val="00117244"/>
    <w:rsid w:val="001203A9"/>
    <w:rsid w:val="0012040A"/>
    <w:rsid w:val="001212D9"/>
    <w:rsid w:val="00123552"/>
    <w:rsid w:val="00124280"/>
    <w:rsid w:val="00125B28"/>
    <w:rsid w:val="00125E71"/>
    <w:rsid w:val="0012773D"/>
    <w:rsid w:val="001277E0"/>
    <w:rsid w:val="001300FD"/>
    <w:rsid w:val="00130E3F"/>
    <w:rsid w:val="00131195"/>
    <w:rsid w:val="001316D2"/>
    <w:rsid w:val="00131DDE"/>
    <w:rsid w:val="00131FBB"/>
    <w:rsid w:val="001334B7"/>
    <w:rsid w:val="001356C7"/>
    <w:rsid w:val="00135F17"/>
    <w:rsid w:val="001452FC"/>
    <w:rsid w:val="00145385"/>
    <w:rsid w:val="001453B9"/>
    <w:rsid w:val="00147ACF"/>
    <w:rsid w:val="00151ACE"/>
    <w:rsid w:val="00152494"/>
    <w:rsid w:val="00152DAC"/>
    <w:rsid w:val="001549FD"/>
    <w:rsid w:val="00154CAB"/>
    <w:rsid w:val="00164F48"/>
    <w:rsid w:val="00165CF7"/>
    <w:rsid w:val="00165F5B"/>
    <w:rsid w:val="00170273"/>
    <w:rsid w:val="00173AA6"/>
    <w:rsid w:val="00173D77"/>
    <w:rsid w:val="00174A53"/>
    <w:rsid w:val="00174B5E"/>
    <w:rsid w:val="0018016C"/>
    <w:rsid w:val="0018039E"/>
    <w:rsid w:val="00180F20"/>
    <w:rsid w:val="0018235D"/>
    <w:rsid w:val="00184E19"/>
    <w:rsid w:val="00190261"/>
    <w:rsid w:val="001956C7"/>
    <w:rsid w:val="00196D95"/>
    <w:rsid w:val="00197461"/>
    <w:rsid w:val="001A31F2"/>
    <w:rsid w:val="001A466A"/>
    <w:rsid w:val="001A547B"/>
    <w:rsid w:val="001A5E3C"/>
    <w:rsid w:val="001B0DA0"/>
    <w:rsid w:val="001B10ED"/>
    <w:rsid w:val="001B2A19"/>
    <w:rsid w:val="001B2B96"/>
    <w:rsid w:val="001B719D"/>
    <w:rsid w:val="001C1961"/>
    <w:rsid w:val="001C6431"/>
    <w:rsid w:val="001C6717"/>
    <w:rsid w:val="001C7F28"/>
    <w:rsid w:val="001D2905"/>
    <w:rsid w:val="001D4E6C"/>
    <w:rsid w:val="001D5B8C"/>
    <w:rsid w:val="001D62EA"/>
    <w:rsid w:val="001E00A1"/>
    <w:rsid w:val="001E1D8A"/>
    <w:rsid w:val="001E3321"/>
    <w:rsid w:val="001E39E0"/>
    <w:rsid w:val="001E3D78"/>
    <w:rsid w:val="001E416C"/>
    <w:rsid w:val="001E636D"/>
    <w:rsid w:val="001F33E6"/>
    <w:rsid w:val="001F36F8"/>
    <w:rsid w:val="001F489B"/>
    <w:rsid w:val="001F66C1"/>
    <w:rsid w:val="001F7900"/>
    <w:rsid w:val="001F7B88"/>
    <w:rsid w:val="0020167F"/>
    <w:rsid w:val="00201EF6"/>
    <w:rsid w:val="00202018"/>
    <w:rsid w:val="00203A47"/>
    <w:rsid w:val="00203EC3"/>
    <w:rsid w:val="002042E4"/>
    <w:rsid w:val="00210873"/>
    <w:rsid w:val="002112A9"/>
    <w:rsid w:val="00212025"/>
    <w:rsid w:val="0021433E"/>
    <w:rsid w:val="0021476D"/>
    <w:rsid w:val="00215148"/>
    <w:rsid w:val="0021654F"/>
    <w:rsid w:val="00220325"/>
    <w:rsid w:val="0022195E"/>
    <w:rsid w:val="002225FF"/>
    <w:rsid w:val="002242BD"/>
    <w:rsid w:val="00225E4B"/>
    <w:rsid w:val="00231720"/>
    <w:rsid w:val="00231F4C"/>
    <w:rsid w:val="00232EB2"/>
    <w:rsid w:val="002353B9"/>
    <w:rsid w:val="00245905"/>
    <w:rsid w:val="0024770F"/>
    <w:rsid w:val="00251045"/>
    <w:rsid w:val="00251F44"/>
    <w:rsid w:val="00251F85"/>
    <w:rsid w:val="00254F6F"/>
    <w:rsid w:val="00255AB2"/>
    <w:rsid w:val="0026098E"/>
    <w:rsid w:val="00261A89"/>
    <w:rsid w:val="0026261C"/>
    <w:rsid w:val="00262E1A"/>
    <w:rsid w:val="002630B5"/>
    <w:rsid w:val="0026345B"/>
    <w:rsid w:val="00263C41"/>
    <w:rsid w:val="00264732"/>
    <w:rsid w:val="0026621C"/>
    <w:rsid w:val="00273B0F"/>
    <w:rsid w:val="00275C60"/>
    <w:rsid w:val="00276DAA"/>
    <w:rsid w:val="00277A85"/>
    <w:rsid w:val="00277A91"/>
    <w:rsid w:val="00280BCD"/>
    <w:rsid w:val="0028278D"/>
    <w:rsid w:val="00283365"/>
    <w:rsid w:val="00284CCC"/>
    <w:rsid w:val="00285922"/>
    <w:rsid w:val="002860A3"/>
    <w:rsid w:val="0028666C"/>
    <w:rsid w:val="00290500"/>
    <w:rsid w:val="00291C22"/>
    <w:rsid w:val="00294AF2"/>
    <w:rsid w:val="002A00E5"/>
    <w:rsid w:val="002A1EFC"/>
    <w:rsid w:val="002A23A8"/>
    <w:rsid w:val="002A429E"/>
    <w:rsid w:val="002A799D"/>
    <w:rsid w:val="002B1103"/>
    <w:rsid w:val="002B1443"/>
    <w:rsid w:val="002B6BF8"/>
    <w:rsid w:val="002C0D24"/>
    <w:rsid w:val="002C2167"/>
    <w:rsid w:val="002C5CB1"/>
    <w:rsid w:val="002D6221"/>
    <w:rsid w:val="002D6641"/>
    <w:rsid w:val="002E04C8"/>
    <w:rsid w:val="002E413C"/>
    <w:rsid w:val="002E7C0D"/>
    <w:rsid w:val="002F4CA4"/>
    <w:rsid w:val="002F5D16"/>
    <w:rsid w:val="002F6C18"/>
    <w:rsid w:val="003010C6"/>
    <w:rsid w:val="00301B7C"/>
    <w:rsid w:val="00303F17"/>
    <w:rsid w:val="00304BEF"/>
    <w:rsid w:val="003057B6"/>
    <w:rsid w:val="00305C67"/>
    <w:rsid w:val="0030614B"/>
    <w:rsid w:val="0031033A"/>
    <w:rsid w:val="00311C9D"/>
    <w:rsid w:val="0031340A"/>
    <w:rsid w:val="00313778"/>
    <w:rsid w:val="00314DE5"/>
    <w:rsid w:val="00315432"/>
    <w:rsid w:val="00315A1E"/>
    <w:rsid w:val="00316309"/>
    <w:rsid w:val="0031765B"/>
    <w:rsid w:val="003209D2"/>
    <w:rsid w:val="00323770"/>
    <w:rsid w:val="003264B7"/>
    <w:rsid w:val="00327076"/>
    <w:rsid w:val="00327819"/>
    <w:rsid w:val="003306D9"/>
    <w:rsid w:val="00330F2E"/>
    <w:rsid w:val="00331A61"/>
    <w:rsid w:val="003366B7"/>
    <w:rsid w:val="00337C9C"/>
    <w:rsid w:val="003405EF"/>
    <w:rsid w:val="00341774"/>
    <w:rsid w:val="00351768"/>
    <w:rsid w:val="00352A7E"/>
    <w:rsid w:val="00353C00"/>
    <w:rsid w:val="00353DE0"/>
    <w:rsid w:val="00353EE8"/>
    <w:rsid w:val="00353F33"/>
    <w:rsid w:val="0035428B"/>
    <w:rsid w:val="003546EE"/>
    <w:rsid w:val="0035476D"/>
    <w:rsid w:val="00356739"/>
    <w:rsid w:val="003569A7"/>
    <w:rsid w:val="00361CC6"/>
    <w:rsid w:val="00362A95"/>
    <w:rsid w:val="00362BC9"/>
    <w:rsid w:val="00363672"/>
    <w:rsid w:val="00363BFD"/>
    <w:rsid w:val="00363EE4"/>
    <w:rsid w:val="003642D7"/>
    <w:rsid w:val="003664D7"/>
    <w:rsid w:val="00366CC5"/>
    <w:rsid w:val="00367409"/>
    <w:rsid w:val="00370603"/>
    <w:rsid w:val="0037094E"/>
    <w:rsid w:val="00372AB4"/>
    <w:rsid w:val="00373998"/>
    <w:rsid w:val="00374871"/>
    <w:rsid w:val="00377AB0"/>
    <w:rsid w:val="00381424"/>
    <w:rsid w:val="0038262C"/>
    <w:rsid w:val="00384888"/>
    <w:rsid w:val="00386CD7"/>
    <w:rsid w:val="00387562"/>
    <w:rsid w:val="00387746"/>
    <w:rsid w:val="0038799F"/>
    <w:rsid w:val="00390465"/>
    <w:rsid w:val="00390912"/>
    <w:rsid w:val="00390F89"/>
    <w:rsid w:val="00391B8F"/>
    <w:rsid w:val="00393200"/>
    <w:rsid w:val="003939D0"/>
    <w:rsid w:val="0039405B"/>
    <w:rsid w:val="00394134"/>
    <w:rsid w:val="00394A8E"/>
    <w:rsid w:val="0039543A"/>
    <w:rsid w:val="00396FB2"/>
    <w:rsid w:val="00397047"/>
    <w:rsid w:val="003A040D"/>
    <w:rsid w:val="003A0B86"/>
    <w:rsid w:val="003A3BA3"/>
    <w:rsid w:val="003A504B"/>
    <w:rsid w:val="003A71F9"/>
    <w:rsid w:val="003B35B2"/>
    <w:rsid w:val="003B460E"/>
    <w:rsid w:val="003B56F5"/>
    <w:rsid w:val="003B5E2B"/>
    <w:rsid w:val="003B6B7C"/>
    <w:rsid w:val="003C059E"/>
    <w:rsid w:val="003C0B02"/>
    <w:rsid w:val="003C0BE1"/>
    <w:rsid w:val="003C1A43"/>
    <w:rsid w:val="003C26BE"/>
    <w:rsid w:val="003C2BF2"/>
    <w:rsid w:val="003D0B17"/>
    <w:rsid w:val="003D10A1"/>
    <w:rsid w:val="003D47B8"/>
    <w:rsid w:val="003D5196"/>
    <w:rsid w:val="003E0069"/>
    <w:rsid w:val="003E030A"/>
    <w:rsid w:val="003E419A"/>
    <w:rsid w:val="003E5D64"/>
    <w:rsid w:val="003E61D5"/>
    <w:rsid w:val="003F3375"/>
    <w:rsid w:val="003F46EB"/>
    <w:rsid w:val="003F4A87"/>
    <w:rsid w:val="003F4B02"/>
    <w:rsid w:val="003F4C84"/>
    <w:rsid w:val="003F4F84"/>
    <w:rsid w:val="003F677A"/>
    <w:rsid w:val="00401853"/>
    <w:rsid w:val="00401EF9"/>
    <w:rsid w:val="00405AE5"/>
    <w:rsid w:val="00407073"/>
    <w:rsid w:val="00407E8F"/>
    <w:rsid w:val="004130C9"/>
    <w:rsid w:val="0042152F"/>
    <w:rsid w:val="00422023"/>
    <w:rsid w:val="0042475D"/>
    <w:rsid w:val="004257FD"/>
    <w:rsid w:val="00426B61"/>
    <w:rsid w:val="00435AD5"/>
    <w:rsid w:val="004361D7"/>
    <w:rsid w:val="004366A4"/>
    <w:rsid w:val="00441B19"/>
    <w:rsid w:val="00444FBC"/>
    <w:rsid w:val="00445301"/>
    <w:rsid w:val="00453170"/>
    <w:rsid w:val="0045380D"/>
    <w:rsid w:val="0045385F"/>
    <w:rsid w:val="0045719E"/>
    <w:rsid w:val="004626D2"/>
    <w:rsid w:val="004653FF"/>
    <w:rsid w:val="00465517"/>
    <w:rsid w:val="004662E9"/>
    <w:rsid w:val="00472828"/>
    <w:rsid w:val="00472869"/>
    <w:rsid w:val="00472945"/>
    <w:rsid w:val="00473F19"/>
    <w:rsid w:val="004750DF"/>
    <w:rsid w:val="004801CA"/>
    <w:rsid w:val="00482E44"/>
    <w:rsid w:val="00485707"/>
    <w:rsid w:val="00485728"/>
    <w:rsid w:val="0048592A"/>
    <w:rsid w:val="00486E61"/>
    <w:rsid w:val="00486FF0"/>
    <w:rsid w:val="00492E9C"/>
    <w:rsid w:val="004965ED"/>
    <w:rsid w:val="0049704B"/>
    <w:rsid w:val="004A1745"/>
    <w:rsid w:val="004A1991"/>
    <w:rsid w:val="004A1B0C"/>
    <w:rsid w:val="004A3439"/>
    <w:rsid w:val="004A5787"/>
    <w:rsid w:val="004B1CEB"/>
    <w:rsid w:val="004B2117"/>
    <w:rsid w:val="004B406B"/>
    <w:rsid w:val="004B47D6"/>
    <w:rsid w:val="004B68E6"/>
    <w:rsid w:val="004C0366"/>
    <w:rsid w:val="004C399D"/>
    <w:rsid w:val="004C3F40"/>
    <w:rsid w:val="004C4888"/>
    <w:rsid w:val="004C5912"/>
    <w:rsid w:val="004C7E8C"/>
    <w:rsid w:val="004D023F"/>
    <w:rsid w:val="004D2335"/>
    <w:rsid w:val="004D2D9F"/>
    <w:rsid w:val="004D3CC8"/>
    <w:rsid w:val="004D496F"/>
    <w:rsid w:val="004D5F1E"/>
    <w:rsid w:val="004D66C6"/>
    <w:rsid w:val="004E2642"/>
    <w:rsid w:val="004E5703"/>
    <w:rsid w:val="004E607C"/>
    <w:rsid w:val="004F1F00"/>
    <w:rsid w:val="004F273B"/>
    <w:rsid w:val="004F2F11"/>
    <w:rsid w:val="004F37B2"/>
    <w:rsid w:val="004F4BDF"/>
    <w:rsid w:val="004F4C50"/>
    <w:rsid w:val="004F6ADB"/>
    <w:rsid w:val="004F7940"/>
    <w:rsid w:val="0050022D"/>
    <w:rsid w:val="00500730"/>
    <w:rsid w:val="00500BC8"/>
    <w:rsid w:val="005020AE"/>
    <w:rsid w:val="00502212"/>
    <w:rsid w:val="005047E5"/>
    <w:rsid w:val="0050594C"/>
    <w:rsid w:val="00510227"/>
    <w:rsid w:val="005128B0"/>
    <w:rsid w:val="00512E2C"/>
    <w:rsid w:val="00515ACF"/>
    <w:rsid w:val="00516CDB"/>
    <w:rsid w:val="00516FD3"/>
    <w:rsid w:val="00520168"/>
    <w:rsid w:val="005244DE"/>
    <w:rsid w:val="00525739"/>
    <w:rsid w:val="00525829"/>
    <w:rsid w:val="005261F1"/>
    <w:rsid w:val="00533016"/>
    <w:rsid w:val="005331BB"/>
    <w:rsid w:val="005358ED"/>
    <w:rsid w:val="00535F2B"/>
    <w:rsid w:val="005361B9"/>
    <w:rsid w:val="005367BA"/>
    <w:rsid w:val="005423CA"/>
    <w:rsid w:val="005437E8"/>
    <w:rsid w:val="00544943"/>
    <w:rsid w:val="00546523"/>
    <w:rsid w:val="00546A73"/>
    <w:rsid w:val="0054748F"/>
    <w:rsid w:val="00552F2F"/>
    <w:rsid w:val="005532C7"/>
    <w:rsid w:val="00553FE3"/>
    <w:rsid w:val="00554EA8"/>
    <w:rsid w:val="005574B4"/>
    <w:rsid w:val="00560AC2"/>
    <w:rsid w:val="00560E41"/>
    <w:rsid w:val="0056228A"/>
    <w:rsid w:val="00563A39"/>
    <w:rsid w:val="00563C7E"/>
    <w:rsid w:val="005718FB"/>
    <w:rsid w:val="005733BF"/>
    <w:rsid w:val="00573D37"/>
    <w:rsid w:val="00573E24"/>
    <w:rsid w:val="00574C84"/>
    <w:rsid w:val="00575D69"/>
    <w:rsid w:val="0058277A"/>
    <w:rsid w:val="00584497"/>
    <w:rsid w:val="00584BA6"/>
    <w:rsid w:val="005854EA"/>
    <w:rsid w:val="005864FD"/>
    <w:rsid w:val="00587557"/>
    <w:rsid w:val="00587C4A"/>
    <w:rsid w:val="00591279"/>
    <w:rsid w:val="00591A39"/>
    <w:rsid w:val="00591C53"/>
    <w:rsid w:val="005920BD"/>
    <w:rsid w:val="00595029"/>
    <w:rsid w:val="00595100"/>
    <w:rsid w:val="00597777"/>
    <w:rsid w:val="0059789C"/>
    <w:rsid w:val="005A068C"/>
    <w:rsid w:val="005A134F"/>
    <w:rsid w:val="005A6AB0"/>
    <w:rsid w:val="005A7B3A"/>
    <w:rsid w:val="005B04C2"/>
    <w:rsid w:val="005B1368"/>
    <w:rsid w:val="005B272E"/>
    <w:rsid w:val="005B4618"/>
    <w:rsid w:val="005B5C24"/>
    <w:rsid w:val="005B77D6"/>
    <w:rsid w:val="005B7AD3"/>
    <w:rsid w:val="005C1303"/>
    <w:rsid w:val="005C2C8A"/>
    <w:rsid w:val="005C54FD"/>
    <w:rsid w:val="005C559A"/>
    <w:rsid w:val="005C71BC"/>
    <w:rsid w:val="005C797B"/>
    <w:rsid w:val="005C79FE"/>
    <w:rsid w:val="005D3123"/>
    <w:rsid w:val="005D6E21"/>
    <w:rsid w:val="005E2565"/>
    <w:rsid w:val="005E2D7D"/>
    <w:rsid w:val="005E3AD2"/>
    <w:rsid w:val="005E4CD8"/>
    <w:rsid w:val="005E6050"/>
    <w:rsid w:val="005E6596"/>
    <w:rsid w:val="005E68CA"/>
    <w:rsid w:val="005E76B8"/>
    <w:rsid w:val="005E77C0"/>
    <w:rsid w:val="005E7F9C"/>
    <w:rsid w:val="005F06E0"/>
    <w:rsid w:val="005F2A1D"/>
    <w:rsid w:val="005F31E3"/>
    <w:rsid w:val="005F43D3"/>
    <w:rsid w:val="00600172"/>
    <w:rsid w:val="006006B6"/>
    <w:rsid w:val="00600704"/>
    <w:rsid w:val="00601B91"/>
    <w:rsid w:val="0060343D"/>
    <w:rsid w:val="00603717"/>
    <w:rsid w:val="006050B1"/>
    <w:rsid w:val="00607066"/>
    <w:rsid w:val="00612230"/>
    <w:rsid w:val="00612770"/>
    <w:rsid w:val="00612ACB"/>
    <w:rsid w:val="006130FA"/>
    <w:rsid w:val="00614F99"/>
    <w:rsid w:val="00615180"/>
    <w:rsid w:val="00615B60"/>
    <w:rsid w:val="0061774A"/>
    <w:rsid w:val="006179B2"/>
    <w:rsid w:val="00625A09"/>
    <w:rsid w:val="00625D8C"/>
    <w:rsid w:val="006263D3"/>
    <w:rsid w:val="006267D9"/>
    <w:rsid w:val="00627977"/>
    <w:rsid w:val="006322FE"/>
    <w:rsid w:val="00633526"/>
    <w:rsid w:val="00633BE7"/>
    <w:rsid w:val="00637F1C"/>
    <w:rsid w:val="00640C63"/>
    <w:rsid w:val="00641126"/>
    <w:rsid w:val="006426BA"/>
    <w:rsid w:val="006433B1"/>
    <w:rsid w:val="0064458D"/>
    <w:rsid w:val="00645BE0"/>
    <w:rsid w:val="00646F5D"/>
    <w:rsid w:val="00647813"/>
    <w:rsid w:val="0065121B"/>
    <w:rsid w:val="00651285"/>
    <w:rsid w:val="00652CB6"/>
    <w:rsid w:val="006531E8"/>
    <w:rsid w:val="00660A75"/>
    <w:rsid w:val="0066224E"/>
    <w:rsid w:val="00662706"/>
    <w:rsid w:val="00664706"/>
    <w:rsid w:val="00670A51"/>
    <w:rsid w:val="00671B78"/>
    <w:rsid w:val="0067267A"/>
    <w:rsid w:val="006762D2"/>
    <w:rsid w:val="00676C31"/>
    <w:rsid w:val="0067711B"/>
    <w:rsid w:val="006776D1"/>
    <w:rsid w:val="0068117C"/>
    <w:rsid w:val="00686683"/>
    <w:rsid w:val="00686A32"/>
    <w:rsid w:val="00687DAF"/>
    <w:rsid w:val="00690208"/>
    <w:rsid w:val="00691172"/>
    <w:rsid w:val="00693B4F"/>
    <w:rsid w:val="00694275"/>
    <w:rsid w:val="00694A3C"/>
    <w:rsid w:val="00694AD3"/>
    <w:rsid w:val="006954C0"/>
    <w:rsid w:val="00695B1E"/>
    <w:rsid w:val="00696925"/>
    <w:rsid w:val="006A02EE"/>
    <w:rsid w:val="006A0D07"/>
    <w:rsid w:val="006A1DB6"/>
    <w:rsid w:val="006A231B"/>
    <w:rsid w:val="006A43BF"/>
    <w:rsid w:val="006A600B"/>
    <w:rsid w:val="006B24C9"/>
    <w:rsid w:val="006B4853"/>
    <w:rsid w:val="006B572A"/>
    <w:rsid w:val="006B58B3"/>
    <w:rsid w:val="006B6A14"/>
    <w:rsid w:val="006B6A6F"/>
    <w:rsid w:val="006C0010"/>
    <w:rsid w:val="006C00CB"/>
    <w:rsid w:val="006C593D"/>
    <w:rsid w:val="006C6D2A"/>
    <w:rsid w:val="006C7A7B"/>
    <w:rsid w:val="006D0492"/>
    <w:rsid w:val="006E3E41"/>
    <w:rsid w:val="006F06D3"/>
    <w:rsid w:val="006F5761"/>
    <w:rsid w:val="006F627D"/>
    <w:rsid w:val="007042F3"/>
    <w:rsid w:val="007059BB"/>
    <w:rsid w:val="007069E1"/>
    <w:rsid w:val="00707940"/>
    <w:rsid w:val="0071003D"/>
    <w:rsid w:val="007103AB"/>
    <w:rsid w:val="00711CE7"/>
    <w:rsid w:val="007129D2"/>
    <w:rsid w:val="00713F1F"/>
    <w:rsid w:val="00715FA3"/>
    <w:rsid w:val="00716503"/>
    <w:rsid w:val="00717823"/>
    <w:rsid w:val="00721201"/>
    <w:rsid w:val="00730070"/>
    <w:rsid w:val="00730A30"/>
    <w:rsid w:val="00730BFB"/>
    <w:rsid w:val="0073477D"/>
    <w:rsid w:val="0073518A"/>
    <w:rsid w:val="00736052"/>
    <w:rsid w:val="00736536"/>
    <w:rsid w:val="007424CA"/>
    <w:rsid w:val="00742A80"/>
    <w:rsid w:val="00743AE0"/>
    <w:rsid w:val="00745973"/>
    <w:rsid w:val="0074772B"/>
    <w:rsid w:val="00747AE2"/>
    <w:rsid w:val="007528D4"/>
    <w:rsid w:val="00753B5F"/>
    <w:rsid w:val="00755469"/>
    <w:rsid w:val="0075625D"/>
    <w:rsid w:val="00756AD4"/>
    <w:rsid w:val="00760B46"/>
    <w:rsid w:val="00760DDC"/>
    <w:rsid w:val="00762299"/>
    <w:rsid w:val="0076375F"/>
    <w:rsid w:val="007672E5"/>
    <w:rsid w:val="00771BC9"/>
    <w:rsid w:val="007752CA"/>
    <w:rsid w:val="00780269"/>
    <w:rsid w:val="00781D38"/>
    <w:rsid w:val="00781F86"/>
    <w:rsid w:val="00783AD4"/>
    <w:rsid w:val="00783E05"/>
    <w:rsid w:val="00785D64"/>
    <w:rsid w:val="00786366"/>
    <w:rsid w:val="00791358"/>
    <w:rsid w:val="00791C8D"/>
    <w:rsid w:val="00796657"/>
    <w:rsid w:val="007A1CAD"/>
    <w:rsid w:val="007A2EEE"/>
    <w:rsid w:val="007A4430"/>
    <w:rsid w:val="007A4F46"/>
    <w:rsid w:val="007A60DB"/>
    <w:rsid w:val="007A6380"/>
    <w:rsid w:val="007A6B01"/>
    <w:rsid w:val="007B190A"/>
    <w:rsid w:val="007B2712"/>
    <w:rsid w:val="007B2B1F"/>
    <w:rsid w:val="007B2BC3"/>
    <w:rsid w:val="007B6620"/>
    <w:rsid w:val="007B6D9C"/>
    <w:rsid w:val="007C30F5"/>
    <w:rsid w:val="007C4697"/>
    <w:rsid w:val="007D1374"/>
    <w:rsid w:val="007D2004"/>
    <w:rsid w:val="007D2547"/>
    <w:rsid w:val="007D4C93"/>
    <w:rsid w:val="007D6760"/>
    <w:rsid w:val="007E1573"/>
    <w:rsid w:val="007E31C4"/>
    <w:rsid w:val="007E7130"/>
    <w:rsid w:val="007F02E2"/>
    <w:rsid w:val="007F13CB"/>
    <w:rsid w:val="007F402E"/>
    <w:rsid w:val="007F4F4D"/>
    <w:rsid w:val="007F53CF"/>
    <w:rsid w:val="007F555C"/>
    <w:rsid w:val="008039FF"/>
    <w:rsid w:val="00805139"/>
    <w:rsid w:val="00810ACD"/>
    <w:rsid w:val="00810DD2"/>
    <w:rsid w:val="00811EF2"/>
    <w:rsid w:val="00816302"/>
    <w:rsid w:val="00817CC4"/>
    <w:rsid w:val="0082161F"/>
    <w:rsid w:val="00825661"/>
    <w:rsid w:val="008265B5"/>
    <w:rsid w:val="00827F7C"/>
    <w:rsid w:val="00834E76"/>
    <w:rsid w:val="008357A8"/>
    <w:rsid w:val="00840015"/>
    <w:rsid w:val="00841AA8"/>
    <w:rsid w:val="008435B1"/>
    <w:rsid w:val="00843C7B"/>
    <w:rsid w:val="00843F59"/>
    <w:rsid w:val="008449AB"/>
    <w:rsid w:val="008451CD"/>
    <w:rsid w:val="0084696C"/>
    <w:rsid w:val="0084795F"/>
    <w:rsid w:val="008500DD"/>
    <w:rsid w:val="00851B32"/>
    <w:rsid w:val="0085497C"/>
    <w:rsid w:val="00864BCD"/>
    <w:rsid w:val="00864BFA"/>
    <w:rsid w:val="00865402"/>
    <w:rsid w:val="008656EE"/>
    <w:rsid w:val="00871E4A"/>
    <w:rsid w:val="00872112"/>
    <w:rsid w:val="00872B3B"/>
    <w:rsid w:val="00872FE2"/>
    <w:rsid w:val="008733F2"/>
    <w:rsid w:val="008750D7"/>
    <w:rsid w:val="00881737"/>
    <w:rsid w:val="008845C5"/>
    <w:rsid w:val="00885240"/>
    <w:rsid w:val="0088574B"/>
    <w:rsid w:val="008915B7"/>
    <w:rsid w:val="00891B08"/>
    <w:rsid w:val="00896D0C"/>
    <w:rsid w:val="008A0C0E"/>
    <w:rsid w:val="008A7C27"/>
    <w:rsid w:val="008B0B38"/>
    <w:rsid w:val="008B17EE"/>
    <w:rsid w:val="008B4E1C"/>
    <w:rsid w:val="008B5F2B"/>
    <w:rsid w:val="008B6975"/>
    <w:rsid w:val="008C15DD"/>
    <w:rsid w:val="008C1ED1"/>
    <w:rsid w:val="008C5449"/>
    <w:rsid w:val="008C56B5"/>
    <w:rsid w:val="008C7EA2"/>
    <w:rsid w:val="008D3F75"/>
    <w:rsid w:val="008D4753"/>
    <w:rsid w:val="008E566B"/>
    <w:rsid w:val="008E72D2"/>
    <w:rsid w:val="008F31DB"/>
    <w:rsid w:val="008F4F12"/>
    <w:rsid w:val="008F7325"/>
    <w:rsid w:val="00901815"/>
    <w:rsid w:val="00901B72"/>
    <w:rsid w:val="00902043"/>
    <w:rsid w:val="00903FA7"/>
    <w:rsid w:val="0090517B"/>
    <w:rsid w:val="009056FA"/>
    <w:rsid w:val="00911557"/>
    <w:rsid w:val="00913CFF"/>
    <w:rsid w:val="00914D2D"/>
    <w:rsid w:val="00915641"/>
    <w:rsid w:val="0092455A"/>
    <w:rsid w:val="00926C4D"/>
    <w:rsid w:val="00932AF6"/>
    <w:rsid w:val="009349D6"/>
    <w:rsid w:val="00936CC1"/>
    <w:rsid w:val="0093729C"/>
    <w:rsid w:val="00937A43"/>
    <w:rsid w:val="00937BF9"/>
    <w:rsid w:val="00937D7F"/>
    <w:rsid w:val="00940909"/>
    <w:rsid w:val="00945684"/>
    <w:rsid w:val="00951240"/>
    <w:rsid w:val="009516BD"/>
    <w:rsid w:val="009516C3"/>
    <w:rsid w:val="00956434"/>
    <w:rsid w:val="009578AF"/>
    <w:rsid w:val="009602D5"/>
    <w:rsid w:val="009604C7"/>
    <w:rsid w:val="00964CA3"/>
    <w:rsid w:val="009666CB"/>
    <w:rsid w:val="00967E60"/>
    <w:rsid w:val="00970825"/>
    <w:rsid w:val="00971D54"/>
    <w:rsid w:val="00972E1D"/>
    <w:rsid w:val="00973557"/>
    <w:rsid w:val="00974874"/>
    <w:rsid w:val="00977053"/>
    <w:rsid w:val="00977295"/>
    <w:rsid w:val="00980CB8"/>
    <w:rsid w:val="00982508"/>
    <w:rsid w:val="00983182"/>
    <w:rsid w:val="00983260"/>
    <w:rsid w:val="00983F23"/>
    <w:rsid w:val="00985001"/>
    <w:rsid w:val="0098660D"/>
    <w:rsid w:val="00990E04"/>
    <w:rsid w:val="00991A2D"/>
    <w:rsid w:val="0099267D"/>
    <w:rsid w:val="0099547A"/>
    <w:rsid w:val="009963B1"/>
    <w:rsid w:val="00996953"/>
    <w:rsid w:val="00996AF4"/>
    <w:rsid w:val="009A7507"/>
    <w:rsid w:val="009B2564"/>
    <w:rsid w:val="009B31BF"/>
    <w:rsid w:val="009B5283"/>
    <w:rsid w:val="009B6E9C"/>
    <w:rsid w:val="009C328C"/>
    <w:rsid w:val="009C3CC8"/>
    <w:rsid w:val="009C439C"/>
    <w:rsid w:val="009C76D4"/>
    <w:rsid w:val="009C7E03"/>
    <w:rsid w:val="009D086A"/>
    <w:rsid w:val="009D3B5F"/>
    <w:rsid w:val="009D4E29"/>
    <w:rsid w:val="009E184E"/>
    <w:rsid w:val="009E1F3B"/>
    <w:rsid w:val="009E34E4"/>
    <w:rsid w:val="009F5643"/>
    <w:rsid w:val="009F5D83"/>
    <w:rsid w:val="00A02D0C"/>
    <w:rsid w:val="00A04450"/>
    <w:rsid w:val="00A044BF"/>
    <w:rsid w:val="00A04EB6"/>
    <w:rsid w:val="00A06134"/>
    <w:rsid w:val="00A0688E"/>
    <w:rsid w:val="00A12B33"/>
    <w:rsid w:val="00A12D54"/>
    <w:rsid w:val="00A1403E"/>
    <w:rsid w:val="00A162AF"/>
    <w:rsid w:val="00A1780D"/>
    <w:rsid w:val="00A21CB6"/>
    <w:rsid w:val="00A23779"/>
    <w:rsid w:val="00A25025"/>
    <w:rsid w:val="00A30B13"/>
    <w:rsid w:val="00A317C5"/>
    <w:rsid w:val="00A35721"/>
    <w:rsid w:val="00A42313"/>
    <w:rsid w:val="00A4299A"/>
    <w:rsid w:val="00A43022"/>
    <w:rsid w:val="00A45A5F"/>
    <w:rsid w:val="00A47769"/>
    <w:rsid w:val="00A50BBE"/>
    <w:rsid w:val="00A50DDB"/>
    <w:rsid w:val="00A543DA"/>
    <w:rsid w:val="00A55930"/>
    <w:rsid w:val="00A63C0B"/>
    <w:rsid w:val="00A65AC5"/>
    <w:rsid w:val="00A65DBB"/>
    <w:rsid w:val="00A75E67"/>
    <w:rsid w:val="00A76ED5"/>
    <w:rsid w:val="00A80F63"/>
    <w:rsid w:val="00A847F5"/>
    <w:rsid w:val="00A85641"/>
    <w:rsid w:val="00A86847"/>
    <w:rsid w:val="00A87B42"/>
    <w:rsid w:val="00A91485"/>
    <w:rsid w:val="00A91B30"/>
    <w:rsid w:val="00A95C03"/>
    <w:rsid w:val="00A97155"/>
    <w:rsid w:val="00AA1151"/>
    <w:rsid w:val="00AA1CEE"/>
    <w:rsid w:val="00AA3D27"/>
    <w:rsid w:val="00AA673B"/>
    <w:rsid w:val="00AB2BA7"/>
    <w:rsid w:val="00AB2E5C"/>
    <w:rsid w:val="00AB46A0"/>
    <w:rsid w:val="00AB5D37"/>
    <w:rsid w:val="00AB5F66"/>
    <w:rsid w:val="00AB70AC"/>
    <w:rsid w:val="00AB7A36"/>
    <w:rsid w:val="00AC0058"/>
    <w:rsid w:val="00AC0C8C"/>
    <w:rsid w:val="00AC2E2C"/>
    <w:rsid w:val="00AC6434"/>
    <w:rsid w:val="00AD039F"/>
    <w:rsid w:val="00AD2B13"/>
    <w:rsid w:val="00AD38D0"/>
    <w:rsid w:val="00AD4AF5"/>
    <w:rsid w:val="00AD69B8"/>
    <w:rsid w:val="00AD6DB3"/>
    <w:rsid w:val="00AD764E"/>
    <w:rsid w:val="00AE1CED"/>
    <w:rsid w:val="00AE3252"/>
    <w:rsid w:val="00AE40FC"/>
    <w:rsid w:val="00AE527E"/>
    <w:rsid w:val="00AF0166"/>
    <w:rsid w:val="00AF5EFB"/>
    <w:rsid w:val="00AF69CE"/>
    <w:rsid w:val="00AF6A4E"/>
    <w:rsid w:val="00AF7248"/>
    <w:rsid w:val="00B03260"/>
    <w:rsid w:val="00B070C9"/>
    <w:rsid w:val="00B07929"/>
    <w:rsid w:val="00B07D66"/>
    <w:rsid w:val="00B10155"/>
    <w:rsid w:val="00B108B8"/>
    <w:rsid w:val="00B10BEA"/>
    <w:rsid w:val="00B141E4"/>
    <w:rsid w:val="00B2033F"/>
    <w:rsid w:val="00B22BA0"/>
    <w:rsid w:val="00B24039"/>
    <w:rsid w:val="00B26153"/>
    <w:rsid w:val="00B32009"/>
    <w:rsid w:val="00B32A02"/>
    <w:rsid w:val="00B3468C"/>
    <w:rsid w:val="00B427E7"/>
    <w:rsid w:val="00B4451E"/>
    <w:rsid w:val="00B4791A"/>
    <w:rsid w:val="00B61124"/>
    <w:rsid w:val="00B64AC5"/>
    <w:rsid w:val="00B66109"/>
    <w:rsid w:val="00B666EF"/>
    <w:rsid w:val="00B676F5"/>
    <w:rsid w:val="00B71246"/>
    <w:rsid w:val="00B71BB6"/>
    <w:rsid w:val="00B72EDC"/>
    <w:rsid w:val="00B734F4"/>
    <w:rsid w:val="00B75177"/>
    <w:rsid w:val="00B7612C"/>
    <w:rsid w:val="00B762D9"/>
    <w:rsid w:val="00B7736A"/>
    <w:rsid w:val="00B81D7A"/>
    <w:rsid w:val="00B82E26"/>
    <w:rsid w:val="00B9138C"/>
    <w:rsid w:val="00B93012"/>
    <w:rsid w:val="00B94E1D"/>
    <w:rsid w:val="00B9725D"/>
    <w:rsid w:val="00BA323E"/>
    <w:rsid w:val="00BA5E81"/>
    <w:rsid w:val="00BA63BB"/>
    <w:rsid w:val="00BB162A"/>
    <w:rsid w:val="00BB2143"/>
    <w:rsid w:val="00BB29AC"/>
    <w:rsid w:val="00BB2E8D"/>
    <w:rsid w:val="00BB4363"/>
    <w:rsid w:val="00BC64D2"/>
    <w:rsid w:val="00BD283C"/>
    <w:rsid w:val="00BD3F6E"/>
    <w:rsid w:val="00BD41BB"/>
    <w:rsid w:val="00BD41BF"/>
    <w:rsid w:val="00BD5E77"/>
    <w:rsid w:val="00BD6D59"/>
    <w:rsid w:val="00BD6F6F"/>
    <w:rsid w:val="00BE1BE1"/>
    <w:rsid w:val="00BE1D43"/>
    <w:rsid w:val="00BE2833"/>
    <w:rsid w:val="00BE6110"/>
    <w:rsid w:val="00BF1E67"/>
    <w:rsid w:val="00BF224E"/>
    <w:rsid w:val="00BF24AA"/>
    <w:rsid w:val="00BF566D"/>
    <w:rsid w:val="00BF57BE"/>
    <w:rsid w:val="00BF5EEE"/>
    <w:rsid w:val="00C0009C"/>
    <w:rsid w:val="00C02748"/>
    <w:rsid w:val="00C03C96"/>
    <w:rsid w:val="00C1348D"/>
    <w:rsid w:val="00C14BDA"/>
    <w:rsid w:val="00C15814"/>
    <w:rsid w:val="00C15AFB"/>
    <w:rsid w:val="00C17653"/>
    <w:rsid w:val="00C17B8F"/>
    <w:rsid w:val="00C20115"/>
    <w:rsid w:val="00C205CF"/>
    <w:rsid w:val="00C21C25"/>
    <w:rsid w:val="00C22BD9"/>
    <w:rsid w:val="00C2316C"/>
    <w:rsid w:val="00C23B53"/>
    <w:rsid w:val="00C26C84"/>
    <w:rsid w:val="00C27854"/>
    <w:rsid w:val="00C32192"/>
    <w:rsid w:val="00C321FB"/>
    <w:rsid w:val="00C334C4"/>
    <w:rsid w:val="00C3369E"/>
    <w:rsid w:val="00C370B1"/>
    <w:rsid w:val="00C43C2D"/>
    <w:rsid w:val="00C45DC7"/>
    <w:rsid w:val="00C53E18"/>
    <w:rsid w:val="00C53EF9"/>
    <w:rsid w:val="00C53FCF"/>
    <w:rsid w:val="00C541F9"/>
    <w:rsid w:val="00C56D74"/>
    <w:rsid w:val="00C5739C"/>
    <w:rsid w:val="00C57962"/>
    <w:rsid w:val="00C60852"/>
    <w:rsid w:val="00C6143C"/>
    <w:rsid w:val="00C61572"/>
    <w:rsid w:val="00C655CB"/>
    <w:rsid w:val="00C708E9"/>
    <w:rsid w:val="00C71F84"/>
    <w:rsid w:val="00C73EEE"/>
    <w:rsid w:val="00C740FD"/>
    <w:rsid w:val="00C76AAD"/>
    <w:rsid w:val="00C7728B"/>
    <w:rsid w:val="00C80346"/>
    <w:rsid w:val="00C810C7"/>
    <w:rsid w:val="00C8167F"/>
    <w:rsid w:val="00C84E81"/>
    <w:rsid w:val="00C90395"/>
    <w:rsid w:val="00C912BE"/>
    <w:rsid w:val="00C91DD3"/>
    <w:rsid w:val="00C93316"/>
    <w:rsid w:val="00C97B13"/>
    <w:rsid w:val="00CA2BBE"/>
    <w:rsid w:val="00CA38AA"/>
    <w:rsid w:val="00CA4247"/>
    <w:rsid w:val="00CA434D"/>
    <w:rsid w:val="00CA6BA3"/>
    <w:rsid w:val="00CB0C3C"/>
    <w:rsid w:val="00CB4A47"/>
    <w:rsid w:val="00CB64BB"/>
    <w:rsid w:val="00CC2F1A"/>
    <w:rsid w:val="00CC4711"/>
    <w:rsid w:val="00CC5579"/>
    <w:rsid w:val="00CC6206"/>
    <w:rsid w:val="00CC779B"/>
    <w:rsid w:val="00CC7D7B"/>
    <w:rsid w:val="00CD1E0F"/>
    <w:rsid w:val="00CD241D"/>
    <w:rsid w:val="00CD3672"/>
    <w:rsid w:val="00CD44ED"/>
    <w:rsid w:val="00CD5693"/>
    <w:rsid w:val="00CE070A"/>
    <w:rsid w:val="00CE10A7"/>
    <w:rsid w:val="00CE20B2"/>
    <w:rsid w:val="00CE22CD"/>
    <w:rsid w:val="00CE389C"/>
    <w:rsid w:val="00CE38A2"/>
    <w:rsid w:val="00CE4076"/>
    <w:rsid w:val="00CE42B4"/>
    <w:rsid w:val="00CE4901"/>
    <w:rsid w:val="00CF0709"/>
    <w:rsid w:val="00CF10FE"/>
    <w:rsid w:val="00CF3219"/>
    <w:rsid w:val="00CF6475"/>
    <w:rsid w:val="00CF7112"/>
    <w:rsid w:val="00D007FF"/>
    <w:rsid w:val="00D05363"/>
    <w:rsid w:val="00D05405"/>
    <w:rsid w:val="00D06FCB"/>
    <w:rsid w:val="00D10A89"/>
    <w:rsid w:val="00D115CD"/>
    <w:rsid w:val="00D1205C"/>
    <w:rsid w:val="00D13854"/>
    <w:rsid w:val="00D206E6"/>
    <w:rsid w:val="00D2075F"/>
    <w:rsid w:val="00D20D23"/>
    <w:rsid w:val="00D22687"/>
    <w:rsid w:val="00D271AF"/>
    <w:rsid w:val="00D27224"/>
    <w:rsid w:val="00D318FA"/>
    <w:rsid w:val="00D31C6E"/>
    <w:rsid w:val="00D326B9"/>
    <w:rsid w:val="00D33927"/>
    <w:rsid w:val="00D3706D"/>
    <w:rsid w:val="00D37F38"/>
    <w:rsid w:val="00D41F0B"/>
    <w:rsid w:val="00D42357"/>
    <w:rsid w:val="00D43826"/>
    <w:rsid w:val="00D5099D"/>
    <w:rsid w:val="00D513CB"/>
    <w:rsid w:val="00D5140A"/>
    <w:rsid w:val="00D51827"/>
    <w:rsid w:val="00D519AE"/>
    <w:rsid w:val="00D53DED"/>
    <w:rsid w:val="00D54BCC"/>
    <w:rsid w:val="00D55536"/>
    <w:rsid w:val="00D60AB6"/>
    <w:rsid w:val="00D6164B"/>
    <w:rsid w:val="00D62DE3"/>
    <w:rsid w:val="00D64AAC"/>
    <w:rsid w:val="00D70B96"/>
    <w:rsid w:val="00D71362"/>
    <w:rsid w:val="00D713D3"/>
    <w:rsid w:val="00D732A5"/>
    <w:rsid w:val="00D7379A"/>
    <w:rsid w:val="00D73E0C"/>
    <w:rsid w:val="00D8162C"/>
    <w:rsid w:val="00D82B9D"/>
    <w:rsid w:val="00D84C1B"/>
    <w:rsid w:val="00D86764"/>
    <w:rsid w:val="00D872E1"/>
    <w:rsid w:val="00D95046"/>
    <w:rsid w:val="00D95C8E"/>
    <w:rsid w:val="00D975BD"/>
    <w:rsid w:val="00DA077D"/>
    <w:rsid w:val="00DA1624"/>
    <w:rsid w:val="00DA2729"/>
    <w:rsid w:val="00DB1F79"/>
    <w:rsid w:val="00DB498E"/>
    <w:rsid w:val="00DB57F3"/>
    <w:rsid w:val="00DB62DF"/>
    <w:rsid w:val="00DB6469"/>
    <w:rsid w:val="00DB6805"/>
    <w:rsid w:val="00DB6FD5"/>
    <w:rsid w:val="00DB7853"/>
    <w:rsid w:val="00DC11E7"/>
    <w:rsid w:val="00DC1277"/>
    <w:rsid w:val="00DC20D9"/>
    <w:rsid w:val="00DC2CEC"/>
    <w:rsid w:val="00DC4B53"/>
    <w:rsid w:val="00DD5736"/>
    <w:rsid w:val="00DD6484"/>
    <w:rsid w:val="00DF0268"/>
    <w:rsid w:val="00DF0F81"/>
    <w:rsid w:val="00DF2626"/>
    <w:rsid w:val="00DF2D69"/>
    <w:rsid w:val="00DF399E"/>
    <w:rsid w:val="00DF5697"/>
    <w:rsid w:val="00DF601C"/>
    <w:rsid w:val="00DF6830"/>
    <w:rsid w:val="00DF6BB8"/>
    <w:rsid w:val="00DF77A0"/>
    <w:rsid w:val="00DF78D9"/>
    <w:rsid w:val="00DF7A41"/>
    <w:rsid w:val="00DF7FC5"/>
    <w:rsid w:val="00E01C17"/>
    <w:rsid w:val="00E01C6D"/>
    <w:rsid w:val="00E05F63"/>
    <w:rsid w:val="00E11D45"/>
    <w:rsid w:val="00E13971"/>
    <w:rsid w:val="00E14919"/>
    <w:rsid w:val="00E15E2A"/>
    <w:rsid w:val="00E16FED"/>
    <w:rsid w:val="00E20578"/>
    <w:rsid w:val="00E21A5D"/>
    <w:rsid w:val="00E2445C"/>
    <w:rsid w:val="00E24B99"/>
    <w:rsid w:val="00E26062"/>
    <w:rsid w:val="00E26B6B"/>
    <w:rsid w:val="00E31038"/>
    <w:rsid w:val="00E319A5"/>
    <w:rsid w:val="00E336DA"/>
    <w:rsid w:val="00E3568B"/>
    <w:rsid w:val="00E410F7"/>
    <w:rsid w:val="00E43982"/>
    <w:rsid w:val="00E45B3D"/>
    <w:rsid w:val="00E463B5"/>
    <w:rsid w:val="00E47EBB"/>
    <w:rsid w:val="00E50CB8"/>
    <w:rsid w:val="00E51F95"/>
    <w:rsid w:val="00E52497"/>
    <w:rsid w:val="00E53AB1"/>
    <w:rsid w:val="00E57250"/>
    <w:rsid w:val="00E61388"/>
    <w:rsid w:val="00E615F8"/>
    <w:rsid w:val="00E61C97"/>
    <w:rsid w:val="00E63880"/>
    <w:rsid w:val="00E64132"/>
    <w:rsid w:val="00E653A5"/>
    <w:rsid w:val="00E658AE"/>
    <w:rsid w:val="00E66619"/>
    <w:rsid w:val="00E70DB7"/>
    <w:rsid w:val="00E71A99"/>
    <w:rsid w:val="00E7596F"/>
    <w:rsid w:val="00E765D3"/>
    <w:rsid w:val="00E76FAC"/>
    <w:rsid w:val="00E772E0"/>
    <w:rsid w:val="00E800DA"/>
    <w:rsid w:val="00E80DE5"/>
    <w:rsid w:val="00E86F79"/>
    <w:rsid w:val="00E90838"/>
    <w:rsid w:val="00E9321D"/>
    <w:rsid w:val="00E93655"/>
    <w:rsid w:val="00E93703"/>
    <w:rsid w:val="00E93D83"/>
    <w:rsid w:val="00E945FC"/>
    <w:rsid w:val="00E95D7F"/>
    <w:rsid w:val="00E95FB1"/>
    <w:rsid w:val="00E9620F"/>
    <w:rsid w:val="00EA15B9"/>
    <w:rsid w:val="00EA224A"/>
    <w:rsid w:val="00EA4A34"/>
    <w:rsid w:val="00EA644B"/>
    <w:rsid w:val="00EA6A8B"/>
    <w:rsid w:val="00EB3A3E"/>
    <w:rsid w:val="00EB4F21"/>
    <w:rsid w:val="00EC13CA"/>
    <w:rsid w:val="00EC27F4"/>
    <w:rsid w:val="00EC2A88"/>
    <w:rsid w:val="00EC358E"/>
    <w:rsid w:val="00EC570C"/>
    <w:rsid w:val="00EC6026"/>
    <w:rsid w:val="00EC6134"/>
    <w:rsid w:val="00EC7E10"/>
    <w:rsid w:val="00ED02C3"/>
    <w:rsid w:val="00ED23CF"/>
    <w:rsid w:val="00ED28EE"/>
    <w:rsid w:val="00ED4567"/>
    <w:rsid w:val="00ED55A4"/>
    <w:rsid w:val="00ED57F7"/>
    <w:rsid w:val="00EE0278"/>
    <w:rsid w:val="00EE0FB9"/>
    <w:rsid w:val="00EE5000"/>
    <w:rsid w:val="00EE7E1E"/>
    <w:rsid w:val="00EF0AEB"/>
    <w:rsid w:val="00EF1523"/>
    <w:rsid w:val="00EF1FA1"/>
    <w:rsid w:val="00EF22F5"/>
    <w:rsid w:val="00EF2438"/>
    <w:rsid w:val="00EF4D1D"/>
    <w:rsid w:val="00EF6568"/>
    <w:rsid w:val="00EF6BF1"/>
    <w:rsid w:val="00F007C0"/>
    <w:rsid w:val="00F04D2D"/>
    <w:rsid w:val="00F05D21"/>
    <w:rsid w:val="00F10186"/>
    <w:rsid w:val="00F104C6"/>
    <w:rsid w:val="00F10F86"/>
    <w:rsid w:val="00F11E0A"/>
    <w:rsid w:val="00F146C5"/>
    <w:rsid w:val="00F1658B"/>
    <w:rsid w:val="00F1724B"/>
    <w:rsid w:val="00F178D5"/>
    <w:rsid w:val="00F21701"/>
    <w:rsid w:val="00F227EA"/>
    <w:rsid w:val="00F266F7"/>
    <w:rsid w:val="00F26855"/>
    <w:rsid w:val="00F2691E"/>
    <w:rsid w:val="00F278C4"/>
    <w:rsid w:val="00F30454"/>
    <w:rsid w:val="00F3076A"/>
    <w:rsid w:val="00F3179A"/>
    <w:rsid w:val="00F345E5"/>
    <w:rsid w:val="00F35071"/>
    <w:rsid w:val="00F35D04"/>
    <w:rsid w:val="00F3697B"/>
    <w:rsid w:val="00F43581"/>
    <w:rsid w:val="00F4372A"/>
    <w:rsid w:val="00F45044"/>
    <w:rsid w:val="00F4584B"/>
    <w:rsid w:val="00F50C1C"/>
    <w:rsid w:val="00F514D9"/>
    <w:rsid w:val="00F51AEB"/>
    <w:rsid w:val="00F57DB7"/>
    <w:rsid w:val="00F600D2"/>
    <w:rsid w:val="00F60879"/>
    <w:rsid w:val="00F61BD7"/>
    <w:rsid w:val="00F6282F"/>
    <w:rsid w:val="00F62C85"/>
    <w:rsid w:val="00F63E59"/>
    <w:rsid w:val="00F64105"/>
    <w:rsid w:val="00F6569C"/>
    <w:rsid w:val="00F66F75"/>
    <w:rsid w:val="00F67C1D"/>
    <w:rsid w:val="00F67E44"/>
    <w:rsid w:val="00F708A8"/>
    <w:rsid w:val="00F71184"/>
    <w:rsid w:val="00F71333"/>
    <w:rsid w:val="00F717A2"/>
    <w:rsid w:val="00F75CE1"/>
    <w:rsid w:val="00F76CCF"/>
    <w:rsid w:val="00F77916"/>
    <w:rsid w:val="00F77F71"/>
    <w:rsid w:val="00F80AE7"/>
    <w:rsid w:val="00F80D26"/>
    <w:rsid w:val="00F8181A"/>
    <w:rsid w:val="00F841C4"/>
    <w:rsid w:val="00F92667"/>
    <w:rsid w:val="00F95120"/>
    <w:rsid w:val="00FA0194"/>
    <w:rsid w:val="00FA0604"/>
    <w:rsid w:val="00FA3733"/>
    <w:rsid w:val="00FA47A4"/>
    <w:rsid w:val="00FA4A91"/>
    <w:rsid w:val="00FA6499"/>
    <w:rsid w:val="00FA73D2"/>
    <w:rsid w:val="00FA7C92"/>
    <w:rsid w:val="00FB3944"/>
    <w:rsid w:val="00FB3F3E"/>
    <w:rsid w:val="00FB4A7E"/>
    <w:rsid w:val="00FB775F"/>
    <w:rsid w:val="00FB7FCD"/>
    <w:rsid w:val="00FC2D04"/>
    <w:rsid w:val="00FC3DDE"/>
    <w:rsid w:val="00FC523D"/>
    <w:rsid w:val="00FC719C"/>
    <w:rsid w:val="00FD1774"/>
    <w:rsid w:val="00FD36E0"/>
    <w:rsid w:val="00FD4979"/>
    <w:rsid w:val="00FE11BD"/>
    <w:rsid w:val="00FE129E"/>
    <w:rsid w:val="00FE3DBF"/>
    <w:rsid w:val="00FE4178"/>
    <w:rsid w:val="00FF0387"/>
    <w:rsid w:val="00FF1058"/>
    <w:rsid w:val="00FF291A"/>
    <w:rsid w:val="00FF3F1F"/>
    <w:rsid w:val="00FF6DEF"/>
    <w:rsid w:val="04D53061"/>
    <w:rsid w:val="08734A50"/>
    <w:rsid w:val="0A42380B"/>
    <w:rsid w:val="0CFE61AF"/>
    <w:rsid w:val="0DA53C28"/>
    <w:rsid w:val="0F7F609C"/>
    <w:rsid w:val="1C464776"/>
    <w:rsid w:val="2B3E51A2"/>
    <w:rsid w:val="2B635B96"/>
    <w:rsid w:val="2CB40A42"/>
    <w:rsid w:val="2DB150A3"/>
    <w:rsid w:val="30A114F9"/>
    <w:rsid w:val="3E632146"/>
    <w:rsid w:val="3FFB789D"/>
    <w:rsid w:val="468343A7"/>
    <w:rsid w:val="494C327A"/>
    <w:rsid w:val="4ADE2EE8"/>
    <w:rsid w:val="566C3B9B"/>
    <w:rsid w:val="5A8545E4"/>
    <w:rsid w:val="5EEE4B0A"/>
    <w:rsid w:val="5F9715A6"/>
    <w:rsid w:val="68143F6F"/>
    <w:rsid w:val="7FAA62D8"/>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宋体" w:cs="Times New Roman"/>
      </w:rPr>
    </w:rPrDefault>
    <w:pPrDefault/>
  </w:docDefaults>
  <w:latentStyles w:count="260" w:defQFormat="0" w:defUnhideWhenUsed="1" w:defSemiHidden="1" w:defUIPriority="99" w:defLockedState="0">
    <w:lsdException w:qFormat="1" w:unhideWhenUsed="0" w:uiPriority="4"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uiPriority="1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uiPriority="11"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qFormat="1" w:uiPriority="99" w:name="FollowedHyperlink"/>
    <w:lsdException w:qFormat="1" w:unhideWhenUsed="0" w:uiPriority="22" w:semiHidden="0" w:name="Strong"/>
    <w:lsdException w:qFormat="1" w:uiPriority="20" w:name="Emphasis"/>
    <w:lsdException w:qFormat="1"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4"/>
    <w:pPr>
      <w:widowControl w:val="0"/>
      <w:spacing w:line="300" w:lineRule="auto"/>
      <w:jc w:val="both"/>
    </w:pPr>
    <w:rPr>
      <w:rFonts w:ascii="宋体" w:hAnsi="宋体" w:eastAsia="宋体" w:cs="Times New Roman"/>
      <w:kern w:val="2"/>
      <w:sz w:val="24"/>
      <w:szCs w:val="24"/>
      <w:lang w:val="en-US" w:eastAsia="zh-CN" w:bidi="ar-SA"/>
    </w:rPr>
  </w:style>
  <w:style w:type="paragraph" w:styleId="2">
    <w:name w:val="heading 1"/>
    <w:basedOn w:val="1"/>
    <w:next w:val="1"/>
    <w:link w:val="36"/>
    <w:autoRedefine/>
    <w:qFormat/>
    <w:uiPriority w:val="0"/>
    <w:pPr>
      <w:pageBreakBefore/>
      <w:numPr>
        <w:ilvl w:val="0"/>
        <w:numId w:val="1"/>
      </w:numPr>
      <w:spacing w:after="100" w:line="240" w:lineRule="auto"/>
      <w:outlineLvl w:val="0"/>
    </w:pPr>
    <w:rPr>
      <w:rFonts w:ascii="黑体" w:hAnsi="微软雅黑" w:eastAsia="黑体"/>
      <w:b/>
      <w:bCs/>
      <w:kern w:val="44"/>
      <w:sz w:val="32"/>
      <w:szCs w:val="32"/>
    </w:rPr>
  </w:style>
  <w:style w:type="paragraph" w:styleId="3">
    <w:name w:val="heading 2"/>
    <w:basedOn w:val="1"/>
    <w:next w:val="1"/>
    <w:link w:val="37"/>
    <w:unhideWhenUsed/>
    <w:qFormat/>
    <w:uiPriority w:val="0"/>
    <w:pPr>
      <w:keepNext/>
      <w:keepLines/>
      <w:numPr>
        <w:ilvl w:val="1"/>
        <w:numId w:val="1"/>
      </w:numPr>
      <w:spacing w:before="100" w:after="100" w:line="240" w:lineRule="auto"/>
      <w:outlineLvl w:val="1"/>
    </w:pPr>
    <w:rPr>
      <w:rFonts w:ascii="黑体" w:hAnsi="微软雅黑" w:eastAsia="黑体"/>
      <w:b/>
      <w:bCs/>
      <w:sz w:val="30"/>
      <w:szCs w:val="32"/>
    </w:rPr>
  </w:style>
  <w:style w:type="paragraph" w:styleId="4">
    <w:name w:val="heading 3"/>
    <w:basedOn w:val="1"/>
    <w:next w:val="1"/>
    <w:link w:val="38"/>
    <w:unhideWhenUsed/>
    <w:qFormat/>
    <w:uiPriority w:val="0"/>
    <w:pPr>
      <w:keepNext/>
      <w:keepLines/>
      <w:numPr>
        <w:ilvl w:val="2"/>
        <w:numId w:val="1"/>
      </w:numPr>
      <w:spacing w:before="100" w:after="100" w:line="240" w:lineRule="auto"/>
      <w:outlineLvl w:val="2"/>
    </w:pPr>
    <w:rPr>
      <w:rFonts w:ascii="黑体" w:hAnsi="微软雅黑" w:eastAsia="黑体"/>
      <w:b/>
      <w:bCs/>
      <w:sz w:val="28"/>
      <w:szCs w:val="28"/>
    </w:rPr>
  </w:style>
  <w:style w:type="paragraph" w:styleId="5">
    <w:name w:val="heading 4"/>
    <w:basedOn w:val="1"/>
    <w:next w:val="1"/>
    <w:link w:val="39"/>
    <w:unhideWhenUsed/>
    <w:qFormat/>
    <w:uiPriority w:val="0"/>
    <w:pPr>
      <w:keepNext/>
      <w:keepLines/>
      <w:numPr>
        <w:ilvl w:val="3"/>
        <w:numId w:val="1"/>
      </w:numPr>
      <w:spacing w:before="100" w:after="100" w:line="240" w:lineRule="auto"/>
      <w:outlineLvl w:val="3"/>
    </w:pPr>
    <w:rPr>
      <w:rFonts w:ascii="黑体" w:hAnsi="微软雅黑" w:eastAsia="黑体"/>
      <w:b/>
      <w:bCs/>
    </w:rPr>
  </w:style>
  <w:style w:type="paragraph" w:styleId="6">
    <w:name w:val="heading 5"/>
    <w:basedOn w:val="1"/>
    <w:next w:val="1"/>
    <w:link w:val="40"/>
    <w:autoRedefine/>
    <w:semiHidden/>
    <w:unhideWhenUsed/>
    <w:qFormat/>
    <w:uiPriority w:val="0"/>
    <w:pPr>
      <w:keepNext/>
      <w:keepLines/>
      <w:numPr>
        <w:ilvl w:val="4"/>
        <w:numId w:val="1"/>
      </w:numPr>
      <w:spacing w:before="100" w:after="100" w:line="240" w:lineRule="auto"/>
      <w:ind w:left="1009" w:hanging="1009"/>
      <w:outlineLvl w:val="4"/>
    </w:pPr>
    <w:rPr>
      <w:rFonts w:ascii="黑体" w:eastAsia="黑体"/>
      <w:bCs/>
      <w:szCs w:val="28"/>
    </w:rPr>
  </w:style>
  <w:style w:type="paragraph" w:styleId="7">
    <w:name w:val="heading 6"/>
    <w:basedOn w:val="1"/>
    <w:next w:val="1"/>
    <w:link w:val="44"/>
    <w:autoRedefine/>
    <w:semiHidden/>
    <w:unhideWhenUsed/>
    <w:qFormat/>
    <w:uiPriority w:val="0"/>
    <w:pPr>
      <w:keepNext/>
      <w:keepLines/>
      <w:numPr>
        <w:ilvl w:val="5"/>
        <w:numId w:val="1"/>
      </w:numPr>
      <w:spacing w:before="240" w:after="64" w:line="320" w:lineRule="auto"/>
      <w:outlineLvl w:val="5"/>
    </w:pPr>
    <w:rPr>
      <w:rFonts w:ascii="Cambria" w:hAnsi="Cambria"/>
      <w:b/>
      <w:bCs/>
    </w:rPr>
  </w:style>
  <w:style w:type="paragraph" w:styleId="8">
    <w:name w:val="heading 7"/>
    <w:basedOn w:val="1"/>
    <w:next w:val="1"/>
    <w:link w:val="45"/>
    <w:autoRedefine/>
    <w:semiHidden/>
    <w:unhideWhenUsed/>
    <w:qFormat/>
    <w:uiPriority w:val="0"/>
    <w:pPr>
      <w:keepNext/>
      <w:keepLines/>
      <w:numPr>
        <w:ilvl w:val="6"/>
        <w:numId w:val="1"/>
      </w:numPr>
      <w:spacing w:before="240" w:after="64" w:line="320" w:lineRule="auto"/>
      <w:outlineLvl w:val="6"/>
    </w:pPr>
    <w:rPr>
      <w:b/>
      <w:bCs/>
    </w:rPr>
  </w:style>
  <w:style w:type="paragraph" w:styleId="9">
    <w:name w:val="heading 8"/>
    <w:basedOn w:val="1"/>
    <w:next w:val="1"/>
    <w:link w:val="46"/>
    <w:semiHidden/>
    <w:unhideWhenUsed/>
    <w:qFormat/>
    <w:uiPriority w:val="0"/>
    <w:pPr>
      <w:keepNext/>
      <w:keepLines/>
      <w:numPr>
        <w:ilvl w:val="7"/>
        <w:numId w:val="1"/>
      </w:numPr>
      <w:spacing w:before="240" w:after="64" w:line="320" w:lineRule="auto"/>
      <w:outlineLvl w:val="7"/>
    </w:pPr>
    <w:rPr>
      <w:rFonts w:ascii="Cambria" w:hAnsi="Cambria"/>
    </w:rPr>
  </w:style>
  <w:style w:type="paragraph" w:styleId="10">
    <w:name w:val="heading 9"/>
    <w:basedOn w:val="1"/>
    <w:next w:val="1"/>
    <w:link w:val="47"/>
    <w:autoRedefine/>
    <w:semiHidden/>
    <w:unhideWhenUsed/>
    <w:qFormat/>
    <w:uiPriority w:val="0"/>
    <w:pPr>
      <w:keepNext/>
      <w:keepLines/>
      <w:numPr>
        <w:ilvl w:val="8"/>
        <w:numId w:val="1"/>
      </w:numPr>
      <w:spacing w:before="240" w:after="64" w:line="320" w:lineRule="auto"/>
      <w:outlineLvl w:val="8"/>
    </w:pPr>
    <w:rPr>
      <w:rFonts w:ascii="Cambria" w:hAnsi="Cambria"/>
      <w:sz w:val="21"/>
    </w:rPr>
  </w:style>
  <w:style w:type="character" w:default="1" w:styleId="27">
    <w:name w:val="Default Paragraph Font"/>
    <w:autoRedefine/>
    <w:semiHidden/>
    <w:unhideWhenUsed/>
    <w:qFormat/>
    <w:uiPriority w:val="1"/>
  </w:style>
  <w:style w:type="table" w:default="1" w:styleId="25">
    <w:name w:val="Normal Table"/>
    <w:autoRedefine/>
    <w:semiHidden/>
    <w:unhideWhenUsed/>
    <w:qFormat/>
    <w:uiPriority w:val="99"/>
    <w:tblPr>
      <w:tblCellMar>
        <w:top w:w="0" w:type="dxa"/>
        <w:left w:w="108" w:type="dxa"/>
        <w:bottom w:w="0" w:type="dxa"/>
        <w:right w:w="108" w:type="dxa"/>
      </w:tblCellMar>
    </w:tblPr>
  </w:style>
  <w:style w:type="paragraph" w:styleId="11">
    <w:name w:val="toc 7"/>
    <w:basedOn w:val="1"/>
    <w:next w:val="1"/>
    <w:autoRedefine/>
    <w:unhideWhenUsed/>
    <w:qFormat/>
    <w:uiPriority w:val="39"/>
    <w:pPr>
      <w:spacing w:line="240" w:lineRule="auto"/>
      <w:ind w:left="2520" w:leftChars="1200"/>
    </w:pPr>
    <w:rPr>
      <w:rFonts w:ascii="Calibri" w:hAnsi="Calibri"/>
      <w:sz w:val="21"/>
      <w:szCs w:val="22"/>
    </w:rPr>
  </w:style>
  <w:style w:type="paragraph" w:styleId="12">
    <w:name w:val="Document Map"/>
    <w:basedOn w:val="1"/>
    <w:link w:val="48"/>
    <w:autoRedefine/>
    <w:semiHidden/>
    <w:unhideWhenUsed/>
    <w:qFormat/>
    <w:uiPriority w:val="99"/>
    <w:rPr>
      <w:rFonts w:hAnsi="Arial"/>
      <w:sz w:val="18"/>
      <w:szCs w:val="18"/>
    </w:rPr>
  </w:style>
  <w:style w:type="paragraph" w:styleId="13">
    <w:name w:val="toc 5"/>
    <w:basedOn w:val="1"/>
    <w:next w:val="1"/>
    <w:autoRedefine/>
    <w:unhideWhenUsed/>
    <w:qFormat/>
    <w:uiPriority w:val="39"/>
    <w:pPr>
      <w:spacing w:line="240" w:lineRule="auto"/>
      <w:ind w:left="1680" w:leftChars="800"/>
    </w:pPr>
    <w:rPr>
      <w:rFonts w:ascii="Calibri" w:hAnsi="Calibri"/>
      <w:sz w:val="21"/>
      <w:szCs w:val="22"/>
    </w:rPr>
  </w:style>
  <w:style w:type="paragraph" w:styleId="14">
    <w:name w:val="toc 3"/>
    <w:basedOn w:val="1"/>
    <w:next w:val="1"/>
    <w:autoRedefine/>
    <w:unhideWhenUsed/>
    <w:qFormat/>
    <w:uiPriority w:val="39"/>
    <w:pPr>
      <w:ind w:left="840" w:leftChars="400"/>
    </w:pPr>
  </w:style>
  <w:style w:type="paragraph" w:styleId="15">
    <w:name w:val="toc 8"/>
    <w:basedOn w:val="1"/>
    <w:next w:val="1"/>
    <w:autoRedefine/>
    <w:unhideWhenUsed/>
    <w:qFormat/>
    <w:uiPriority w:val="39"/>
    <w:pPr>
      <w:spacing w:line="240" w:lineRule="auto"/>
      <w:ind w:left="2940" w:leftChars="1400"/>
    </w:pPr>
    <w:rPr>
      <w:rFonts w:ascii="Calibri" w:hAnsi="Calibri"/>
      <w:sz w:val="21"/>
      <w:szCs w:val="22"/>
    </w:rPr>
  </w:style>
  <w:style w:type="paragraph" w:styleId="16">
    <w:name w:val="Balloon Text"/>
    <w:basedOn w:val="1"/>
    <w:link w:val="43"/>
    <w:autoRedefine/>
    <w:semiHidden/>
    <w:unhideWhenUsed/>
    <w:qFormat/>
    <w:uiPriority w:val="99"/>
    <w:rPr>
      <w:rFonts w:ascii="Arial" w:hAnsi="Arial"/>
      <w:kern w:val="0"/>
      <w:sz w:val="18"/>
      <w:szCs w:val="18"/>
    </w:rPr>
  </w:style>
  <w:style w:type="paragraph" w:styleId="17">
    <w:name w:val="footer"/>
    <w:basedOn w:val="1"/>
    <w:link w:val="32"/>
    <w:autoRedefine/>
    <w:unhideWhenUsed/>
    <w:qFormat/>
    <w:uiPriority w:val="99"/>
    <w:pPr>
      <w:tabs>
        <w:tab w:val="center" w:pos="4153"/>
        <w:tab w:val="right" w:pos="8306"/>
      </w:tabs>
      <w:snapToGrid w:val="0"/>
      <w:jc w:val="left"/>
    </w:pPr>
    <w:rPr>
      <w:rFonts w:ascii="Arial" w:hAnsi="Arial"/>
      <w:sz w:val="18"/>
      <w:szCs w:val="18"/>
    </w:rPr>
  </w:style>
  <w:style w:type="paragraph" w:styleId="18">
    <w:name w:val="header"/>
    <w:basedOn w:val="1"/>
    <w:link w:val="42"/>
    <w:autoRedefine/>
    <w:unhideWhenUsed/>
    <w:qFormat/>
    <w:uiPriority w:val="99"/>
    <w:pPr>
      <w:pBdr>
        <w:bottom w:val="single" w:color="auto" w:sz="6" w:space="1"/>
      </w:pBdr>
      <w:tabs>
        <w:tab w:val="center" w:pos="4153"/>
        <w:tab w:val="right" w:pos="8306"/>
      </w:tabs>
      <w:snapToGrid w:val="0"/>
      <w:spacing w:line="0" w:lineRule="atLeast"/>
      <w:ind w:right="357"/>
    </w:pPr>
    <w:rPr>
      <w:sz w:val="18"/>
      <w:szCs w:val="18"/>
    </w:rPr>
  </w:style>
  <w:style w:type="paragraph" w:styleId="19">
    <w:name w:val="toc 1"/>
    <w:basedOn w:val="1"/>
    <w:next w:val="1"/>
    <w:autoRedefine/>
    <w:unhideWhenUsed/>
    <w:qFormat/>
    <w:uiPriority w:val="39"/>
  </w:style>
  <w:style w:type="paragraph" w:styleId="20">
    <w:name w:val="toc 4"/>
    <w:basedOn w:val="1"/>
    <w:next w:val="1"/>
    <w:autoRedefine/>
    <w:unhideWhenUsed/>
    <w:qFormat/>
    <w:uiPriority w:val="39"/>
    <w:pPr>
      <w:spacing w:line="240" w:lineRule="auto"/>
      <w:ind w:left="1260" w:leftChars="600"/>
    </w:pPr>
    <w:rPr>
      <w:rFonts w:ascii="Calibri" w:hAnsi="Calibri"/>
      <w:sz w:val="21"/>
      <w:szCs w:val="22"/>
    </w:rPr>
  </w:style>
  <w:style w:type="paragraph" w:styleId="21">
    <w:name w:val="toc 6"/>
    <w:basedOn w:val="1"/>
    <w:next w:val="1"/>
    <w:autoRedefine/>
    <w:unhideWhenUsed/>
    <w:qFormat/>
    <w:uiPriority w:val="39"/>
    <w:pPr>
      <w:spacing w:line="240" w:lineRule="auto"/>
      <w:ind w:left="2100" w:leftChars="1000"/>
    </w:pPr>
    <w:rPr>
      <w:rFonts w:ascii="Calibri" w:hAnsi="Calibri"/>
      <w:sz w:val="21"/>
      <w:szCs w:val="22"/>
    </w:rPr>
  </w:style>
  <w:style w:type="paragraph" w:styleId="22">
    <w:name w:val="toc 2"/>
    <w:basedOn w:val="1"/>
    <w:next w:val="1"/>
    <w:autoRedefine/>
    <w:unhideWhenUsed/>
    <w:qFormat/>
    <w:uiPriority w:val="39"/>
    <w:pPr>
      <w:ind w:left="420" w:leftChars="200"/>
    </w:pPr>
  </w:style>
  <w:style w:type="paragraph" w:styleId="23">
    <w:name w:val="toc 9"/>
    <w:basedOn w:val="1"/>
    <w:next w:val="1"/>
    <w:autoRedefine/>
    <w:unhideWhenUsed/>
    <w:qFormat/>
    <w:uiPriority w:val="39"/>
    <w:pPr>
      <w:spacing w:line="240" w:lineRule="auto"/>
      <w:ind w:left="3360" w:leftChars="1600"/>
    </w:pPr>
    <w:rPr>
      <w:rFonts w:ascii="Calibri" w:hAnsi="Calibri"/>
      <w:sz w:val="21"/>
      <w:szCs w:val="22"/>
    </w:rPr>
  </w:style>
  <w:style w:type="paragraph" w:styleId="24">
    <w:name w:val="Normal (Web)"/>
    <w:basedOn w:val="1"/>
    <w:autoRedefine/>
    <w:unhideWhenUsed/>
    <w:qFormat/>
    <w:uiPriority w:val="99"/>
    <w:pPr>
      <w:widowControl/>
      <w:spacing w:before="100" w:beforeAutospacing="1" w:after="100" w:afterAutospacing="1" w:line="240" w:lineRule="auto"/>
      <w:jc w:val="left"/>
    </w:pPr>
    <w:rPr>
      <w:rFonts w:cs="宋体"/>
      <w:kern w:val="0"/>
    </w:rPr>
  </w:style>
  <w:style w:type="table" w:styleId="26">
    <w:name w:val="Table Grid"/>
    <w:basedOn w:val="25"/>
    <w:autoRedefine/>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8">
    <w:name w:val="Strong"/>
    <w:autoRedefine/>
    <w:qFormat/>
    <w:uiPriority w:val="22"/>
    <w:rPr>
      <w:b/>
      <w:bCs/>
    </w:rPr>
  </w:style>
  <w:style w:type="character" w:styleId="29">
    <w:name w:val="FollowedHyperlink"/>
    <w:autoRedefine/>
    <w:semiHidden/>
    <w:unhideWhenUsed/>
    <w:qFormat/>
    <w:uiPriority w:val="99"/>
    <w:rPr>
      <w:color w:val="800080"/>
      <w:u w:val="single"/>
    </w:rPr>
  </w:style>
  <w:style w:type="character" w:styleId="30">
    <w:name w:val="Hyperlink"/>
    <w:autoRedefine/>
    <w:unhideWhenUsed/>
    <w:qFormat/>
    <w:uiPriority w:val="99"/>
    <w:rPr>
      <w:color w:val="0000FF"/>
      <w:u w:val="single"/>
    </w:rPr>
  </w:style>
  <w:style w:type="paragraph" w:customStyle="1" w:styleId="31">
    <w:name w:val="表格"/>
    <w:basedOn w:val="1"/>
    <w:link w:val="41"/>
    <w:autoRedefine/>
    <w:qFormat/>
    <w:uiPriority w:val="4"/>
    <w:pPr>
      <w:spacing w:line="240" w:lineRule="auto"/>
      <w:jc w:val="left"/>
    </w:pPr>
  </w:style>
  <w:style w:type="character" w:customStyle="1" w:styleId="32">
    <w:name w:val="页脚 字符"/>
    <w:link w:val="17"/>
    <w:autoRedefine/>
    <w:qFormat/>
    <w:uiPriority w:val="99"/>
    <w:rPr>
      <w:rFonts w:ascii="Arial" w:hAnsi="Arial"/>
      <w:kern w:val="2"/>
      <w:sz w:val="18"/>
      <w:szCs w:val="18"/>
    </w:rPr>
  </w:style>
  <w:style w:type="paragraph" w:customStyle="1" w:styleId="33">
    <w:name w:val="代码段"/>
    <w:basedOn w:val="1"/>
    <w:link w:val="35"/>
    <w:autoRedefine/>
    <w:qFormat/>
    <w:uiPriority w:val="4"/>
    <w:pPr>
      <w:pBdr>
        <w:top w:val="single" w:color="808080" w:sz="4" w:space="1"/>
        <w:left w:val="single" w:color="808080" w:sz="4" w:space="0"/>
        <w:bottom w:val="single" w:color="808080" w:sz="4" w:space="1"/>
        <w:right w:val="single" w:color="808080" w:sz="4" w:space="0"/>
      </w:pBdr>
      <w:shd w:val="clear" w:color="auto" w:fill="E6E6E6"/>
      <w:spacing w:line="240" w:lineRule="auto"/>
    </w:pPr>
    <w:rPr>
      <w:color w:val="0000FF"/>
      <w:szCs w:val="21"/>
    </w:rPr>
  </w:style>
  <w:style w:type="paragraph" w:customStyle="1" w:styleId="34">
    <w:name w:val="正文缩进格式"/>
    <w:basedOn w:val="1"/>
    <w:autoRedefine/>
    <w:qFormat/>
    <w:uiPriority w:val="0"/>
    <w:pPr>
      <w:ind w:firstLine="480" w:firstLineChars="200"/>
    </w:pPr>
  </w:style>
  <w:style w:type="character" w:customStyle="1" w:styleId="35">
    <w:name w:val="代码段 Char"/>
    <w:link w:val="33"/>
    <w:autoRedefine/>
    <w:qFormat/>
    <w:uiPriority w:val="4"/>
    <w:rPr>
      <w:rFonts w:ascii="宋体" w:hAnsi="宋体" w:eastAsia="宋体" w:cs="宋体"/>
      <w:color w:val="0000FF"/>
      <w:kern w:val="2"/>
      <w:sz w:val="24"/>
      <w:szCs w:val="21"/>
      <w:shd w:val="clear" w:color="auto" w:fill="E6E6E6"/>
    </w:rPr>
  </w:style>
  <w:style w:type="character" w:customStyle="1" w:styleId="36">
    <w:name w:val="标题 1 字符"/>
    <w:link w:val="2"/>
    <w:autoRedefine/>
    <w:qFormat/>
    <w:uiPriority w:val="0"/>
    <w:rPr>
      <w:rFonts w:ascii="黑体" w:hAnsi="微软雅黑" w:eastAsia="黑体"/>
      <w:b/>
      <w:bCs/>
      <w:kern w:val="44"/>
      <w:sz w:val="32"/>
      <w:szCs w:val="32"/>
    </w:rPr>
  </w:style>
  <w:style w:type="character" w:customStyle="1" w:styleId="37">
    <w:name w:val="标题 2 字符"/>
    <w:link w:val="3"/>
    <w:autoRedefine/>
    <w:qFormat/>
    <w:uiPriority w:val="0"/>
    <w:rPr>
      <w:rFonts w:ascii="黑体" w:hAnsi="微软雅黑" w:eastAsia="黑体"/>
      <w:b/>
      <w:bCs/>
      <w:kern w:val="2"/>
      <w:sz w:val="30"/>
      <w:szCs w:val="32"/>
    </w:rPr>
  </w:style>
  <w:style w:type="character" w:customStyle="1" w:styleId="38">
    <w:name w:val="标题 3 字符"/>
    <w:link w:val="4"/>
    <w:autoRedefine/>
    <w:qFormat/>
    <w:uiPriority w:val="0"/>
    <w:rPr>
      <w:rFonts w:ascii="黑体" w:hAnsi="微软雅黑" w:eastAsia="黑体"/>
      <w:b/>
      <w:bCs/>
      <w:kern w:val="2"/>
      <w:sz w:val="28"/>
      <w:szCs w:val="28"/>
    </w:rPr>
  </w:style>
  <w:style w:type="character" w:customStyle="1" w:styleId="39">
    <w:name w:val="标题 4 字符"/>
    <w:link w:val="5"/>
    <w:autoRedefine/>
    <w:qFormat/>
    <w:uiPriority w:val="0"/>
    <w:rPr>
      <w:rFonts w:ascii="黑体" w:hAnsi="微软雅黑" w:eastAsia="黑体"/>
      <w:b/>
      <w:bCs/>
      <w:kern w:val="2"/>
      <w:sz w:val="24"/>
      <w:szCs w:val="24"/>
    </w:rPr>
  </w:style>
  <w:style w:type="character" w:customStyle="1" w:styleId="40">
    <w:name w:val="标题 5 字符"/>
    <w:link w:val="6"/>
    <w:autoRedefine/>
    <w:semiHidden/>
    <w:qFormat/>
    <w:uiPriority w:val="0"/>
    <w:rPr>
      <w:rFonts w:ascii="黑体" w:hAnsi="宋体" w:eastAsia="黑体"/>
      <w:bCs/>
      <w:kern w:val="2"/>
      <w:sz w:val="24"/>
      <w:szCs w:val="28"/>
    </w:rPr>
  </w:style>
  <w:style w:type="character" w:customStyle="1" w:styleId="41">
    <w:name w:val="表格 Char"/>
    <w:link w:val="31"/>
    <w:autoRedefine/>
    <w:qFormat/>
    <w:uiPriority w:val="4"/>
    <w:rPr>
      <w:rFonts w:ascii="宋体" w:hAnsi="宋体" w:eastAsia="宋体" w:cs="宋体"/>
      <w:kern w:val="2"/>
      <w:sz w:val="24"/>
      <w:szCs w:val="24"/>
    </w:rPr>
  </w:style>
  <w:style w:type="character" w:customStyle="1" w:styleId="42">
    <w:name w:val="页眉 字符"/>
    <w:link w:val="18"/>
    <w:autoRedefine/>
    <w:qFormat/>
    <w:uiPriority w:val="99"/>
    <w:rPr>
      <w:rFonts w:ascii="宋体" w:hAnsi="宋体" w:eastAsia="宋体"/>
      <w:kern w:val="2"/>
      <w:sz w:val="18"/>
      <w:szCs w:val="18"/>
    </w:rPr>
  </w:style>
  <w:style w:type="character" w:customStyle="1" w:styleId="43">
    <w:name w:val="批注框文本 字符"/>
    <w:link w:val="16"/>
    <w:autoRedefine/>
    <w:semiHidden/>
    <w:qFormat/>
    <w:uiPriority w:val="99"/>
    <w:rPr>
      <w:rFonts w:ascii="Arial" w:hAnsi="Arial"/>
      <w:sz w:val="18"/>
      <w:szCs w:val="18"/>
    </w:rPr>
  </w:style>
  <w:style w:type="character" w:customStyle="1" w:styleId="44">
    <w:name w:val="标题 6 字符"/>
    <w:link w:val="7"/>
    <w:autoRedefine/>
    <w:semiHidden/>
    <w:qFormat/>
    <w:uiPriority w:val="0"/>
    <w:rPr>
      <w:rFonts w:ascii="Cambria" w:hAnsi="Cambria"/>
      <w:b/>
      <w:bCs/>
      <w:kern w:val="2"/>
      <w:sz w:val="24"/>
      <w:szCs w:val="24"/>
    </w:rPr>
  </w:style>
  <w:style w:type="character" w:customStyle="1" w:styleId="45">
    <w:name w:val="标题 7 字符"/>
    <w:link w:val="8"/>
    <w:autoRedefine/>
    <w:semiHidden/>
    <w:qFormat/>
    <w:uiPriority w:val="0"/>
    <w:rPr>
      <w:rFonts w:ascii="宋体" w:hAnsi="宋体"/>
      <w:b/>
      <w:bCs/>
      <w:kern w:val="2"/>
      <w:sz w:val="24"/>
      <w:szCs w:val="24"/>
    </w:rPr>
  </w:style>
  <w:style w:type="character" w:customStyle="1" w:styleId="46">
    <w:name w:val="标题 8 字符"/>
    <w:link w:val="9"/>
    <w:autoRedefine/>
    <w:semiHidden/>
    <w:qFormat/>
    <w:uiPriority w:val="0"/>
    <w:rPr>
      <w:rFonts w:ascii="Cambria" w:hAnsi="Cambria"/>
      <w:kern w:val="2"/>
      <w:sz w:val="24"/>
      <w:szCs w:val="24"/>
    </w:rPr>
  </w:style>
  <w:style w:type="character" w:customStyle="1" w:styleId="47">
    <w:name w:val="标题 9 字符"/>
    <w:link w:val="10"/>
    <w:autoRedefine/>
    <w:semiHidden/>
    <w:qFormat/>
    <w:uiPriority w:val="0"/>
    <w:rPr>
      <w:rFonts w:ascii="Cambria" w:hAnsi="Cambria"/>
      <w:kern w:val="2"/>
      <w:sz w:val="21"/>
      <w:szCs w:val="24"/>
    </w:rPr>
  </w:style>
  <w:style w:type="character" w:customStyle="1" w:styleId="48">
    <w:name w:val="文档结构图 字符"/>
    <w:link w:val="12"/>
    <w:autoRedefine/>
    <w:semiHidden/>
    <w:qFormat/>
    <w:uiPriority w:val="99"/>
    <w:rPr>
      <w:rFonts w:ascii="宋体" w:hAnsi="Arial"/>
      <w:kern w:val="2"/>
      <w:sz w:val="18"/>
      <w:szCs w:val="18"/>
    </w:rPr>
  </w:style>
  <w:style w:type="paragraph" w:customStyle="1" w:styleId="49">
    <w:name w:val="style15"/>
    <w:basedOn w:val="1"/>
    <w:autoRedefine/>
    <w:qFormat/>
    <w:uiPriority w:val="0"/>
    <w:pPr>
      <w:widowControl/>
      <w:spacing w:before="100" w:beforeAutospacing="1" w:after="100" w:afterAutospacing="1" w:line="240" w:lineRule="auto"/>
      <w:jc w:val="left"/>
    </w:pPr>
    <w:rPr>
      <w:rFonts w:cs="宋体"/>
      <w:kern w:val="0"/>
    </w:rPr>
  </w:style>
  <w:style w:type="paragraph" w:customStyle="1" w:styleId="50">
    <w:name w:val="style9"/>
    <w:basedOn w:val="1"/>
    <w:autoRedefine/>
    <w:qFormat/>
    <w:uiPriority w:val="0"/>
    <w:pPr>
      <w:widowControl/>
      <w:spacing w:before="100" w:beforeAutospacing="1" w:after="100" w:afterAutospacing="1" w:line="240" w:lineRule="auto"/>
      <w:jc w:val="left"/>
    </w:pPr>
    <w:rPr>
      <w:rFonts w:cs="宋体"/>
      <w:kern w:val="0"/>
    </w:rPr>
  </w:style>
  <w:style w:type="character" w:customStyle="1" w:styleId="51">
    <w:name w:val="style91"/>
    <w:basedOn w:val="27"/>
    <w:autoRedefine/>
    <w:qFormat/>
    <w:uiPriority w:val="0"/>
  </w:style>
  <w:style w:type="paragraph" w:customStyle="1" w:styleId="52">
    <w:name w:val="style16"/>
    <w:basedOn w:val="1"/>
    <w:autoRedefine/>
    <w:qFormat/>
    <w:uiPriority w:val="0"/>
    <w:pPr>
      <w:widowControl/>
      <w:spacing w:before="100" w:beforeAutospacing="1" w:after="100" w:afterAutospacing="1" w:line="240" w:lineRule="auto"/>
      <w:jc w:val="left"/>
    </w:pPr>
    <w:rPr>
      <w:rFonts w:cs="宋体"/>
      <w:kern w:val="0"/>
    </w:rPr>
  </w:style>
  <w:style w:type="paragraph" w:customStyle="1" w:styleId="53">
    <w:name w:val="style161"/>
    <w:basedOn w:val="1"/>
    <w:autoRedefine/>
    <w:qFormat/>
    <w:uiPriority w:val="0"/>
    <w:pPr>
      <w:widowControl/>
      <w:spacing w:before="100" w:beforeAutospacing="1" w:after="100" w:afterAutospacing="1" w:line="240" w:lineRule="auto"/>
      <w:jc w:val="left"/>
    </w:pPr>
    <w:rPr>
      <w:rFonts w:cs="宋体"/>
      <w:kern w:val="0"/>
    </w:rPr>
  </w:style>
  <w:style w:type="character" w:customStyle="1" w:styleId="54">
    <w:name w:val="style101"/>
    <w:autoRedefine/>
    <w:qFormat/>
    <w:uiPriority w:val="0"/>
    <w:rPr>
      <w:b/>
      <w:bCs/>
      <w:sz w:val="36"/>
      <w:szCs w:val="36"/>
    </w:rPr>
  </w:style>
  <w:style w:type="character" w:customStyle="1" w:styleId="55">
    <w:name w:val="style151"/>
    <w:basedOn w:val="27"/>
    <w:autoRedefine/>
    <w:qFormat/>
    <w:uiPriority w:val="0"/>
  </w:style>
  <w:style w:type="character" w:customStyle="1" w:styleId="56">
    <w:name w:val="Subtle Emphasis"/>
    <w:autoRedefine/>
    <w:qFormat/>
    <w:uiPriority w:val="19"/>
    <w:rPr>
      <w:i/>
      <w:iCs/>
      <w:color w:val="808080"/>
    </w:rPr>
  </w:style>
  <w:style w:type="paragraph" w:customStyle="1" w:styleId="57">
    <w:name w:val="style11"/>
    <w:basedOn w:val="1"/>
    <w:autoRedefine/>
    <w:qFormat/>
    <w:uiPriority w:val="0"/>
    <w:pPr>
      <w:widowControl/>
      <w:spacing w:before="100" w:beforeAutospacing="1" w:after="100" w:afterAutospacing="1" w:line="240" w:lineRule="auto"/>
      <w:jc w:val="left"/>
    </w:pPr>
    <w:rPr>
      <w:rFonts w:cs="宋体"/>
      <w:kern w:val="0"/>
    </w:rPr>
  </w:style>
</w:styles>
</file>

<file path=word/_rels/document.xml.rels><?xml version="1.0" encoding="UTF-8" standalone="yes"?>
<Relationships xmlns="http://schemas.openxmlformats.org/package/2006/relationships"><Relationship Id="rId999" Type="http://schemas.openxmlformats.org/officeDocument/2006/relationships/image" Target="media/image539.png"/><Relationship Id="rId998" Type="http://schemas.openxmlformats.org/officeDocument/2006/relationships/image" Target="https://www.tdx.com.cn/products/helpfile/tdxw/chm/%25E7%25AC%25AC%25E5%2585%25AD%25E7%25AB%25A0%2520%2520%25E5%259F%25BA%25E7%25A1%2580%25E7%2589%2588%25E5%258A%259F%25E8%2583%25BD/6-15/2.png" TargetMode="External"/><Relationship Id="rId997" Type="http://schemas.openxmlformats.org/officeDocument/2006/relationships/image" Target="media/image538.png"/><Relationship Id="rId996" Type="http://schemas.openxmlformats.org/officeDocument/2006/relationships/image" Target="https://www.tdx.com.cn/products/helpfile/tdxw/chm/%25E7%25AC%25AC%25E5%2585%25AD%25E7%25AB%25A0%2520%2520%25E5%259F%25BA%25E7%25A1%2580%25E7%2589%2588%25E5%258A%259F%25E8%2583%25BD/6-15/1.png" TargetMode="External"/><Relationship Id="rId995" Type="http://schemas.openxmlformats.org/officeDocument/2006/relationships/image" Target="media/image537.png"/><Relationship Id="rId994" Type="http://schemas.openxmlformats.org/officeDocument/2006/relationships/image" Target="https://www.tdx.com.cn/products/helpfile/tdxw/chm/%25E7%25AC%25AC%25E5%2585%25AD%25E7%25AB%25A0%2520%2520%25E5%259F%25BA%25E7%25A1%2580%25E7%2589%2588%25E5%258A%259F%25E8%2583%25BD/6-14/6-14/1.png" TargetMode="External"/><Relationship Id="rId993" Type="http://schemas.openxmlformats.org/officeDocument/2006/relationships/image" Target="media/image536.png"/><Relationship Id="rId992" Type="http://schemas.openxmlformats.org/officeDocument/2006/relationships/image" Target="https://www.tdx.com.cn/products/helpfile/tdxw/chm/%25E7%25AC%25AC%25E5%2585%25AD%25E7%25AB%25A0%2520%2520%25E5%259F%25BA%25E7%25A1%2580%25E7%2589%2588%25E5%258A%259F%25E8%2583%25BD/6-13/6.png" TargetMode="External"/><Relationship Id="rId991" Type="http://schemas.openxmlformats.org/officeDocument/2006/relationships/image" Target="media/image535.png"/><Relationship Id="rId990" Type="http://schemas.openxmlformats.org/officeDocument/2006/relationships/image" Target="https://www.tdx.com.cn/products/helpfile/tdxw/chm/%25E7%25AC%25AC%25E5%2585%25AD%25E7%25AB%25A0%2520%2520%25E5%259F%25BA%25E7%25A1%2580%25E7%2589%2588%25E5%258A%259F%25E8%2583%25BD/6-13/5.png" TargetMode="External"/><Relationship Id="rId99" Type="http://schemas.openxmlformats.org/officeDocument/2006/relationships/image" Target="media/image50.png"/><Relationship Id="rId989" Type="http://schemas.openxmlformats.org/officeDocument/2006/relationships/image" Target="media/image534.png"/><Relationship Id="rId988" Type="http://schemas.openxmlformats.org/officeDocument/2006/relationships/image" Target="https://www.tdx.com.cn/products/helpfile/tdxw/chm/%25E7%25AC%25AC%25E5%2585%25AD%25E7%25AB%25A0%2520%2520%25E5%259F%25BA%25E7%25A1%2580%25E7%2589%2588%25E5%258A%259F%25E8%2583%25BD/6-13/4.png" TargetMode="External"/><Relationship Id="rId987" Type="http://schemas.openxmlformats.org/officeDocument/2006/relationships/image" Target="media/image533.png"/><Relationship Id="rId986" Type="http://schemas.openxmlformats.org/officeDocument/2006/relationships/image" Target="https://www.tdx.com.cn/products/helpfile/tdxw/chm/%25E7%25AC%25AC%25E5%2585%25AD%25E7%25AB%25A0%2520%2520%25E5%259F%25BA%25E7%25A1%2580%25E7%2589%2588%25E5%258A%259F%25E8%2583%25BD/6-13/3.png" TargetMode="External"/><Relationship Id="rId985" Type="http://schemas.openxmlformats.org/officeDocument/2006/relationships/image" Target="media/image532.png"/><Relationship Id="rId984" Type="http://schemas.openxmlformats.org/officeDocument/2006/relationships/image" Target="https://www.tdx.com.cn/products/helpfile/tdxw/chm/%25E7%25AC%25AC%25E5%2585%25AD%25E7%25AB%25A0%2520%2520%25E5%259F%25BA%25E7%25A1%2580%25E7%2589%2588%25E5%258A%259F%25E8%2583%25BD/6-13/2.png" TargetMode="External"/><Relationship Id="rId983" Type="http://schemas.openxmlformats.org/officeDocument/2006/relationships/image" Target="media/image531.png"/><Relationship Id="rId982" Type="http://schemas.openxmlformats.org/officeDocument/2006/relationships/image" Target="https://www.tdx.com.cn/products/helpfile/tdxw/chm/%25E7%25AC%25AC%25E5%2585%25AD%25E7%25AB%25A0%2520%2520%25E5%259F%25BA%25E7%25A1%2580%25E7%2589%2588%25E5%258A%259F%25E8%2583%25BD/6-13/1.png" TargetMode="External"/><Relationship Id="rId981" Type="http://schemas.openxmlformats.org/officeDocument/2006/relationships/image" Target="media/image530.png"/><Relationship Id="rId980" Type="http://schemas.openxmlformats.org/officeDocument/2006/relationships/image" Target="https://www.tdx.com.cn/products/helpfile/tdxw/chm/%25E7%25AC%25AC%25E5%2585%25AD%25E7%25AB%25A0%2520%2520%25E5%259F%25BA%25E7%25A1%2580%25E7%2589%2588%25E5%258A%259F%25E8%2583%25BD/6-12/5.png" TargetMode="External"/><Relationship Id="rId98" Type="http://schemas.openxmlformats.org/officeDocument/2006/relationships/image" Target="https://www.tdx.com.cn/products/helpfile/tdxw/chm/%25E7%25AC%25AC%25E4%25BA%258C%25E7%25AB%25A0%2520%25E5%258A%259F%25E8%2583%25BD/2-3/12.png" TargetMode="External"/><Relationship Id="rId979" Type="http://schemas.openxmlformats.org/officeDocument/2006/relationships/image" Target="media/image529.png"/><Relationship Id="rId978" Type="http://schemas.openxmlformats.org/officeDocument/2006/relationships/image" Target="https://www.tdx.com.cn/products/helpfile/tdxw/chm/%25E7%25AC%25AC%25E5%2585%25AD%25E7%25AB%25A0%2520%2520%25E5%259F%25BA%25E7%25A1%2580%25E7%2589%2588%25E5%258A%259F%25E8%2583%25BD/6-12/4.png" TargetMode="External"/><Relationship Id="rId977" Type="http://schemas.openxmlformats.org/officeDocument/2006/relationships/image" Target="media/image528.png"/><Relationship Id="rId976" Type="http://schemas.openxmlformats.org/officeDocument/2006/relationships/image" Target="https://www.tdx.com.cn/products/helpfile/tdxw/chm/%25E7%25AC%25AC%25E5%2585%25AD%25E7%25AB%25A0%2520%2520%25E5%259F%25BA%25E7%25A1%2580%25E7%2589%2588%25E5%258A%259F%25E8%2583%25BD/6-12/3.png" TargetMode="External"/><Relationship Id="rId975" Type="http://schemas.openxmlformats.org/officeDocument/2006/relationships/image" Target="media/image527.png"/><Relationship Id="rId974" Type="http://schemas.openxmlformats.org/officeDocument/2006/relationships/image" Target="https://www.tdx.com.cn/products/helpfile/tdxw/chm/%25E7%25AC%25AC%25E5%2585%25AD%25E7%25AB%25A0%2520%2520%25E5%259F%25BA%25E7%25A1%2580%25E7%2589%2588%25E5%258A%259F%25E8%2583%25BD/6-12/2.png" TargetMode="External"/><Relationship Id="rId973" Type="http://schemas.openxmlformats.org/officeDocument/2006/relationships/image" Target="media/image526.png"/><Relationship Id="rId972" Type="http://schemas.openxmlformats.org/officeDocument/2006/relationships/image" Target="https://www.tdx.com.cn/products/helpfile/tdxw/chm/%25E7%25AC%25AC%25E5%2585%25AD%25E7%25AB%25A0%2520%2520%25E5%259F%25BA%25E7%25A1%2580%25E7%2589%2588%25E5%258A%259F%25E8%2583%25BD/6-12/1.png" TargetMode="External"/><Relationship Id="rId971" Type="http://schemas.openxmlformats.org/officeDocument/2006/relationships/image" Target="media/image525.png"/><Relationship Id="rId970" Type="http://schemas.openxmlformats.org/officeDocument/2006/relationships/image" Target="https://www.tdx.com.cn/products/helpfile/tdxw/chm/%25E7%25AC%25AC%25E5%2585%25AD%25E7%25AB%25A0%2520%2520%25E5%259F%25BA%25E7%25A1%2580%25E7%2589%2588%25E5%258A%259F%25E8%2583%25BD/6-11/6.png" TargetMode="External"/><Relationship Id="rId97" Type="http://schemas.openxmlformats.org/officeDocument/2006/relationships/image" Target="media/image49.png"/><Relationship Id="rId969" Type="http://schemas.openxmlformats.org/officeDocument/2006/relationships/image" Target="media/image524.png"/><Relationship Id="rId968" Type="http://schemas.openxmlformats.org/officeDocument/2006/relationships/image" Target="https://www.tdx.com.cn/products/helpfile/tdxw/chm/%25E7%25AC%25AC%25E5%2585%25AD%25E7%25AB%25A0%2520%2520%25E5%259F%25BA%25E7%25A1%2580%25E7%2589%2588%25E5%258A%259F%25E8%2583%25BD/6-11/5.png" TargetMode="External"/><Relationship Id="rId967" Type="http://schemas.openxmlformats.org/officeDocument/2006/relationships/image" Target="media/image523.png"/><Relationship Id="rId966" Type="http://schemas.openxmlformats.org/officeDocument/2006/relationships/image" Target="https://www.tdx.com.cn/products/helpfile/tdxw/chm/%25E7%25AC%25AC%25E5%2585%25AD%25E7%25AB%25A0%2520%2520%25E5%259F%25BA%25E7%25A1%2580%25E7%2589%2588%25E5%258A%259F%25E8%2583%25BD/6-11/4.png" TargetMode="External"/><Relationship Id="rId965" Type="http://schemas.openxmlformats.org/officeDocument/2006/relationships/image" Target="media/image522.png"/><Relationship Id="rId964" Type="http://schemas.openxmlformats.org/officeDocument/2006/relationships/image" Target="https://www.tdx.com.cn/products/helpfile/tdxw/chm/%25E7%25AC%25AC%25E5%2585%25AD%25E7%25AB%25A0%2520%2520%25E5%259F%25BA%25E7%25A1%2580%25E7%2589%2588%25E5%258A%259F%25E8%2583%25BD/6-11/3.png" TargetMode="External"/><Relationship Id="rId963" Type="http://schemas.openxmlformats.org/officeDocument/2006/relationships/image" Target="media/image521.png"/><Relationship Id="rId962" Type="http://schemas.openxmlformats.org/officeDocument/2006/relationships/image" Target="https://www.tdx.com.cn/products/helpfile/tdxw/chm/%25E7%25AC%25AC%25E5%2585%25AD%25E7%25AB%25A0%2520%2520%25E5%259F%25BA%25E7%25A1%2580%25E7%2589%2588%25E5%258A%259F%25E8%2583%25BD/6-11/2.png" TargetMode="External"/><Relationship Id="rId961" Type="http://schemas.openxmlformats.org/officeDocument/2006/relationships/image" Target="media/image520.png"/><Relationship Id="rId960" Type="http://schemas.openxmlformats.org/officeDocument/2006/relationships/image" Target="https://www.tdx.com.cn/products/helpfile/tdxw/chm/%25E7%25AC%25AC%25E5%2585%25AD%25E7%25AB%25A0%2520%2520%25E5%259F%25BA%25E7%25A1%2580%25E7%2589%2588%25E5%258A%259F%25E8%2583%25BD/6-11/1.png" TargetMode="External"/><Relationship Id="rId96" Type="http://schemas.openxmlformats.org/officeDocument/2006/relationships/image" Target="https://www.tdx.com.cn/products/helpfile/tdxw/chm/%25E7%25AC%25AC%25E4%25BA%258C%25E7%25AB%25A0%2520%25E5%258A%259F%25E8%2583%25BD/2-3/11.png" TargetMode="External"/><Relationship Id="rId959" Type="http://schemas.openxmlformats.org/officeDocument/2006/relationships/image" Target="media/image519.png"/><Relationship Id="rId958" Type="http://schemas.openxmlformats.org/officeDocument/2006/relationships/image" Target="media/image518.png"/><Relationship Id="rId957" Type="http://schemas.openxmlformats.org/officeDocument/2006/relationships/image" Target="media/image517.png"/><Relationship Id="rId956" Type="http://schemas.openxmlformats.org/officeDocument/2006/relationships/image" Target="media/image516.png"/><Relationship Id="rId955" Type="http://schemas.openxmlformats.org/officeDocument/2006/relationships/image" Target="media/image515.png"/><Relationship Id="rId954" Type="http://schemas.openxmlformats.org/officeDocument/2006/relationships/image" Target="media/image514.png"/><Relationship Id="rId953" Type="http://schemas.openxmlformats.org/officeDocument/2006/relationships/image" Target="media/image513.png"/><Relationship Id="rId952" Type="http://schemas.openxmlformats.org/officeDocument/2006/relationships/image" Target="media/image512.png"/><Relationship Id="rId951" Type="http://schemas.openxmlformats.org/officeDocument/2006/relationships/image" Target="media/image511.png"/><Relationship Id="rId950" Type="http://schemas.openxmlformats.org/officeDocument/2006/relationships/image" Target="media/image510.png"/><Relationship Id="rId95" Type="http://schemas.openxmlformats.org/officeDocument/2006/relationships/image" Target="media/image48.png"/><Relationship Id="rId949" Type="http://schemas.openxmlformats.org/officeDocument/2006/relationships/image" Target="media/image509.png"/><Relationship Id="rId948" Type="http://schemas.openxmlformats.org/officeDocument/2006/relationships/image" Target="media/image508.png"/><Relationship Id="rId947" Type="http://schemas.openxmlformats.org/officeDocument/2006/relationships/image" Target="media/image507.png"/><Relationship Id="rId946" Type="http://schemas.openxmlformats.org/officeDocument/2006/relationships/image" Target="media/image506.png"/><Relationship Id="rId945" Type="http://schemas.openxmlformats.org/officeDocument/2006/relationships/image" Target="media/image505.png"/><Relationship Id="rId944" Type="http://schemas.openxmlformats.org/officeDocument/2006/relationships/image" Target="media/image504.png"/><Relationship Id="rId943" Type="http://schemas.openxmlformats.org/officeDocument/2006/relationships/image" Target="https://www.tdx.com.cn/products/helpfile/tdxw/chm/%25E7%25AC%25AC%25E5%2585%25AD%25E7%25AB%25A0%2520%2520%25E5%259F%25BA%25E7%25A1%2580%25E7%2589%2588%25E5%258A%259F%25E8%2583%25BD/6-8/0.3.png" TargetMode="External"/><Relationship Id="rId942" Type="http://schemas.openxmlformats.org/officeDocument/2006/relationships/image" Target="media/image503.png"/><Relationship Id="rId941" Type="http://schemas.openxmlformats.org/officeDocument/2006/relationships/image" Target="https://www.tdx.com.cn/products/helpfile/tdxw/chm/%25E7%25AC%25AC%25E5%2585%25AD%25E7%25AB%25A0%2520%2520%25E5%259F%25BA%25E7%25A1%2580%25E7%2589%2588%25E5%258A%259F%25E8%2583%25BD/6-7/3.png" TargetMode="External"/><Relationship Id="rId940" Type="http://schemas.openxmlformats.org/officeDocument/2006/relationships/image" Target="media/image502.png"/><Relationship Id="rId94" Type="http://schemas.openxmlformats.org/officeDocument/2006/relationships/image" Target="https://www.tdx.com.cn/products/helpfile/tdxw/chm/%25E7%25AC%25AC%25E4%25BA%258C%25E7%25AB%25A0%2520%25E5%258A%259F%25E8%2583%25BD/2-3/10.png" TargetMode="External"/><Relationship Id="rId939" Type="http://schemas.openxmlformats.org/officeDocument/2006/relationships/image" Target="https://www.tdx.com.cn/products/helpfile/tdxw/chm/%25E7%25AC%25AC%25E5%2585%25AD%25E7%25AB%25A0%2520%2520%25E5%259F%25BA%25E7%25A1%2580%25E7%2589%2588%25E5%258A%259F%25E8%2583%25BD/6-7/2.png" TargetMode="External"/><Relationship Id="rId938" Type="http://schemas.openxmlformats.org/officeDocument/2006/relationships/image" Target="media/image501.png"/><Relationship Id="rId937" Type="http://schemas.openxmlformats.org/officeDocument/2006/relationships/image" Target="https://www.tdx.com.cn/products/helpfile/tdxw/chm/%25E7%25AC%25AC%25E5%2585%25AD%25E7%25AB%25A0%2520%2520%25E5%259F%25BA%25E7%25A1%2580%25E7%2589%2588%25E5%258A%259F%25E8%2583%25BD/6-7/1.png" TargetMode="External"/><Relationship Id="rId936" Type="http://schemas.openxmlformats.org/officeDocument/2006/relationships/image" Target="media/image500.png"/><Relationship Id="rId935" Type="http://schemas.openxmlformats.org/officeDocument/2006/relationships/image" Target="https://www.tdx.com.cn/products/helpfile/tdxw/chm/%25E7%25AC%25AC%25E5%2585%25AD%25E7%25AB%25A0%2520%2520%25E5%259F%25BA%25E7%25A1%2580%25E7%2589%2588%25E5%258A%259F%25E8%2583%25BD/6-6/4.png" TargetMode="External"/><Relationship Id="rId934" Type="http://schemas.openxmlformats.org/officeDocument/2006/relationships/image" Target="media/image499.png"/><Relationship Id="rId933" Type="http://schemas.openxmlformats.org/officeDocument/2006/relationships/image" Target="https://www.tdx.com.cn/products/helpfile/tdxw/chm/%25E7%25AC%25AC%25E5%2585%25AD%25E7%25AB%25A0%2520%2520%25E5%259F%25BA%25E7%25A1%2580%25E7%2589%2588%25E5%258A%259F%25E8%2583%25BD/6-6/3.png" TargetMode="External"/><Relationship Id="rId932" Type="http://schemas.openxmlformats.org/officeDocument/2006/relationships/image" Target="media/image498.png"/><Relationship Id="rId931" Type="http://schemas.openxmlformats.org/officeDocument/2006/relationships/image" Target="https://www.tdx.com.cn/products/helpfile/tdxw/chm/%25E7%25AC%25AC%25E5%2585%25AD%25E7%25AB%25A0%2520%2520%25E5%259F%25BA%25E7%25A1%2580%25E7%2589%2588%25E5%258A%259F%25E8%2583%25BD/6-6/1.png" TargetMode="External"/><Relationship Id="rId930" Type="http://schemas.openxmlformats.org/officeDocument/2006/relationships/image" Target="media/image497.png"/><Relationship Id="rId93" Type="http://schemas.openxmlformats.org/officeDocument/2006/relationships/image" Target="media/image47.png"/><Relationship Id="rId929" Type="http://schemas.openxmlformats.org/officeDocument/2006/relationships/image" Target="media/image496.png"/><Relationship Id="rId928" Type="http://schemas.openxmlformats.org/officeDocument/2006/relationships/image" Target="https://www.tdx.com.cn/products/helpfile/tdxw/chm/%25E7%25AC%25AC%25E5%2585%25AD%25E7%25AB%25A0%2520%2520%25E5%259F%25BA%25E7%25A1%2580%25E7%2589%2588%25E5%258A%259F%25E8%2583%25BD/6-5/3.png" TargetMode="External"/><Relationship Id="rId927" Type="http://schemas.openxmlformats.org/officeDocument/2006/relationships/image" Target="media/image495.png"/><Relationship Id="rId926" Type="http://schemas.openxmlformats.org/officeDocument/2006/relationships/image" Target="https://www.tdx.com.cn/products/helpfile/tdxw/chm/%25E7%25AC%25AC%25E5%2585%25AD%25E7%25AB%25A0%2520%2520%25E5%259F%25BA%25E7%25A1%2580%25E7%2589%2588%25E5%258A%259F%25E8%2583%25BD/6-5/2.png" TargetMode="External"/><Relationship Id="rId925" Type="http://schemas.openxmlformats.org/officeDocument/2006/relationships/image" Target="media/image494.png"/><Relationship Id="rId924" Type="http://schemas.openxmlformats.org/officeDocument/2006/relationships/image" Target="https://www.tdx.com.cn/products/helpfile/tdxw/chm/%25E7%25AC%25AC%25E5%2585%25AD%25E7%25AB%25A0%2520%2520%25E5%259F%25BA%25E7%25A1%2580%25E7%2589%2588%25E5%258A%259F%25E8%2583%25BD/6-5/1.png" TargetMode="External"/><Relationship Id="rId923" Type="http://schemas.openxmlformats.org/officeDocument/2006/relationships/image" Target="media/image493.png"/><Relationship Id="rId922" Type="http://schemas.openxmlformats.org/officeDocument/2006/relationships/image" Target="media/image492.png"/><Relationship Id="rId921" Type="http://schemas.openxmlformats.org/officeDocument/2006/relationships/image" Target="media/image491.png"/><Relationship Id="rId920" Type="http://schemas.openxmlformats.org/officeDocument/2006/relationships/image" Target="media/image490.png"/><Relationship Id="rId92" Type="http://schemas.openxmlformats.org/officeDocument/2006/relationships/image" Target="https://www.tdx.com.cn/products/helpfile/tdxw/chm/%25E7%25AC%25AC%25E4%25BA%258C%25E7%25AB%25A0%2520%25E5%258A%259F%25E8%2583%25BD/2-3/untitled.jpg" TargetMode="External"/><Relationship Id="rId919" Type="http://schemas.openxmlformats.org/officeDocument/2006/relationships/image" Target="media/image489.png"/><Relationship Id="rId918" Type="http://schemas.openxmlformats.org/officeDocument/2006/relationships/image" Target="media/image488.png"/><Relationship Id="rId917" Type="http://schemas.openxmlformats.org/officeDocument/2006/relationships/image" Target="media/image487.png"/><Relationship Id="rId916" Type="http://schemas.openxmlformats.org/officeDocument/2006/relationships/image" Target="media/image486.png"/><Relationship Id="rId915" Type="http://schemas.openxmlformats.org/officeDocument/2006/relationships/image" Target="https://www.tdx.com.cn/products/helpfile/tdxw/chm/%25E7%25AC%25AC%25E5%2585%25AD%25E7%25AB%25A0%2520%2520%25E5%259F%25BA%25E7%25A1%2580%25E7%2589%2588%25E5%258A%259F%25E8%2583%25BD/6-1/7.png" TargetMode="External"/><Relationship Id="rId914" Type="http://schemas.openxmlformats.org/officeDocument/2006/relationships/image" Target="media/image485.png"/><Relationship Id="rId913" Type="http://schemas.openxmlformats.org/officeDocument/2006/relationships/image" Target="https://www.tdx.com.cn/products/helpfile/tdxw/chm/%25E7%25AC%25AC%25E5%2585%25AD%25E7%25AB%25A0%2520%2520%25E5%259F%25BA%25E7%25A1%2580%25E7%2589%2588%25E5%258A%259F%25E8%2583%25BD/6-1/6.png" TargetMode="External"/><Relationship Id="rId912" Type="http://schemas.openxmlformats.org/officeDocument/2006/relationships/image" Target="media/image484.png"/><Relationship Id="rId911" Type="http://schemas.openxmlformats.org/officeDocument/2006/relationships/image" Target="https://www.tdx.com.cn/products/helpfile/tdxw/chm/%25E7%25AC%25AC%25E5%2585%25AD%25E7%25AB%25A0%2520%2520%25E5%259F%25BA%25E7%25A1%2580%25E7%2589%2588%25E5%258A%259F%25E8%2583%25BD/6-1/5.png" TargetMode="External"/><Relationship Id="rId910" Type="http://schemas.openxmlformats.org/officeDocument/2006/relationships/image" Target="media/image483.png"/><Relationship Id="rId91" Type="http://schemas.openxmlformats.org/officeDocument/2006/relationships/image" Target="media/image46.jpeg"/><Relationship Id="rId909" Type="http://schemas.openxmlformats.org/officeDocument/2006/relationships/image" Target="media/image482.png"/><Relationship Id="rId908" Type="http://schemas.openxmlformats.org/officeDocument/2006/relationships/image" Target="https://www.tdx.com.cn/products/helpfile/tdxw/chm/%25E7%25AC%25AC%25E5%2585%25AD%25E7%25AB%25A0%2520%2520%25E5%259F%25BA%25E7%25A1%2580%25E7%2589%2588%25E5%258A%259F%25E8%2583%25BD/6-1/3.png" TargetMode="External"/><Relationship Id="rId907" Type="http://schemas.openxmlformats.org/officeDocument/2006/relationships/image" Target="media/image481.png"/><Relationship Id="rId906" Type="http://schemas.openxmlformats.org/officeDocument/2006/relationships/image" Target="https://www.tdx.com.cn/products/helpfile/tdxw/chm/%25E7%25AC%25AC%25E5%2585%25AD%25E7%25AB%25A0%2520%2520%25E5%259F%25BA%25E7%25A1%2580%25E7%2589%2588%25E5%258A%259F%25E8%2583%25BD/6-1/2.3.png" TargetMode="External"/><Relationship Id="rId905" Type="http://schemas.openxmlformats.org/officeDocument/2006/relationships/image" Target="media/image480.png"/><Relationship Id="rId904" Type="http://schemas.openxmlformats.org/officeDocument/2006/relationships/image" Target="https://www.tdx.com.cn/products/helpfile/tdxw/chm/%25E7%25AC%25AC%25E5%2585%25AD%25E7%25AB%25A0%2520%2520%25E5%259F%25BA%25E7%25A1%2580%25E7%2589%2588%25E5%258A%259F%25E8%2583%25BD/6-1/2.2.png" TargetMode="External"/><Relationship Id="rId903" Type="http://schemas.openxmlformats.org/officeDocument/2006/relationships/image" Target="media/image479.png"/><Relationship Id="rId902" Type="http://schemas.openxmlformats.org/officeDocument/2006/relationships/image" Target="https://www.tdx.com.cn/products/helpfile/tdxw/chm/%25E7%25AC%25AC%25E5%2585%25AD%25E7%25AB%25A0%2520%2520%25E5%259F%25BA%25E7%25A1%2580%25E7%2589%2588%25E5%258A%259F%25E8%2583%25BD/6-1/2.1.png" TargetMode="External"/><Relationship Id="rId901" Type="http://schemas.openxmlformats.org/officeDocument/2006/relationships/image" Target="media/image478.png"/><Relationship Id="rId900" Type="http://schemas.openxmlformats.org/officeDocument/2006/relationships/image" Target="https://www.tdx.com.cn/products/helpfile/tdxw/chm/%25E7%25AC%25AC%25E5%2585%25AD%25E7%25AB%25A0%2520%2520%25E5%259F%25BA%25E7%25A1%2580%25E7%2589%2588%25E5%258A%259F%25E8%2583%25BD/6-1/1.png" TargetMode="External"/><Relationship Id="rId90" Type="http://schemas.openxmlformats.org/officeDocument/2006/relationships/image" Target="https://www.tdx.com.cn/products/helpfile/tdxw/chm/%25E7%25AC%25AC%25E4%25BA%258C%25E7%25AB%25A0%2520%25E5%258A%259F%25E8%2583%25BD/2-3/9.png" TargetMode="External"/><Relationship Id="rId9" Type="http://schemas.openxmlformats.org/officeDocument/2006/relationships/image" Target="https://www.tdx.com.cn/products/helpfile/tdxw/chm/%25E7%25AC%25AC%25E4%25B8%2580%25E7%25AB%25A0%2520%2520%2520%25E6%25AC%25A2%25E8%25BF%258E%25E4%25BD%25BF%25E7%2594%25A8/1-2/1.png" TargetMode="External"/><Relationship Id="rId899" Type="http://schemas.openxmlformats.org/officeDocument/2006/relationships/image" Target="media/image477.png"/><Relationship Id="rId898" Type="http://schemas.openxmlformats.org/officeDocument/2006/relationships/image" Target="media/image476.png"/><Relationship Id="rId897" Type="http://schemas.openxmlformats.org/officeDocument/2006/relationships/image" Target="media/image475.png"/><Relationship Id="rId896" Type="http://schemas.openxmlformats.org/officeDocument/2006/relationships/image" Target="media/image474.png"/><Relationship Id="rId895" Type="http://schemas.openxmlformats.org/officeDocument/2006/relationships/image" Target="media/image473.png"/><Relationship Id="rId894" Type="http://schemas.openxmlformats.org/officeDocument/2006/relationships/image" Target="https://www.tdx.com.cn/products/helpfile/tdxw/chm/%25E7%25AC%25AC%25E4%25BA%2594%25E7%25AB%25A0%2520%2520%25E6%25B3%25A8%25E5%2586%258C%25E5%258F%258A%25E6%25B8%25B8%25E5%25AE%25A2%25E7%2599%25BB%25E9%2599%2586/5-12/5.png" TargetMode="External"/><Relationship Id="rId893" Type="http://schemas.openxmlformats.org/officeDocument/2006/relationships/image" Target="media/image472.png"/><Relationship Id="rId892" Type="http://schemas.openxmlformats.org/officeDocument/2006/relationships/image" Target="media/image471.png"/><Relationship Id="rId891" Type="http://schemas.openxmlformats.org/officeDocument/2006/relationships/image" Target="https://www.tdx.com.cn/products/helpfile/tdxw/chm/%25E7%25AC%25AC%25E4%25BA%2594%25E7%25AB%25A0%2520%2520%25E6%25B3%25A8%25E5%2586%258C%25E5%258F%258A%25E6%25B8%25B8%25E5%25AE%25A2%25E7%2599%25BB%25E9%2599%2586/5-12/3.png" TargetMode="External"/><Relationship Id="rId890" Type="http://schemas.openxmlformats.org/officeDocument/2006/relationships/image" Target="media/image470.png"/><Relationship Id="rId89" Type="http://schemas.openxmlformats.org/officeDocument/2006/relationships/image" Target="media/image45.png"/><Relationship Id="rId889" Type="http://schemas.openxmlformats.org/officeDocument/2006/relationships/image" Target="media/image469.png"/><Relationship Id="rId888" Type="http://schemas.openxmlformats.org/officeDocument/2006/relationships/image" Target="media/image468.png"/><Relationship Id="rId887" Type="http://schemas.openxmlformats.org/officeDocument/2006/relationships/image" Target="media/image467.png"/><Relationship Id="rId886" Type="http://schemas.openxmlformats.org/officeDocument/2006/relationships/image" Target="https://www.tdx.com.cn/products/helpfile/tdxw/chm/%25E7%25AC%25AC%25E4%25BA%2594%25E7%25AB%25A0%2520%2520%25E6%25B3%25A8%25E5%2586%258C%25E5%258F%258A%25E6%25B8%25B8%25E5%25AE%25A2%25E7%2599%25BB%25E9%2599%2586/5-10/4.png" TargetMode="External"/><Relationship Id="rId885" Type="http://schemas.openxmlformats.org/officeDocument/2006/relationships/image" Target="media/image466.png"/><Relationship Id="rId884" Type="http://schemas.openxmlformats.org/officeDocument/2006/relationships/image" Target="https://www.tdx.com.cn/products/helpfile/tdxw/chm/%25E7%25AC%25AC%25E4%25BA%2594%25E7%25AB%25A0%2520%2520%25E6%25B3%25A8%25E5%2586%258C%25E5%258F%258A%25E6%25B8%25B8%25E5%25AE%25A2%25E7%2599%25BB%25E9%2599%2586/5-10/3.png" TargetMode="External"/><Relationship Id="rId883" Type="http://schemas.openxmlformats.org/officeDocument/2006/relationships/image" Target="media/image465.png"/><Relationship Id="rId882" Type="http://schemas.openxmlformats.org/officeDocument/2006/relationships/image" Target="https://www.tdx.com.cn/products/helpfile/tdxw/chm/%25E7%25AC%25AC%25E4%25BA%2594%25E7%25AB%25A0%2520%2520%25E6%25B3%25A8%25E5%2586%258C%25E5%258F%258A%25E6%25B8%25B8%25E5%25AE%25A2%25E7%2599%25BB%25E9%2599%2586/5-10/2.png" TargetMode="External"/><Relationship Id="rId881" Type="http://schemas.openxmlformats.org/officeDocument/2006/relationships/image" Target="media/image464.png"/><Relationship Id="rId880" Type="http://schemas.openxmlformats.org/officeDocument/2006/relationships/image" Target="https://www.tdx.com.cn/products/helpfile/tdxw/chm/%25E7%25AC%25AC%25E4%25BA%2594%25E7%25AB%25A0%2520%2520%25E6%25B3%25A8%25E5%2586%258C%25E5%258F%258A%25E6%25B8%25B8%25E5%25AE%25A2%25E7%2599%25BB%25E9%2599%2586/5-10/1.png" TargetMode="External"/><Relationship Id="rId88" Type="http://schemas.openxmlformats.org/officeDocument/2006/relationships/image" Target="https://www.tdx.com.cn/products/helpfile/tdxw/chm/%25E7%25AC%25AC%25E4%25BA%258C%25E7%25AB%25A0%2520%25E5%258A%259F%25E8%2583%25BD/2-3/8.png" TargetMode="External"/><Relationship Id="rId879" Type="http://schemas.openxmlformats.org/officeDocument/2006/relationships/image" Target="media/image463.png"/><Relationship Id="rId878" Type="http://schemas.openxmlformats.org/officeDocument/2006/relationships/image" Target="https://www.tdx.com.cn/products/helpfile/tdxw/chm/%25E7%25AC%25AC%25E4%25BA%2594%25E7%25AB%25A0%2520%2520%25E6%25B3%25A8%25E5%2586%258C%25E5%258F%258A%25E6%25B8%25B8%25E5%25AE%25A2%25E7%2599%25BB%25E9%2599%2586/5-10/0.5.png" TargetMode="External"/><Relationship Id="rId877" Type="http://schemas.openxmlformats.org/officeDocument/2006/relationships/image" Target="media/image462.png"/><Relationship Id="rId876" Type="http://schemas.openxmlformats.org/officeDocument/2006/relationships/image" Target="https://www.tdx.com.cn/products/helpfile/tdxw/chm/%25E7%25AC%25AC%25E4%25BA%2594%25E7%25AB%25A0%2520%2520%25E6%25B3%25A8%25E5%2586%258C%25E5%258F%258A%25E6%25B8%25B8%25E5%25AE%25A2%25E7%2599%25BB%25E9%2599%2586/5-9/2.png" TargetMode="External"/><Relationship Id="rId875" Type="http://schemas.openxmlformats.org/officeDocument/2006/relationships/image" Target="media/image461.png"/><Relationship Id="rId874" Type="http://schemas.openxmlformats.org/officeDocument/2006/relationships/image" Target="https://www.tdx.com.cn/products/helpfile/tdxw/chm/%25E7%25AC%25AC%25E4%25BA%2594%25E7%25AB%25A0%2520%2520%25E6%25B3%25A8%25E5%2586%258C%25E5%258F%258A%25E6%25B8%25B8%25E5%25AE%25A2%25E7%2599%25BB%25E9%2599%2586/5-9/1.png" TargetMode="External"/><Relationship Id="rId873" Type="http://schemas.openxmlformats.org/officeDocument/2006/relationships/image" Target="media/image460.png"/><Relationship Id="rId872" Type="http://schemas.openxmlformats.org/officeDocument/2006/relationships/image" Target="https://www.tdx.com.cn/products/helpfile/tdxw/chm/%25E7%25AC%25AC%25E4%25BA%2594%25E7%25AB%25A0%2520%2520%25E6%25B3%25A8%25E5%2586%258C%25E5%258F%258A%25E6%25B8%25B8%25E5%25AE%25A2%25E7%2599%25BB%25E9%2599%2586/5-8/5.png" TargetMode="External"/><Relationship Id="rId871" Type="http://schemas.openxmlformats.org/officeDocument/2006/relationships/image" Target="media/image459.png"/><Relationship Id="rId870" Type="http://schemas.openxmlformats.org/officeDocument/2006/relationships/image" Target="media/image458.png"/><Relationship Id="rId87" Type="http://schemas.openxmlformats.org/officeDocument/2006/relationships/image" Target="media/image44.png"/><Relationship Id="rId869" Type="http://schemas.openxmlformats.org/officeDocument/2006/relationships/image" Target="media/image457.png"/><Relationship Id="rId868" Type="http://schemas.openxmlformats.org/officeDocument/2006/relationships/image" Target="media/image456.png"/><Relationship Id="rId867" Type="http://schemas.openxmlformats.org/officeDocument/2006/relationships/image" Target="media/image455.png"/><Relationship Id="rId866" Type="http://schemas.openxmlformats.org/officeDocument/2006/relationships/image" Target="media/image454.png"/><Relationship Id="rId865" Type="http://schemas.openxmlformats.org/officeDocument/2006/relationships/image" Target="https://www.tdx.com.cn/products/helpfile/tdxw/chm/%25E7%25AC%25AC%25E4%25BA%2594%25E7%25AB%25A0%2520%2520%25E6%25B3%25A8%25E5%2586%258C%25E5%258F%258A%25E6%25B8%25B8%25E5%25AE%25A2%25E7%2599%25BB%25E9%2599%2586/5-7/2.png" TargetMode="External"/><Relationship Id="rId864" Type="http://schemas.openxmlformats.org/officeDocument/2006/relationships/image" Target="media/image453.png"/><Relationship Id="rId863" Type="http://schemas.openxmlformats.org/officeDocument/2006/relationships/image" Target="https://www.tdx.com.cn/products/helpfile/tdxw/chm/%25E7%25AC%25AC%25E4%25BA%2594%25E7%25AB%25A0%2520%2520%25E6%25B3%25A8%25E5%2586%258C%25E5%258F%258A%25E6%25B8%25B8%25E5%25AE%25A2%25E7%2599%25BB%25E9%2599%2586/5-7/1.png" TargetMode="External"/><Relationship Id="rId862" Type="http://schemas.openxmlformats.org/officeDocument/2006/relationships/image" Target="media/image452.png"/><Relationship Id="rId861" Type="http://schemas.openxmlformats.org/officeDocument/2006/relationships/image" Target="https://www.tdx.com.cn/products/helpfile/tdxw/chm/%25E7%25AC%25AC%25E4%25BA%2594%25E7%25AB%25A0%2520%2520%25E6%25B3%25A8%25E5%2586%258C%25E5%258F%258A%25E6%25B8%25B8%25E5%25AE%25A2%25E7%2599%25BB%25E9%2599%2586/5-8/4.png" TargetMode="External"/><Relationship Id="rId860" Type="http://schemas.openxmlformats.org/officeDocument/2006/relationships/image" Target="media/image451.png"/><Relationship Id="rId86" Type="http://schemas.openxmlformats.org/officeDocument/2006/relationships/image" Target="https://www.tdx.com.cn/products/helpfile/tdxw/chm/%25E7%25AC%25AC%25E4%25BA%258C%25E7%25AB%25A0%2520%25E5%258A%259F%25E8%2583%25BD/2-3/7.png" TargetMode="External"/><Relationship Id="rId859" Type="http://schemas.openxmlformats.org/officeDocument/2006/relationships/image" Target="https://www.tdx.com.cn/products/helpfile/tdxw/chm/%25E7%25AC%25AC%25E4%25BA%2594%25E7%25AB%25A0%2520%2520%25E6%25B3%25A8%25E5%2586%258C%25E5%258F%258A%25E6%25B8%25B8%25E5%25AE%25A2%25E7%2599%25BB%25E9%2599%2586/5-8/3.png" TargetMode="External"/><Relationship Id="rId858" Type="http://schemas.openxmlformats.org/officeDocument/2006/relationships/image" Target="media/image450.png"/><Relationship Id="rId857" Type="http://schemas.openxmlformats.org/officeDocument/2006/relationships/image" Target="https://www.tdx.com.cn/products/helpfile/tdxw/chm/%25E7%25AC%25AC%25E4%25BA%2594%25E7%25AB%25A0%2520%2520%25E6%25B3%25A8%25E5%2586%258C%25E5%258F%258A%25E6%25B8%25B8%25E5%25AE%25A2%25E7%2599%25BB%25E9%2599%2586/5-8/2.png" TargetMode="External"/><Relationship Id="rId856" Type="http://schemas.openxmlformats.org/officeDocument/2006/relationships/image" Target="media/image449.png"/><Relationship Id="rId855" Type="http://schemas.openxmlformats.org/officeDocument/2006/relationships/image" Target="https://www.tdx.com.cn/products/helpfile/tdxw/chm/%25E7%25AC%25AC%25E4%25BA%2594%25E7%25AB%25A0%2520%2520%25E6%25B3%25A8%25E5%2586%258C%25E5%258F%258A%25E6%25B8%25B8%25E5%25AE%25A2%25E7%2599%25BB%25E9%2599%2586/5-8/1.png" TargetMode="External"/><Relationship Id="rId854" Type="http://schemas.openxmlformats.org/officeDocument/2006/relationships/image" Target="media/image448.png"/><Relationship Id="rId853" Type="http://schemas.openxmlformats.org/officeDocument/2006/relationships/image" Target="https://www.tdx.com.cn/products/helpfile/tdxw/chm/%25E7%25AC%25AC%25E4%25BA%2594%25E7%25AB%25A0%2520%2520%25E6%25B3%25A8%25E5%2586%258C%25E5%258F%258A%25E6%25B8%25B8%25E5%25AE%25A2%25E7%2599%25BB%25E9%2599%2586/5-8/0.2.png" TargetMode="External"/><Relationship Id="rId852" Type="http://schemas.openxmlformats.org/officeDocument/2006/relationships/image" Target="media/image447.png"/><Relationship Id="rId851" Type="http://schemas.openxmlformats.org/officeDocument/2006/relationships/image" Target="https://www.tdx.com.cn/products/helpfile/tdxw/chm/%25E7%25AC%25AC%25E4%25BA%2594%25E7%25AB%25A0%2520%2520%25E6%25B3%25A8%25E5%2586%258C%25E5%258F%258A%25E6%25B8%25B8%25E5%25AE%25A2%25E7%2599%25BB%25E9%2599%2586/5-8/0.1.png" TargetMode="External"/><Relationship Id="rId850" Type="http://schemas.openxmlformats.org/officeDocument/2006/relationships/image" Target="media/image446.png"/><Relationship Id="rId85" Type="http://schemas.openxmlformats.org/officeDocument/2006/relationships/image" Target="media/image43.png"/><Relationship Id="rId849" Type="http://schemas.openxmlformats.org/officeDocument/2006/relationships/image" Target="https://www.tdx.com.cn/products/helpfile/tdxw/chm/%25E7%25AC%25AC%25E4%25BA%2594%25E7%25AB%25A0%2520%2520%25E6%25B3%25A8%25E5%2586%258C%25E5%258F%258A%25E6%25B8%25B8%25E5%25AE%25A2%25E7%2599%25BB%25E9%2599%2586/5-6/3.png" TargetMode="External"/><Relationship Id="rId848" Type="http://schemas.openxmlformats.org/officeDocument/2006/relationships/image" Target="media/image445.png"/><Relationship Id="rId847" Type="http://schemas.openxmlformats.org/officeDocument/2006/relationships/image" Target="https://www.tdx.com.cn/products/helpfile/tdxw/chm/%25E7%25AC%25AC%25E4%25BA%2594%25E7%25AB%25A0%2520%2520%25E6%25B3%25A8%25E5%2586%258C%25E5%258F%258A%25E6%25B8%25B8%25E5%25AE%25A2%25E7%2599%25BB%25E9%2599%2586/5-6/2.png" TargetMode="External"/><Relationship Id="rId846" Type="http://schemas.openxmlformats.org/officeDocument/2006/relationships/image" Target="media/image444.png"/><Relationship Id="rId845" Type="http://schemas.openxmlformats.org/officeDocument/2006/relationships/image" Target="https://www.tdx.com.cn/products/helpfile/tdxw/chm/%25E7%25AC%25AC%25E4%25BA%2594%25E7%25AB%25A0%2520%2520%25E6%25B3%25A8%25E5%2586%258C%25E5%258F%258A%25E6%25B8%25B8%25E5%25AE%25A2%25E7%2599%25BB%25E9%2599%2586/5-6/1.png" TargetMode="External"/><Relationship Id="rId844" Type="http://schemas.openxmlformats.org/officeDocument/2006/relationships/image" Target="media/image443.png"/><Relationship Id="rId843" Type="http://schemas.openxmlformats.org/officeDocument/2006/relationships/image" Target="https://www.tdx.com.cn/products/helpfile/tdxw/chm/%25E7%25AC%25AC%25E4%25BA%2594%25E7%25AB%25A0%2520%2520%25E6%25B3%25A8%25E5%2586%258C%25E5%258F%258A%25E6%25B8%25B8%25E5%25AE%25A2%25E7%2599%25BB%25E9%2599%2586/5-5/1.png" TargetMode="External"/><Relationship Id="rId842" Type="http://schemas.openxmlformats.org/officeDocument/2006/relationships/image" Target="media/image442.png"/><Relationship Id="rId841" Type="http://schemas.openxmlformats.org/officeDocument/2006/relationships/image" Target="https://www.tdx.com.cn/products/helpfile/tdxw/chm/%25E7%25AC%25AC%25E4%25BA%2594%25E7%25AB%25A0%2520%2520%25E6%25B3%25A8%25E5%2586%258C%25E5%258F%258A%25E6%25B8%25B8%25E5%25AE%25A2%25E7%2599%25BB%25E9%2599%2586/5-4/1.png" TargetMode="External"/><Relationship Id="rId840" Type="http://schemas.openxmlformats.org/officeDocument/2006/relationships/image" Target="media/image441.png"/><Relationship Id="rId84" Type="http://schemas.openxmlformats.org/officeDocument/2006/relationships/image" Target="https://www.tdx.com.cn/products/helpfile/tdxw/chm/%25E7%25AC%25AC%25E4%25BA%258C%25E7%25AB%25A0%2520%25E5%258A%259F%25E8%2583%25BD/2-3/6.png" TargetMode="External"/><Relationship Id="rId839" Type="http://schemas.openxmlformats.org/officeDocument/2006/relationships/image" Target="https://www.tdx.com.cn/products/helpfile/tdxw/chm/%25E7%25AC%25AC%25E4%25BA%2594%25E7%25AB%25A0%2520%2520%25E6%25B3%25A8%25E5%2586%258C%25E5%258F%258A%25E6%25B8%25B8%25E5%25AE%25A2%25E7%2599%25BB%25E9%2599%2586/5-3/5.png" TargetMode="External"/><Relationship Id="rId838" Type="http://schemas.openxmlformats.org/officeDocument/2006/relationships/image" Target="media/image440.png"/><Relationship Id="rId837" Type="http://schemas.openxmlformats.org/officeDocument/2006/relationships/image" Target="https://www.tdx.com.cn/products/helpfile/tdxw/chm/%25E7%25AC%25AC%25E4%25BA%2594%25E7%25AB%25A0%2520%2520%25E6%25B3%25A8%25E5%2586%258C%25E5%258F%258A%25E6%25B8%25B8%25E5%25AE%25A2%25E7%2599%25BB%25E9%2599%2586/5-3/4.png" TargetMode="External"/><Relationship Id="rId836" Type="http://schemas.openxmlformats.org/officeDocument/2006/relationships/image" Target="media/image439.png"/><Relationship Id="rId835" Type="http://schemas.openxmlformats.org/officeDocument/2006/relationships/image" Target="https://www.tdx.com.cn/products/helpfile/tdxw/chm/%25E7%25AC%25AC%25E4%25BA%2594%25E7%25AB%25A0%2520%2520%25E6%25B3%25A8%25E5%2586%258C%25E5%258F%258A%25E6%25B8%25B8%25E5%25AE%25A2%25E7%2599%25BB%25E9%2599%2586/5-3/3.png" TargetMode="External"/><Relationship Id="rId834" Type="http://schemas.openxmlformats.org/officeDocument/2006/relationships/image" Target="media/image438.png"/><Relationship Id="rId833" Type="http://schemas.openxmlformats.org/officeDocument/2006/relationships/image" Target="https://www.tdx.com.cn/products/helpfile/tdxw/chm/%25E7%25AC%25AC%25E4%25BA%2594%25E7%25AB%25A0%2520%2520%25E6%25B3%25A8%25E5%2586%258C%25E5%258F%258A%25E6%25B8%25B8%25E5%25AE%25A2%25E7%2599%25BB%25E9%2599%2586/5-3/2.png" TargetMode="External"/><Relationship Id="rId832" Type="http://schemas.openxmlformats.org/officeDocument/2006/relationships/image" Target="media/image437.png"/><Relationship Id="rId831" Type="http://schemas.openxmlformats.org/officeDocument/2006/relationships/image" Target="https://www.tdx.com.cn/products/helpfile/tdxw/chm/%25E7%25AC%25AC%25E4%25BA%2594%25E7%25AB%25A0%2520%2520%25E6%25B3%25A8%25E5%2586%258C%25E5%258F%258A%25E6%25B8%25B8%25E5%25AE%25A2%25E7%2599%25BB%25E9%2599%2586/5-3/1.png" TargetMode="External"/><Relationship Id="rId830" Type="http://schemas.openxmlformats.org/officeDocument/2006/relationships/image" Target="media/image436.png"/><Relationship Id="rId83" Type="http://schemas.openxmlformats.org/officeDocument/2006/relationships/image" Target="media/image42.png"/><Relationship Id="rId829" Type="http://schemas.openxmlformats.org/officeDocument/2006/relationships/image" Target="https://www.tdx.com.cn/products/helpfile/tdxw/chm/%25E7%25AC%25AC%25E4%25BA%2594%25E7%25AB%25A0%2520%2520%25E6%25B3%25A8%25E5%2586%258C%25E5%258F%258A%25E6%25B8%25B8%25E5%25AE%25A2%25E7%2599%25BB%25E9%2599%2586/5-2/14.png" TargetMode="External"/><Relationship Id="rId828" Type="http://schemas.openxmlformats.org/officeDocument/2006/relationships/image" Target="media/image435.png"/><Relationship Id="rId827" Type="http://schemas.openxmlformats.org/officeDocument/2006/relationships/image" Target="https://www.tdx.com.cn/products/helpfile/tdxw/chm/%25E7%25AC%25AC%25E4%25BA%2594%25E7%25AB%25A0%2520%2520%25E6%25B3%25A8%25E5%2586%258C%25E5%258F%258A%25E6%25B8%25B8%25E5%25AE%25A2%25E7%2599%25BB%25E9%2599%2586/5-2/13.png" TargetMode="External"/><Relationship Id="rId826" Type="http://schemas.openxmlformats.org/officeDocument/2006/relationships/image" Target="media/image434.png"/><Relationship Id="rId825" Type="http://schemas.openxmlformats.org/officeDocument/2006/relationships/image" Target="https://www.tdx.com.cn/products/helpfile/tdxw/chm/%25E7%25AC%25AC%25E4%25BA%2594%25E7%25AB%25A0%2520%2520%25E6%25B3%25A8%25E5%2586%258C%25E5%258F%258A%25E6%25B8%25B8%25E5%25AE%25A2%25E7%2599%25BB%25E9%2599%2586/5-2/12.png" TargetMode="External"/><Relationship Id="rId824" Type="http://schemas.openxmlformats.org/officeDocument/2006/relationships/image" Target="media/image433.png"/><Relationship Id="rId823" Type="http://schemas.openxmlformats.org/officeDocument/2006/relationships/image" Target="https://www.tdx.com.cn/products/helpfile/tdxw/chm/%25E7%25AC%25AC%25E4%25BA%2594%25E7%25AB%25A0%2520%2520%25E6%25B3%25A8%25E5%2586%258C%25E5%258F%258A%25E6%25B8%25B8%25E5%25AE%25A2%25E7%2599%25BB%25E9%2599%2586/5-2/11.png" TargetMode="External"/><Relationship Id="rId822" Type="http://schemas.openxmlformats.org/officeDocument/2006/relationships/image" Target="media/image432.png"/><Relationship Id="rId821" Type="http://schemas.openxmlformats.org/officeDocument/2006/relationships/image" Target="https://www.tdx.com.cn/products/helpfile/tdxw/chm/%25E7%25AC%25AC%25E4%25BA%2594%25E7%25AB%25A0%2520%2520%25E6%25B3%25A8%25E5%2586%258C%25E5%258F%258A%25E6%25B8%25B8%25E5%25AE%25A2%25E7%2599%25BB%25E9%2599%2586/5-2/10.png" TargetMode="External"/><Relationship Id="rId820" Type="http://schemas.openxmlformats.org/officeDocument/2006/relationships/image" Target="media/image431.png"/><Relationship Id="rId82" Type="http://schemas.openxmlformats.org/officeDocument/2006/relationships/image" Target="https://www.tdx.com.cn/products/helpfile/tdxw/chm/%25E7%25AC%25AC%25E4%25BA%258C%25E7%25AB%25A0%2520%25E5%258A%259F%25E8%2583%25BD/2-3/5.png" TargetMode="External"/><Relationship Id="rId819" Type="http://schemas.openxmlformats.org/officeDocument/2006/relationships/image" Target="https://www.tdx.com.cn/products/helpfile/tdxw/chm/%25E7%25AC%25AC%25E4%25BA%2594%25E7%25AB%25A0%2520%2520%25E6%25B3%25A8%25E5%2586%258C%25E5%258F%258A%25E6%25B8%25B8%25E5%25AE%25A2%25E7%2599%25BB%25E9%2599%2586/5-2/9.png" TargetMode="External"/><Relationship Id="rId818" Type="http://schemas.openxmlformats.org/officeDocument/2006/relationships/image" Target="media/image430.png"/><Relationship Id="rId817" Type="http://schemas.openxmlformats.org/officeDocument/2006/relationships/image" Target="https://www.tdx.com.cn/products/helpfile/tdxw/chm/%25E7%25AC%25AC%25E4%25BA%2594%25E7%25AB%25A0%2520%2520%25E6%25B3%25A8%25E5%2586%258C%25E5%258F%258A%25E6%25B8%25B8%25E5%25AE%25A2%25E7%2599%25BB%25E9%2599%2586/5-2/8.5.png" TargetMode="External"/><Relationship Id="rId816" Type="http://schemas.openxmlformats.org/officeDocument/2006/relationships/image" Target="media/image429.png"/><Relationship Id="rId815" Type="http://schemas.openxmlformats.org/officeDocument/2006/relationships/image" Target="https://www.tdx.com.cn/products/helpfile/tdxw/chm/%25E7%25AC%25AC%25E4%25BA%2594%25E7%25AB%25A0%2520%2520%25E6%25B3%25A8%25E5%2586%258C%25E5%258F%258A%25E6%25B8%25B8%25E5%25AE%25A2%25E7%2599%25BB%25E9%2599%2586/5-2/8.4.png" TargetMode="External"/><Relationship Id="rId814" Type="http://schemas.openxmlformats.org/officeDocument/2006/relationships/image" Target="media/image428.png"/><Relationship Id="rId813" Type="http://schemas.openxmlformats.org/officeDocument/2006/relationships/image" Target="https://www.tdx.com.cn/products/helpfile/tdxw/chm/%25E7%25AC%25AC%25E4%25BA%2594%25E7%25AB%25A0%2520%2520%25E6%25B3%25A8%25E5%2586%258C%25E5%258F%258A%25E6%25B8%25B8%25E5%25AE%25A2%25E7%2599%25BB%25E9%2599%2586/5-2/8.3.png" TargetMode="External"/><Relationship Id="rId812" Type="http://schemas.openxmlformats.org/officeDocument/2006/relationships/image" Target="media/image427.png"/><Relationship Id="rId811" Type="http://schemas.openxmlformats.org/officeDocument/2006/relationships/image" Target="https://www.tdx.com.cn/products/helpfile/tdxw/chm/%25E7%25AC%25AC%25E4%25BA%2594%25E7%25AB%25A0%2520%2520%25E6%25B3%25A8%25E5%2586%258C%25E5%258F%258A%25E6%25B8%25B8%25E5%25AE%25A2%25E7%2599%25BB%25E9%2599%2586/5-2/8.2.png" TargetMode="External"/><Relationship Id="rId810" Type="http://schemas.openxmlformats.org/officeDocument/2006/relationships/image" Target="media/image426.png"/><Relationship Id="rId81" Type="http://schemas.openxmlformats.org/officeDocument/2006/relationships/image" Target="media/image41.png"/><Relationship Id="rId809" Type="http://schemas.openxmlformats.org/officeDocument/2006/relationships/image" Target="https://www.tdx.com.cn/products/helpfile/tdxw/chm/%25E7%25AC%25AC%25E4%25BA%2594%25E7%25AB%25A0%2520%2520%25E6%25B3%25A8%25E5%2586%258C%25E5%258F%258A%25E6%25B8%25B8%25E5%25AE%25A2%25E7%2599%25BB%25E9%2599%2586/5-2/8.15.png" TargetMode="External"/><Relationship Id="rId808" Type="http://schemas.openxmlformats.org/officeDocument/2006/relationships/image" Target="media/image425.png"/><Relationship Id="rId807" Type="http://schemas.openxmlformats.org/officeDocument/2006/relationships/image" Target="https://www.tdx.com.cn/products/helpfile/tdxw/chm/%25E7%25AC%25AC%25E4%25BA%2594%25E7%25AB%25A0%2520%2520%25E6%25B3%25A8%25E5%2586%258C%25E5%258F%258A%25E6%25B8%25B8%25E5%25AE%25A2%25E7%2599%25BB%25E9%2599%2586/5-2/8.1.png" TargetMode="External"/><Relationship Id="rId806" Type="http://schemas.openxmlformats.org/officeDocument/2006/relationships/image" Target="media/image424.png"/><Relationship Id="rId805" Type="http://schemas.openxmlformats.org/officeDocument/2006/relationships/image" Target="https://www.tdx.com.cn/products/helpfile/tdxw/chm/%25E7%25AC%25AC%25E4%25BA%2594%25E7%25AB%25A0%2520%2520%25E6%25B3%25A8%25E5%2586%258C%25E5%258F%258A%25E6%25B8%25B8%25E5%25AE%25A2%25E7%2599%25BB%25E9%2599%2586/5-2/7.png" TargetMode="External"/><Relationship Id="rId804" Type="http://schemas.openxmlformats.org/officeDocument/2006/relationships/image" Target="media/image423.png"/><Relationship Id="rId803" Type="http://schemas.openxmlformats.org/officeDocument/2006/relationships/image" Target="https://www.tdx.com.cn/products/helpfile/tdxw/chm/%25E7%25AC%25AC%25E4%25BA%2594%25E7%25AB%25A0%2520%2520%25E6%25B3%25A8%25E5%2586%258C%25E5%258F%258A%25E6%25B8%25B8%25E5%25AE%25A2%25E7%2599%25BB%25E9%2599%2586/5-2/6.png" TargetMode="External"/><Relationship Id="rId802" Type="http://schemas.openxmlformats.org/officeDocument/2006/relationships/image" Target="media/image422.png"/><Relationship Id="rId801" Type="http://schemas.openxmlformats.org/officeDocument/2006/relationships/image" Target="https://www.tdx.com.cn/products/helpfile/tdxw/chm/%25E7%25AC%25AC%25E4%25BA%2594%25E7%25AB%25A0%2520%2520%25E6%25B3%25A8%25E5%2586%258C%25E5%258F%258A%25E6%25B8%25B8%25E5%25AE%25A2%25E7%2599%25BB%25E9%2599%2586/5-2/5.png" TargetMode="External"/><Relationship Id="rId800" Type="http://schemas.openxmlformats.org/officeDocument/2006/relationships/image" Target="media/image421.png"/><Relationship Id="rId80" Type="http://schemas.openxmlformats.org/officeDocument/2006/relationships/image" Target="https://www.tdx.com.cn/products/helpfile/tdxw/chm/%25E7%25AC%25AC%25E4%25BA%258C%25E7%25AB%25A0%2520%25E5%258A%259F%25E8%2583%25BD/2-3/4.png" TargetMode="External"/><Relationship Id="rId8" Type="http://schemas.openxmlformats.org/officeDocument/2006/relationships/image" Target="media/image2.png"/><Relationship Id="rId799" Type="http://schemas.openxmlformats.org/officeDocument/2006/relationships/image" Target="https://www.tdx.com.cn/products/helpfile/tdxw/chm/%25E7%25AC%25AC%25E4%25BA%2594%25E7%25AB%25A0%2520%2520%25E6%25B3%25A8%25E5%2586%258C%25E5%258F%258A%25E6%25B8%25B8%25E5%25AE%25A2%25E7%2599%25BB%25E9%2599%2586/5-2/4.png" TargetMode="External"/><Relationship Id="rId798" Type="http://schemas.openxmlformats.org/officeDocument/2006/relationships/image" Target="media/image420.png"/><Relationship Id="rId797" Type="http://schemas.openxmlformats.org/officeDocument/2006/relationships/image" Target="https://www.tdx.com.cn/products/helpfile/tdxw/chm/%25E7%25AC%25AC%25E4%25BA%2594%25E7%25AB%25A0%2520%2520%25E6%25B3%25A8%25E5%2586%258C%25E5%258F%258A%25E6%25B8%25B8%25E5%25AE%25A2%25E7%2599%25BB%25E9%2599%2586/5-2/3.png" TargetMode="External"/><Relationship Id="rId796" Type="http://schemas.openxmlformats.org/officeDocument/2006/relationships/image" Target="media/image419.png"/><Relationship Id="rId795" Type="http://schemas.openxmlformats.org/officeDocument/2006/relationships/image" Target="https://www.tdx.com.cn/products/helpfile/tdxw/chm/%25E7%25AC%25AC%25E4%25BA%2594%25E7%25AB%25A0%2520%2520%25E6%25B3%25A8%25E5%2586%258C%25E5%258F%258A%25E6%25B8%25B8%25E5%25AE%25A2%25E7%2599%25BB%25E9%2599%2586/5-2/2.png" TargetMode="External"/><Relationship Id="rId794" Type="http://schemas.openxmlformats.org/officeDocument/2006/relationships/image" Target="media/image418.png"/><Relationship Id="rId793" Type="http://schemas.openxmlformats.org/officeDocument/2006/relationships/image" Target="https://www.tdx.com.cn/products/helpfile/tdxw/chm/%25E7%25AC%25AC%25E4%25BA%2594%25E7%25AB%25A0%2520%2520%25E6%25B3%25A8%25E5%2586%258C%25E5%258F%258A%25E6%25B8%25B8%25E5%25AE%25A2%25E7%2599%25BB%25E9%2599%2586/5-2/1.png" TargetMode="External"/><Relationship Id="rId792" Type="http://schemas.openxmlformats.org/officeDocument/2006/relationships/image" Target="media/image417.png"/><Relationship Id="rId791" Type="http://schemas.openxmlformats.org/officeDocument/2006/relationships/image" Target="https://www.tdx.com.cn/products/helpfile/tdxw/chm/%25E7%25AC%25AC%25E4%25BA%2594%25E7%25AB%25A0%2520%2520%25E6%25B3%25A8%25E5%2586%258C%25E5%258F%258A%25E6%25B8%25B8%25E5%25AE%25A2%25E7%2599%25BB%25E9%2599%2586/5-2/0.5.png" TargetMode="External"/><Relationship Id="rId790" Type="http://schemas.openxmlformats.org/officeDocument/2006/relationships/image" Target="media/image416.png"/><Relationship Id="rId79" Type="http://schemas.openxmlformats.org/officeDocument/2006/relationships/image" Target="media/image40.png"/><Relationship Id="rId789" Type="http://schemas.openxmlformats.org/officeDocument/2006/relationships/image" Target="https://www.tdx.com.cn/products/helpfile/tdxw/chm/%25E7%25AC%25AC%25E4%25BA%2594%25E7%25AB%25A0%2520%2520%25E6%25B3%25A8%25E5%2586%258C%25E5%258F%258A%25E6%25B8%25B8%25E5%25AE%25A2%25E7%2599%25BB%25E9%2599%2586/5-1/18.png" TargetMode="External"/><Relationship Id="rId788" Type="http://schemas.openxmlformats.org/officeDocument/2006/relationships/image" Target="media/image415.png"/><Relationship Id="rId787" Type="http://schemas.openxmlformats.org/officeDocument/2006/relationships/image" Target="https://www.tdx.com.cn/products/helpfile/tdxw/chm/%25E7%25AC%25AC%25E4%25BA%2594%25E7%25AB%25A0%2520%2520%25E6%25B3%25A8%25E5%2586%258C%25E5%258F%258A%25E6%25B8%25B8%25E5%25AE%25A2%25E7%2599%25BB%25E9%2599%2586/5-1/17.png" TargetMode="External"/><Relationship Id="rId786" Type="http://schemas.openxmlformats.org/officeDocument/2006/relationships/image" Target="media/image414.png"/><Relationship Id="rId785" Type="http://schemas.openxmlformats.org/officeDocument/2006/relationships/image" Target="https://www.tdx.com.cn/products/helpfile/tdxw/chm/%25E7%25AC%25AC%25E4%25BA%2594%25E7%25AB%25A0%2520%2520%25E6%25B3%25A8%25E5%2586%258C%25E5%258F%258A%25E6%25B8%25B8%25E5%25AE%25A2%25E7%2599%25BB%25E9%2599%2586/5-1/16.png" TargetMode="External"/><Relationship Id="rId784" Type="http://schemas.openxmlformats.org/officeDocument/2006/relationships/image" Target="media/image413.png"/><Relationship Id="rId783" Type="http://schemas.openxmlformats.org/officeDocument/2006/relationships/image" Target="https://www.tdx.com.cn/products/helpfile/tdxw/chm/%25E7%25AC%25AC%25E4%25BA%2594%25E7%25AB%25A0%2520%2520%25E6%25B3%25A8%25E5%2586%258C%25E5%258F%258A%25E6%25B8%25B8%25E5%25AE%25A2%25E7%2599%25BB%25E9%2599%2586/5-1/15.png" TargetMode="External"/><Relationship Id="rId782" Type="http://schemas.openxmlformats.org/officeDocument/2006/relationships/image" Target="media/image412.png"/><Relationship Id="rId781" Type="http://schemas.openxmlformats.org/officeDocument/2006/relationships/image" Target="https://www.tdx.com.cn/products/helpfile/tdxw/chm/%25E7%25AC%25AC%25E4%25BA%2594%25E7%25AB%25A0%2520%2520%25E6%25B3%25A8%25E5%2586%258C%25E5%258F%258A%25E6%25B8%25B8%25E5%25AE%25A2%25E7%2599%25BB%25E9%2599%2586/5-1/14.png" TargetMode="External"/><Relationship Id="rId780" Type="http://schemas.openxmlformats.org/officeDocument/2006/relationships/image" Target="media/image411.png"/><Relationship Id="rId78" Type="http://schemas.openxmlformats.org/officeDocument/2006/relationships/image" Target="https://www.tdx.com.cn/products/helpfile/tdxw/chm/%25E7%25AC%25AC%25E4%25BA%258C%25E7%25AB%25A0%2520%25E5%258A%259F%25E8%2583%25BD/2-3/3.png" TargetMode="External"/><Relationship Id="rId779" Type="http://schemas.openxmlformats.org/officeDocument/2006/relationships/image" Target="https://www.tdx.com.cn/products/helpfile/tdxw/chm/%25E7%25AC%25AC%25E4%25BA%2594%25E7%25AB%25A0%2520%2520%25E6%25B3%25A8%25E5%2586%258C%25E5%258F%258A%25E6%25B8%25B8%25E5%25AE%25A2%25E7%2599%25BB%25E9%2599%2586/5-1/13.png" TargetMode="External"/><Relationship Id="rId778" Type="http://schemas.openxmlformats.org/officeDocument/2006/relationships/image" Target="media/image410.png"/><Relationship Id="rId777" Type="http://schemas.openxmlformats.org/officeDocument/2006/relationships/image" Target="https://www.tdx.com.cn/products/helpfile/tdxw/chm/%25E7%25AC%25AC%25E4%25BA%2594%25E7%25AB%25A0%2520%2520%25E6%25B3%25A8%25E5%2586%258C%25E5%258F%258A%25E6%25B8%25B8%25E5%25AE%25A2%25E7%2599%25BB%25E9%2599%2586/5-1/12.png" TargetMode="External"/><Relationship Id="rId776" Type="http://schemas.openxmlformats.org/officeDocument/2006/relationships/image" Target="media/image409.png"/><Relationship Id="rId775" Type="http://schemas.openxmlformats.org/officeDocument/2006/relationships/image" Target="https://www.tdx.com.cn/products/helpfile/tdxw/chm/%25E7%25AC%25AC%25E4%25BA%2594%25E7%25AB%25A0%2520%2520%25E6%25B3%25A8%25E5%2586%258C%25E5%258F%258A%25E6%25B8%25B8%25E5%25AE%25A2%25E7%2599%25BB%25E9%2599%2586/5-1/11.png" TargetMode="External"/><Relationship Id="rId774" Type="http://schemas.openxmlformats.org/officeDocument/2006/relationships/image" Target="media/image408.png"/><Relationship Id="rId773" Type="http://schemas.openxmlformats.org/officeDocument/2006/relationships/image" Target="https://www.tdx.com.cn/products/helpfile/tdxw/chm/%25E7%25AC%25AC%25E4%25BA%2594%25E7%25AB%25A0%2520%2520%25E6%25B3%25A8%25E5%2586%258C%25E5%258F%258A%25E6%25B8%25B8%25E5%25AE%25A2%25E7%2599%25BB%25E9%2599%2586/5-1/10.png" TargetMode="External"/><Relationship Id="rId772" Type="http://schemas.openxmlformats.org/officeDocument/2006/relationships/image" Target="media/image407.png"/><Relationship Id="rId771" Type="http://schemas.openxmlformats.org/officeDocument/2006/relationships/image" Target="https://www.tdx.com.cn/products/helpfile/tdxw/chm/%25E7%25AC%25AC%25E4%25BA%2594%25E7%25AB%25A0%2520%2520%25E6%25B3%25A8%25E5%2586%258C%25E5%258F%258A%25E6%25B8%25B8%25E5%25AE%25A2%25E7%2599%25BB%25E9%2599%2586/5-1/9.png" TargetMode="External"/><Relationship Id="rId770" Type="http://schemas.openxmlformats.org/officeDocument/2006/relationships/image" Target="media/image406.png"/><Relationship Id="rId77" Type="http://schemas.openxmlformats.org/officeDocument/2006/relationships/image" Target="media/image39.png"/><Relationship Id="rId769" Type="http://schemas.openxmlformats.org/officeDocument/2006/relationships/image" Target="https://www.tdx.com.cn/products/helpfile/tdxw/chm/%25E7%25AC%25AC%25E4%25BA%2594%25E7%25AB%25A0%2520%2520%25E6%25B3%25A8%25E5%2586%258C%25E5%258F%258A%25E6%25B8%25B8%25E5%25AE%25A2%25E7%2599%25BB%25E9%2599%2586/5-1/8.png" TargetMode="External"/><Relationship Id="rId768" Type="http://schemas.openxmlformats.org/officeDocument/2006/relationships/image" Target="media/image405.png"/><Relationship Id="rId767" Type="http://schemas.openxmlformats.org/officeDocument/2006/relationships/image" Target="https://www.tdx.com.cn/products/helpfile/tdxw/chm/%25E7%25AC%25AC%25E4%25BA%2594%25E7%25AB%25A0%2520%2520%25E6%25B3%25A8%25E5%2586%258C%25E5%258F%258A%25E6%25B8%25B8%25E5%25AE%25A2%25E7%2599%25BB%25E9%2599%2586/5-1/7.png" TargetMode="External"/><Relationship Id="rId766" Type="http://schemas.openxmlformats.org/officeDocument/2006/relationships/image" Target="media/image404.png"/><Relationship Id="rId765" Type="http://schemas.openxmlformats.org/officeDocument/2006/relationships/image" Target="https://www.tdx.com.cn/products/helpfile/tdxw/chm/%25E7%25AC%25AC%25E4%25BA%2594%25E7%25AB%25A0%2520%2520%25E6%25B3%25A8%25E5%2586%258C%25E5%258F%258A%25E6%25B8%25B8%25E5%25AE%25A2%25E7%2599%25BB%25E9%2599%2586/5-1/6.png" TargetMode="External"/><Relationship Id="rId764" Type="http://schemas.openxmlformats.org/officeDocument/2006/relationships/image" Target="media/image403.png"/><Relationship Id="rId763" Type="http://schemas.openxmlformats.org/officeDocument/2006/relationships/image" Target="https://www.tdx.com.cn/products/helpfile/tdxw/chm/%25E7%25AC%25AC%25E4%25BA%2594%25E7%25AB%25A0%2520%2520%25E6%25B3%25A8%25E5%2586%258C%25E5%258F%258A%25E6%25B8%25B8%25E5%25AE%25A2%25E7%2599%25BB%25E9%2599%2586/5-1/5.png" TargetMode="External"/><Relationship Id="rId762" Type="http://schemas.openxmlformats.org/officeDocument/2006/relationships/image" Target="media/image402.png"/><Relationship Id="rId761" Type="http://schemas.openxmlformats.org/officeDocument/2006/relationships/image" Target="https://www.tdx.com.cn/products/helpfile/tdxw/chm/%25E7%25AC%25AC%25E4%25BA%2594%25E7%25AB%25A0%2520%2520%25E6%25B3%25A8%25E5%2586%258C%25E5%258F%258A%25E6%25B8%25B8%25E5%25AE%25A2%25E7%2599%25BB%25E9%2599%2586/5-1/4.png" TargetMode="External"/><Relationship Id="rId760" Type="http://schemas.openxmlformats.org/officeDocument/2006/relationships/image" Target="media/image401.png"/><Relationship Id="rId76" Type="http://schemas.openxmlformats.org/officeDocument/2006/relationships/image" Target="https://www.tdx.com.cn/products/helpfile/tdxw/chm/%25E7%25AC%25AC%25E4%25BA%258C%25E7%25AB%25A0%2520%25E5%258A%259F%25E8%2583%25BD/2-3/2.png" TargetMode="External"/><Relationship Id="rId759" Type="http://schemas.openxmlformats.org/officeDocument/2006/relationships/image" Target="https://www.tdx.com.cn/products/helpfile/tdxw/chm/%25E7%25AC%25AC%25E4%25BA%2594%25E7%25AB%25A0%2520%2520%25E6%25B3%25A8%25E5%2586%258C%25E5%258F%258A%25E6%25B8%25B8%25E5%25AE%25A2%25E7%2599%25BB%25E9%2599%2586/5-1/3.png" TargetMode="External"/><Relationship Id="rId758" Type="http://schemas.openxmlformats.org/officeDocument/2006/relationships/image" Target="media/image400.png"/><Relationship Id="rId757" Type="http://schemas.openxmlformats.org/officeDocument/2006/relationships/image" Target="https://www.tdx.com.cn/products/helpfile/tdxw/chm/%25E7%25AC%25AC%25E4%25BA%2594%25E7%25AB%25A0%2520%2520%25E6%25B3%25A8%25E5%2586%258C%25E5%258F%258A%25E6%25B8%25B8%25E5%25AE%25A2%25E7%2599%25BB%25E9%2599%2586/5-1/2.png" TargetMode="External"/><Relationship Id="rId756" Type="http://schemas.openxmlformats.org/officeDocument/2006/relationships/image" Target="media/image399.png"/><Relationship Id="rId755" Type="http://schemas.openxmlformats.org/officeDocument/2006/relationships/image" Target="https://www.tdx.com.cn/products/helpfile/tdxw/chm/%25E7%25AC%25AC%25E4%25BA%2594%25E7%25AB%25A0%2520%2520%25E6%25B3%25A8%25E5%2586%258C%25E5%258F%258A%25E6%25B8%25B8%25E5%25AE%25A2%25E7%2599%25BB%25E9%2599%2586/5-1/1.png" TargetMode="External"/><Relationship Id="rId754" Type="http://schemas.openxmlformats.org/officeDocument/2006/relationships/image" Target="media/image398.png"/><Relationship Id="rId753" Type="http://schemas.openxmlformats.org/officeDocument/2006/relationships/image" Target="https://www.tdx.com.cn/products/helpfile/tdxw/chm/%25E7%25AC%25AC%25E4%25BA%2594%25E7%25AB%25A0%2520%2520%25E6%25B3%25A8%25E5%2586%258C%25E5%258F%258A%25E6%25B8%25B8%25E5%25AE%25A2%25E7%2599%25BB%25E9%2599%2586/5-1/0.5.png" TargetMode="External"/><Relationship Id="rId752" Type="http://schemas.openxmlformats.org/officeDocument/2006/relationships/image" Target="media/image397.png"/><Relationship Id="rId751" Type="http://schemas.openxmlformats.org/officeDocument/2006/relationships/image" Target="https://www.tdx.com.cn/products/helpfile/tdxw/chm/%25E7%25AC%25AC%25E5%259B%259B%25E7%25AB%25A0%2520%2520%25E9%2580%2589%25E9%25A1%25B9/4-16%25E7%25B3%25BB%25E7%25BB%259F%25E8%25AE%25BE%25E7%25BD%25AE/1000.png" TargetMode="External"/><Relationship Id="rId750" Type="http://schemas.openxmlformats.org/officeDocument/2006/relationships/image" Target="media/image396.png"/><Relationship Id="rId75" Type="http://schemas.openxmlformats.org/officeDocument/2006/relationships/image" Target="media/image38.png"/><Relationship Id="rId749" Type="http://schemas.openxmlformats.org/officeDocument/2006/relationships/image" Target="https://www.tdx.com.cn/products/helpfile/tdxw/chm/%25E7%25AC%25AC%25E5%259B%259B%25E7%25AB%25A0%2520%2520%25E9%2580%2589%25E9%25A1%25B9/4-16%25E7%25B3%25BB%25E7%25BB%259F%25E8%25AE%25BE%25E7%25BD%25AE/903.png" TargetMode="External"/><Relationship Id="rId748" Type="http://schemas.openxmlformats.org/officeDocument/2006/relationships/image" Target="media/image395.png"/><Relationship Id="rId747" Type="http://schemas.openxmlformats.org/officeDocument/2006/relationships/image" Target="https://www.tdx.com.cn/products/helpfile/tdxw/chm/%25E7%25AC%25AC%25E5%259B%259B%25E7%25AB%25A0%2520%2520%25E9%2580%2589%25E9%25A1%25B9/4-16%25E7%25B3%25BB%25E7%25BB%259F%25E8%25AE%25BE%25E7%25BD%25AE/901.png" TargetMode="External"/><Relationship Id="rId746" Type="http://schemas.openxmlformats.org/officeDocument/2006/relationships/image" Target="media/image394.png"/><Relationship Id="rId745" Type="http://schemas.openxmlformats.org/officeDocument/2006/relationships/image" Target="https://www.tdx.com.cn/products/helpfile/tdxw/chm/%25E7%25AC%25AC%25E5%259B%259B%25E7%25AB%25A0%2520%2520%25E9%2580%2589%25E9%25A1%25B9/4-16%25E7%25B3%25BB%25E7%25BB%259F%25E8%25AE%25BE%25E7%25BD%25AE/900.png" TargetMode="External"/><Relationship Id="rId744" Type="http://schemas.openxmlformats.org/officeDocument/2006/relationships/image" Target="media/image393.png"/><Relationship Id="rId743" Type="http://schemas.openxmlformats.org/officeDocument/2006/relationships/image" Target="https://www.tdx.com.cn/products/helpfile/tdxw/chm/%25E7%25AC%25AC%25E5%259B%259B%25E7%25AB%25A0%2520%2520%25E9%2580%2589%25E9%25A1%25B9/4-16%25E7%25B3%25BB%25E7%25BB%259F%25E8%25AE%25BE%25E7%25BD%25AE/800.png" TargetMode="External"/><Relationship Id="rId742" Type="http://schemas.openxmlformats.org/officeDocument/2006/relationships/image" Target="media/image392.png"/><Relationship Id="rId741" Type="http://schemas.openxmlformats.org/officeDocument/2006/relationships/image" Target="https://www.tdx.com.cn/products/helpfile/tdxw/chm/%25E7%25AC%25AC%25E5%259B%259B%25E7%25AB%25A0%2520%2520%25E9%2580%2589%25E9%25A1%25B9/4-16%25E7%25B3%25BB%25E7%25BB%259F%25E8%25AE%25BE%25E7%25BD%25AE/700.png" TargetMode="External"/><Relationship Id="rId740" Type="http://schemas.openxmlformats.org/officeDocument/2006/relationships/image" Target="media/image391.png"/><Relationship Id="rId74" Type="http://schemas.openxmlformats.org/officeDocument/2006/relationships/image" Target="https://www.tdx.com.cn/products/helpfile/tdxw/chm/%25E7%25AC%25AC%25E4%25BA%258C%25E7%25AB%25A0%2520%25E5%258A%259F%25E8%2583%25BD/2-3/2.3.png" TargetMode="External"/><Relationship Id="rId739" Type="http://schemas.openxmlformats.org/officeDocument/2006/relationships/image" Target="https://www.tdx.com.cn/products/helpfile/tdxw/chm/%25E7%25AC%25AC%25E5%259B%259B%25E7%25AB%25A0%2520%2520%25E9%2580%2589%25E9%25A1%25B9/4-16%25E7%25B3%25BB%25E7%25BB%259F%25E8%25AE%25BE%25E7%25BD%25AE/601.png" TargetMode="External"/><Relationship Id="rId738" Type="http://schemas.openxmlformats.org/officeDocument/2006/relationships/image" Target="media/image390.png"/><Relationship Id="rId737" Type="http://schemas.openxmlformats.org/officeDocument/2006/relationships/image" Target="https://www.tdx.com.cn/products/helpfile/tdxw/chm/%25E7%25AC%25AC%25E5%259B%259B%25E7%25AB%25A0%2520%2520%25E9%2580%2589%25E9%25A1%25B9/4-16%25E7%25B3%25BB%25E7%25BB%259F%25E8%25AE%25BE%25E7%25BD%25AE/600.png" TargetMode="External"/><Relationship Id="rId736" Type="http://schemas.openxmlformats.org/officeDocument/2006/relationships/image" Target="media/image389.png"/><Relationship Id="rId735" Type="http://schemas.openxmlformats.org/officeDocument/2006/relationships/image" Target="https://www.tdx.com.cn/products/helpfile/tdxw/chm/%25E7%25AC%25AC%25E5%259B%259B%25E7%25AB%25A0%2520%2520%25E9%2580%2589%25E9%25A1%25B9/4-16%25E7%25B3%25BB%25E7%25BB%259F%25E8%25AE%25BE%25E7%25BD%25AE/500.png" TargetMode="External"/><Relationship Id="rId734" Type="http://schemas.openxmlformats.org/officeDocument/2006/relationships/image" Target="media/image388.png"/><Relationship Id="rId733" Type="http://schemas.openxmlformats.org/officeDocument/2006/relationships/image" Target="https://www.tdx.com.cn/products/helpfile/tdxw/chm/%25E7%25AC%25AC%25E5%259B%259B%25E7%25AB%25A0%2520%2520%25E9%2580%2589%25E9%25A1%25B9/4-16%25E7%25B3%25BB%25E7%25BB%259F%25E8%25AE%25BE%25E7%25BD%25AE/440.png" TargetMode="External"/><Relationship Id="rId732" Type="http://schemas.openxmlformats.org/officeDocument/2006/relationships/image" Target="media/image387.png"/><Relationship Id="rId731" Type="http://schemas.openxmlformats.org/officeDocument/2006/relationships/image" Target="https://www.tdx.com.cn/products/helpfile/tdxw/chm/%25E7%25AC%25AC%25E5%259B%259B%25E7%25AB%25A0%2520%2520%25E9%2580%2589%25E9%25A1%25B9/4-16%25E7%25B3%25BB%25E7%25BB%259F%25E8%25AE%25BE%25E7%25BD%25AE/430.png" TargetMode="External"/><Relationship Id="rId730" Type="http://schemas.openxmlformats.org/officeDocument/2006/relationships/image" Target="media/image386.png"/><Relationship Id="rId73" Type="http://schemas.openxmlformats.org/officeDocument/2006/relationships/image" Target="media/image37.png"/><Relationship Id="rId729" Type="http://schemas.openxmlformats.org/officeDocument/2006/relationships/image" Target="https://www.tdx.com.cn/products/helpfile/tdxw/chm/%25E7%25AC%25AC%25E5%259B%259B%25E7%25AB%25A0%2520%2520%25E9%2580%2589%25E9%25A1%25B9/4-16%25E7%25B3%25BB%25E7%25BB%259F%25E8%25AE%25BE%25E7%25BD%25AE/420.png" TargetMode="External"/><Relationship Id="rId728" Type="http://schemas.openxmlformats.org/officeDocument/2006/relationships/image" Target="media/image385.png"/><Relationship Id="rId727" Type="http://schemas.openxmlformats.org/officeDocument/2006/relationships/image" Target="https://www.tdx.com.cn/products/helpfile/tdxw/chm/%25E7%25AC%25AC%25E5%259B%259B%25E7%25AB%25A0%2520%2520%25E9%2580%2589%25E9%25A1%25B9/4-16%25E7%25B3%25BB%25E7%25BB%259F%25E8%25AE%25BE%25E7%25BD%25AE/410.png" TargetMode="External"/><Relationship Id="rId726" Type="http://schemas.openxmlformats.org/officeDocument/2006/relationships/image" Target="media/image384.png"/><Relationship Id="rId725" Type="http://schemas.openxmlformats.org/officeDocument/2006/relationships/image" Target="https://www.tdx.com.cn/products/helpfile/tdxw/chm/%25E7%25AC%25AC%25E5%259B%259B%25E7%25AB%25A0%2520%2520%25E9%2580%2589%25E9%25A1%25B9/4-16%25E7%25B3%25BB%25E7%25BB%259F%25E8%25AE%25BE%25E7%25BD%25AE/405.png" TargetMode="External"/><Relationship Id="rId724" Type="http://schemas.openxmlformats.org/officeDocument/2006/relationships/image" Target="media/image383.png"/><Relationship Id="rId723" Type="http://schemas.openxmlformats.org/officeDocument/2006/relationships/image" Target="https://www.tdx.com.cn/products/helpfile/tdxw/chm/%25E7%25AC%25AC%25E5%259B%259B%25E7%25AB%25A0%2520%2520%25E9%2580%2589%25E9%25A1%25B9/4-16%25E7%25B3%25BB%25E7%25BB%259F%25E8%25AE%25BE%25E7%25BD%25AE/404.png" TargetMode="External"/><Relationship Id="rId722" Type="http://schemas.openxmlformats.org/officeDocument/2006/relationships/image" Target="media/image382.png"/><Relationship Id="rId721" Type="http://schemas.openxmlformats.org/officeDocument/2006/relationships/image" Target="https://www.tdx.com.cn/products/helpfile/tdxw/chm/%25E7%25AC%25AC%25E5%259B%259B%25E7%25AB%25A0%2520%2520%25E9%2580%2589%25E9%25A1%25B9/4-16%25E7%25B3%25BB%25E7%25BB%259F%25E8%25AE%25BE%25E7%25BD%25AE/403.png" TargetMode="External"/><Relationship Id="rId720" Type="http://schemas.openxmlformats.org/officeDocument/2006/relationships/image" Target="media/image381.png"/><Relationship Id="rId72" Type="http://schemas.openxmlformats.org/officeDocument/2006/relationships/image" Target="https://www.tdx.com.cn/products/helpfile/tdxw/chm/%25E7%25AC%25AC%25E4%25BA%258C%25E7%25AB%25A0%2520%25E5%258A%259F%25E8%2583%25BD/2-3/2.2.png" TargetMode="External"/><Relationship Id="rId719" Type="http://schemas.openxmlformats.org/officeDocument/2006/relationships/image" Target="https://www.tdx.com.cn/products/helpfile/tdxw/chm/%25E7%25AC%25AC%25E5%259B%259B%25E7%25AB%25A0%2520%2520%25E9%2580%2589%25E9%25A1%25B9/4-16%25E7%25B3%25BB%25E7%25BB%259F%25E8%25AE%25BE%25E7%25BD%25AE/402.png" TargetMode="External"/><Relationship Id="rId718" Type="http://schemas.openxmlformats.org/officeDocument/2006/relationships/image" Target="media/image380.png"/><Relationship Id="rId717" Type="http://schemas.openxmlformats.org/officeDocument/2006/relationships/image" Target="https://www.tdx.com.cn/products/helpfile/tdxw/chm/%25E7%25AC%25AC%25E5%259B%259B%25E7%25AB%25A0%2520%2520%25E9%2580%2589%25E9%25A1%25B9/4-16%25E7%25B3%25BB%25E7%25BB%259F%25E8%25AE%25BE%25E7%25BD%25AE/401.png" TargetMode="External"/><Relationship Id="rId716" Type="http://schemas.openxmlformats.org/officeDocument/2006/relationships/image" Target="media/image379.png"/><Relationship Id="rId715" Type="http://schemas.openxmlformats.org/officeDocument/2006/relationships/image" Target="media/image378.png"/><Relationship Id="rId714" Type="http://schemas.openxmlformats.org/officeDocument/2006/relationships/image" Target="https://www.tdx.com.cn/products/helpfile/tdxw/chm/%25E7%25AC%25AC%25E5%259B%259B%25E7%25AB%25A0%2520%2520%25E9%2580%2589%25E9%25A1%25B9/4-16%25E7%25B3%25BB%25E7%25BB%259F%25E8%25AE%25BE%25E7%25BD%25AE/311.png" TargetMode="External"/><Relationship Id="rId713" Type="http://schemas.openxmlformats.org/officeDocument/2006/relationships/image" Target="media/image377.png"/><Relationship Id="rId712" Type="http://schemas.openxmlformats.org/officeDocument/2006/relationships/image" Target="https://www.tdx.com.cn/products/helpfile/tdxw/chm/%25E7%25AC%25AC%25E5%259B%259B%25E7%25AB%25A0%2520%2520%25E9%2580%2589%25E9%25A1%25B9/4-16%25E7%25B3%25BB%25E7%25BB%259F%25E8%25AE%25BE%25E7%25BD%25AE/310.png" TargetMode="External"/><Relationship Id="rId711" Type="http://schemas.openxmlformats.org/officeDocument/2006/relationships/image" Target="media/image376.png"/><Relationship Id="rId710" Type="http://schemas.openxmlformats.org/officeDocument/2006/relationships/image" Target="https://www.tdx.com.cn/products/helpfile/tdxw/chm/%25E7%25AC%25AC%25E5%259B%259B%25E7%25AB%25A0%2520%2520%25E9%2580%2589%25E9%25A1%25B9/4-16%25E7%25B3%25BB%25E7%25BB%259F%25E8%25AE%25BE%25E7%25BD%25AE/309.png" TargetMode="External"/><Relationship Id="rId71" Type="http://schemas.openxmlformats.org/officeDocument/2006/relationships/image" Target="media/image36.png"/><Relationship Id="rId709" Type="http://schemas.openxmlformats.org/officeDocument/2006/relationships/image" Target="media/image375.png"/><Relationship Id="rId708" Type="http://schemas.openxmlformats.org/officeDocument/2006/relationships/image" Target="https://www.tdx.com.cn/products/helpfile/tdxw/chm/%25E7%25AC%25AC%25E5%259B%259B%25E7%25AB%25A0%2520%2520%25E9%2580%2589%25E9%25A1%25B9/4-16%25E7%25B3%25BB%25E7%25BB%259F%25E8%25AE%25BE%25E7%25BD%25AE/308.png" TargetMode="External"/><Relationship Id="rId707" Type="http://schemas.openxmlformats.org/officeDocument/2006/relationships/image" Target="media/image374.png"/><Relationship Id="rId706" Type="http://schemas.openxmlformats.org/officeDocument/2006/relationships/image" Target="https://www.tdx.com.cn/products/helpfile/tdxw/chm/%25E7%25AC%25AC%25E5%259B%259B%25E7%25AB%25A0%2520%2520%25E9%2580%2589%25E9%25A1%25B9/4-16%25E7%25B3%25BB%25E7%25BB%259F%25E8%25AE%25BE%25E7%25BD%25AE/307.png" TargetMode="External"/><Relationship Id="rId705" Type="http://schemas.openxmlformats.org/officeDocument/2006/relationships/image" Target="media/image373.png"/><Relationship Id="rId704" Type="http://schemas.openxmlformats.org/officeDocument/2006/relationships/image" Target="https://www.tdx.com.cn/products/helpfile/tdxw/chm/%25E7%25AC%25AC%25E5%259B%259B%25E7%25AB%25A0%2520%2520%25E9%2580%2589%25E9%25A1%25B9/4-16%25E7%25B3%25BB%25E7%25BB%259F%25E8%25AE%25BE%25E7%25BD%25AE/306.png" TargetMode="External"/><Relationship Id="rId703" Type="http://schemas.openxmlformats.org/officeDocument/2006/relationships/image" Target="media/image372.png"/><Relationship Id="rId702" Type="http://schemas.openxmlformats.org/officeDocument/2006/relationships/image" Target="https://www.tdx.com.cn/products/helpfile/tdxw/chm/%25E7%25AC%25AC%25E5%259B%259B%25E7%25AB%25A0%2520%2520%25E9%2580%2589%25E9%25A1%25B9/4-16%25E7%25B3%25BB%25E7%25BB%259F%25E8%25AE%25BE%25E7%25BD%25AE/305.png" TargetMode="External"/><Relationship Id="rId701" Type="http://schemas.openxmlformats.org/officeDocument/2006/relationships/image" Target="media/image371.png"/><Relationship Id="rId700" Type="http://schemas.openxmlformats.org/officeDocument/2006/relationships/image" Target="media/image370.png"/><Relationship Id="rId70" Type="http://schemas.openxmlformats.org/officeDocument/2006/relationships/image" Target="https://www.tdx.com.cn/products/helpfile/tdxw/chm/%25E7%25AC%25AC%25E4%25BA%258C%25E7%25AB%25A0%2520%25E5%258A%259F%25E8%2583%25BD/2-3/2.1.png" TargetMode="External"/><Relationship Id="rId7" Type="http://schemas.openxmlformats.org/officeDocument/2006/relationships/theme" Target="theme/theme1.xml"/><Relationship Id="rId699" Type="http://schemas.openxmlformats.org/officeDocument/2006/relationships/image" Target="https://www.tdx.com.cn/products/helpfile/tdxw/chm/%25E7%25AC%25AC%25E5%259B%259B%25E7%25AB%25A0%2520%2520%25E9%2580%2589%25E9%25A1%25B9/4-16%25E7%25B3%25BB%25E7%25BB%259F%25E8%25AE%25BE%25E7%25BD%25AE/201.png" TargetMode="External"/><Relationship Id="rId698" Type="http://schemas.openxmlformats.org/officeDocument/2006/relationships/image" Target="media/image369.png"/><Relationship Id="rId697" Type="http://schemas.openxmlformats.org/officeDocument/2006/relationships/image" Target="https://www.tdx.com.cn/products/helpfile/tdxw/chm/%25E7%25AC%25AC%25E5%259B%259B%25E7%25AB%25A0%2520%2520%25E9%2580%2589%25E9%25A1%25B9/4-16%25E7%25B3%25BB%25E7%25BB%259F%25E8%25AE%25BE%25E7%25BD%25AE/200.png" TargetMode="External"/><Relationship Id="rId696" Type="http://schemas.openxmlformats.org/officeDocument/2006/relationships/image" Target="media/image368.png"/><Relationship Id="rId695" Type="http://schemas.openxmlformats.org/officeDocument/2006/relationships/image" Target="https://www.tdx.com.cn/products/helpfile/tdxw/chm/%25E7%25AC%25AC%25E5%259B%259B%25E7%25AB%25A0%2520%2520%25E9%2580%2589%25E9%25A1%25B9/4-16%25E7%25B3%25BB%25E7%25BB%259F%25E8%25AE%25BE%25E7%25BD%25AE/109.png" TargetMode="External"/><Relationship Id="rId694" Type="http://schemas.openxmlformats.org/officeDocument/2006/relationships/image" Target="media/image367.png"/><Relationship Id="rId693" Type="http://schemas.openxmlformats.org/officeDocument/2006/relationships/image" Target="https://www.tdx.com.cn/products/helpfile/tdxw/chm/%25E7%25AC%25AC%25E5%259B%259B%25E7%25AB%25A0%2520%2520%25E9%2580%2589%25E9%25A1%25B9/4-16%25E7%25B3%25BB%25E7%25BB%259F%25E8%25AE%25BE%25E7%25BD%25AE/108.png" TargetMode="External"/><Relationship Id="rId692" Type="http://schemas.openxmlformats.org/officeDocument/2006/relationships/image" Target="media/image366.png"/><Relationship Id="rId691" Type="http://schemas.openxmlformats.org/officeDocument/2006/relationships/image" Target="https://www.tdx.com.cn/products/helpfile/tdxw/chm/%25E7%25AC%25AC%25E5%259B%259B%25E7%25AB%25A0%2520%2520%25E9%2580%2589%25E9%25A1%25B9/4-16%25E7%25B3%25BB%25E7%25BB%259F%25E8%25AE%25BE%25E7%25BD%25AE/107.8.png" TargetMode="External"/><Relationship Id="rId690" Type="http://schemas.openxmlformats.org/officeDocument/2006/relationships/image" Target="media/image365.png"/><Relationship Id="rId69" Type="http://schemas.openxmlformats.org/officeDocument/2006/relationships/image" Target="media/image35.png"/><Relationship Id="rId689" Type="http://schemas.openxmlformats.org/officeDocument/2006/relationships/image" Target="https://www.tdx.com.cn/products/helpfile/tdxw/chm/%25E7%25AC%25AC%25E5%259B%259B%25E7%25AB%25A0%2520%2520%25E9%2580%2589%25E9%25A1%25B9/4-16%25E7%25B3%25BB%25E7%25BB%259F%25E8%25AE%25BE%25E7%25BD%25AE/107.png" TargetMode="External"/><Relationship Id="rId688" Type="http://schemas.openxmlformats.org/officeDocument/2006/relationships/image" Target="media/image364.png"/><Relationship Id="rId687" Type="http://schemas.openxmlformats.org/officeDocument/2006/relationships/image" Target="https://www.tdx.com.cn/products/helpfile/tdxw/chm/%25E7%25AC%25AC%25E5%259B%259B%25E7%25AB%25A0%2520%2520%25E9%2580%2589%25E9%25A1%25B9/4-16%25E7%25B3%25BB%25E7%25BB%259F%25E8%25AE%25BE%25E7%25BD%25AE/101.png" TargetMode="External"/><Relationship Id="rId686" Type="http://schemas.openxmlformats.org/officeDocument/2006/relationships/image" Target="media/image363.png"/><Relationship Id="rId685" Type="http://schemas.openxmlformats.org/officeDocument/2006/relationships/image" Target="https://www.tdx.com.cn/products/helpfile/tdxw/chm/%25E7%25AC%25AC%25E5%259B%259B%25E7%25AB%25A0%2520%2520%25E9%2580%2589%25E9%25A1%25B9/4-16%25E7%25B3%25BB%25E7%25BB%259F%25E8%25AE%25BE%25E7%25BD%25AE/100.png" TargetMode="External"/><Relationship Id="rId684" Type="http://schemas.openxmlformats.org/officeDocument/2006/relationships/image" Target="media/image362.png"/><Relationship Id="rId683" Type="http://schemas.openxmlformats.org/officeDocument/2006/relationships/image" Target="https://www.tdx.com.cn/products/helpfile/tdxw/chm/%25E7%25AC%25AC%25E5%259B%259B%25E7%25AB%25A0%2520%2520%25E9%2580%2589%25E9%25A1%25B9/4-16%25E7%25B3%25BB%25E7%25BB%259F%25E8%25AE%25BE%25E7%25BD%25AE/8.png" TargetMode="External"/><Relationship Id="rId682" Type="http://schemas.openxmlformats.org/officeDocument/2006/relationships/image" Target="media/image361.png"/><Relationship Id="rId681" Type="http://schemas.openxmlformats.org/officeDocument/2006/relationships/image" Target="https://www.tdx.com.cn/products/helpfile/tdxw/chm/%25E7%25AC%25AC%25E5%259B%259B%25E7%25AB%25A0%2520%2520%25E9%2580%2589%25E9%25A1%25B9/4-16%25E7%25B3%25BB%25E7%25BB%259F%25E8%25AE%25BE%25E7%25BD%25AE/7.png" TargetMode="External"/><Relationship Id="rId680" Type="http://schemas.openxmlformats.org/officeDocument/2006/relationships/image" Target="media/image360.png"/><Relationship Id="rId68" Type="http://schemas.openxmlformats.org/officeDocument/2006/relationships/image" Target="https://www.tdx.com.cn/products/helpfile/tdxw/chm/%25E7%25AC%25AC%25E4%25BA%258C%25E7%25AB%25A0%2520%25E5%258A%259F%25E8%2583%25BD/2-3/1.png" TargetMode="External"/><Relationship Id="rId679" Type="http://schemas.openxmlformats.org/officeDocument/2006/relationships/image" Target="https://www.tdx.com.cn/products/helpfile/tdxw/chm/%25E7%25AC%25AC%25E5%259B%259B%25E7%25AB%25A0%2520%2520%25E9%2580%2589%25E9%25A1%25B9/4-16%25E7%25B3%25BB%25E7%25BB%259F%25E8%25AE%25BE%25E7%25BD%25AE/6.png" TargetMode="External"/><Relationship Id="rId678" Type="http://schemas.openxmlformats.org/officeDocument/2006/relationships/image" Target="media/image359.png"/><Relationship Id="rId677" Type="http://schemas.openxmlformats.org/officeDocument/2006/relationships/image" Target="https://www.tdx.com.cn/products/helpfile/tdxw/chm/%25E7%25AC%25AC%25E5%259B%259B%25E7%25AB%25A0%2520%2520%25E9%2580%2589%25E9%25A1%25B9/4-16%25E7%25B3%25BB%25E7%25BB%259F%25E8%25AE%25BE%25E7%25BD%25AE/5.png" TargetMode="External"/><Relationship Id="rId676" Type="http://schemas.openxmlformats.org/officeDocument/2006/relationships/image" Target="media/image358.png"/><Relationship Id="rId675" Type="http://schemas.openxmlformats.org/officeDocument/2006/relationships/image" Target="https://www.tdx.com.cn/products/helpfile/tdxw/chm/%25E7%25AC%25AC%25E5%259B%259B%25E7%25AB%25A0%2520%2520%25E9%2580%2589%25E9%25A1%25B9/4-16%25E7%25B3%25BB%25E7%25BB%259F%25E8%25AE%25BE%25E7%25BD%25AE/4.png" TargetMode="External"/><Relationship Id="rId674" Type="http://schemas.openxmlformats.org/officeDocument/2006/relationships/image" Target="media/image357.png"/><Relationship Id="rId673" Type="http://schemas.openxmlformats.org/officeDocument/2006/relationships/image" Target="https://www.tdx.com.cn/products/helpfile/tdxw/chm/%25E7%25AC%25AC%25E5%259B%259B%25E7%25AB%25A0%2520%2520%25E9%2580%2589%25E9%25A1%25B9/4-16%25E7%25B3%25BB%25E7%25BB%259F%25E8%25AE%25BE%25E7%25BD%25AE/3.png" TargetMode="External"/><Relationship Id="rId672" Type="http://schemas.openxmlformats.org/officeDocument/2006/relationships/image" Target="media/image356.png"/><Relationship Id="rId671" Type="http://schemas.openxmlformats.org/officeDocument/2006/relationships/image" Target="https://www.tdx.com.cn/products/helpfile/tdxw/chm/%25E7%25AC%25AC%25E5%259B%259B%25E7%25AB%25A0%2520%2520%25E9%2580%2589%25E9%25A1%25B9/4-16%25E7%25B3%25BB%25E7%25BB%259F%25E8%25AE%25BE%25E7%25BD%25AE/2.png" TargetMode="External"/><Relationship Id="rId670" Type="http://schemas.openxmlformats.org/officeDocument/2006/relationships/image" Target="media/image355.png"/><Relationship Id="rId67" Type="http://schemas.openxmlformats.org/officeDocument/2006/relationships/image" Target="media/image34.png"/><Relationship Id="rId669" Type="http://schemas.openxmlformats.org/officeDocument/2006/relationships/image" Target="https://www.tdx.com.cn/products/helpfile/tdxw/chm/%25E7%25AC%25AC%25E5%259B%259B%25E7%25AB%25A0%2520%2520%25E9%2580%2589%25E9%25A1%25B9/4-16%25E7%25B3%25BB%25E7%25BB%259F%25E8%25AE%25BE%25E7%25BD%25AE/1.png" TargetMode="External"/><Relationship Id="rId668" Type="http://schemas.openxmlformats.org/officeDocument/2006/relationships/image" Target="media/image354.png"/><Relationship Id="rId667" Type="http://schemas.openxmlformats.org/officeDocument/2006/relationships/image" Target="https://www.tdx.com.cn/products/helpfile/tdxw/chm/%25E7%25AC%25AC%25E5%259B%259B%25E7%25AB%25A0%2520%2520%25E9%2580%2589%25E9%25A1%25B9/4-15/4.png" TargetMode="External"/><Relationship Id="rId666" Type="http://schemas.openxmlformats.org/officeDocument/2006/relationships/image" Target="media/image353.png"/><Relationship Id="rId665" Type="http://schemas.openxmlformats.org/officeDocument/2006/relationships/image" Target="https://www.tdx.com.cn/products/helpfile/tdxw/chm/%25E7%25AC%25AC%25E5%259B%259B%25E7%25AB%25A0%2520%2520%25E9%2580%2589%25E9%25A1%25B9/4-15/3.png" TargetMode="External"/><Relationship Id="rId664" Type="http://schemas.openxmlformats.org/officeDocument/2006/relationships/image" Target="media/image352.png"/><Relationship Id="rId663" Type="http://schemas.openxmlformats.org/officeDocument/2006/relationships/image" Target="https://www.tdx.com.cn/products/helpfile/tdxw/chm/%25E7%25AC%25AC%25E5%259B%259B%25E7%25AB%25A0%2520%2520%25E9%2580%2589%25E9%25A1%25B9/4-15/2.png" TargetMode="External"/><Relationship Id="rId662" Type="http://schemas.openxmlformats.org/officeDocument/2006/relationships/image" Target="media/image351.png"/><Relationship Id="rId661" Type="http://schemas.openxmlformats.org/officeDocument/2006/relationships/image" Target="https://www.tdx.com.cn/products/helpfile/tdxw/chm/%25E7%25AC%25AC%25E5%259B%259B%25E7%25AB%25A0%2520%2520%25E9%2580%2589%25E9%25A1%25B9/4-15/1.png" TargetMode="External"/><Relationship Id="rId660" Type="http://schemas.openxmlformats.org/officeDocument/2006/relationships/image" Target="media/image350.png"/><Relationship Id="rId66" Type="http://schemas.openxmlformats.org/officeDocument/2006/relationships/image" Target="https://www.tdx.com.cn/products/helpfile/tdxw/chm/%25E7%25AC%25AC%25E4%25BA%258C%25E7%25AB%25A0%2520%25E5%258A%259F%25E8%2583%25BD/2-3/0.5.png" TargetMode="External"/><Relationship Id="rId659" Type="http://schemas.openxmlformats.org/officeDocument/2006/relationships/image" Target="https://www.tdx.com.cn/products/helpfile/tdxw/chm/%25E7%25AC%25AC%25E5%259B%259B%25E7%25AB%25A0%2520%2520%25E9%2580%2589%25E9%25A1%25B9/4-14/2.png" TargetMode="External"/><Relationship Id="rId658" Type="http://schemas.openxmlformats.org/officeDocument/2006/relationships/image" Target="media/image349.png"/><Relationship Id="rId657" Type="http://schemas.openxmlformats.org/officeDocument/2006/relationships/image" Target="https://www.tdx.com.cn/products/helpfile/tdxw/chm/%25E7%25AC%25AC%25E5%259B%259B%25E7%25AB%25A0%2520%2520%25E9%2580%2589%25E9%25A1%25B9/4-14/1.png" TargetMode="External"/><Relationship Id="rId656" Type="http://schemas.openxmlformats.org/officeDocument/2006/relationships/image" Target="media/image348.png"/><Relationship Id="rId655" Type="http://schemas.openxmlformats.org/officeDocument/2006/relationships/image" Target="media/image347.png"/><Relationship Id="rId654" Type="http://schemas.openxmlformats.org/officeDocument/2006/relationships/image" Target="https://www.tdx.com.cn/products/helpfile/tdxw/chm/%25E7%25AC%25AC%25E5%259B%259B%25E7%25AB%25A0%2520%2520%25E9%2580%2589%25E9%25A1%25B9/4-13/15.png" TargetMode="External"/><Relationship Id="rId653" Type="http://schemas.openxmlformats.org/officeDocument/2006/relationships/image" Target="media/image346.png"/><Relationship Id="rId652" Type="http://schemas.openxmlformats.org/officeDocument/2006/relationships/image" Target="https://www.tdx.com.cn/products/helpfile/tdxw/chm/%25E7%25AC%25AC%25E5%259B%259B%25E7%25AB%25A0%2520%2520%25E9%2580%2589%25E9%25A1%25B9/4-13/14.png" TargetMode="External"/><Relationship Id="rId651" Type="http://schemas.openxmlformats.org/officeDocument/2006/relationships/image" Target="media/image345.png"/><Relationship Id="rId650" Type="http://schemas.openxmlformats.org/officeDocument/2006/relationships/image" Target="https://www.tdx.com.cn/products/helpfile/tdxw/chm/%25E7%25AC%25AC%25E5%259B%259B%25E7%25AB%25A0%2520%2520%25E9%2580%2589%25E9%25A1%25B9/4-13/13.png" TargetMode="External"/><Relationship Id="rId65" Type="http://schemas.openxmlformats.org/officeDocument/2006/relationships/image" Target="media/image33.png"/><Relationship Id="rId649" Type="http://schemas.openxmlformats.org/officeDocument/2006/relationships/image" Target="media/image344.png"/><Relationship Id="rId648" Type="http://schemas.openxmlformats.org/officeDocument/2006/relationships/image" Target="https://www.tdx.com.cn/products/helpfile/tdxw/chm/%25E7%25AC%25AC%25E5%259B%259B%25E7%25AB%25A0%2520%2520%25E9%2580%2589%25E9%25A1%25B9/4-13/12.png" TargetMode="External"/><Relationship Id="rId647" Type="http://schemas.openxmlformats.org/officeDocument/2006/relationships/image" Target="media/image343.png"/><Relationship Id="rId646" Type="http://schemas.openxmlformats.org/officeDocument/2006/relationships/image" Target="https://www.tdx.com.cn/products/helpfile/tdxw/chm/%25E7%25AC%25AC%25E5%259B%259B%25E7%25AB%25A0%2520%2520%25E9%2580%2589%25E9%25A1%25B9/4-13/11.png" TargetMode="External"/><Relationship Id="rId645" Type="http://schemas.openxmlformats.org/officeDocument/2006/relationships/image" Target="media/image342.png"/><Relationship Id="rId644" Type="http://schemas.openxmlformats.org/officeDocument/2006/relationships/image" Target="media/image341.png"/><Relationship Id="rId643" Type="http://schemas.openxmlformats.org/officeDocument/2006/relationships/image" Target="https://www.tdx.com.cn/products/helpfile/tdxw/chm/%25E7%25AC%25AC%25E5%259B%259B%25E7%25AB%25A0%2520%2520%25E9%2580%2589%25E9%25A1%25B9/4-13/8.5.png" TargetMode="External"/><Relationship Id="rId642" Type="http://schemas.openxmlformats.org/officeDocument/2006/relationships/image" Target="media/image340.png"/><Relationship Id="rId641" Type="http://schemas.openxmlformats.org/officeDocument/2006/relationships/image" Target="https://www.tdx.com.cn/products/helpfile/tdxw/chm/%25E7%25AC%25AC%25E5%259B%259B%25E7%25AB%25A0%2520%2520%25E9%2580%2589%25E9%25A1%25B9/4-13/7.5.png" TargetMode="External"/><Relationship Id="rId640" Type="http://schemas.openxmlformats.org/officeDocument/2006/relationships/image" Target="media/image339.png"/><Relationship Id="rId64" Type="http://schemas.openxmlformats.org/officeDocument/2006/relationships/image" Target="https://www.tdx.com.cn/products/helpfile/tdxw/chm/%25E7%25AC%25AC%25E4%25BA%258C%25E7%25AB%25A0%2520%25E5%258A%259F%25E8%2583%25BD/2-2/11.png" TargetMode="External"/><Relationship Id="rId639" Type="http://schemas.openxmlformats.org/officeDocument/2006/relationships/image" Target="https://www.tdx.com.cn/products/helpfile/tdxw/chm/%25E7%25AC%25AC%25E5%259B%259B%25E7%25AB%25A0%2520%2520%25E9%2580%2589%25E9%25A1%25B9/4-13/9.png" TargetMode="External"/><Relationship Id="rId638" Type="http://schemas.openxmlformats.org/officeDocument/2006/relationships/image" Target="media/image338.png"/><Relationship Id="rId637" Type="http://schemas.openxmlformats.org/officeDocument/2006/relationships/image" Target="https://www.tdx.com.cn/products/helpfile/tdxw/chm/%25E7%25AC%25AC%25E5%259B%259B%25E7%25AB%25A0%2520%2520%25E9%2580%2589%25E9%25A1%25B9/4-13/8.png" TargetMode="External"/><Relationship Id="rId636" Type="http://schemas.openxmlformats.org/officeDocument/2006/relationships/image" Target="media/image337.png"/><Relationship Id="rId635" Type="http://schemas.openxmlformats.org/officeDocument/2006/relationships/image" Target="https://www.tdx.com.cn/products/helpfile/tdxw/chm/%25E7%25AC%25AC%25E5%259B%259B%25E7%25AB%25A0%2520%2520%25E9%2580%2589%25E9%25A1%25B9/4-13/6.png" TargetMode="External"/><Relationship Id="rId634" Type="http://schemas.openxmlformats.org/officeDocument/2006/relationships/image" Target="media/image336.png"/><Relationship Id="rId633" Type="http://schemas.openxmlformats.org/officeDocument/2006/relationships/image" Target="https://www.tdx.com.cn/products/helpfile/tdxw/chm/%25E7%25AC%25AC%25E5%259B%259B%25E7%25AB%25A0%2520%2520%25E9%2580%2589%25E9%25A1%25B9/4-13/5.5.png" TargetMode="External"/><Relationship Id="rId632" Type="http://schemas.openxmlformats.org/officeDocument/2006/relationships/image" Target="media/image335.png"/><Relationship Id="rId631" Type="http://schemas.openxmlformats.org/officeDocument/2006/relationships/image" Target="https://www.tdx.com.cn/products/helpfile/tdxw/chm/%25E7%25AC%25AC%25E5%259B%259B%25E7%25AB%25A0%2520%2520%25E9%2580%2589%25E9%25A1%25B9/4-13/4.6.png" TargetMode="External"/><Relationship Id="rId630" Type="http://schemas.openxmlformats.org/officeDocument/2006/relationships/image" Target="media/image334.png"/><Relationship Id="rId63" Type="http://schemas.openxmlformats.org/officeDocument/2006/relationships/image" Target="media/image32.png"/><Relationship Id="rId629" Type="http://schemas.openxmlformats.org/officeDocument/2006/relationships/image" Target="https://www.tdx.com.cn/products/helpfile/tdxw/chm/%25E7%25AC%25AC%25E5%259B%259B%25E7%25AB%25A0%2520%2520%25E9%2580%2589%25E9%25A1%25B9/4-13/4.7.png" TargetMode="External"/><Relationship Id="rId628" Type="http://schemas.openxmlformats.org/officeDocument/2006/relationships/image" Target="media/image333.png"/><Relationship Id="rId627" Type="http://schemas.openxmlformats.org/officeDocument/2006/relationships/image" Target="https://www.tdx.com.cn/products/helpfile/tdxw/chm/%25E7%25AC%25AC%25E5%259B%259B%25E7%25AB%25A0%2520%2520%25E9%2580%2589%25E9%25A1%25B9/4-13/4.5.png" TargetMode="External"/><Relationship Id="rId626" Type="http://schemas.openxmlformats.org/officeDocument/2006/relationships/image" Target="media/image332.png"/><Relationship Id="rId625" Type="http://schemas.openxmlformats.org/officeDocument/2006/relationships/image" Target="https://www.tdx.com.cn/products/helpfile/tdxw/chm/%25E7%25AC%25AC%25E5%259B%259B%25E7%25AB%25A0%2520%2520%25E9%2580%2589%25E9%25A1%25B9/4-13/5.png" TargetMode="External"/><Relationship Id="rId624" Type="http://schemas.openxmlformats.org/officeDocument/2006/relationships/image" Target="media/image331.png"/><Relationship Id="rId623" Type="http://schemas.openxmlformats.org/officeDocument/2006/relationships/image" Target="https://www.tdx.com.cn/products/helpfile/tdxw/chm/%25E7%25AC%25AC%25E5%259B%259B%25E7%25AB%25A0%2520%2520%25E9%2580%2589%25E9%25A1%25B9/4-13/4.png" TargetMode="External"/><Relationship Id="rId622" Type="http://schemas.openxmlformats.org/officeDocument/2006/relationships/image" Target="media/image330.png"/><Relationship Id="rId621" Type="http://schemas.openxmlformats.org/officeDocument/2006/relationships/image" Target="https://www.tdx.com.cn/products/helpfile/tdxw/chm/%25E7%25AC%25AC%25E5%259B%259B%25E7%25AB%25A0%2520%2520%25E9%2580%2589%25E9%25A1%25B9/4-13/3.png" TargetMode="External"/><Relationship Id="rId620" Type="http://schemas.openxmlformats.org/officeDocument/2006/relationships/image" Target="media/image329.png"/><Relationship Id="rId62" Type="http://schemas.openxmlformats.org/officeDocument/2006/relationships/image" Target="https://www.tdx.com.cn/products/helpfile/tdxw/chm/%25E7%25AC%25AC%25E4%25BA%258C%25E7%25AB%25A0%2520%25E5%258A%259F%25E8%2583%25BD/2-2/10.png" TargetMode="External"/><Relationship Id="rId619" Type="http://schemas.openxmlformats.org/officeDocument/2006/relationships/image" Target="media/image328.png"/><Relationship Id="rId618" Type="http://schemas.openxmlformats.org/officeDocument/2006/relationships/image" Target="https://www.tdx.com.cn/products/helpfile/tdxw/chm/%25E7%25AC%25AC%25E5%259B%259B%25E7%25AB%25A0%2520%2520%25E9%2580%2589%25E9%25A1%25B9/4-13/1.png" TargetMode="External"/><Relationship Id="rId617" Type="http://schemas.openxmlformats.org/officeDocument/2006/relationships/image" Target="media/image327.png"/><Relationship Id="rId616" Type="http://schemas.openxmlformats.org/officeDocument/2006/relationships/hyperlink" Target="http://www.tdx.com.cn/" TargetMode="External"/><Relationship Id="rId615" Type="http://schemas.openxmlformats.org/officeDocument/2006/relationships/image" Target="https://www.tdx.com.cn/products/helpfile/tdxw/chm/%25E7%25AC%25AC%25E5%259B%259B%25E7%25AB%25A0%2520%2520%25E9%2580%2589%25E9%25A1%25B9/4-12/3.png" TargetMode="External"/><Relationship Id="rId614" Type="http://schemas.openxmlformats.org/officeDocument/2006/relationships/image" Target="media/image326.png"/><Relationship Id="rId613" Type="http://schemas.openxmlformats.org/officeDocument/2006/relationships/image" Target="https://www.tdx.com.cn/products/helpfile/tdxw/chm/%25E7%25AC%25AC%25E5%259B%259B%25E7%25AB%25A0%2520%2520%25E9%2580%2589%25E9%25A1%25B9/4-12/2.png" TargetMode="External"/><Relationship Id="rId612" Type="http://schemas.openxmlformats.org/officeDocument/2006/relationships/image" Target="media/image325.png"/><Relationship Id="rId611" Type="http://schemas.openxmlformats.org/officeDocument/2006/relationships/image" Target="https://www.tdx.com.cn/products/helpfile/tdxw/chm/%25E7%25AC%25AC%25E5%259B%259B%25E7%25AB%25A0%2520%2520%25E9%2580%2589%25E9%25A1%25B9/4-12/1.png" TargetMode="External"/><Relationship Id="rId610" Type="http://schemas.openxmlformats.org/officeDocument/2006/relationships/image" Target="media/image324.png"/><Relationship Id="rId61" Type="http://schemas.openxmlformats.org/officeDocument/2006/relationships/image" Target="media/image31.png"/><Relationship Id="rId609" Type="http://schemas.openxmlformats.org/officeDocument/2006/relationships/image" Target="media/image323.png"/><Relationship Id="rId608" Type="http://schemas.openxmlformats.org/officeDocument/2006/relationships/image" Target="https://www.tdx.com.cn/products/helpfile/tdxw/chm/%25E7%25AC%25AC%25E5%259B%259B%25E7%25AB%25A0%2520%2520%25E9%2580%2589%25E9%25A1%25B9/4-9/1.png" TargetMode="External"/><Relationship Id="rId607" Type="http://schemas.openxmlformats.org/officeDocument/2006/relationships/image" Target="media/image322.png"/><Relationship Id="rId606" Type="http://schemas.openxmlformats.org/officeDocument/2006/relationships/image" Target="https://www.tdx.com.cn/products/helpfile/tdxw/chm/%25E7%25AC%25AC%25E5%259B%259B%25E7%25AB%25A0%2520%2520%25E9%2580%2589%25E9%25A1%25B9/4-8/4.png" TargetMode="External"/><Relationship Id="rId605" Type="http://schemas.openxmlformats.org/officeDocument/2006/relationships/image" Target="media/image321.png"/><Relationship Id="rId604" Type="http://schemas.openxmlformats.org/officeDocument/2006/relationships/image" Target="https://www.tdx.com.cn/products/helpfile/tdxw/chm/%25E7%25AC%25AC%25E5%259B%259B%25E7%25AB%25A0%2520%2520%25E9%2580%2589%25E9%25A1%25B9/4-8/3.png" TargetMode="External"/><Relationship Id="rId603" Type="http://schemas.openxmlformats.org/officeDocument/2006/relationships/image" Target="media/image320.png"/><Relationship Id="rId602" Type="http://schemas.openxmlformats.org/officeDocument/2006/relationships/image" Target="https://www.tdx.com.cn/products/helpfile/tdxw/chm/%25E7%25AC%25AC%25E5%259B%259B%25E7%25AB%25A0%2520%2520%25E9%2580%2589%25E9%25A1%25B9/4-8/2.png" TargetMode="External"/><Relationship Id="rId601" Type="http://schemas.openxmlformats.org/officeDocument/2006/relationships/image" Target="media/image319.png"/><Relationship Id="rId600" Type="http://schemas.openxmlformats.org/officeDocument/2006/relationships/image" Target="https://www.tdx.com.cn/products/helpfile/tdxw/chm/%25E7%25AC%25AC%25E5%259B%259B%25E7%25AB%25A0%2520%2520%25E9%2580%2589%25E9%25A1%25B9/4-8/1.png" TargetMode="External"/><Relationship Id="rId60" Type="http://schemas.openxmlformats.org/officeDocument/2006/relationships/image" Target="https://www.tdx.com.cn/products/helpfile/tdxw/chm/%25E7%25AC%25AC%25E4%25BA%258C%25E7%25AB%25A0%2520%25E5%258A%259F%25E8%2583%25BD/2-2/9.png" TargetMode="External"/><Relationship Id="rId6" Type="http://schemas.openxmlformats.org/officeDocument/2006/relationships/footer" Target="footer1.xml"/><Relationship Id="rId599" Type="http://schemas.openxmlformats.org/officeDocument/2006/relationships/image" Target="media/image318.png"/><Relationship Id="rId598" Type="http://schemas.openxmlformats.org/officeDocument/2006/relationships/image" Target="https://www.tdx.com.cn/products/helpfile/tdxw/chm/%25E7%25AC%25AC%25E5%259B%259B%25E7%25AB%25A0%2520%2520%25E9%2580%2589%25E9%25A1%25B9/4-7/5.png" TargetMode="External"/><Relationship Id="rId597" Type="http://schemas.openxmlformats.org/officeDocument/2006/relationships/image" Target="media/image317.png"/><Relationship Id="rId596" Type="http://schemas.openxmlformats.org/officeDocument/2006/relationships/image" Target="https://www.tdx.com.cn/products/helpfile/tdxw/chm/%25E7%25AC%25AC%25E5%259B%259B%25E7%25AB%25A0%2520%2520%25E9%2580%2589%25E9%25A1%25B9/4-7/4.png" TargetMode="External"/><Relationship Id="rId595" Type="http://schemas.openxmlformats.org/officeDocument/2006/relationships/image" Target="media/image316.png"/><Relationship Id="rId594" Type="http://schemas.openxmlformats.org/officeDocument/2006/relationships/image" Target="https://www.tdx.com.cn/products/helpfile/tdxw/chm/%25E7%25AC%25AC%25E5%259B%259B%25E7%25AB%25A0%2520%2520%25E9%2580%2589%25E9%25A1%25B9/4-7/3.png" TargetMode="External"/><Relationship Id="rId593" Type="http://schemas.openxmlformats.org/officeDocument/2006/relationships/image" Target="media/image315.png"/><Relationship Id="rId592" Type="http://schemas.openxmlformats.org/officeDocument/2006/relationships/image" Target="https://www.tdx.com.cn/products/helpfile/tdxw/chm/%25E7%25AC%25AC%25E5%259B%259B%25E7%25AB%25A0%2520%2520%25E9%2580%2589%25E9%25A1%25B9/4-7/2.png" TargetMode="External"/><Relationship Id="rId591" Type="http://schemas.openxmlformats.org/officeDocument/2006/relationships/image" Target="media/image314.png"/><Relationship Id="rId590" Type="http://schemas.openxmlformats.org/officeDocument/2006/relationships/image" Target="https://www.tdx.com.cn/products/helpfile/tdxw/chm/%25E7%25AC%25AC%25E5%259B%259B%25E7%25AB%25A0%2520%2520%25E9%2580%2589%25E9%25A1%25B9/4-7/1.png" TargetMode="External"/><Relationship Id="rId59" Type="http://schemas.openxmlformats.org/officeDocument/2006/relationships/image" Target="media/image30.png"/><Relationship Id="rId589" Type="http://schemas.openxmlformats.org/officeDocument/2006/relationships/image" Target="media/image313.png"/><Relationship Id="rId588" Type="http://schemas.openxmlformats.org/officeDocument/2006/relationships/image" Target="https://www.tdx.com.cn/products/helpfile/tdxw/chm/%25E7%25AC%25AC%25E5%259B%259B%25E7%25AB%25A0%2520%2520%25E9%2580%2589%25E9%25A1%25B9/4-5/1.png" TargetMode="External"/><Relationship Id="rId587" Type="http://schemas.openxmlformats.org/officeDocument/2006/relationships/image" Target="media/image312.png"/><Relationship Id="rId586" Type="http://schemas.openxmlformats.org/officeDocument/2006/relationships/image" Target="https://www.tdx.com.cn/products/helpfile/tdxw/chm/%25E7%25AC%25AC%25E5%259B%259B%25E7%25AB%25A0%2520%2520%25E9%2580%2589%25E9%25A1%25B9/4-3/1.png" TargetMode="External"/><Relationship Id="rId585" Type="http://schemas.openxmlformats.org/officeDocument/2006/relationships/image" Target="media/image311.png"/><Relationship Id="rId584" Type="http://schemas.openxmlformats.org/officeDocument/2006/relationships/image" Target="media/image310.png"/><Relationship Id="rId583" Type="http://schemas.openxmlformats.org/officeDocument/2006/relationships/image" Target="media/image309.png"/><Relationship Id="rId582" Type="http://schemas.openxmlformats.org/officeDocument/2006/relationships/image" Target="media/image308.png"/><Relationship Id="rId581" Type="http://schemas.openxmlformats.org/officeDocument/2006/relationships/image" Target="media/image307.png"/><Relationship Id="rId580" Type="http://schemas.openxmlformats.org/officeDocument/2006/relationships/image" Target="https://www.tdx.com.cn/products/helpfile/tdxw/chm/%25E7%25AC%25AC%25E4%25B8%2589%25E7%25AB%25A0%2520%2520%25E7%2589%2588%25E9%259D%25A2%25E5%2592%258C%25E5%2585%25AC%25E5%25BC%258F/3-2/3-2-8/untitled.jpg" TargetMode="External"/><Relationship Id="rId58" Type="http://schemas.openxmlformats.org/officeDocument/2006/relationships/image" Target="https://www.tdx.com.cn/products/helpfile/tdxw/chm/%25E7%25AC%25AC%25E4%25BA%258C%25E7%25AB%25A0%2520%25E5%258A%259F%25E8%2583%25BD/2-2/8.png" TargetMode="External"/><Relationship Id="rId579" Type="http://schemas.openxmlformats.org/officeDocument/2006/relationships/image" Target="media/image306.jpeg"/><Relationship Id="rId578" Type="http://schemas.openxmlformats.org/officeDocument/2006/relationships/image" Target="https://www.tdx.com.cn/products/helpfile/tdxw/chm/%25E7%25AC%25AC%25E4%25B8%2589%25E7%25AB%25A0%2520%2520%25E7%2589%2588%25E9%259D%25A2%25E5%2592%258C%25E5%2585%25AC%25E5%25BC%258F/3-2/3-2-7/2.png" TargetMode="External"/><Relationship Id="rId577" Type="http://schemas.openxmlformats.org/officeDocument/2006/relationships/image" Target="media/image305.png"/><Relationship Id="rId576" Type="http://schemas.openxmlformats.org/officeDocument/2006/relationships/image" Target="https://www.tdx.com.cn/products/helpfile/tdxw/chm/%25E7%25AC%25AC%25E4%25B8%2589%25E7%25AB%25A0%2520%2520%25E7%2589%2588%25E9%259D%25A2%25E5%2592%258C%25E5%2585%25AC%25E5%25BC%258F/3-2/3-2-7/1.png" TargetMode="External"/><Relationship Id="rId575" Type="http://schemas.openxmlformats.org/officeDocument/2006/relationships/image" Target="media/image304.png"/><Relationship Id="rId574" Type="http://schemas.openxmlformats.org/officeDocument/2006/relationships/image" Target="https://www.tdx.com.cn/products/helpfile/tdxw/chm/%25E7%25AC%25AC%25E4%25B8%2589%25E7%25AB%25A0%2520%2520%25E7%2589%2588%25E9%259D%25A2%25E5%2592%258C%25E5%2585%25AC%25E5%25BC%258F/3-2/3-2-6/11.png" TargetMode="External"/><Relationship Id="rId573" Type="http://schemas.openxmlformats.org/officeDocument/2006/relationships/image" Target="media/image303.png"/><Relationship Id="rId572" Type="http://schemas.openxmlformats.org/officeDocument/2006/relationships/image" Target="https://www.tdx.com.cn/products/helpfile/tdxw/chm/%25E7%25AC%25AC%25E4%25B8%2589%25E7%25AB%25A0%2520%2520%25E7%2589%2588%25E9%259D%25A2%25E5%2592%258C%25E5%2585%25AC%25E5%25BC%258F/3-2/3-2-6/10.png" TargetMode="External"/><Relationship Id="rId571" Type="http://schemas.openxmlformats.org/officeDocument/2006/relationships/image" Target="media/image302.png"/><Relationship Id="rId570" Type="http://schemas.openxmlformats.org/officeDocument/2006/relationships/image" Target="https://www.tdx.com.cn/products/helpfile/tdxw/chm/%25E7%25AC%25AC%25E4%25B8%2589%25E7%25AB%25A0%2520%2520%25E7%2589%2588%25E9%259D%25A2%25E5%2592%258C%25E5%2585%25AC%25E5%25BC%258F/3-2/3-2-6/9.png" TargetMode="External"/><Relationship Id="rId57" Type="http://schemas.openxmlformats.org/officeDocument/2006/relationships/image" Target="media/image29.png"/><Relationship Id="rId569" Type="http://schemas.openxmlformats.org/officeDocument/2006/relationships/image" Target="media/image301.png"/><Relationship Id="rId568" Type="http://schemas.openxmlformats.org/officeDocument/2006/relationships/image" Target="https://www.tdx.com.cn/products/helpfile/tdxw/chm/%25E7%25AC%25AC%25E4%25B8%2589%25E7%25AB%25A0%2520%2520%25E7%2589%2588%25E9%259D%25A2%25E5%2592%258C%25E5%2585%25AC%25E5%25BC%258F/3-2/3-2-6/8.png" TargetMode="External"/><Relationship Id="rId567" Type="http://schemas.openxmlformats.org/officeDocument/2006/relationships/image" Target="media/image300.png"/><Relationship Id="rId566" Type="http://schemas.openxmlformats.org/officeDocument/2006/relationships/image" Target="https://www.tdx.com.cn/products/helpfile/tdxw/chm/%25E7%25AC%25AC%25E4%25B8%2589%25E7%25AB%25A0%2520%2520%25E7%2589%2588%25E9%259D%25A2%25E5%2592%258C%25E5%2585%25AC%25E5%25BC%258F/3-2/3-2-6/7.png" TargetMode="External"/><Relationship Id="rId565" Type="http://schemas.openxmlformats.org/officeDocument/2006/relationships/image" Target="media/image299.png"/><Relationship Id="rId564" Type="http://schemas.openxmlformats.org/officeDocument/2006/relationships/image" Target="https://www.tdx.com.cn/products/helpfile/tdxw/chm/%25E7%25AC%25AC%25E4%25B8%2589%25E7%25AB%25A0%2520%2520%25E7%2589%2588%25E9%259D%25A2%25E5%2592%258C%25E5%2585%25AC%25E5%25BC%258F/3-2/3-2-6/6.png" TargetMode="External"/><Relationship Id="rId563" Type="http://schemas.openxmlformats.org/officeDocument/2006/relationships/image" Target="media/image298.png"/><Relationship Id="rId562" Type="http://schemas.openxmlformats.org/officeDocument/2006/relationships/image" Target="https://www.tdx.com.cn/products/helpfile/tdxw/chm/%25E7%25AC%25AC%25E4%25B8%2589%25E7%25AB%25A0%2520%2520%25E7%2589%2588%25E9%259D%25A2%25E5%2592%258C%25E5%2585%25AC%25E5%25BC%258F/3-2/3-2-6/5.png" TargetMode="External"/><Relationship Id="rId561" Type="http://schemas.openxmlformats.org/officeDocument/2006/relationships/image" Target="media/image297.png"/><Relationship Id="rId560" Type="http://schemas.openxmlformats.org/officeDocument/2006/relationships/image" Target="https://www.tdx.com.cn/products/helpfile/tdxw/chm/%25E7%25AC%25AC%25E4%25B8%2589%25E7%25AB%25A0%2520%2520%25E7%2589%2588%25E9%259D%25A2%25E5%2592%258C%25E5%2585%25AC%25E5%25BC%258F/3-2/3-2-6/4.png" TargetMode="External"/><Relationship Id="rId56" Type="http://schemas.openxmlformats.org/officeDocument/2006/relationships/image" Target="https://www.tdx.com.cn/products/helpfile/tdxw/chm/%25E7%25AC%25AC%25E4%25BA%258C%25E7%25AB%25A0%2520%25E5%258A%259F%25E8%2583%25BD/2-2/7.png" TargetMode="External"/><Relationship Id="rId559" Type="http://schemas.openxmlformats.org/officeDocument/2006/relationships/image" Target="media/image296.png"/><Relationship Id="rId558" Type="http://schemas.openxmlformats.org/officeDocument/2006/relationships/image" Target="https://www.tdx.com.cn/products/helpfile/tdxw/chm/%25E7%25AC%25AC%25E4%25B8%2589%25E7%25AB%25A0%2520%2520%25E7%2589%2588%25E9%259D%25A2%25E5%2592%258C%25E5%2585%25AC%25E5%25BC%258F/3-2/3-2-6/3.png" TargetMode="External"/><Relationship Id="rId557" Type="http://schemas.openxmlformats.org/officeDocument/2006/relationships/image" Target="media/image295.png"/><Relationship Id="rId556" Type="http://schemas.openxmlformats.org/officeDocument/2006/relationships/image" Target="https://www.tdx.com.cn/products/helpfile/tdxw/chm/%25E7%25AC%25AC%25E4%25B8%2589%25E7%25AB%25A0%2520%2520%25E7%2589%2588%25E9%259D%25A2%25E5%2592%258C%25E5%2585%25AC%25E5%25BC%258F/3-2/3-2-6/2.png" TargetMode="External"/><Relationship Id="rId555" Type="http://schemas.openxmlformats.org/officeDocument/2006/relationships/image" Target="media/image294.png"/><Relationship Id="rId554" Type="http://schemas.openxmlformats.org/officeDocument/2006/relationships/image" Target="https://www.tdx.com.cn/products/helpfile/tdxw/chm/%25E7%25AC%25AC%25E4%25B8%2589%25E7%25AB%25A0%2520%2520%25E7%2589%2588%25E9%259D%25A2%25E5%2592%258C%25E5%2585%25AC%25E5%25BC%258F/3-2/3-2-6/1.png" TargetMode="External"/><Relationship Id="rId553" Type="http://schemas.openxmlformats.org/officeDocument/2006/relationships/image" Target="media/image293.png"/><Relationship Id="rId552" Type="http://schemas.openxmlformats.org/officeDocument/2006/relationships/image" Target="https://www.tdx.com.cn/products/helpfile/tdxw/chm/%25E7%25AC%25AC%25E4%25B8%2589%25E7%25AB%25A0%2520%2520%25E7%2589%2588%25E9%259D%25A2%25E5%2592%258C%25E5%2585%25AC%25E5%25BC%258F/3-2/3-2-5/3.png" TargetMode="External"/><Relationship Id="rId551" Type="http://schemas.openxmlformats.org/officeDocument/2006/relationships/image" Target="media/image292.png"/><Relationship Id="rId550" Type="http://schemas.openxmlformats.org/officeDocument/2006/relationships/image" Target="https://www.tdx.com.cn/products/helpfile/tdxw/chm/%25E7%25AC%25AC%25E4%25B8%2589%25E7%25AB%25A0%2520%2520%25E7%2589%2588%25E9%259D%25A2%25E5%2592%258C%25E5%2585%25AC%25E5%25BC%258F/3-2/3-2-5/2.png" TargetMode="External"/><Relationship Id="rId55" Type="http://schemas.openxmlformats.org/officeDocument/2006/relationships/image" Target="media/image28.png"/><Relationship Id="rId549" Type="http://schemas.openxmlformats.org/officeDocument/2006/relationships/image" Target="media/image291.png"/><Relationship Id="rId548" Type="http://schemas.openxmlformats.org/officeDocument/2006/relationships/image" Target="https://www.tdx.com.cn/products/helpfile/tdxw/chm/%25E7%25AC%25AC%25E4%25B8%2589%25E7%25AB%25A0%2520%2520%25E7%2589%2588%25E9%259D%25A2%25E5%2592%258C%25E5%2585%25AC%25E5%25BC%258F/3-2/3-2-5/1.png" TargetMode="External"/><Relationship Id="rId547" Type="http://schemas.openxmlformats.org/officeDocument/2006/relationships/image" Target="media/image290.png"/><Relationship Id="rId546" Type="http://schemas.openxmlformats.org/officeDocument/2006/relationships/image" Target="https://www.tdx.com.cn/products/helpfile/tdxw/chm/%25E7%25AC%25AC%25E4%25B8%2589%25E7%25AB%25A0%2520%2520%25E7%2589%2588%25E9%259D%25A2%25E5%2592%258C%25E5%2585%25AC%25E5%25BC%258F/3-2/3-2-4/24.png" TargetMode="External"/><Relationship Id="rId545" Type="http://schemas.openxmlformats.org/officeDocument/2006/relationships/image" Target="media/image289.png"/><Relationship Id="rId544" Type="http://schemas.openxmlformats.org/officeDocument/2006/relationships/image" Target="https://www.tdx.com.cn/products/helpfile/tdxw/chm/%25E7%25AC%25AC%25E4%25B8%2589%25E7%25AB%25A0%2520%2520%25E7%2589%2588%25E9%259D%25A2%25E5%2592%258C%25E5%2585%25AC%25E5%25BC%258F/3-2/3-2-4/23.png" TargetMode="External"/><Relationship Id="rId543" Type="http://schemas.openxmlformats.org/officeDocument/2006/relationships/image" Target="media/image288.png"/><Relationship Id="rId542" Type="http://schemas.openxmlformats.org/officeDocument/2006/relationships/image" Target="https://www.tdx.com.cn/products/helpfile/tdxw/chm/%25E7%25AC%25AC%25E4%25B8%2589%25E7%25AB%25A0%2520%2520%25E7%2589%2588%25E9%259D%25A2%25E5%2592%258C%25E5%2585%25AC%25E5%25BC%258F/3-2/3-2-4/22.png" TargetMode="External"/><Relationship Id="rId541" Type="http://schemas.openxmlformats.org/officeDocument/2006/relationships/image" Target="media/image287.png"/><Relationship Id="rId540" Type="http://schemas.openxmlformats.org/officeDocument/2006/relationships/image" Target="https://www.tdx.com.cn/products/helpfile/tdxw/chm/%25E7%25AC%25AC%25E4%25B8%2589%25E7%25AB%25A0%2520%2520%25E7%2589%2588%25E9%259D%25A2%25E5%2592%258C%25E5%2585%25AC%25E5%25BC%258F/3-2/3-2-4/21.png" TargetMode="External"/><Relationship Id="rId54" Type="http://schemas.openxmlformats.org/officeDocument/2006/relationships/image" Target="https://www.tdx.com.cn/products/helpfile/tdxw/chm/%25E7%25AC%25AC%25E4%25BA%258C%25E7%25AB%25A0%2520%25E5%258A%259F%25E8%2583%25BD/2-2/6.png" TargetMode="External"/><Relationship Id="rId539" Type="http://schemas.openxmlformats.org/officeDocument/2006/relationships/image" Target="media/image286.png"/><Relationship Id="rId538" Type="http://schemas.openxmlformats.org/officeDocument/2006/relationships/image" Target="https://www.tdx.com.cn/products/helpfile/tdxw/chm/%25E7%25AC%25AC%25E4%25B8%2589%25E7%25AB%25A0%2520%2520%25E7%2589%2588%25E9%259D%25A2%25E5%2592%258C%25E5%2585%25AC%25E5%25BC%258F/3-2/3-2-4/20.png" TargetMode="External"/><Relationship Id="rId537" Type="http://schemas.openxmlformats.org/officeDocument/2006/relationships/image" Target="media/image285.png"/><Relationship Id="rId536" Type="http://schemas.openxmlformats.org/officeDocument/2006/relationships/image" Target="https://www.tdx.com.cn/products/helpfile/tdxw/chm/%25E7%25AC%25AC%25E4%25B8%2589%25E7%25AB%25A0%2520%2520%25E7%2589%2588%25E9%259D%25A2%25E5%2592%258C%25E5%2585%25AC%25E5%25BC%258F/3-2/3-2-4/19.png" TargetMode="External"/><Relationship Id="rId535" Type="http://schemas.openxmlformats.org/officeDocument/2006/relationships/image" Target="media/image284.png"/><Relationship Id="rId534" Type="http://schemas.openxmlformats.org/officeDocument/2006/relationships/image" Target="https://www.tdx.com.cn/products/helpfile/tdxw/chm/%25E7%25AC%25AC%25E4%25B8%2589%25E7%25AB%25A0%2520%2520%25E7%2589%2588%25E9%259D%25A2%25E5%2592%258C%25E5%2585%25AC%25E5%25BC%258F/3-2/3-2-4/18.png" TargetMode="External"/><Relationship Id="rId533" Type="http://schemas.openxmlformats.org/officeDocument/2006/relationships/image" Target="media/image283.png"/><Relationship Id="rId532" Type="http://schemas.openxmlformats.org/officeDocument/2006/relationships/image" Target="https://www.tdx.com.cn/products/helpfile/tdxw/chm/%25E7%25AC%25AC%25E4%25B8%2589%25E7%25AB%25A0%2520%2520%25E7%2589%2588%25E9%259D%25A2%25E5%2592%258C%25E5%2585%25AC%25E5%25BC%258F/3-2/3-2-4/17.png" TargetMode="External"/><Relationship Id="rId531" Type="http://schemas.openxmlformats.org/officeDocument/2006/relationships/image" Target="media/image282.png"/><Relationship Id="rId530" Type="http://schemas.openxmlformats.org/officeDocument/2006/relationships/image" Target="https://www.tdx.com.cn/products/helpfile/tdxw/chm/%25E7%25AC%25AC%25E4%25B8%2589%25E7%25AB%25A0%2520%2520%25E7%2589%2588%25E9%259D%25A2%25E5%2592%258C%25E5%2585%25AC%25E5%25BC%258F/3-2/3-2-4/16.png" TargetMode="External"/><Relationship Id="rId53" Type="http://schemas.openxmlformats.org/officeDocument/2006/relationships/image" Target="media/image27.png"/><Relationship Id="rId529" Type="http://schemas.openxmlformats.org/officeDocument/2006/relationships/image" Target="media/image281.png"/><Relationship Id="rId528" Type="http://schemas.openxmlformats.org/officeDocument/2006/relationships/image" Target="https://www.tdx.com.cn/products/helpfile/tdxw/chm/%25E7%25AC%25AC%25E4%25B8%2589%25E7%25AB%25A0%2520%2520%25E7%2589%2588%25E9%259D%25A2%25E5%2592%258C%25E5%2585%25AC%25E5%25BC%258F/3-2/3-2-4/15.png" TargetMode="External"/><Relationship Id="rId527" Type="http://schemas.openxmlformats.org/officeDocument/2006/relationships/image" Target="media/image280.png"/><Relationship Id="rId526" Type="http://schemas.openxmlformats.org/officeDocument/2006/relationships/image" Target="https://www.tdx.com.cn/products/helpfile/tdxw/chm/%25E7%25AC%25AC%25E4%25B8%2589%25E7%25AB%25A0%2520%2520%25E7%2589%2588%25E9%259D%25A2%25E5%2592%258C%25E5%2585%25AC%25E5%25BC%258F/3-2/3-2-4/14.png" TargetMode="External"/><Relationship Id="rId525" Type="http://schemas.openxmlformats.org/officeDocument/2006/relationships/image" Target="media/image279.png"/><Relationship Id="rId524" Type="http://schemas.openxmlformats.org/officeDocument/2006/relationships/image" Target="https://www.tdx.com.cn/products/helpfile/tdxw/chm/%25E7%25AC%25AC%25E4%25B8%2589%25E7%25AB%25A0%2520%2520%25E7%2589%2588%25E9%259D%25A2%25E5%2592%258C%25E5%2585%25AC%25E5%25BC%258F/3-2/3-2-4/%25E6%25A8%25A1%25E7%2589%2588_clip_image036.gif" TargetMode="External"/><Relationship Id="rId523" Type="http://schemas.openxmlformats.org/officeDocument/2006/relationships/image" Target="media/image278.GIF"/><Relationship Id="rId522" Type="http://schemas.openxmlformats.org/officeDocument/2006/relationships/image" Target="https://www.tdx.com.cn/products/helpfile/tdxw/chm/%25E7%25AC%25AC%25E4%25B8%2589%25E7%25AB%25A0%2520%2520%25E7%2589%2588%25E9%259D%25A2%25E5%2592%258C%25E5%2585%25AC%25E5%25BC%258F/3-2/3-2-4/%25E6%25A8%25A1%25E7%2589%2588_clip_image034_0000.gif" TargetMode="External"/><Relationship Id="rId521" Type="http://schemas.openxmlformats.org/officeDocument/2006/relationships/image" Target="media/image277.GIF"/><Relationship Id="rId520" Type="http://schemas.openxmlformats.org/officeDocument/2006/relationships/image" Target="https://www.tdx.com.cn/products/helpfile/tdxw/chm/%25E7%25AC%25AC%25E4%25B8%2589%25E7%25AB%25A0%2520%2520%25E7%2589%2588%25E9%259D%25A2%25E5%2592%258C%25E5%2585%25AC%25E5%25BC%258F/3-2/3-2-4/%25E6%25A8%25A1%25E7%2589%2588_clip_image032_0000.gif" TargetMode="External"/><Relationship Id="rId52" Type="http://schemas.openxmlformats.org/officeDocument/2006/relationships/image" Target="https://www.tdx.com.cn/products/helpfile/tdxw/chm/%25E7%25AC%25AC%25E4%25BA%258C%25E7%25AB%25A0%2520%25E5%258A%259F%25E8%2583%25BD/2-2/5.png" TargetMode="External"/><Relationship Id="rId519" Type="http://schemas.openxmlformats.org/officeDocument/2006/relationships/image" Target="media/image276.GIF"/><Relationship Id="rId518" Type="http://schemas.openxmlformats.org/officeDocument/2006/relationships/image" Target="https://www.tdx.com.cn/products/helpfile/tdxw/chm/%25E7%25AC%25AC%25E4%25B8%2589%25E7%25AB%25A0%2520%2520%25E7%2589%2588%25E9%259D%25A2%25E5%2592%258C%25E5%2585%25AC%25E5%25BC%258F/3-2/3-2-4/%25E6%25A8%25A1%25E7%2589%2588_clip_image030_0000.gif" TargetMode="External"/><Relationship Id="rId517" Type="http://schemas.openxmlformats.org/officeDocument/2006/relationships/image" Target="media/image275.GIF"/><Relationship Id="rId516" Type="http://schemas.openxmlformats.org/officeDocument/2006/relationships/image" Target="https://www.tdx.com.cn/products/helpfile/tdxw/chm/%25E7%25AC%25AC%25E4%25B8%2589%25E7%25AB%25A0%2520%2520%25E7%2589%2588%25E9%259D%25A2%25E5%2592%258C%25E5%2585%25AC%25E5%25BC%258F/3-2/3-2-4/%25E6%25A8%25A1%25E7%2589%2588_clip_image028.gif" TargetMode="External"/><Relationship Id="rId515" Type="http://schemas.openxmlformats.org/officeDocument/2006/relationships/image" Target="media/image274.GIF"/><Relationship Id="rId514" Type="http://schemas.openxmlformats.org/officeDocument/2006/relationships/image" Target="https://www.tdx.com.cn/products/helpfile/tdxw/chm/%25E7%25AC%25AC%25E4%25B8%2589%25E7%25AB%25A0%2520%2520%25E7%2589%2588%25E9%259D%25A2%25E5%2592%258C%25E5%2585%25AC%25E5%25BC%258F/3-2/3-2-4/13.png" TargetMode="External"/><Relationship Id="rId513" Type="http://schemas.openxmlformats.org/officeDocument/2006/relationships/image" Target="media/image273.png"/><Relationship Id="rId512" Type="http://schemas.openxmlformats.org/officeDocument/2006/relationships/image" Target="https://www.tdx.com.cn/products/helpfile/tdxw/chm/%25E7%25AC%25AC%25E4%25B8%2589%25E7%25AB%25A0%2520%2520%25E7%2589%2588%25E9%259D%25A2%25E5%2592%258C%25E5%2585%25AC%25E5%25BC%258F/3-2/3-2-4/12.png" TargetMode="External"/><Relationship Id="rId511" Type="http://schemas.openxmlformats.org/officeDocument/2006/relationships/image" Target="media/image272.png"/><Relationship Id="rId510" Type="http://schemas.openxmlformats.org/officeDocument/2006/relationships/image" Target="https://www.tdx.com.cn/products/helpfile/tdxw/chm/%25E7%25AC%25AC%25E4%25B8%2589%25E7%25AB%25A0%2520%2520%25E7%2589%2588%25E9%259D%25A2%25E5%2592%258C%25E5%2585%25AC%25E5%25BC%258F/3-2/3-2-4/11.png" TargetMode="External"/><Relationship Id="rId51" Type="http://schemas.openxmlformats.org/officeDocument/2006/relationships/image" Target="media/image26.png"/><Relationship Id="rId509" Type="http://schemas.openxmlformats.org/officeDocument/2006/relationships/image" Target="media/image271.png"/><Relationship Id="rId508" Type="http://schemas.openxmlformats.org/officeDocument/2006/relationships/image" Target="https://www.tdx.com.cn/products/helpfile/tdxw/chm/%25E7%25AC%25AC%25E4%25B8%2589%25E7%25AB%25A0%2520%2520%25E7%2589%2588%25E9%259D%25A2%25E5%2592%258C%25E5%2585%25AC%25E5%25BC%258F/3-2/3-2-4/10.png" TargetMode="External"/><Relationship Id="rId507" Type="http://schemas.openxmlformats.org/officeDocument/2006/relationships/image" Target="media/image270.png"/><Relationship Id="rId506" Type="http://schemas.openxmlformats.org/officeDocument/2006/relationships/image" Target="https://www.tdx.com.cn/products/helpfile/tdxw/chm/%25E7%25AC%25AC%25E4%25B8%2589%25E7%25AB%25A0%2520%2520%25E7%2589%2588%25E9%259D%25A2%25E5%2592%258C%25E5%2585%25AC%25E5%25BC%258F/3-2/3-2-4/9.png" TargetMode="External"/><Relationship Id="rId505" Type="http://schemas.openxmlformats.org/officeDocument/2006/relationships/image" Target="media/image269.png"/><Relationship Id="rId504" Type="http://schemas.openxmlformats.org/officeDocument/2006/relationships/image" Target="https://www.tdx.com.cn/products/helpfile/tdxw/chm/%25E7%25AC%25AC%25E4%25B8%2589%25E7%25AB%25A0%2520%2520%25E7%2589%2588%25E9%259D%25A2%25E5%2592%258C%25E5%2585%25AC%25E5%25BC%258F/3-2/3-2-4/8.png" TargetMode="External"/><Relationship Id="rId503" Type="http://schemas.openxmlformats.org/officeDocument/2006/relationships/image" Target="media/image268.png"/><Relationship Id="rId502" Type="http://schemas.openxmlformats.org/officeDocument/2006/relationships/image" Target="https://www.tdx.com.cn/products/helpfile/tdxw/chm/%25E7%25AC%25AC%25E4%25B8%2589%25E7%25AB%25A0%2520%2520%25E7%2589%2588%25E9%259D%25A2%25E5%2592%258C%25E5%2585%25AC%25E5%25BC%258F/3-2/3-2-4/7.png" TargetMode="External"/><Relationship Id="rId501" Type="http://schemas.openxmlformats.org/officeDocument/2006/relationships/image" Target="media/image267.png"/><Relationship Id="rId500" Type="http://schemas.openxmlformats.org/officeDocument/2006/relationships/image" Target="https://www.tdx.com.cn/products/helpfile/tdxw/chm/%25E7%25AC%25AC%25E4%25B8%2589%25E7%25AB%25A0%2520%2520%25E7%2589%2588%25E9%259D%25A2%25E5%2592%258C%25E5%2585%25AC%25E5%25BC%258F/3-2/3-2-4/6.png" TargetMode="External"/><Relationship Id="rId50" Type="http://schemas.openxmlformats.org/officeDocument/2006/relationships/image" Target="https://www.tdx.com.cn/products/helpfile/tdxw/chm/%25E7%25AC%25AC%25E4%25BA%258C%25E7%25AB%25A0%2520%25E5%258A%259F%25E8%2583%25BD/2-2/3.png" TargetMode="External"/><Relationship Id="rId5" Type="http://schemas.openxmlformats.org/officeDocument/2006/relationships/header" Target="header1.xml"/><Relationship Id="rId499" Type="http://schemas.openxmlformats.org/officeDocument/2006/relationships/image" Target="media/image266.png"/><Relationship Id="rId498" Type="http://schemas.openxmlformats.org/officeDocument/2006/relationships/image" Target="https://www.tdx.com.cn/products/helpfile/tdxw/chm/%25E7%25AC%25AC%25E4%25B8%2589%25E7%25AB%25A0%2520%2520%25E7%2589%2588%25E9%259D%25A2%25E5%2592%258C%25E5%2585%25AC%25E5%25BC%258F/3-2/3-2-4/5.png" TargetMode="External"/><Relationship Id="rId497" Type="http://schemas.openxmlformats.org/officeDocument/2006/relationships/image" Target="media/image265.png"/><Relationship Id="rId496" Type="http://schemas.openxmlformats.org/officeDocument/2006/relationships/image" Target="https://www.tdx.com.cn/products/helpfile/tdxw/chm/%25E7%25AC%25AC%25E4%25B8%2589%25E7%25AB%25A0%2520%2520%25E7%2589%2588%25E9%259D%25A2%25E5%2592%258C%25E5%2585%25AC%25E5%25BC%258F/3-2/3-2-4/4.png" TargetMode="External"/><Relationship Id="rId495" Type="http://schemas.openxmlformats.org/officeDocument/2006/relationships/image" Target="media/image264.png"/><Relationship Id="rId494" Type="http://schemas.openxmlformats.org/officeDocument/2006/relationships/image" Target="https://www.tdx.com.cn/products/helpfile/tdxw/chm/%25E7%25AC%25AC%25E4%25B8%2589%25E7%25AB%25A0%2520%2520%25E7%2589%2588%25E9%259D%25A2%25E5%2592%258C%25E5%2585%25AC%25E5%25BC%258F/3-2/3-2-4/3.png" TargetMode="External"/><Relationship Id="rId493" Type="http://schemas.openxmlformats.org/officeDocument/2006/relationships/image" Target="media/image263.png"/><Relationship Id="rId492" Type="http://schemas.openxmlformats.org/officeDocument/2006/relationships/image" Target="https://www.tdx.com.cn/products/helpfile/tdxw/chm/%25E7%25AC%25AC%25E4%25B8%2589%25E7%25AB%25A0%2520%2520%25E7%2589%2588%25E9%259D%25A2%25E5%2592%258C%25E5%2585%25AC%25E5%25BC%258F/3-2/3-2-4/2.png" TargetMode="External"/><Relationship Id="rId491" Type="http://schemas.openxmlformats.org/officeDocument/2006/relationships/image" Target="media/image262.png"/><Relationship Id="rId490" Type="http://schemas.openxmlformats.org/officeDocument/2006/relationships/image" Target="https://www.tdx.com.cn/products/helpfile/tdxw/chm/%25E7%25AC%25AC%25E4%25B8%2589%25E7%25AB%25A0%2520%2520%25E7%2589%2588%25E9%259D%25A2%25E5%2592%258C%25E5%2585%25AC%25E5%25BC%258F/3-2/3-2-4/1.png" TargetMode="External"/><Relationship Id="rId49" Type="http://schemas.openxmlformats.org/officeDocument/2006/relationships/image" Target="media/image25.png"/><Relationship Id="rId489" Type="http://schemas.openxmlformats.org/officeDocument/2006/relationships/image" Target="media/image261.png"/><Relationship Id="rId488" Type="http://schemas.openxmlformats.org/officeDocument/2006/relationships/image" Target="https://www.tdx.com.cn/products/helpfile/tdxw/chm/%25E7%25AC%25AC%25E4%25B8%2589%25E7%25AB%25A0%2520%2520%25E7%2589%2588%25E9%259D%25A2%25E5%2592%258C%25E5%2585%25AC%25E5%25BC%258F/3-2/3-2-3/%25E6%25A8%25A1%25E7%2589%2588_clip_image006.jpg" TargetMode="External"/><Relationship Id="rId487" Type="http://schemas.openxmlformats.org/officeDocument/2006/relationships/image" Target="media/image260.jpeg"/><Relationship Id="rId486" Type="http://schemas.openxmlformats.org/officeDocument/2006/relationships/image" Target="https://www.tdx.com.cn/products/helpfile/tdxw/chm/%25E7%25AC%25AC%25E4%25B8%2589%25E7%25AB%25A0%2520%2520%25E7%2589%2588%25E9%259D%25A2%25E5%2592%258C%25E5%2585%25AC%25E5%25BC%258F/3-2/3-2-3/2.png" TargetMode="External"/><Relationship Id="rId485" Type="http://schemas.openxmlformats.org/officeDocument/2006/relationships/image" Target="media/image259.png"/><Relationship Id="rId484" Type="http://schemas.openxmlformats.org/officeDocument/2006/relationships/image" Target="https://www.tdx.com.cn/products/helpfile/tdxw/chm/%25E7%25AC%25AC%25E4%25B8%2589%25E7%25AB%25A0%2520%2520%25E7%2589%2588%25E9%259D%25A2%25E5%2592%258C%25E5%2585%25AC%25E5%25BC%258F/3-2/3-2-3/1.png" TargetMode="External"/><Relationship Id="rId483" Type="http://schemas.openxmlformats.org/officeDocument/2006/relationships/image" Target="media/image258.png"/><Relationship Id="rId482" Type="http://schemas.openxmlformats.org/officeDocument/2006/relationships/image" Target="https://www.tdx.com.cn/products/helpfile/tdxw/chm/%25E7%25AC%25AC%25E4%25B8%2589%25E7%25AB%25A0%2520%2520%25E7%2589%2588%25E9%259D%25A2%25E5%2592%258C%25E5%2585%25AC%25E5%25BC%258F/3-2/3-2-2/15.png" TargetMode="External"/><Relationship Id="rId481" Type="http://schemas.openxmlformats.org/officeDocument/2006/relationships/image" Target="media/image257.png"/><Relationship Id="rId480" Type="http://schemas.openxmlformats.org/officeDocument/2006/relationships/image" Target="https://www.tdx.com.cn/products/helpfile/tdxw/chm/%25E7%25AC%25AC%25E4%25B8%2589%25E7%25AB%25A0%2520%2520%25E7%2589%2588%25E9%259D%25A2%25E5%2592%258C%25E5%2585%25AC%25E5%25BC%258F/3-2/3-2-2/14.png" TargetMode="External"/><Relationship Id="rId48" Type="http://schemas.openxmlformats.org/officeDocument/2006/relationships/image" Target="https://www.tdx.com.cn/products/helpfile/tdxw/chm/%25E7%25AC%25AC%25E4%25BA%258C%25E7%25AB%25A0%2520%25E5%258A%259F%25E8%2583%25BD/2-2/1.5.png" TargetMode="External"/><Relationship Id="rId479" Type="http://schemas.openxmlformats.org/officeDocument/2006/relationships/image" Target="media/image256.png"/><Relationship Id="rId478" Type="http://schemas.openxmlformats.org/officeDocument/2006/relationships/image" Target="https://www.tdx.com.cn/products/helpfile/tdxw/chm/%25E7%25AC%25AC%25E4%25B8%2589%25E7%25AB%25A0%2520%2520%25E7%2589%2588%25E9%259D%25A2%25E5%2592%258C%25E5%2585%25AC%25E5%25BC%258F/3-2/3-2-2/13.png" TargetMode="External"/><Relationship Id="rId477" Type="http://schemas.openxmlformats.org/officeDocument/2006/relationships/image" Target="media/image255.png"/><Relationship Id="rId476" Type="http://schemas.openxmlformats.org/officeDocument/2006/relationships/image" Target="https://www.tdx.com.cn/products/helpfile/tdxw/chm/%25E7%25AC%25AC%25E4%25B8%2589%25E7%25AB%25A0%2520%2520%25E7%2589%2588%25E9%259D%25A2%25E5%2592%258C%25E5%2585%25AC%25E5%25BC%258F/3-2/3-2-2/12.png" TargetMode="External"/><Relationship Id="rId475" Type="http://schemas.openxmlformats.org/officeDocument/2006/relationships/image" Target="media/image254.png"/><Relationship Id="rId474" Type="http://schemas.openxmlformats.org/officeDocument/2006/relationships/image" Target="https://www.tdx.com.cn/products/helpfile/tdxw/chm/%25E7%25AC%25AC%25E4%25B8%2589%25E7%25AB%25A0%2520%2520%25E7%2589%2588%25E9%259D%25A2%25E5%2592%258C%25E5%2585%25AC%25E5%25BC%258F/3-2/3-2-2/11.png" TargetMode="External"/><Relationship Id="rId473" Type="http://schemas.openxmlformats.org/officeDocument/2006/relationships/image" Target="media/image253.png"/><Relationship Id="rId472" Type="http://schemas.openxmlformats.org/officeDocument/2006/relationships/image" Target="https://www.tdx.com.cn/products/helpfile/tdxw/chm/%25E7%25AC%25AC%25E4%25B8%2589%25E7%25AB%25A0%2520%2520%25E7%2589%2588%25E9%259D%25A2%25E5%2592%258C%25E5%2585%25AC%25E5%25BC%258F/3-2/3-2-2/10.png" TargetMode="External"/><Relationship Id="rId471" Type="http://schemas.openxmlformats.org/officeDocument/2006/relationships/image" Target="media/image252.png"/><Relationship Id="rId470" Type="http://schemas.openxmlformats.org/officeDocument/2006/relationships/image" Target="https://www.tdx.com.cn/products/helpfile/tdxw/chm/%25E7%25AC%25AC%25E4%25B8%2589%25E7%25AB%25A0%2520%2520%25E7%2589%2588%25E9%259D%25A2%25E5%2592%258C%25E5%2585%25AC%25E5%25BC%258F/3-2/3-2-2/9.png" TargetMode="External"/><Relationship Id="rId47" Type="http://schemas.openxmlformats.org/officeDocument/2006/relationships/image" Target="media/image24.png"/><Relationship Id="rId469" Type="http://schemas.openxmlformats.org/officeDocument/2006/relationships/image" Target="media/image251.png"/><Relationship Id="rId468" Type="http://schemas.openxmlformats.org/officeDocument/2006/relationships/image" Target="https://www.tdx.com.cn/products/helpfile/tdxw/chm/%25E7%25AC%25AC%25E4%25B8%2589%25E7%25AB%25A0%2520%2520%25E7%2589%2588%25E9%259D%25A2%25E5%2592%258C%25E5%2585%25AC%25E5%25BC%258F/3-2/3-2-2/8.png" TargetMode="External"/><Relationship Id="rId467" Type="http://schemas.openxmlformats.org/officeDocument/2006/relationships/image" Target="media/image250.png"/><Relationship Id="rId466" Type="http://schemas.openxmlformats.org/officeDocument/2006/relationships/image" Target="https://www.tdx.com.cn/products/helpfile/tdxw/chm/%25E7%25AC%25AC%25E4%25B8%2589%25E7%25AB%25A0%2520%2520%25E7%2589%2588%25E9%259D%25A2%25E5%2592%258C%25E5%2585%25AC%25E5%25BC%258F/3-2/3-2-2/7.png" TargetMode="External"/><Relationship Id="rId465" Type="http://schemas.openxmlformats.org/officeDocument/2006/relationships/image" Target="media/image249.png"/><Relationship Id="rId464" Type="http://schemas.openxmlformats.org/officeDocument/2006/relationships/image" Target="https://www.tdx.com.cn/products/helpfile/tdxw/chm/%25E7%25AC%25AC%25E4%25B8%2589%25E7%25AB%25A0%2520%2520%25E7%2589%2588%25E9%259D%25A2%25E5%2592%258C%25E5%2585%25AC%25E5%25BC%258F/3-2/3-2-2/6.png" TargetMode="External"/><Relationship Id="rId463" Type="http://schemas.openxmlformats.org/officeDocument/2006/relationships/image" Target="media/image248.png"/><Relationship Id="rId462" Type="http://schemas.openxmlformats.org/officeDocument/2006/relationships/image" Target="https://www.tdx.com.cn/products/helpfile/tdxw/chm/%25E7%25AC%25AC%25E4%25B8%2589%25E7%25AB%25A0%2520%2520%25E7%2589%2588%25E9%259D%25A2%25E5%2592%258C%25E5%2585%25AC%25E5%25BC%258F/3-2/3-2-2/5.png" TargetMode="External"/><Relationship Id="rId461" Type="http://schemas.openxmlformats.org/officeDocument/2006/relationships/image" Target="media/image247.png"/><Relationship Id="rId460" Type="http://schemas.openxmlformats.org/officeDocument/2006/relationships/image" Target="https://www.tdx.com.cn/products/helpfile/tdxw/chm/%25E7%25AC%25AC%25E4%25B8%2589%25E7%25AB%25A0%2520%2520%25E7%2589%2588%25E9%259D%25A2%25E5%2592%258C%25E5%2585%25AC%25E5%25BC%258F/3-2/3-2-2/4.png" TargetMode="External"/><Relationship Id="rId46" Type="http://schemas.openxmlformats.org/officeDocument/2006/relationships/image" Target="https://www.tdx.com.cn/products/helpfile/tdxw/chm/%25E7%25AC%25AC%25E4%25BA%258C%25E7%25AB%25A0%2520%25E5%258A%259F%25E8%2583%25BD/2-2/0.8.png" TargetMode="External"/><Relationship Id="rId459" Type="http://schemas.openxmlformats.org/officeDocument/2006/relationships/image" Target="media/image246.png"/><Relationship Id="rId458" Type="http://schemas.openxmlformats.org/officeDocument/2006/relationships/image" Target="https://www.tdx.com.cn/products/helpfile/tdxw/chm/%25E7%25AC%25AC%25E4%25B8%2589%25E7%25AB%25A0%2520%2520%25E7%2589%2588%25E9%259D%25A2%25E5%2592%258C%25E5%2585%25AC%25E5%25BC%258F/3-2/3-2-2/3.png" TargetMode="External"/><Relationship Id="rId457" Type="http://schemas.openxmlformats.org/officeDocument/2006/relationships/image" Target="media/image245.png"/><Relationship Id="rId456" Type="http://schemas.openxmlformats.org/officeDocument/2006/relationships/image" Target="https://www.tdx.com.cn/products/helpfile/tdxw/chm/%25E7%25AC%25AC%25E4%25B8%2589%25E7%25AB%25A0%2520%2520%25E7%2589%2588%25E9%259D%25A2%25E5%2592%258C%25E5%2585%25AC%25E5%25BC%258F/3-2/3-2-2/2.png" TargetMode="External"/><Relationship Id="rId455" Type="http://schemas.openxmlformats.org/officeDocument/2006/relationships/image" Target="media/image244.png"/><Relationship Id="rId454" Type="http://schemas.openxmlformats.org/officeDocument/2006/relationships/image" Target="https://www.tdx.com.cn/products/helpfile/tdxw/chm/%25E7%25AC%25AC%25E4%25B8%2589%25E7%25AB%25A0%2520%2520%25E7%2589%2588%25E9%259D%25A2%25E5%2592%258C%25E5%2585%25AC%25E5%25BC%258F/3-2/3-2-2/1.png" TargetMode="External"/><Relationship Id="rId453" Type="http://schemas.openxmlformats.org/officeDocument/2006/relationships/image" Target="media/image243.png"/><Relationship Id="rId452" Type="http://schemas.openxmlformats.org/officeDocument/2006/relationships/image" Target="https://www.tdx.com.cn/products/helpfile/tdxw/chm/%25E7%25AC%25AC%25E4%25B8%2589%25E7%25AB%25A0%2520%2520%25E7%2589%2588%25E9%259D%25A2%25E5%2592%258C%25E5%2585%25AC%25E5%25BC%258F/3-2/3-2-1/3.png" TargetMode="External"/><Relationship Id="rId451" Type="http://schemas.openxmlformats.org/officeDocument/2006/relationships/image" Target="media/image242.png"/><Relationship Id="rId450" Type="http://schemas.openxmlformats.org/officeDocument/2006/relationships/image" Target="https://www.tdx.com.cn/products/helpfile/tdxw/chm/%25E7%25AC%25AC%25E4%25B8%2589%25E7%25AB%25A0%2520%2520%25E7%2589%2588%25E9%259D%25A2%25E5%2592%258C%25E5%2585%25AC%25E5%25BC%258F/3-2/3-2-1/2.png" TargetMode="External"/><Relationship Id="rId45" Type="http://schemas.openxmlformats.org/officeDocument/2006/relationships/image" Target="media/image23.png"/><Relationship Id="rId449" Type="http://schemas.openxmlformats.org/officeDocument/2006/relationships/image" Target="media/image241.png"/><Relationship Id="rId448" Type="http://schemas.openxmlformats.org/officeDocument/2006/relationships/image" Target="https://www.tdx.com.cn/products/helpfile/tdxw/chm/%25E7%25AC%25AC%25E4%25B8%2589%25E7%25AB%25A0%2520%2520%25E7%2589%2588%25E9%259D%25A2%25E5%2592%258C%25E5%2585%25AC%25E5%25BC%258F/3-2/3-2-1/1.png" TargetMode="External"/><Relationship Id="rId447" Type="http://schemas.openxmlformats.org/officeDocument/2006/relationships/image" Target="media/image240.png"/><Relationship Id="rId446" Type="http://schemas.openxmlformats.org/officeDocument/2006/relationships/image" Target="https://www.tdx.com.cn/products/helpfile/tdxw/chm/%25E7%25AC%25AC%25E4%25B8%2589%25E7%25AB%25A0%2520%2520%25E7%2589%2588%25E9%259D%25A2%25E5%2592%258C%25E5%2585%25AC%25E5%25BC%258F/3-1/33.png" TargetMode="External"/><Relationship Id="rId445" Type="http://schemas.openxmlformats.org/officeDocument/2006/relationships/image" Target="media/image239.png"/><Relationship Id="rId444" Type="http://schemas.openxmlformats.org/officeDocument/2006/relationships/image" Target="media/image238.png"/><Relationship Id="rId443" Type="http://schemas.openxmlformats.org/officeDocument/2006/relationships/image" Target="media/image237.png"/><Relationship Id="rId442" Type="http://schemas.openxmlformats.org/officeDocument/2006/relationships/image" Target="media/image236.png"/><Relationship Id="rId441" Type="http://schemas.openxmlformats.org/officeDocument/2006/relationships/image" Target="media/image235.png"/><Relationship Id="rId440" Type="http://schemas.openxmlformats.org/officeDocument/2006/relationships/image" Target="media/image234.png"/><Relationship Id="rId44" Type="http://schemas.openxmlformats.org/officeDocument/2006/relationships/image" Target="https://www.tdx.com.cn/products/helpfile/tdxw/chm/%25E7%25AC%25AC%25E4%25BA%258C%25E7%25AB%25A0%2520%25E5%258A%259F%25E8%2583%25BD/2-2/0.7.png" TargetMode="External"/><Relationship Id="rId439" Type="http://schemas.openxmlformats.org/officeDocument/2006/relationships/image" Target="media/image233.png"/><Relationship Id="rId438" Type="http://schemas.openxmlformats.org/officeDocument/2006/relationships/image" Target="media/image232.png"/><Relationship Id="rId437" Type="http://schemas.openxmlformats.org/officeDocument/2006/relationships/image" Target="media/image231.png"/><Relationship Id="rId436" Type="http://schemas.openxmlformats.org/officeDocument/2006/relationships/image" Target="media/image230.png"/><Relationship Id="rId435" Type="http://schemas.openxmlformats.org/officeDocument/2006/relationships/image" Target="media/image229.png"/><Relationship Id="rId434" Type="http://schemas.openxmlformats.org/officeDocument/2006/relationships/image" Target="media/image228.png"/><Relationship Id="rId433" Type="http://schemas.openxmlformats.org/officeDocument/2006/relationships/image" Target="media/image227.png"/><Relationship Id="rId432" Type="http://schemas.openxmlformats.org/officeDocument/2006/relationships/image" Target="media/image226.png"/><Relationship Id="rId431" Type="http://schemas.openxmlformats.org/officeDocument/2006/relationships/image" Target="media/image225.png"/><Relationship Id="rId430" Type="http://schemas.openxmlformats.org/officeDocument/2006/relationships/image" Target="media/image224.png"/><Relationship Id="rId43" Type="http://schemas.openxmlformats.org/officeDocument/2006/relationships/image" Target="media/image22.png"/><Relationship Id="rId429" Type="http://schemas.openxmlformats.org/officeDocument/2006/relationships/image" Target="media/image223.png"/><Relationship Id="rId428" Type="http://schemas.openxmlformats.org/officeDocument/2006/relationships/image" Target="media/image222.png"/><Relationship Id="rId427" Type="http://schemas.openxmlformats.org/officeDocument/2006/relationships/image" Target="media/image221.png"/><Relationship Id="rId426" Type="http://schemas.openxmlformats.org/officeDocument/2006/relationships/image" Target="media/image220.png"/><Relationship Id="rId425" Type="http://schemas.openxmlformats.org/officeDocument/2006/relationships/image" Target="https://www.tdx.com.cn/products/helpfile/tdxw/chm/%25E7%25AC%25AC%25E4%25BA%258C%25E7%25AB%25A0%2520%25E5%258A%259F%25E8%2583%25BD/2-26/2-26-6/1.png" TargetMode="External"/><Relationship Id="rId424" Type="http://schemas.openxmlformats.org/officeDocument/2006/relationships/image" Target="media/image219.png"/><Relationship Id="rId423" Type="http://schemas.openxmlformats.org/officeDocument/2006/relationships/image" Target="media/image218.png"/><Relationship Id="rId422" Type="http://schemas.openxmlformats.org/officeDocument/2006/relationships/image" Target="media/image217.png"/><Relationship Id="rId421" Type="http://schemas.openxmlformats.org/officeDocument/2006/relationships/image" Target="media/image216.png"/><Relationship Id="rId420" Type="http://schemas.openxmlformats.org/officeDocument/2006/relationships/image" Target="media/image215.png"/><Relationship Id="rId42" Type="http://schemas.openxmlformats.org/officeDocument/2006/relationships/image" Target="https://www.tdx.com.cn/products/helpfile/tdxw/chm/%25E7%25AC%25AC%25E4%25BA%258C%25E7%25AB%25A0%2520%25E5%258A%259F%25E8%2583%25BD/2-2/1.png" TargetMode="External"/><Relationship Id="rId419" Type="http://schemas.openxmlformats.org/officeDocument/2006/relationships/image" Target="https://www.tdx.com.cn/products/helpfile/tdxw/chm/%25E7%25AC%25AC%25E4%25BA%258C%25E7%25AB%25A0%2520%25E5%258A%259F%25E8%2583%25BD/2-26/2-26-1/5.png" TargetMode="External"/><Relationship Id="rId418" Type="http://schemas.openxmlformats.org/officeDocument/2006/relationships/image" Target="media/image214.png"/><Relationship Id="rId417" Type="http://schemas.openxmlformats.org/officeDocument/2006/relationships/image" Target="https://www.tdx.com.cn/products/helpfile/tdxw/chm/%25E7%25AC%25AC%25E4%25BA%258C%25E7%25AB%25A0%2520%25E5%258A%259F%25E8%2583%25BD/2-26/2-26-1/4.png" TargetMode="External"/><Relationship Id="rId416" Type="http://schemas.openxmlformats.org/officeDocument/2006/relationships/image" Target="media/image213.png"/><Relationship Id="rId415" Type="http://schemas.openxmlformats.org/officeDocument/2006/relationships/image" Target="https://www.tdx.com.cn/products/helpfile/tdxw/chm/%25E7%25AC%25AC%25E4%25BA%258C%25E7%25AB%25A0%2520%25E5%258A%259F%25E8%2583%25BD/2-26/2-26-1/3.png" TargetMode="External"/><Relationship Id="rId414" Type="http://schemas.openxmlformats.org/officeDocument/2006/relationships/image" Target="media/image212.png"/><Relationship Id="rId413" Type="http://schemas.openxmlformats.org/officeDocument/2006/relationships/image" Target="https://www.tdx.com.cn/products/helpfile/tdxw/chm/%25E7%25AC%25AC%25E4%25BA%258C%25E7%25AB%25A0%2520%25E5%258A%259F%25E8%2583%25BD/2-26/2-26-1/2.png" TargetMode="External"/><Relationship Id="rId412" Type="http://schemas.openxmlformats.org/officeDocument/2006/relationships/image" Target="media/image211.png"/><Relationship Id="rId411" Type="http://schemas.openxmlformats.org/officeDocument/2006/relationships/image" Target="https://www.tdx.com.cn/products/helpfile/tdxw/chm/%25E7%25AC%25AC%25E4%25BA%258C%25E7%25AB%25A0%2520%25E5%258A%259F%25E8%2583%25BD/2-26/2-26-1/1.png" TargetMode="External"/><Relationship Id="rId410" Type="http://schemas.openxmlformats.org/officeDocument/2006/relationships/image" Target="media/image210.png"/><Relationship Id="rId41" Type="http://schemas.openxmlformats.org/officeDocument/2006/relationships/image" Target="media/image21.png"/><Relationship Id="rId409" Type="http://schemas.openxmlformats.org/officeDocument/2006/relationships/image" Target="https://www.tdx.com.cn/products/helpfile/tdxw/chm/%25E7%25AC%25AC%25E4%25BA%258C%25E7%25AB%25A0%2520%25E5%258A%259F%25E8%2583%25BD/2-26/2-26-1/1.5.png" TargetMode="External"/><Relationship Id="rId408" Type="http://schemas.openxmlformats.org/officeDocument/2006/relationships/image" Target="media/image209.png"/><Relationship Id="rId407" Type="http://schemas.openxmlformats.org/officeDocument/2006/relationships/image" Target="https://www.tdx.com.cn/products/helpfile/tdxw/chm/%25E7%25AC%25AC%25E4%25BA%258C%25E7%25AB%25A0%2520%25E5%258A%259F%25E8%2583%25BD/2-26/2-26-1/1.4.png" TargetMode="External"/><Relationship Id="rId406" Type="http://schemas.openxmlformats.org/officeDocument/2006/relationships/image" Target="media/image208.png"/><Relationship Id="rId405" Type="http://schemas.openxmlformats.org/officeDocument/2006/relationships/image" Target="https://www.tdx.com.cn/products/helpfile/tdxw/chm/%25E7%25AC%25AC%25E4%25BA%258C%25E7%25AB%25A0%2520%25E5%258A%259F%25E8%2583%25BD/2-25/2-25-6/2.png" TargetMode="External"/><Relationship Id="rId404" Type="http://schemas.openxmlformats.org/officeDocument/2006/relationships/image" Target="media/image207.png"/><Relationship Id="rId403" Type="http://schemas.openxmlformats.org/officeDocument/2006/relationships/image" Target="https://www.tdx.com.cn/products/helpfile/tdxw/chm/%25E7%25AC%25AC%25E4%25BA%258C%25E7%25AB%25A0%2520%25E5%258A%259F%25E8%2583%25BD/2-25/2-25-6/1.png" TargetMode="External"/><Relationship Id="rId402" Type="http://schemas.openxmlformats.org/officeDocument/2006/relationships/image" Target="media/image206.png"/><Relationship Id="rId401" Type="http://schemas.openxmlformats.org/officeDocument/2006/relationships/image" Target="https://www.tdx.com.cn/products/helpfile/tdxw/chm/%25E7%25AC%25AC%25E4%25BA%258C%25E7%25AB%25A0%2520%25E5%258A%259F%25E8%2583%25BD/2-25/2-25-5/6.png" TargetMode="External"/><Relationship Id="rId400" Type="http://schemas.openxmlformats.org/officeDocument/2006/relationships/image" Target="media/image205.png"/><Relationship Id="rId40" Type="http://schemas.openxmlformats.org/officeDocument/2006/relationships/image" Target="https://www.tdx.com.cn/products/helpfile/tdxw/chm/%25E7%25AC%25AC%25E4%25BA%258C%25E7%25AB%25A0%2520%25E5%258A%259F%25E8%2583%25BD/2-2/0.5.png" TargetMode="External"/><Relationship Id="rId4" Type="http://schemas.openxmlformats.org/officeDocument/2006/relationships/endnotes" Target="endnotes.xml"/><Relationship Id="rId399" Type="http://schemas.openxmlformats.org/officeDocument/2006/relationships/image" Target="https://www.tdx.com.cn/products/helpfile/tdxw/chm/%25E7%25AC%25AC%25E4%25BA%258C%25E7%25AB%25A0%2520%25E5%258A%259F%25E8%2583%25BD/2-25/2-25-5/5.png" TargetMode="External"/><Relationship Id="rId398" Type="http://schemas.openxmlformats.org/officeDocument/2006/relationships/image" Target="media/image204.png"/><Relationship Id="rId397" Type="http://schemas.openxmlformats.org/officeDocument/2006/relationships/image" Target="https://www.tdx.com.cn/products/helpfile/tdxw/chm/%25E7%25AC%25AC%25E4%25BA%258C%25E7%25AB%25A0%2520%25E5%258A%259F%25E8%2583%25BD/2-25/2-25-5/4.png" TargetMode="External"/><Relationship Id="rId396" Type="http://schemas.openxmlformats.org/officeDocument/2006/relationships/image" Target="media/image203.png"/><Relationship Id="rId395" Type="http://schemas.openxmlformats.org/officeDocument/2006/relationships/image" Target="https://www.tdx.com.cn/products/helpfile/tdxw/chm/%25E7%25AC%25AC%25E4%25BA%258C%25E7%25AB%25A0%2520%25E5%258A%259F%25E8%2583%25BD/2-25/2-25-5/3.png" TargetMode="External"/><Relationship Id="rId394" Type="http://schemas.openxmlformats.org/officeDocument/2006/relationships/image" Target="media/image202.png"/><Relationship Id="rId393" Type="http://schemas.openxmlformats.org/officeDocument/2006/relationships/image" Target="https://www.tdx.com.cn/products/helpfile/tdxw/chm/%25E7%25AC%25AC%25E4%25BA%258C%25E7%25AB%25A0%2520%25E5%258A%259F%25E8%2583%25BD/2-25/2-25-5/2.png" TargetMode="External"/><Relationship Id="rId392" Type="http://schemas.openxmlformats.org/officeDocument/2006/relationships/image" Target="media/image201.png"/><Relationship Id="rId391" Type="http://schemas.openxmlformats.org/officeDocument/2006/relationships/image" Target="https://www.tdx.com.cn/products/helpfile/tdxw/chm/%25E7%25AC%25AC%25E4%25BA%258C%25E7%25AB%25A0%2520%25E5%258A%259F%25E8%2583%25BD/2-25/2-25-5/1.png" TargetMode="External"/><Relationship Id="rId390" Type="http://schemas.openxmlformats.org/officeDocument/2006/relationships/image" Target="media/image200.png"/><Relationship Id="rId39" Type="http://schemas.openxmlformats.org/officeDocument/2006/relationships/image" Target="media/image20.png"/><Relationship Id="rId389" Type="http://schemas.openxmlformats.org/officeDocument/2006/relationships/image" Target="https://www.tdx.com.cn/products/helpfile/tdxw/chm/%25E7%25AC%25AC%25E4%25BA%258C%25E7%25AB%25A0%2520%25E5%258A%259F%25E8%2583%25BD/2-25/2-25-3/1.png" TargetMode="External"/><Relationship Id="rId388" Type="http://schemas.openxmlformats.org/officeDocument/2006/relationships/image" Target="media/image199.png"/><Relationship Id="rId387" Type="http://schemas.openxmlformats.org/officeDocument/2006/relationships/image" Target="https://www.tdx.com.cn/products/helpfile/tdxw/chm/%25E7%25AC%25AC%25E4%25BA%258C%25E7%25AB%25A0%2520%25E5%258A%259F%25E8%2583%25BD/2-25/2-25-2/1.png" TargetMode="External"/><Relationship Id="rId386" Type="http://schemas.openxmlformats.org/officeDocument/2006/relationships/image" Target="media/image198.png"/><Relationship Id="rId385" Type="http://schemas.openxmlformats.org/officeDocument/2006/relationships/image" Target="media/image197.png"/><Relationship Id="rId384" Type="http://schemas.openxmlformats.org/officeDocument/2006/relationships/image" Target="https://www.tdx.com.cn/products/helpfile/tdxw/chm/%25E7%25AC%25AC%25E4%25BA%258C%25E7%25AB%25A0%2520%25E5%258A%259F%25E8%2583%25BD/2-25/2-25-1/2.png" TargetMode="External"/><Relationship Id="rId383" Type="http://schemas.openxmlformats.org/officeDocument/2006/relationships/image" Target="media/image196.png"/><Relationship Id="rId382" Type="http://schemas.openxmlformats.org/officeDocument/2006/relationships/image" Target="https://www.tdx.com.cn/products/helpfile/tdxw/chm/%25E7%25AC%25AC%25E4%25BA%258C%25E7%25AB%25A0%2520%25E5%258A%259F%25E8%2583%25BD/2-25/2-25-1/1.png" TargetMode="External"/><Relationship Id="rId381" Type="http://schemas.openxmlformats.org/officeDocument/2006/relationships/image" Target="media/image195.png"/><Relationship Id="rId380" Type="http://schemas.openxmlformats.org/officeDocument/2006/relationships/image" Target="https://www.tdx.com.cn/products/helpfile/tdxw/chm/%25E7%25AC%25AC%25E4%25BA%258C%25E7%25AB%25A0%2520%25E5%258A%259F%25E8%2583%25BD/2-24/1.png" TargetMode="External"/><Relationship Id="rId38" Type="http://schemas.openxmlformats.org/officeDocument/2006/relationships/image" Target="https://www.tdx.com.cn/products/helpfile/tdxw/chm/%25E7%25AC%25AC%25E4%25BA%258C%25E7%25AB%25A0%2520%25E5%258A%259F%25E8%2583%25BD/2-1/11.png" TargetMode="External"/><Relationship Id="rId379" Type="http://schemas.openxmlformats.org/officeDocument/2006/relationships/image" Target="media/image194.png"/><Relationship Id="rId378" Type="http://schemas.openxmlformats.org/officeDocument/2006/relationships/image" Target="https://www.tdx.com.cn/products/helpfile/tdxw/chm/%25E7%25AC%25AC%25E4%25BA%258C%25E7%25AB%25A0%2520%25E5%258A%259F%25E8%2583%25BD/2-22/5.png" TargetMode="External"/><Relationship Id="rId377" Type="http://schemas.openxmlformats.org/officeDocument/2006/relationships/image" Target="media/image193.png"/><Relationship Id="rId376" Type="http://schemas.openxmlformats.org/officeDocument/2006/relationships/image" Target="https://www.tdx.com.cn/products/helpfile/tdxw/chm/%25E7%25AC%25AC%25E4%25BA%258C%25E7%25AB%25A0%2520%25E5%258A%259F%25E8%2583%25BD/2-22/4.png" TargetMode="External"/><Relationship Id="rId375" Type="http://schemas.openxmlformats.org/officeDocument/2006/relationships/image" Target="media/image192.png"/><Relationship Id="rId374" Type="http://schemas.openxmlformats.org/officeDocument/2006/relationships/image" Target="https://www.tdx.com.cn/products/helpfile/tdxw/chm/%25E7%25AC%25AC%25E4%25BA%258C%25E7%25AB%25A0%2520%25E5%258A%259F%25E8%2583%25BD/2-22/3.png" TargetMode="External"/><Relationship Id="rId373" Type="http://schemas.openxmlformats.org/officeDocument/2006/relationships/image" Target="media/image191.png"/><Relationship Id="rId372" Type="http://schemas.openxmlformats.org/officeDocument/2006/relationships/image" Target="https://www.tdx.com.cn/products/helpfile/tdxw/chm/%25E7%25AC%25AC%25E4%25BA%258C%25E7%25AB%25A0%2520%25E5%258A%259F%25E8%2583%25BD/2-22/2.png" TargetMode="External"/><Relationship Id="rId371" Type="http://schemas.openxmlformats.org/officeDocument/2006/relationships/image" Target="media/image190.png"/><Relationship Id="rId370" Type="http://schemas.openxmlformats.org/officeDocument/2006/relationships/image" Target="https://www.tdx.com.cn/products/helpfile/tdxw/chm/%25E7%25AC%25AC%25E4%25BA%258C%25E7%25AB%25A0%2520%25E5%258A%259F%25E8%2583%25BD/2-22/1.png" TargetMode="External"/><Relationship Id="rId37" Type="http://schemas.openxmlformats.org/officeDocument/2006/relationships/image" Target="media/image19.png"/><Relationship Id="rId369" Type="http://schemas.openxmlformats.org/officeDocument/2006/relationships/image" Target="media/image189.png"/><Relationship Id="rId368" Type="http://schemas.openxmlformats.org/officeDocument/2006/relationships/image" Target="https://www.tdx.com.cn/products/helpfile/tdxw/chm/%25E7%25AC%25AC%25E4%25BA%258C%25E7%25AB%25A0%2520%25E5%258A%259F%25E8%2583%25BD/2-21/8.png" TargetMode="External"/><Relationship Id="rId367" Type="http://schemas.openxmlformats.org/officeDocument/2006/relationships/image" Target="media/image188.png"/><Relationship Id="rId366" Type="http://schemas.openxmlformats.org/officeDocument/2006/relationships/image" Target="https://www.tdx.com.cn/products/helpfile/tdxw/chm/%25E7%25AC%25AC%25E4%25BA%258C%25E7%25AB%25A0%2520%25E5%258A%259F%25E8%2583%25BD/2-21/7.png" TargetMode="External"/><Relationship Id="rId365" Type="http://schemas.openxmlformats.org/officeDocument/2006/relationships/image" Target="media/image187.png"/><Relationship Id="rId364" Type="http://schemas.openxmlformats.org/officeDocument/2006/relationships/image" Target="https://www.tdx.com.cn/products/helpfile/tdxw/chm/%25E7%25AC%25AC%25E4%25BA%258C%25E7%25AB%25A0%2520%25E5%258A%259F%25E8%2583%25BD/2-21/6.png" TargetMode="External"/><Relationship Id="rId363" Type="http://schemas.openxmlformats.org/officeDocument/2006/relationships/image" Target="media/image186.png"/><Relationship Id="rId362" Type="http://schemas.openxmlformats.org/officeDocument/2006/relationships/image" Target="https://www.tdx.com.cn/products/helpfile/tdxw/chm/%25E7%25AC%25AC%25E4%25BA%258C%25E7%25AB%25A0%2520%25E5%258A%259F%25E8%2583%25BD/2-21/5.png" TargetMode="External"/><Relationship Id="rId361" Type="http://schemas.openxmlformats.org/officeDocument/2006/relationships/image" Target="media/image185.png"/><Relationship Id="rId360" Type="http://schemas.openxmlformats.org/officeDocument/2006/relationships/image" Target="https://www.tdx.com.cn/products/helpfile/tdxw/chm/%25E7%25AC%25AC%25E4%25BA%258C%25E7%25AB%25A0%2520%25E5%258A%259F%25E8%2583%25BD/2-21/3.png" TargetMode="External"/><Relationship Id="rId36" Type="http://schemas.openxmlformats.org/officeDocument/2006/relationships/image" Target="https://www.tdx.com.cn/products/helpfile/tdxw/chm/%25E7%25AC%25AC%25E4%25BA%258C%25E7%25AB%25A0%2520%25E5%258A%259F%25E8%2583%25BD/2-1/10.png" TargetMode="External"/><Relationship Id="rId359" Type="http://schemas.openxmlformats.org/officeDocument/2006/relationships/image" Target="media/image184.png"/><Relationship Id="rId358" Type="http://schemas.openxmlformats.org/officeDocument/2006/relationships/image" Target="https://www.tdx.com.cn/products/helpfile/tdxw/chm/%25E7%25AC%25AC%25E4%25BA%258C%25E7%25AB%25A0%2520%25E5%258A%259F%25E8%2583%25BD/2-21/2.96.png" TargetMode="External"/><Relationship Id="rId357" Type="http://schemas.openxmlformats.org/officeDocument/2006/relationships/image" Target="media/image183.png"/><Relationship Id="rId356" Type="http://schemas.openxmlformats.org/officeDocument/2006/relationships/image" Target="https://www.tdx.com.cn/products/helpfile/tdxw/chm/%25E7%25AC%25AC%25E4%25BA%258C%25E7%25AB%25A0%2520%25E5%258A%259F%25E8%2583%25BD/2-21/2.94.png" TargetMode="External"/><Relationship Id="rId355" Type="http://schemas.openxmlformats.org/officeDocument/2006/relationships/image" Target="media/image182.png"/><Relationship Id="rId354" Type="http://schemas.openxmlformats.org/officeDocument/2006/relationships/image" Target="https://www.tdx.com.cn/products/helpfile/tdxw/chm/%25E7%25AC%25AC%25E4%25BA%258C%25E7%25AB%25A0%2520%25E5%258A%259F%25E8%2583%25BD/2-21/2.93.png" TargetMode="External"/><Relationship Id="rId353" Type="http://schemas.openxmlformats.org/officeDocument/2006/relationships/image" Target="media/image181.png"/><Relationship Id="rId352" Type="http://schemas.openxmlformats.org/officeDocument/2006/relationships/image" Target="https://www.tdx.com.cn/products/helpfile/tdxw/chm/%25E7%25AC%25AC%25E4%25BA%258C%25E7%25AB%25A0%2520%25E5%258A%259F%25E8%2583%25BD/2-21/2.92.png" TargetMode="External"/><Relationship Id="rId351" Type="http://schemas.openxmlformats.org/officeDocument/2006/relationships/image" Target="media/image180.png"/><Relationship Id="rId350" Type="http://schemas.openxmlformats.org/officeDocument/2006/relationships/image" Target="https://www.tdx.com.cn/products/helpfile/tdxw/chm/%25E7%25AC%25AC%25E4%25BA%258C%25E7%25AB%25A0%2520%25E5%258A%259F%25E8%2583%25BD/2-21/2.91.png" TargetMode="External"/><Relationship Id="rId35" Type="http://schemas.openxmlformats.org/officeDocument/2006/relationships/image" Target="media/image18.png"/><Relationship Id="rId349" Type="http://schemas.openxmlformats.org/officeDocument/2006/relationships/image" Target="media/image179.png"/><Relationship Id="rId348" Type="http://schemas.openxmlformats.org/officeDocument/2006/relationships/image" Target="https://www.tdx.com.cn/products/helpfile/tdxw/chm/%25E7%25AC%25AC%25E4%25BA%258C%25E7%25AB%25A0%2520%25E5%258A%259F%25E8%2583%25BD/2-21/2.9.png" TargetMode="External"/><Relationship Id="rId347" Type="http://schemas.openxmlformats.org/officeDocument/2006/relationships/image" Target="media/image178.png"/><Relationship Id="rId346" Type="http://schemas.openxmlformats.org/officeDocument/2006/relationships/image" Target="https://www.tdx.com.cn/products/helpfile/tdxw/chm/%25E7%25AC%25AC%25E4%25BA%258C%25E7%25AB%25A0%2520%25E5%258A%259F%25E8%2583%25BD/2-21/2.8.png" TargetMode="External"/><Relationship Id="rId345" Type="http://schemas.openxmlformats.org/officeDocument/2006/relationships/image" Target="media/image177.png"/><Relationship Id="rId344" Type="http://schemas.openxmlformats.org/officeDocument/2006/relationships/image" Target="https://www.tdx.com.cn/products/helpfile/tdxw/chm/%25E7%25AC%25AC%25E4%25BA%258C%25E7%25AB%25A0%2520%25E5%258A%259F%25E8%2583%25BD/2-21/2.7.png" TargetMode="External"/><Relationship Id="rId343" Type="http://schemas.openxmlformats.org/officeDocument/2006/relationships/image" Target="media/image176.png"/><Relationship Id="rId342" Type="http://schemas.openxmlformats.org/officeDocument/2006/relationships/image" Target="https://www.tdx.com.cn/products/helpfile/tdxw/chm/%25E7%25AC%25AC%25E4%25BA%258C%25E7%25AB%25A0%2520%25E5%258A%259F%25E8%2583%25BD/2-21/2.6.png" TargetMode="External"/><Relationship Id="rId341" Type="http://schemas.openxmlformats.org/officeDocument/2006/relationships/image" Target="media/image175.png"/><Relationship Id="rId340" Type="http://schemas.openxmlformats.org/officeDocument/2006/relationships/image" Target="https://www.tdx.com.cn/products/helpfile/tdxw/chm/%25E7%25AC%25AC%25E4%25BA%258C%25E7%25AB%25A0%2520%25E5%258A%259F%25E8%2583%25BD/2-21/2.5.png" TargetMode="External"/><Relationship Id="rId34" Type="http://schemas.openxmlformats.org/officeDocument/2006/relationships/image" Target="https://www.tdx.com.cn/products/helpfile/tdxw/chm/%25E7%25AC%25AC%25E4%25BA%258C%25E7%25AB%25A0%2520%25E5%258A%259F%25E8%2583%25BD/2-1/9.png" TargetMode="External"/><Relationship Id="rId339" Type="http://schemas.openxmlformats.org/officeDocument/2006/relationships/image" Target="media/image174.png"/><Relationship Id="rId338" Type="http://schemas.openxmlformats.org/officeDocument/2006/relationships/image" Target="https://www.tdx.com.cn/products/helpfile/tdxw/chm/%25E7%25AC%25AC%25E4%25BA%258C%25E7%25AB%25A0%2520%25E5%258A%259F%25E8%2583%25BD/2-21/2.png" TargetMode="External"/><Relationship Id="rId337" Type="http://schemas.openxmlformats.org/officeDocument/2006/relationships/image" Target="media/image173.png"/><Relationship Id="rId336" Type="http://schemas.openxmlformats.org/officeDocument/2006/relationships/image" Target="https://www.tdx.com.cn/products/helpfile/tdxw/chm/%25E7%25AC%25AC%25E4%25BA%258C%25E7%25AB%25A0%2520%25E5%258A%259F%25E8%2583%25BD/2-21/0.5.png" TargetMode="External"/><Relationship Id="rId335" Type="http://schemas.openxmlformats.org/officeDocument/2006/relationships/image" Target="media/image172.png"/><Relationship Id="rId334" Type="http://schemas.openxmlformats.org/officeDocument/2006/relationships/image" Target="https://www.tdx.com.cn/products/helpfile/tdxw/chm/%25E7%25AC%25AC%25E4%25BA%258C%25E7%25AB%25A0%2520%25E5%258A%259F%25E8%2583%25BD/2-21/1.png" TargetMode="External"/><Relationship Id="rId333" Type="http://schemas.openxmlformats.org/officeDocument/2006/relationships/image" Target="media/image171.png"/><Relationship Id="rId332" Type="http://schemas.openxmlformats.org/officeDocument/2006/relationships/image" Target="https://www.tdx.com.cn/products/helpfile/tdxw/chm/%25E7%25AC%25AC%25E4%25BA%258C%25E7%25AB%25A0%2520%25E5%258A%259F%25E8%2583%25BD/2-19/4.png" TargetMode="External"/><Relationship Id="rId331" Type="http://schemas.openxmlformats.org/officeDocument/2006/relationships/image" Target="media/image170.png"/><Relationship Id="rId330" Type="http://schemas.openxmlformats.org/officeDocument/2006/relationships/image" Target="https://www.tdx.com.cn/products/helpfile/tdxw/chm/%25E7%25AC%25AC%25E4%25BA%258C%25E7%25AB%25A0%2520%25E5%258A%259F%25E8%2583%25BD/2-19/3.png" TargetMode="External"/><Relationship Id="rId33" Type="http://schemas.openxmlformats.org/officeDocument/2006/relationships/image" Target="media/image17.png"/><Relationship Id="rId329" Type="http://schemas.openxmlformats.org/officeDocument/2006/relationships/image" Target="media/image169.png"/><Relationship Id="rId328" Type="http://schemas.openxmlformats.org/officeDocument/2006/relationships/image" Target="https://www.tdx.com.cn/products/helpfile/tdxw/chm/%25E7%25AC%25AC%25E4%25BA%258C%25E7%25AB%25A0%2520%25E5%258A%259F%25E8%2583%25BD/2-19/1.5.png" TargetMode="External"/><Relationship Id="rId327" Type="http://schemas.openxmlformats.org/officeDocument/2006/relationships/image" Target="media/image168.png"/><Relationship Id="rId326" Type="http://schemas.openxmlformats.org/officeDocument/2006/relationships/image" Target="https://www.tdx.com.cn/products/helpfile/tdxw/chm/%25E7%25AC%25AC%25E4%25BA%258C%25E7%25AB%25A0%2520%25E5%258A%259F%25E8%2583%25BD/2-19/2.png" TargetMode="External"/><Relationship Id="rId325" Type="http://schemas.openxmlformats.org/officeDocument/2006/relationships/image" Target="media/image167.png"/><Relationship Id="rId324" Type="http://schemas.openxmlformats.org/officeDocument/2006/relationships/image" Target="https://www.tdx.com.cn/products/helpfile/tdxw/chm/%25E7%25AC%25AC%25E4%25BA%258C%25E7%25AB%25A0%2520%25E5%258A%259F%25E8%2583%25BD/2-18/1.png" TargetMode="External"/><Relationship Id="rId323" Type="http://schemas.openxmlformats.org/officeDocument/2006/relationships/image" Target="media/image166.png"/><Relationship Id="rId322" Type="http://schemas.openxmlformats.org/officeDocument/2006/relationships/image" Target="https://www.tdx.com.cn/products/helpfile/tdxw/chm/%25E7%25AC%25AC%25E4%25BA%258C%25E7%25AB%25A0%2520%25E5%258A%259F%25E8%2583%25BD/2-17/1.png" TargetMode="External"/><Relationship Id="rId321" Type="http://schemas.openxmlformats.org/officeDocument/2006/relationships/image" Target="media/image165.png"/><Relationship Id="rId320" Type="http://schemas.openxmlformats.org/officeDocument/2006/relationships/image" Target="https://www.tdx.com.cn/products/helpfile/tdxw/chm/%25E7%25AC%25AC%25E4%25BA%258C%25E7%25AB%25A0%2520%25E5%258A%259F%25E8%2583%25BD/2-17/0.5.png" TargetMode="External"/><Relationship Id="rId32" Type="http://schemas.openxmlformats.org/officeDocument/2006/relationships/image" Target="https://www.tdx.com.cn/products/helpfile/tdxw/chm/%25E7%25AC%25AC%25E4%25BA%258C%25E7%25AB%25A0%2520%25E5%258A%259F%25E8%2583%25BD/2-1/8.png" TargetMode="External"/><Relationship Id="rId319" Type="http://schemas.openxmlformats.org/officeDocument/2006/relationships/image" Target="media/image164.png"/><Relationship Id="rId318" Type="http://schemas.openxmlformats.org/officeDocument/2006/relationships/image" Target="https://www.tdx.com.cn/products/helpfile/tdxw/chm/%25E7%25AC%25AC%25E4%25BA%258C%25E7%25AB%25A0%2520%25E5%258A%259F%25E8%2583%25BD/2-16/1.png" TargetMode="External"/><Relationship Id="rId317" Type="http://schemas.openxmlformats.org/officeDocument/2006/relationships/image" Target="media/image163.png"/><Relationship Id="rId316" Type="http://schemas.openxmlformats.org/officeDocument/2006/relationships/image" Target="https://www.tdx.com.cn/products/helpfile/tdxw/chm/%25E7%25AC%25AC%25E4%25BA%258C%25E7%25AB%25A0%2520%25E5%258A%259F%25E8%2583%25BD/2-15/1.png" TargetMode="External"/><Relationship Id="rId315" Type="http://schemas.openxmlformats.org/officeDocument/2006/relationships/image" Target="media/image162.png"/><Relationship Id="rId314" Type="http://schemas.openxmlformats.org/officeDocument/2006/relationships/image" Target="https://www.tdx.com.cn/products/helpfile/tdxw/chm/%25E7%25AC%25AC%25E4%25BA%258C%25E7%25AB%25A0%2520%25E5%258A%259F%25E8%2583%25BD/2-14/3-2-4-14_clip_image014.jpg" TargetMode="External"/><Relationship Id="rId313" Type="http://schemas.openxmlformats.org/officeDocument/2006/relationships/image" Target="media/image161.jpeg"/><Relationship Id="rId312" Type="http://schemas.openxmlformats.org/officeDocument/2006/relationships/image" Target="https://www.tdx.com.cn/products/helpfile/tdxw/chm/%25E7%25AC%25AC%25E4%25BA%258C%25E7%25AB%25A0%2520%25E5%258A%259F%25E8%2583%25BD/2-14/3-2-4-14_clip_image012.jpg" TargetMode="External"/><Relationship Id="rId311" Type="http://schemas.openxmlformats.org/officeDocument/2006/relationships/image" Target="media/image160.jpeg"/><Relationship Id="rId310" Type="http://schemas.openxmlformats.org/officeDocument/2006/relationships/image" Target="https://www.tdx.com.cn/products/helpfile/tdxw/chm/%25E7%25AC%25AC%25E4%25BA%258C%25E7%25AB%25A0%2520%25E5%258A%259F%25E8%2583%25BD/2-14/3-2-4-14_clip_image010.jpg" TargetMode="External"/><Relationship Id="rId31" Type="http://schemas.openxmlformats.org/officeDocument/2006/relationships/image" Target="media/image16.png"/><Relationship Id="rId309" Type="http://schemas.openxmlformats.org/officeDocument/2006/relationships/image" Target="media/image159.jpeg"/><Relationship Id="rId308" Type="http://schemas.openxmlformats.org/officeDocument/2006/relationships/image" Target="https://www.tdx.com.cn/products/helpfile/tdxw/chm/%25E7%25AC%25AC%25E4%25BA%258C%25E7%25AB%25A0%2520%25E5%258A%259F%25E8%2583%25BD/2-14/3-2-4-14_clip_image008.jpg" TargetMode="External"/><Relationship Id="rId307" Type="http://schemas.openxmlformats.org/officeDocument/2006/relationships/image" Target="media/image158.jpeg"/><Relationship Id="rId306" Type="http://schemas.openxmlformats.org/officeDocument/2006/relationships/image" Target="https://www.tdx.com.cn/products/helpfile/tdxw/chm/%25E7%25AC%25AC%25E4%25BA%258C%25E7%25AB%25A0%2520%25E5%258A%259F%25E8%2583%25BD/2-14/3-2-4-14_clip_image006.jpg" TargetMode="External"/><Relationship Id="rId305" Type="http://schemas.openxmlformats.org/officeDocument/2006/relationships/image" Target="media/image157.jpeg"/><Relationship Id="rId304" Type="http://schemas.openxmlformats.org/officeDocument/2006/relationships/image" Target="https://www.tdx.com.cn/products/helpfile/tdxw/chm/%25E7%25AC%25AC%25E4%25BA%258C%25E7%25AB%25A0%2520%25E5%258A%259F%25E8%2583%25BD/2-14/3-2-4-14_clip_image004.jpg" TargetMode="External"/><Relationship Id="rId303" Type="http://schemas.openxmlformats.org/officeDocument/2006/relationships/image" Target="media/image156.jpeg"/><Relationship Id="rId302" Type="http://schemas.openxmlformats.org/officeDocument/2006/relationships/image" Target="https://www.tdx.com.cn/products/helpfile/tdxw/chm/%25E7%25AC%25AC%25E4%25BA%258C%25E7%25AB%25A0%2520%25E5%258A%259F%25E8%2583%25BD/2-14/3-2-4-14_clip_image002.jpg" TargetMode="External"/><Relationship Id="rId301" Type="http://schemas.openxmlformats.org/officeDocument/2006/relationships/image" Target="media/image155.jpeg"/><Relationship Id="rId300" Type="http://schemas.openxmlformats.org/officeDocument/2006/relationships/image" Target="https://www.tdx.com.cn/products/helpfile/tdxw/chm/%25E7%25AC%25AC%25E4%25BA%258C%25E7%25AB%25A0%2520%25E5%258A%259F%25E8%2583%25BD/2-13/2.png" TargetMode="External"/><Relationship Id="rId30" Type="http://schemas.openxmlformats.org/officeDocument/2006/relationships/image" Target="media/image15.png"/><Relationship Id="rId3" Type="http://schemas.openxmlformats.org/officeDocument/2006/relationships/footnotes" Target="footnotes.xml"/><Relationship Id="rId299" Type="http://schemas.openxmlformats.org/officeDocument/2006/relationships/image" Target="media/image154.png"/><Relationship Id="rId298" Type="http://schemas.openxmlformats.org/officeDocument/2006/relationships/image" Target="https://www.tdx.com.cn/products/helpfile/tdxw/chm/%25E7%25AC%25AC%25E4%25BA%258C%25E7%25AB%25A0%2520%25E5%258A%259F%25E8%2583%25BD/2-13/1.png" TargetMode="External"/><Relationship Id="rId297" Type="http://schemas.openxmlformats.org/officeDocument/2006/relationships/image" Target="media/image153.png"/><Relationship Id="rId296" Type="http://schemas.openxmlformats.org/officeDocument/2006/relationships/image" Target="https://www.tdx.com.cn/products/helpfile/tdxw/chm/%25E7%25AC%25AC%25E4%25BA%258C%25E7%25AB%25A0%2520%25E5%258A%259F%25E8%2583%25BD/2-12/7.png" TargetMode="External"/><Relationship Id="rId295" Type="http://schemas.openxmlformats.org/officeDocument/2006/relationships/image" Target="media/image152.png"/><Relationship Id="rId294" Type="http://schemas.openxmlformats.org/officeDocument/2006/relationships/image" Target="https://www.tdx.com.cn/products/helpfile/tdxw/chm/%25E7%25AC%25AC%25E4%25BA%258C%25E7%25AB%25A0%2520%25E5%258A%259F%25E8%2583%25BD/2-12/6.png" TargetMode="External"/><Relationship Id="rId293" Type="http://schemas.openxmlformats.org/officeDocument/2006/relationships/image" Target="media/image151.png"/><Relationship Id="rId292" Type="http://schemas.openxmlformats.org/officeDocument/2006/relationships/image" Target="https://www.tdx.com.cn/products/helpfile/tdxw/chm/%25E7%25AC%25AC%25E4%25BA%258C%25E7%25AB%25A0%2520%25E5%258A%259F%25E8%2583%25BD/2-12/5.jpg" TargetMode="External"/><Relationship Id="rId291" Type="http://schemas.openxmlformats.org/officeDocument/2006/relationships/image" Target="media/image150.jpeg"/><Relationship Id="rId290" Type="http://schemas.openxmlformats.org/officeDocument/2006/relationships/image" Target="https://www.tdx.com.cn/products/helpfile/tdxw/chm/%25E7%25AC%25AC%25E4%25BA%258C%25E7%25AB%25A0%2520%25E5%258A%259F%25E8%2583%25BD/2-12/3-2-2-18_clip_image002_0000.jpg" TargetMode="External"/><Relationship Id="rId29" Type="http://schemas.openxmlformats.org/officeDocument/2006/relationships/image" Target="https://www.tdx.com.cn/products/helpfile/tdxw/chm/%25E7%25AC%25AC%25E4%25BA%258C%25E7%25AB%25A0%2520%25E5%258A%259F%25E8%2583%25BD/2-1/7.png" TargetMode="External"/><Relationship Id="rId289" Type="http://schemas.openxmlformats.org/officeDocument/2006/relationships/image" Target="media/image149.jpeg"/><Relationship Id="rId288" Type="http://schemas.openxmlformats.org/officeDocument/2006/relationships/image" Target="https://www.tdx.com.cn/products/helpfile/tdxw/chm/%25E7%25AC%25AC%25E4%25BA%258C%25E7%25AB%25A0%2520%25E5%258A%259F%25E8%2583%25BD/2-12/4.jpg" TargetMode="External"/><Relationship Id="rId287" Type="http://schemas.openxmlformats.org/officeDocument/2006/relationships/image" Target="media/image148.jpeg"/><Relationship Id="rId286" Type="http://schemas.openxmlformats.org/officeDocument/2006/relationships/image" Target="https://www.tdx.com.cn/products/helpfile/tdxw/chm/%25E7%25AC%25AC%25E4%25BA%258C%25E7%25AB%25A0%2520%25E5%258A%259F%25E8%2583%25BD/2-12/3-2-2-18_clip_image002.jpg" TargetMode="External"/><Relationship Id="rId285" Type="http://schemas.openxmlformats.org/officeDocument/2006/relationships/image" Target="media/image147.jpeg"/><Relationship Id="rId284" Type="http://schemas.openxmlformats.org/officeDocument/2006/relationships/image" Target="https://www.tdx.com.cn/products/helpfile/tdxw/chm/%25E7%25AC%25AC%25E4%25BA%258C%25E7%25AB%25A0%2520%25E5%258A%259F%25E8%2583%25BD/2-12/3.png" TargetMode="External"/><Relationship Id="rId283" Type="http://schemas.openxmlformats.org/officeDocument/2006/relationships/image" Target="media/image146.png"/><Relationship Id="rId282" Type="http://schemas.openxmlformats.org/officeDocument/2006/relationships/image" Target="https://www.tdx.com.cn/products/helpfile/tdxw/chm/%25E7%25AC%25AC%25E4%25BA%258C%25E7%25AB%25A0%2520%25E5%258A%259F%25E8%2583%25BD/2-12/2.jpg" TargetMode="External"/><Relationship Id="rId281" Type="http://schemas.openxmlformats.org/officeDocument/2006/relationships/image" Target="media/image145.jpeg"/><Relationship Id="rId280" Type="http://schemas.openxmlformats.org/officeDocument/2006/relationships/image" Target="https://www.tdx.com.cn/products/helpfile/tdxw/chm/%25E7%25AC%25AC%25E4%25BA%258C%25E7%25AB%25A0%2520%25E5%258A%259F%25E8%2583%25BD/2-12/1.jpg" TargetMode="External"/><Relationship Id="rId28" Type="http://schemas.openxmlformats.org/officeDocument/2006/relationships/image" Target="media/image14.png"/><Relationship Id="rId279" Type="http://schemas.openxmlformats.org/officeDocument/2006/relationships/image" Target="media/image144.jpeg"/><Relationship Id="rId278" Type="http://schemas.openxmlformats.org/officeDocument/2006/relationships/image" Target="https://www.tdx.com.cn/products/helpfile/tdxw/chm/%25E7%25AC%25AC%25E4%25BA%258C%25E7%25AB%25A0%2520%25E5%258A%259F%25E8%2583%25BD/2-25/2-25-4/13.png" TargetMode="External"/><Relationship Id="rId277" Type="http://schemas.openxmlformats.org/officeDocument/2006/relationships/image" Target="media/image143.png"/><Relationship Id="rId276" Type="http://schemas.openxmlformats.org/officeDocument/2006/relationships/image" Target="https://www.tdx.com.cn/products/helpfile/tdxw/chm/%25E7%25AC%25AC%25E4%25BA%258C%25E7%25AB%25A0%2520%25E5%258A%259F%25E8%2583%25BD/2-25/2-25-4/12.png" TargetMode="External"/><Relationship Id="rId275" Type="http://schemas.openxmlformats.org/officeDocument/2006/relationships/image" Target="media/image142.png"/><Relationship Id="rId274" Type="http://schemas.openxmlformats.org/officeDocument/2006/relationships/image" Target="https://www.tdx.com.cn/products/helpfile/tdxw/chm/%25E7%25AC%25AC%25E4%25BA%258C%25E7%25AB%25A0%2520%25E5%258A%259F%25E8%2583%25BD/2-25/2-25-4/10.png" TargetMode="External"/><Relationship Id="rId273" Type="http://schemas.openxmlformats.org/officeDocument/2006/relationships/image" Target="media/image141.png"/><Relationship Id="rId272" Type="http://schemas.openxmlformats.org/officeDocument/2006/relationships/image" Target="https://www.tdx.com.cn/products/helpfile/tdxw/chm/%25E7%25AC%25AC%25E4%25BA%258C%25E7%25AB%25A0%2520%25E5%258A%259F%25E8%2583%25BD/2-25/2-25-4/9.png" TargetMode="External"/><Relationship Id="rId271" Type="http://schemas.openxmlformats.org/officeDocument/2006/relationships/image" Target="media/image140.png"/><Relationship Id="rId270" Type="http://schemas.openxmlformats.org/officeDocument/2006/relationships/image" Target="http://www.tdx.com.cn/products/helpfile/tdxjysm/images/34_%25E5%25B0%2581%25E8%25B7%258C%25E5%25A4%25A7%25E5%2587%258F.jpg" TargetMode="External"/><Relationship Id="rId27" Type="http://schemas.openxmlformats.org/officeDocument/2006/relationships/image" Target="media/image13.png"/><Relationship Id="rId269" Type="http://schemas.openxmlformats.org/officeDocument/2006/relationships/image" Target="media/image139.jpeg"/><Relationship Id="rId268" Type="http://schemas.openxmlformats.org/officeDocument/2006/relationships/image" Target="http://www.tdx.com.cn/products/helpfile/tdxjysm/images/30_%25E5%25B0%2581%25E6%25B6%25A8%25E5%25A4%25A7%25E5%2587%258F.jpg" TargetMode="External"/><Relationship Id="rId267" Type="http://schemas.openxmlformats.org/officeDocument/2006/relationships/image" Target="media/image138.jpeg"/><Relationship Id="rId266" Type="http://schemas.openxmlformats.org/officeDocument/2006/relationships/image" Target="http://www.tdx.com.cn/products/helpfile/tdxjysm/images/33_%25E5%25B0%2581%25E8%25B7%258C%25E5%2581%259C%25E6%259D%25BF.jpg" TargetMode="External"/><Relationship Id="rId265" Type="http://schemas.openxmlformats.org/officeDocument/2006/relationships/image" Target="media/image137.jpeg"/><Relationship Id="rId264" Type="http://schemas.openxmlformats.org/officeDocument/2006/relationships/image" Target="http://www.tdx.com.cn/products/helpfile/tdxjysm/images/29_%25E5%25B0%2581%25E6%25B6%25A8%25E5%2581%259C%25E6%259D%25BF.jpg" TargetMode="External"/><Relationship Id="rId263" Type="http://schemas.openxmlformats.org/officeDocument/2006/relationships/image" Target="media/image136.jpeg"/><Relationship Id="rId262" Type="http://schemas.openxmlformats.org/officeDocument/2006/relationships/image" Target="http://www.tdx.com.cn/products/helpfile/tdxjysm/images/32_%25E6%258E%25A5%25E8%25BF%2591%25E8%25B7%258C%25E5%2581%259C.jpg" TargetMode="External"/><Relationship Id="rId261" Type="http://schemas.openxmlformats.org/officeDocument/2006/relationships/image" Target="media/image135.jpeg"/><Relationship Id="rId260" Type="http://schemas.openxmlformats.org/officeDocument/2006/relationships/image" Target="http://www.tdx.com.cn/products/helpfile/tdxjysm/images/28_%25E6%258E%25A5%25E8%25BF%2591%25E6%25B6%25A8%25E5%2581%259C.jpg" TargetMode="External"/><Relationship Id="rId26" Type="http://schemas.openxmlformats.org/officeDocument/2006/relationships/image" Target="https://www.tdx.com.cn/products/helpfile/tdxw/chm/%25E7%25AC%25AC%25E4%25BA%258C%25E7%25AB%25A0%2520%25E5%258A%259F%25E8%2583%25BD/2-1/5.png" TargetMode="External"/><Relationship Id="rId259" Type="http://schemas.openxmlformats.org/officeDocument/2006/relationships/image" Target="media/image134.jpeg"/><Relationship Id="rId258" Type="http://schemas.openxmlformats.org/officeDocument/2006/relationships/image" Target="https://www.tdx.com.cn/products/helpfile/tdxw/chm/%25E7%25AC%25AC%25E4%25B8%2583%25E7%25AB%25A0%2520%2520%25E6%2599%25AE%25E5%258F%258A%25E5%25A2%259E%25E5%25BC%25BA%25E7%2589%2588/7-1/16%25E6%2589%2593%25E5%258E%258B.png" TargetMode="External"/><Relationship Id="rId257" Type="http://schemas.openxmlformats.org/officeDocument/2006/relationships/image" Target="media/image133.png"/><Relationship Id="rId256" Type="http://schemas.openxmlformats.org/officeDocument/2006/relationships/image" Target="https://www.tdx.com.cn/products/helpfile/tdxw/chm/%25E7%25AC%25AC%25E4%25BA%258C%25E7%25AB%25A0%2520%25E5%258A%259F%25E8%2583%25BD/2-25/2-25-4/8.png" TargetMode="External"/><Relationship Id="rId255" Type="http://schemas.openxmlformats.org/officeDocument/2006/relationships/image" Target="media/image132.png"/><Relationship Id="rId254" Type="http://schemas.openxmlformats.org/officeDocument/2006/relationships/image" Target="https://www.tdx.com.cn/products/helpfile/tdxw/chm/%25E7%25AC%25AC%25E4%25B8%2583%25E7%25AB%25A0%2520%2520%25E6%2599%25AE%25E5%258F%258A%25E5%25A2%259E%25E5%25BC%25BA%25E7%2589%2588/7-1/15%25E6%258B%2589%25E5%258D%2587.png" TargetMode="External"/><Relationship Id="rId253" Type="http://schemas.openxmlformats.org/officeDocument/2006/relationships/image" Target="media/image131.png"/><Relationship Id="rId252" Type="http://schemas.openxmlformats.org/officeDocument/2006/relationships/image" Target="http://www.tdx.com.cn/products/helpfile/tdxjysm/images/26_%25E7%25AB%259E%25E4%25BB%25B7%25E6%258B%2589%25E5%258D%2587.jpg" TargetMode="External"/><Relationship Id="rId251" Type="http://schemas.openxmlformats.org/officeDocument/2006/relationships/image" Target="media/image130.jpeg"/><Relationship Id="rId250" Type="http://schemas.openxmlformats.org/officeDocument/2006/relationships/image" Target="https://www.tdx.com.cn/products/helpfile/tdxw/chm/%25E7%25AC%25AC%25E4%25B8%2583%25E7%25AB%25A0%2520%2520%25E6%2599%25AE%25E5%258F%258A%25E5%25A2%259E%25E5%25BC%25BA%25E7%2589%2588/7-1/14.png" TargetMode="External"/><Relationship Id="rId25" Type="http://schemas.openxmlformats.org/officeDocument/2006/relationships/image" Target="media/image12.png"/><Relationship Id="rId249" Type="http://schemas.openxmlformats.org/officeDocument/2006/relationships/image" Target="media/image129.png"/><Relationship Id="rId248" Type="http://schemas.openxmlformats.org/officeDocument/2006/relationships/image" Target="http://www.tdx.com.cn/products/helpfile/tdxjysm/images/25_%25E7%25AB%259E%25E4%25BB%25B7%25E5%25AF%25B9%25E5%2580%2592.jpg" TargetMode="External"/><Relationship Id="rId247" Type="http://schemas.openxmlformats.org/officeDocument/2006/relationships/image" Target="media/image128.jpeg"/><Relationship Id="rId246" Type="http://schemas.openxmlformats.org/officeDocument/2006/relationships/image" Target="http://www.tdx.com.cn/products/helpfile/tdxjysm/images/24_%25E7%25AB%259E%25E4%25BB%25B7%25E8%25AF%2595%25E5%258D%2596.jpg" TargetMode="External"/><Relationship Id="rId245" Type="http://schemas.openxmlformats.org/officeDocument/2006/relationships/image" Target="media/image127.jpeg"/><Relationship Id="rId244" Type="http://schemas.openxmlformats.org/officeDocument/2006/relationships/image" Target="http://www.tdx.com.cn/products/helpfile/tdxjysm/images/23_%25E7%25AB%259E%25E4%25BB%25B7%25E8%25AF%2595%25E4%25B9%25B0.jpg" TargetMode="External"/><Relationship Id="rId243" Type="http://schemas.openxmlformats.org/officeDocument/2006/relationships/image" Target="media/image126.jpeg"/><Relationship Id="rId242" Type="http://schemas.openxmlformats.org/officeDocument/2006/relationships/image" Target="http://www.tdx.com.cn/products/helpfile/tdxjysm/images/22_%25E5%25A4%25A7%25E5%258D%2595%25E9%2594%2581%25E7%259B%2598.jpg" TargetMode="External"/><Relationship Id="rId241" Type="http://schemas.openxmlformats.org/officeDocument/2006/relationships/image" Target="media/image125.jpeg"/><Relationship Id="rId240" Type="http://schemas.openxmlformats.org/officeDocument/2006/relationships/image" Target="http://www.tdx.com.cn/products/helpfile/tdxjysm/images/21_%25E5%25A4%25A7%25E5%258D%2595%25E5%258E%258B%25E7%259B%2598.jpg" TargetMode="External"/><Relationship Id="rId24" Type="http://schemas.openxmlformats.org/officeDocument/2006/relationships/image" Target="https://www.tdx.com.cn/products/helpfile/tdxw/chm/%25E7%25AC%25AC%25E4%25BA%258C%25E7%25AB%25A0%2520%25E5%258A%259F%25E8%2583%25BD/2-1/4.png" TargetMode="External"/><Relationship Id="rId239" Type="http://schemas.openxmlformats.org/officeDocument/2006/relationships/image" Target="media/image124.jpeg"/><Relationship Id="rId238" Type="http://schemas.openxmlformats.org/officeDocument/2006/relationships/image" Target="http://www.tdx.com.cn/products/helpfile/tdxjysm/images/20_%25E5%25A4%25A7%25E5%258D%2595%25E6%2589%2598%25E7%259B%2598.jpg" TargetMode="External"/><Relationship Id="rId237" Type="http://schemas.openxmlformats.org/officeDocument/2006/relationships/image" Target="media/image123.jpeg"/><Relationship Id="rId236" Type="http://schemas.openxmlformats.org/officeDocument/2006/relationships/image" Target="http://www.tdx.com.cn/products/helpfile/tdxjysm/images/19_%25E5%258C%25BA%25E9%2597%25B4%25E6%2594%25BE%25E9%2587%258F(%25E5%25B9%25B3).jpg" TargetMode="External"/><Relationship Id="rId235" Type="http://schemas.openxmlformats.org/officeDocument/2006/relationships/image" Target="media/image122.jpeg"/><Relationship Id="rId234" Type="http://schemas.openxmlformats.org/officeDocument/2006/relationships/image" Target="http://www.tdx.com.cn/products/helpfile/tdxjysm/images/18_%25E5%258C%25BA%25E9%2597%25B4%25E6%2594%25BE%25E9%2587%258F(%25E8%25B7%258C).jpg" TargetMode="External"/><Relationship Id="rId233" Type="http://schemas.openxmlformats.org/officeDocument/2006/relationships/image" Target="media/image121.jpeg"/><Relationship Id="rId232" Type="http://schemas.openxmlformats.org/officeDocument/2006/relationships/image" Target="http://www.tdx.com.cn/products/helpfile/tdxjysm/images/17_%25E5%258C%25BA%25E9%2597%25B4%25E6%2594%25BE%25E9%2587%258F(%25E6%25B6%25A8).jpg" TargetMode="External"/><Relationship Id="rId231" Type="http://schemas.openxmlformats.org/officeDocument/2006/relationships/image" Target="media/image120.jpeg"/><Relationship Id="rId230" Type="http://schemas.openxmlformats.org/officeDocument/2006/relationships/image" Target="http://www.tdx.com.cn/products/helpfile/tdxjysm/images/16_%25E5%258D%2595%25E7%25AC%2594%25E5%2586%25B2%25E8%25B7%258C.jpg" TargetMode="External"/><Relationship Id="rId23" Type="http://schemas.openxmlformats.org/officeDocument/2006/relationships/image" Target="media/image11.png"/><Relationship Id="rId229" Type="http://schemas.openxmlformats.org/officeDocument/2006/relationships/image" Target="media/image119.jpeg"/><Relationship Id="rId228" Type="http://schemas.openxmlformats.org/officeDocument/2006/relationships/image" Target="http://www.tdx.com.cn/products/helpfile/tdxjysm/images/15_%25E5%258D%2595%25E7%25AC%2594%25E5%2586%25B2%25E6%25B6%25A8.jpg" TargetMode="External"/><Relationship Id="rId227" Type="http://schemas.openxmlformats.org/officeDocument/2006/relationships/image" Target="media/image118.jpeg"/><Relationship Id="rId226" Type="http://schemas.openxmlformats.org/officeDocument/2006/relationships/image" Target="http://www.tdx.com.cn/products/helpfile/tdxjysm/images/14_%25E5%25B9%25B3%25E5%258F%25B0%25E8%25B7%25B3%25E6%25B0%25B4.jpg" TargetMode="External"/><Relationship Id="rId225" Type="http://schemas.openxmlformats.org/officeDocument/2006/relationships/image" Target="media/image117.jpeg"/><Relationship Id="rId224" Type="http://schemas.openxmlformats.org/officeDocument/2006/relationships/image" Target="http://www.tdx.com.cn/products/helpfile/tdxjysm/images/13_%25E6%2592%2591%25E6%259D%2586%25E8%25B7%25B3%25E9%25AB%2598.jpg" TargetMode="External"/><Relationship Id="rId223" Type="http://schemas.openxmlformats.org/officeDocument/2006/relationships/image" Target="media/image116.jpeg"/><Relationship Id="rId222" Type="http://schemas.openxmlformats.org/officeDocument/2006/relationships/image" Target="http://www.tdx.com.cn/products/helpfile/tdxjysm/images/11_%25E4%25BD%258E%25E4%25BD%258D%25E5%258F%258D%25E5%25BC%25B9.jpg" TargetMode="External"/><Relationship Id="rId221" Type="http://schemas.openxmlformats.org/officeDocument/2006/relationships/image" Target="media/image115.jpeg"/><Relationship Id="rId220" Type="http://schemas.openxmlformats.org/officeDocument/2006/relationships/image" Target="http://www.tdx.com.cn/products/helpfile/tdxjysm/images/12_%25E9%25AB%2598%25E4%25BD%258D%25E5%259B%259E%25E8%2590%25BD.jpg" TargetMode="External"/><Relationship Id="rId22" Type="http://schemas.openxmlformats.org/officeDocument/2006/relationships/image" Target="https://www.tdx.com.cn/products/helpfile/tdxw/chm/%25E7%25AC%25AC%25E4%25BA%258C%25E7%25AB%25A0%2520%25E5%258A%259F%25E8%2583%25BD/2-1/3.png" TargetMode="External"/><Relationship Id="rId219" Type="http://schemas.openxmlformats.org/officeDocument/2006/relationships/image" Target="media/image114.jpeg"/><Relationship Id="rId218" Type="http://schemas.openxmlformats.org/officeDocument/2006/relationships/image" Target="http://www.tdx.com.cn/products/helpfile/tdxjysm/images/10_%25E5%258A%25A0%25E9%2580%259F%25E4%25B8%258B%25E8%25B7%258C.jpg" TargetMode="External"/><Relationship Id="rId217" Type="http://schemas.openxmlformats.org/officeDocument/2006/relationships/image" Target="media/image113.jpeg"/><Relationship Id="rId216" Type="http://schemas.openxmlformats.org/officeDocument/2006/relationships/image" Target="http://www.tdx.com.cn/products/helpfile/tdxjysm/images/9_%25E5%258A%25A0%25E9%2580%259F%25E6%258B%2589%25E5%258D%2587.jpg" TargetMode="External"/><Relationship Id="rId215" Type="http://schemas.openxmlformats.org/officeDocument/2006/relationships/image" Target="media/image112.jpeg"/><Relationship Id="rId214" Type="http://schemas.openxmlformats.org/officeDocument/2006/relationships/image" Target="http://www.tdx.com.cn/products/helpfile/tdxjysm/images/8_%25E4%25B8%25BB%25E5%258A%259B%25E5%258D%2596%25E5%2587%25BA.jpg" TargetMode="External"/><Relationship Id="rId213" Type="http://schemas.openxmlformats.org/officeDocument/2006/relationships/image" Target="media/image111.jpeg"/><Relationship Id="rId212" Type="http://schemas.openxmlformats.org/officeDocument/2006/relationships/image" Target="http://www.tdx.com.cn/products/helpfile/tdxjysm/images/7_%25E4%25B8%25BB%25E5%258A%259B%25E4%25B9%25B0%25E5%2585%25A5.jpg" TargetMode="External"/><Relationship Id="rId211" Type="http://schemas.openxmlformats.org/officeDocument/2006/relationships/image" Target="media/image110.jpeg"/><Relationship Id="rId210" Type="http://schemas.openxmlformats.org/officeDocument/2006/relationships/image" Target="http://www.tdx.com.cn/products/helpfile/tdxjysm/images/6_%25E6%2592%25A4%25E5%25A4%25A7%25E5%258D%2596%25E9%2587%258F.jpg" TargetMode="External"/><Relationship Id="rId21" Type="http://schemas.openxmlformats.org/officeDocument/2006/relationships/image" Target="media/image10.png"/><Relationship Id="rId209" Type="http://schemas.openxmlformats.org/officeDocument/2006/relationships/image" Target="media/image109.jpeg"/><Relationship Id="rId208" Type="http://schemas.openxmlformats.org/officeDocument/2006/relationships/image" Target="http://www.tdx.com.cn/products/helpfile/tdxjysm/images/4_%25E6%2592%25A4%25E5%25A4%25A7%25E4%25B9%25B0%25E9%2587%258F.jpg" TargetMode="External"/><Relationship Id="rId207" Type="http://schemas.openxmlformats.org/officeDocument/2006/relationships/image" Target="media/image108.jpeg"/><Relationship Id="rId206" Type="http://schemas.openxmlformats.org/officeDocument/2006/relationships/image" Target="http://www.tdx.com.cn/products/helpfile/tdxjysm/images/5_%25E6%258C%2582%25E5%25A4%25A7%25E5%258D%2596%25E9%2587%258F.jpg" TargetMode="External"/><Relationship Id="rId205" Type="http://schemas.openxmlformats.org/officeDocument/2006/relationships/image" Target="media/image107.jpeg"/><Relationship Id="rId204" Type="http://schemas.openxmlformats.org/officeDocument/2006/relationships/image" Target="http://www.tdx.com.cn/products/helpfile/tdxjysm/images/3_%25E6%258C%2582%25E5%25A4%25A7%25E4%25B9%25B0%25E9%2587%258F.jpg" TargetMode="External"/><Relationship Id="rId203" Type="http://schemas.openxmlformats.org/officeDocument/2006/relationships/image" Target="media/image106.jpeg"/><Relationship Id="rId202" Type="http://schemas.openxmlformats.org/officeDocument/2006/relationships/image" Target="http://www.tdx.com.cn/products/helpfile/tdxjysm/images/2_%25E6%258B%2596%25E6%258B%2589%25E6%259C%25BA%25E5%258D%2596.jpg" TargetMode="External"/><Relationship Id="rId201" Type="http://schemas.openxmlformats.org/officeDocument/2006/relationships/image" Target="media/image105.jpeg"/><Relationship Id="rId200" Type="http://schemas.openxmlformats.org/officeDocument/2006/relationships/image" Target="http://www.tdx.com.cn/products/helpfile/tdxjysm/images/1_%25E6%258B%2596%25E6%258B%2589%25E6%259C%25BA%25E4%25B9%25B0.jpg" TargetMode="External"/><Relationship Id="rId20" Type="http://schemas.openxmlformats.org/officeDocument/2006/relationships/image" Target="media/image9.png"/><Relationship Id="rId2" Type="http://schemas.openxmlformats.org/officeDocument/2006/relationships/settings" Target="settings.xml"/><Relationship Id="rId199" Type="http://schemas.openxmlformats.org/officeDocument/2006/relationships/image" Target="media/image104.jpeg"/><Relationship Id="rId198" Type="http://schemas.openxmlformats.org/officeDocument/2006/relationships/image" Target="https://www.tdx.com.cn/products/helpfile/tdxw/chm/%25E7%25AC%25AC%25E4%25BA%258C%25E7%25AB%25A0%2520%25E5%258A%259F%25E8%2583%25BD/2-11/17.png" TargetMode="External"/><Relationship Id="rId197" Type="http://schemas.openxmlformats.org/officeDocument/2006/relationships/image" Target="media/image103.png"/><Relationship Id="rId196" Type="http://schemas.openxmlformats.org/officeDocument/2006/relationships/image" Target="https://www.tdx.com.cn/products/helpfile/tdxw/chm/%25E7%25AC%25AC%25E4%25BA%258C%25E7%25AB%25A0%2520%25E5%258A%259F%25E8%2583%25BD/2-11/15.png" TargetMode="External"/><Relationship Id="rId195" Type="http://schemas.openxmlformats.org/officeDocument/2006/relationships/image" Target="media/image102.png"/><Relationship Id="rId194" Type="http://schemas.openxmlformats.org/officeDocument/2006/relationships/image" Target="https://www.tdx.com.cn/products/helpfile/tdxw/chm/%25E7%25AC%25AC%25E4%25BA%258C%25E7%25AB%25A0%2520%25E5%258A%259F%25E8%2583%25BD/2-11/16.png" TargetMode="External"/><Relationship Id="rId193" Type="http://schemas.openxmlformats.org/officeDocument/2006/relationships/image" Target="media/image101.png"/><Relationship Id="rId192" Type="http://schemas.openxmlformats.org/officeDocument/2006/relationships/image" Target="https://www.tdx.com.cn/products/helpfile/tdxw/chm/%25E7%25AC%25AC%25E4%25BA%258C%25E7%25AB%25A0%2520%25E5%258A%259F%25E8%2583%25BD/2-11/14.png" TargetMode="External"/><Relationship Id="rId191" Type="http://schemas.openxmlformats.org/officeDocument/2006/relationships/image" Target="media/image100.png"/><Relationship Id="rId190" Type="http://schemas.openxmlformats.org/officeDocument/2006/relationships/image" Target="https://www.tdx.com.cn/products/helpfile/tdxw/chm/%25E7%25AC%25AC%25E4%25BA%258C%25E7%25AB%25A0%2520%25E5%258A%259F%25E8%2583%25BD/2-11/13.png" TargetMode="External"/><Relationship Id="rId19" Type="http://schemas.openxmlformats.org/officeDocument/2006/relationships/image" Target="https://www.tdx.com.cn/products/helpfile/tdxw/chm/%25E7%25AC%25AC%25E4%25BA%258C%25E7%25AB%25A0%2520%25E5%258A%259F%25E8%2583%25BD/2-1/0.6.png" TargetMode="External"/><Relationship Id="rId189" Type="http://schemas.openxmlformats.org/officeDocument/2006/relationships/image" Target="media/image99.png"/><Relationship Id="rId188" Type="http://schemas.openxmlformats.org/officeDocument/2006/relationships/image" Target="https://www.tdx.com.cn/products/helpfile/tdxw/chm/%25E7%25AC%25AC%25E4%25BA%258C%25E7%25AB%25A0%2520%25E5%258A%259F%25E8%2583%25BD/2-11/12.png" TargetMode="External"/><Relationship Id="rId187" Type="http://schemas.openxmlformats.org/officeDocument/2006/relationships/image" Target="media/image98.png"/><Relationship Id="rId186" Type="http://schemas.openxmlformats.org/officeDocument/2006/relationships/image" Target="https://www.tdx.com.cn/products/helpfile/tdxw/chm/%25E7%25AC%25AC%25E4%25BA%258C%25E7%25AB%25A0%2520%25E5%258A%259F%25E8%2583%25BD/2-11/11.png" TargetMode="External"/><Relationship Id="rId185" Type="http://schemas.openxmlformats.org/officeDocument/2006/relationships/image" Target="media/image97.png"/><Relationship Id="rId184" Type="http://schemas.openxmlformats.org/officeDocument/2006/relationships/image" Target="https://www.tdx.com.cn/products/helpfile/tdxw/chm/%25E7%25AC%25AC%25E4%25BA%258C%25E7%25AB%25A0%2520%25E5%258A%259F%25E8%2583%25BD/2-11/10.png" TargetMode="External"/><Relationship Id="rId183" Type="http://schemas.openxmlformats.org/officeDocument/2006/relationships/image" Target="media/image96.png"/><Relationship Id="rId182" Type="http://schemas.openxmlformats.org/officeDocument/2006/relationships/image" Target="https://www.tdx.com.cn/products/helpfile/tdxw/chm/%25E7%25AC%25AC%25E4%25BA%258C%25E7%25AB%25A0%2520%25E5%258A%259F%25E8%2583%25BD/2-11/9.png" TargetMode="External"/><Relationship Id="rId181" Type="http://schemas.openxmlformats.org/officeDocument/2006/relationships/image" Target="media/image95.png"/><Relationship Id="rId180" Type="http://schemas.openxmlformats.org/officeDocument/2006/relationships/image" Target="https://www.tdx.com.cn/products/helpfile/tdxw/chm/%25E7%25AC%25AC%25E4%25BA%258C%25E7%25AB%25A0%2520%25E5%258A%259F%25E8%2583%25BD/2-11/8.png" TargetMode="External"/><Relationship Id="rId18" Type="http://schemas.openxmlformats.org/officeDocument/2006/relationships/image" Target="media/image8.png"/><Relationship Id="rId179" Type="http://schemas.openxmlformats.org/officeDocument/2006/relationships/image" Target="media/image94.png"/><Relationship Id="rId178" Type="http://schemas.openxmlformats.org/officeDocument/2006/relationships/image" Target="https://www.tdx.com.cn/products/helpfile/tdxw/chm/%25E7%25AC%25AC%25E4%25BA%258C%25E7%25AB%25A0%2520%25E5%258A%259F%25E8%2583%25BD/2-11/7.png" TargetMode="External"/><Relationship Id="rId177" Type="http://schemas.openxmlformats.org/officeDocument/2006/relationships/image" Target="media/image93.png"/><Relationship Id="rId176" Type="http://schemas.openxmlformats.org/officeDocument/2006/relationships/image" Target="https://www.tdx.com.cn/products/helpfile/tdxw/chm/%25E7%25AC%25AC%25E4%25BA%258C%25E7%25AB%25A0%2520%25E5%258A%259F%25E8%2583%25BD/2-11/6.png" TargetMode="External"/><Relationship Id="rId175" Type="http://schemas.openxmlformats.org/officeDocument/2006/relationships/image" Target="media/image92.png"/><Relationship Id="rId174" Type="http://schemas.openxmlformats.org/officeDocument/2006/relationships/image" Target="https://www.tdx.com.cn/products/helpfile/tdxw/chm/%25E7%25AC%25AC%25E4%25BA%258C%25E7%25AB%25A0%2520%25E5%258A%259F%25E8%2583%25BD/2-11/5.png" TargetMode="External"/><Relationship Id="rId173" Type="http://schemas.openxmlformats.org/officeDocument/2006/relationships/image" Target="media/image91.png"/><Relationship Id="rId172" Type="http://schemas.openxmlformats.org/officeDocument/2006/relationships/image" Target="https://www.tdx.com.cn/products/helpfile/tdxw/chm/%25E7%25AC%25AC%25E4%25BA%258C%25E7%25AB%25A0%2520%25E5%258A%259F%25E8%2583%25BD/2-11/4.png" TargetMode="External"/><Relationship Id="rId171" Type="http://schemas.openxmlformats.org/officeDocument/2006/relationships/image" Target="media/image90.png"/><Relationship Id="rId170" Type="http://schemas.openxmlformats.org/officeDocument/2006/relationships/image" Target="https://www.tdx.com.cn/products/helpfile/tdxw/chm/%25E7%25AC%25AC%25E4%25BA%258C%25E7%25AB%25A0%2520%25E5%258A%259F%25E8%2583%25BD/2-11/3.png" TargetMode="External"/><Relationship Id="rId17" Type="http://schemas.openxmlformats.org/officeDocument/2006/relationships/image" Target="media/image7.png"/><Relationship Id="rId169" Type="http://schemas.openxmlformats.org/officeDocument/2006/relationships/image" Target="media/image89.png"/><Relationship Id="rId168" Type="http://schemas.openxmlformats.org/officeDocument/2006/relationships/image" Target="https://www.tdx.com.cn/products/helpfile/tdxw/chm/%25E7%25AC%25AC%25E4%25BA%258C%25E7%25AB%25A0%2520%25E5%258A%259F%25E8%2583%25BD/2-11/2.png" TargetMode="External"/><Relationship Id="rId167" Type="http://schemas.openxmlformats.org/officeDocument/2006/relationships/image" Target="media/image88.png"/><Relationship Id="rId166" Type="http://schemas.openxmlformats.org/officeDocument/2006/relationships/image" Target="https://www.tdx.com.cn/products/helpfile/tdxw/chm/%25E7%25AC%25AC%25E4%25BA%258C%25E7%25AB%25A0%2520%25E5%258A%259F%25E8%2583%25BD/2-11/1.png" TargetMode="External"/><Relationship Id="rId165" Type="http://schemas.openxmlformats.org/officeDocument/2006/relationships/image" Target="media/image87.png"/><Relationship Id="rId164" Type="http://schemas.openxmlformats.org/officeDocument/2006/relationships/image" Target="https://www.tdx.com.cn/products/helpfile/tdxw/chm/%25E7%25AC%25AC%25E4%25BA%258C%25E7%25AB%25A0%2520%25E5%258A%259F%25E8%2583%25BD/2-10/2-10-4/7.png" TargetMode="External"/><Relationship Id="rId163" Type="http://schemas.openxmlformats.org/officeDocument/2006/relationships/image" Target="media/image86.png"/><Relationship Id="rId162" Type="http://schemas.openxmlformats.org/officeDocument/2006/relationships/image" Target="https://www.tdx.com.cn/products/helpfile/tdxw/chm/%25E7%25AC%25AC%25E4%25BA%258C%25E7%25AB%25A0%2520%25E5%258A%259F%25E8%2583%25BD/2-10/2-10-4/6.png" TargetMode="External"/><Relationship Id="rId161" Type="http://schemas.openxmlformats.org/officeDocument/2006/relationships/image" Target="media/image85.png"/><Relationship Id="rId160" Type="http://schemas.openxmlformats.org/officeDocument/2006/relationships/image" Target="https://www.tdx.com.cn/products/helpfile/tdxw/chm/%25E7%25AC%25AC%25E4%25BA%258C%25E7%25AB%25A0%2520%25E5%258A%259F%25E8%2583%25BD/2-10/2-10-4/5.png" TargetMode="External"/><Relationship Id="rId16" Type="http://schemas.openxmlformats.org/officeDocument/2006/relationships/image" Target="https://www.tdx.com.cn/products/helpfile/tdxw/chm/%25E7%25AC%25AC%25E4%25B8%2580%25E7%25AB%25A0%2520%2520%2520%25E6%25AC%25A2%25E8%25BF%258E%25E4%25BD%25BF%25E7%2594%25A8/1-7/3.png" TargetMode="External"/><Relationship Id="rId159" Type="http://schemas.openxmlformats.org/officeDocument/2006/relationships/image" Target="media/image84.png"/><Relationship Id="rId158" Type="http://schemas.openxmlformats.org/officeDocument/2006/relationships/image" Target="https://www.tdx.com.cn/products/helpfile/tdxw/chm/%25E7%25AC%25AC%25E4%25BA%258C%25E7%25AB%25A0%2520%25E5%258A%259F%25E8%2583%25BD/2-10/2-10-4/4.png" TargetMode="External"/><Relationship Id="rId157" Type="http://schemas.openxmlformats.org/officeDocument/2006/relationships/image" Target="media/image83.png"/><Relationship Id="rId156" Type="http://schemas.openxmlformats.org/officeDocument/2006/relationships/image" Target="https://www.tdx.com.cn/products/helpfile/tdxw/chm/%25E7%25AC%25AC%25E4%25BA%258C%25E7%25AB%25A0%2520%25E5%258A%259F%25E8%2583%25BD/2-10/2-10-4/3.png" TargetMode="External"/><Relationship Id="rId155" Type="http://schemas.openxmlformats.org/officeDocument/2006/relationships/image" Target="media/image82.png"/><Relationship Id="rId154" Type="http://schemas.openxmlformats.org/officeDocument/2006/relationships/image" Target="https://www.tdx.com.cn/products/helpfile/tdxw/chm/%25E7%25AC%25AC%25E4%25BA%258C%25E7%25AB%25A0%2520%25E5%258A%259F%25E8%2583%25BD/2-10/2-10-4/2.png" TargetMode="External"/><Relationship Id="rId153" Type="http://schemas.openxmlformats.org/officeDocument/2006/relationships/image" Target="media/image81.png"/><Relationship Id="rId152" Type="http://schemas.openxmlformats.org/officeDocument/2006/relationships/image" Target="https://www.tdx.com.cn/products/helpfile/tdxw/chm/%25E7%25AC%25AC%25E4%25BA%258C%25E7%25AB%25A0%2520%25E5%258A%259F%25E8%2583%25BD/2-10/2-10-4/1.png" TargetMode="External"/><Relationship Id="rId151" Type="http://schemas.openxmlformats.org/officeDocument/2006/relationships/image" Target="media/image80.png"/><Relationship Id="rId150" Type="http://schemas.openxmlformats.org/officeDocument/2006/relationships/image" Target="https://www.tdx.com.cn/products/helpfile/tdxw/chm/%25E7%25AC%25AC%25E4%25BA%258C%25E7%25AB%25A0%2520%25E5%258A%259F%25E8%2583%25BD/2-10/2-10-3/%25EF%25BC%2592.jpg" TargetMode="External"/><Relationship Id="rId15" Type="http://schemas.openxmlformats.org/officeDocument/2006/relationships/image" Target="media/image6.png"/><Relationship Id="rId149" Type="http://schemas.openxmlformats.org/officeDocument/2006/relationships/image" Target="media/image79.jpeg"/><Relationship Id="rId148" Type="http://schemas.openxmlformats.org/officeDocument/2006/relationships/image" Target="https://www.tdx.com.cn/products/helpfile/tdxw/chm/%25E7%25AC%25AC%25E4%25BA%258C%25E7%25AB%25A0%2520%25E5%258A%259F%25E8%2583%25BD/2-10/2-10-3/1.png" TargetMode="External"/><Relationship Id="rId147" Type="http://schemas.openxmlformats.org/officeDocument/2006/relationships/image" Target="media/image78.png"/><Relationship Id="rId146" Type="http://schemas.openxmlformats.org/officeDocument/2006/relationships/image" Target="https://www.tdx.com.cn/products/helpfile/tdxw/chm/%25E7%25AC%25AC%25E4%25BA%258C%25E7%25AB%25A0%2520%25E5%258A%259F%25E8%2583%25BD/2-10/2-10-2/3-2-3-9_clip_image010.jpg" TargetMode="External"/><Relationship Id="rId145" Type="http://schemas.openxmlformats.org/officeDocument/2006/relationships/image" Target="media/image77.jpeg"/><Relationship Id="rId144" Type="http://schemas.openxmlformats.org/officeDocument/2006/relationships/image" Target="https://www.tdx.com.cn/products/helpfile/tdxw/chm/%25E7%25AC%25AC%25E4%25BA%258C%25E7%25AB%25A0%2520%25E5%258A%259F%25E8%2583%25BD/2-10/2-10-2/3-2-3-9_clip_image008.jpg" TargetMode="External"/><Relationship Id="rId143" Type="http://schemas.openxmlformats.org/officeDocument/2006/relationships/image" Target="media/image76.jpeg"/><Relationship Id="rId142" Type="http://schemas.openxmlformats.org/officeDocument/2006/relationships/image" Target="https://www.tdx.com.cn/products/helpfile/tdxw/chm/%25E7%25AC%25AC%25E4%25BA%258C%25E7%25AB%25A0%2520%25E5%258A%259F%25E8%2583%25BD/2-10/2-10-2/3-2-3-9_clip_image006.jpg" TargetMode="External"/><Relationship Id="rId141" Type="http://schemas.openxmlformats.org/officeDocument/2006/relationships/image" Target="media/image75.jpeg"/><Relationship Id="rId140" Type="http://schemas.openxmlformats.org/officeDocument/2006/relationships/image" Target="https://www.tdx.com.cn/products/helpfile/tdxw/chm/%25E7%25AC%25AC%25E4%25BA%258C%25E7%25AB%25A0%2520%25E5%258A%259F%25E8%2583%25BD/2-10/2-10-2/3-2-3-9_clip_image004.jpg" TargetMode="External"/><Relationship Id="rId14" Type="http://schemas.openxmlformats.org/officeDocument/2006/relationships/image" Target="https://www.tdx.com.cn/products/helpfile/tdxw/chm/%25E7%25AC%25AC%25E4%25B8%2580%25E7%25AB%25A0%2520%2520%2520%25E6%25AC%25A2%25E8%25BF%258E%25E4%25BD%25BF%25E7%2594%25A8/1-7/2.png" TargetMode="External"/><Relationship Id="rId139" Type="http://schemas.openxmlformats.org/officeDocument/2006/relationships/image" Target="media/image74.jpeg"/><Relationship Id="rId138" Type="http://schemas.openxmlformats.org/officeDocument/2006/relationships/image" Target="https://www.tdx.com.cn/products/helpfile/tdxw/chm/%25E7%25AC%25AC%25E4%25BA%258C%25E7%25AB%25A0%2520%25E5%258A%259F%25E8%2583%25BD/2-10/2-10-2/3-2-3-9_clip_image002.jpg" TargetMode="External"/><Relationship Id="rId137" Type="http://schemas.openxmlformats.org/officeDocument/2006/relationships/image" Target="media/image73.jpeg"/><Relationship Id="rId136" Type="http://schemas.openxmlformats.org/officeDocument/2006/relationships/image" Target="media/image72.png"/><Relationship Id="rId135" Type="http://schemas.openxmlformats.org/officeDocument/2006/relationships/image" Target="media/image71.png"/><Relationship Id="rId134" Type="http://schemas.openxmlformats.org/officeDocument/2006/relationships/image" Target="https://www.tdx.com.cn/products/helpfile/tdxw/chm/%25E7%25AC%25AC%25E4%25BA%258C%25E7%25AB%25A0%2520%25E5%258A%259F%25E8%2583%25BD/2-10/2-10-1/3-2-3-8_clip_image012.jpg" TargetMode="External"/><Relationship Id="rId133" Type="http://schemas.openxmlformats.org/officeDocument/2006/relationships/image" Target="media/image70.jpeg"/><Relationship Id="rId132" Type="http://schemas.openxmlformats.org/officeDocument/2006/relationships/image" Target="media/image69.png"/><Relationship Id="rId131" Type="http://schemas.openxmlformats.org/officeDocument/2006/relationships/image" Target="https://www.tdx.com.cn/products/helpfile/tdxw/chm/%25E7%25AC%25AC%25E4%25BA%258C%25E7%25AB%25A0%2520%25E5%258A%259F%25E8%2583%25BD/2-10/2-10-1/3-2-3-8_clip_image002.jpg" TargetMode="External"/><Relationship Id="rId130" Type="http://schemas.openxmlformats.org/officeDocument/2006/relationships/image" Target="media/image68.jpeg"/><Relationship Id="rId13" Type="http://schemas.openxmlformats.org/officeDocument/2006/relationships/image" Target="media/image5.png"/><Relationship Id="rId129" Type="http://schemas.openxmlformats.org/officeDocument/2006/relationships/image" Target="media/image67.png"/><Relationship Id="rId128" Type="http://schemas.openxmlformats.org/officeDocument/2006/relationships/image" Target="media/image66.png"/><Relationship Id="rId127" Type="http://schemas.openxmlformats.org/officeDocument/2006/relationships/image" Target="https://www.tdx.com.cn/products/helpfile/tdxw/chm/%25E7%25AC%25AC%25E4%25BA%258C%25E7%25AB%25A0%2520%25E5%258A%259F%25E8%2583%25BD/2-9/1.png" TargetMode="External"/><Relationship Id="rId126" Type="http://schemas.openxmlformats.org/officeDocument/2006/relationships/image" Target="media/image65.png"/><Relationship Id="rId125" Type="http://schemas.openxmlformats.org/officeDocument/2006/relationships/image" Target="https://www.tdx.com.cn/products/helpfile/tdxw/chm/%25E7%25AC%25AC%25E4%25BA%258C%25E7%25AB%25A0%2520%25E5%258A%259F%25E8%2583%25BD/2-8/1.png" TargetMode="External"/><Relationship Id="rId124" Type="http://schemas.openxmlformats.org/officeDocument/2006/relationships/image" Target="media/image64.png"/><Relationship Id="rId123" Type="http://schemas.openxmlformats.org/officeDocument/2006/relationships/image" Target="https://www.tdx.com.cn/products/helpfile/tdxw/chm/%25E7%25AC%25AC%25E4%25BA%258C%25E7%25AB%25A0%2520%25E5%258A%259F%25E8%2583%25BD/2-7/2.png" TargetMode="External"/><Relationship Id="rId122" Type="http://schemas.openxmlformats.org/officeDocument/2006/relationships/image" Target="media/image63.png"/><Relationship Id="rId121" Type="http://schemas.openxmlformats.org/officeDocument/2006/relationships/image" Target="https://www.tdx.com.cn/products/helpfile/tdxw/chm/%25E7%25AC%25AC%25E4%25BA%258C%25E7%25AB%25A0%2520%25E5%258A%259F%25E8%2583%25BD/2-7/1.png" TargetMode="External"/><Relationship Id="rId120" Type="http://schemas.openxmlformats.org/officeDocument/2006/relationships/image" Target="media/image62.png"/><Relationship Id="rId12" Type="http://schemas.openxmlformats.org/officeDocument/2006/relationships/image" Target="https://www.tdx.com.cn/products/helpfile/tdxw/chm/%25E7%25AC%25AC%25E4%25B8%2580%25E7%25AB%25A0%2520%2520%2520%25E6%25AC%25A2%25E8%25BF%258E%25E4%25BD%25BF%25E7%2594%25A8/1-7/1.png" TargetMode="External"/><Relationship Id="rId119" Type="http://schemas.openxmlformats.org/officeDocument/2006/relationships/image" Target="https://www.tdx.com.cn/products/helpfile/tdxw/chm/%25E7%25AC%25AC%25E4%25BA%258C%25E7%25AB%25A0%2520%25E5%258A%259F%25E8%2583%25BD/2-6/1.png" TargetMode="External"/><Relationship Id="rId118" Type="http://schemas.openxmlformats.org/officeDocument/2006/relationships/image" Target="media/image61.png"/><Relationship Id="rId117" Type="http://schemas.openxmlformats.org/officeDocument/2006/relationships/image" Target="media/image60.png"/><Relationship Id="rId116" Type="http://schemas.openxmlformats.org/officeDocument/2006/relationships/image" Target="https://www.tdx.com.cn/products/helpfile/tdxw/chm/%25E7%25AC%25AC%25E4%25BA%258C%25E7%25AB%25A0%2520%25E5%258A%259F%25E8%2583%25BD/2-5/7.png" TargetMode="External"/><Relationship Id="rId115" Type="http://schemas.openxmlformats.org/officeDocument/2006/relationships/image" Target="media/image59.png"/><Relationship Id="rId114" Type="http://schemas.openxmlformats.org/officeDocument/2006/relationships/image" Target="https://www.tdx.com.cn/products/helpfile/tdxw/chm/%25E7%25AC%25AC%25E4%25BA%258C%25E7%25AB%25A0%2520%25E5%258A%259F%25E8%2583%25BD/2-5/6.png" TargetMode="External"/><Relationship Id="rId1132" Type="http://schemas.openxmlformats.org/officeDocument/2006/relationships/fontTable" Target="fontTable.xml"/><Relationship Id="rId1131" Type="http://schemas.openxmlformats.org/officeDocument/2006/relationships/customXml" Target="../customXml/item1.xml"/><Relationship Id="rId1130" Type="http://schemas.openxmlformats.org/officeDocument/2006/relationships/numbering" Target="numbering.xml"/><Relationship Id="rId113" Type="http://schemas.openxmlformats.org/officeDocument/2006/relationships/image" Target="media/image58.png"/><Relationship Id="rId1129" Type="http://schemas.openxmlformats.org/officeDocument/2006/relationships/image" Target="media/image607.png"/><Relationship Id="rId1128" Type="http://schemas.openxmlformats.org/officeDocument/2006/relationships/image" Target="media/image606.png"/><Relationship Id="rId1127" Type="http://schemas.openxmlformats.org/officeDocument/2006/relationships/image" Target="media/image605.png"/><Relationship Id="rId1126" Type="http://schemas.openxmlformats.org/officeDocument/2006/relationships/image" Target="media/image604.png"/><Relationship Id="rId1125" Type="http://schemas.openxmlformats.org/officeDocument/2006/relationships/image" Target="media/image603.png"/><Relationship Id="rId1124" Type="http://schemas.openxmlformats.org/officeDocument/2006/relationships/image" Target="media/image602.png"/><Relationship Id="rId1123" Type="http://schemas.openxmlformats.org/officeDocument/2006/relationships/image" Target="https://www.tdx.com.cn/products/helpfile/tdxw/chm/%25E7%25AC%25AC%25E4%25B9%259D%25E7%25AB%25A0%2520%2520%25E9%2580%259A%25E8%25BE%25BE%25E4%25BF%25A1%25E8%25BD%25AF%25E4%25BB%25B6%25E6%259C%2580%25E6%2596%25B0%25E5%258A%25A8%25E6%2580%2581/9-5/20.png" TargetMode="External"/><Relationship Id="rId1122" Type="http://schemas.openxmlformats.org/officeDocument/2006/relationships/image" Target="media/image601.png"/><Relationship Id="rId1121" Type="http://schemas.openxmlformats.org/officeDocument/2006/relationships/image" Target="https://www.tdx.com.cn/products/helpfile/tdxw/chm/%25E7%25AC%25AC%25E4%25B9%259D%25E7%25AB%25A0%2520%2520%25E9%2580%259A%25E8%25BE%25BE%25E4%25BF%25A1%25E8%25BD%25AF%25E4%25BB%25B6%25E6%259C%2580%25E6%2596%25B0%25E5%258A%25A8%25E6%2580%2581/9-5/19.png" TargetMode="External"/><Relationship Id="rId1120" Type="http://schemas.openxmlformats.org/officeDocument/2006/relationships/image" Target="media/image600.png"/><Relationship Id="rId112" Type="http://schemas.openxmlformats.org/officeDocument/2006/relationships/image" Target="https://www.tdx.com.cn/products/helpfile/tdxw/chm/%25E7%25AC%25AC%25E4%25BA%258C%25E7%25AB%25A0%2520%25E5%258A%259F%25E8%2583%25BD/2-5/4.png" TargetMode="External"/><Relationship Id="rId1119" Type="http://schemas.openxmlformats.org/officeDocument/2006/relationships/image" Target="https://www.tdx.com.cn/products/helpfile/tdxw/chm/%25E7%25AC%25AC%25E4%25B9%259D%25E7%25AB%25A0%2520%2520%25E9%2580%259A%25E8%25BE%25BE%25E4%25BF%25A1%25E8%25BD%25AF%25E4%25BB%25B6%25E6%259C%2580%25E6%2596%25B0%25E5%258A%25A8%25E6%2580%2581/9-5/18.png" TargetMode="External"/><Relationship Id="rId1118" Type="http://schemas.openxmlformats.org/officeDocument/2006/relationships/image" Target="media/image599.png"/><Relationship Id="rId1117" Type="http://schemas.openxmlformats.org/officeDocument/2006/relationships/image" Target="https://www.tdx.com.cn/products/helpfile/tdxw/chm/%25E7%25AC%25AC%25E4%25B9%259D%25E7%25AB%25A0%2520%2520%25E9%2580%259A%25E8%25BE%25BE%25E4%25BF%25A1%25E8%25BD%25AF%25E4%25BB%25B6%25E6%259C%2580%25E6%2596%25B0%25E5%258A%25A8%25E6%2580%2581/9-5/17.png" TargetMode="External"/><Relationship Id="rId1116" Type="http://schemas.openxmlformats.org/officeDocument/2006/relationships/image" Target="media/image598.png"/><Relationship Id="rId1115" Type="http://schemas.openxmlformats.org/officeDocument/2006/relationships/image" Target="https://www.tdx.com.cn/products/helpfile/tdxw/chm/%25E7%25AC%25AC%25E4%25B9%259D%25E7%25AB%25A0%2520%2520%25E9%2580%259A%25E8%25BE%25BE%25E4%25BF%25A1%25E8%25BD%25AF%25E4%25BB%25B6%25E6%259C%2580%25E6%2596%25B0%25E5%258A%25A8%25E6%2580%2581/9-5/16.png" TargetMode="External"/><Relationship Id="rId1114" Type="http://schemas.openxmlformats.org/officeDocument/2006/relationships/image" Target="media/image597.png"/><Relationship Id="rId1113" Type="http://schemas.openxmlformats.org/officeDocument/2006/relationships/image" Target="https://www.tdx.com.cn/products/helpfile/tdxw/chm/%25E7%25AC%25AC%25E4%25B9%259D%25E7%25AB%25A0%2520%2520%25E9%2580%259A%25E8%25BE%25BE%25E4%25BF%25A1%25E8%25BD%25AF%25E4%25BB%25B6%25E6%259C%2580%25E6%2596%25B0%25E5%258A%25A8%25E6%2580%2581/9-5/15.png" TargetMode="External"/><Relationship Id="rId1112" Type="http://schemas.openxmlformats.org/officeDocument/2006/relationships/image" Target="media/image596.png"/><Relationship Id="rId1111" Type="http://schemas.openxmlformats.org/officeDocument/2006/relationships/image" Target="https://www.tdx.com.cn/products/helpfile/tdxw/chm/%25E7%25AC%25AC%25E4%25B9%259D%25E7%25AB%25A0%2520%2520%25E9%2580%259A%25E8%25BE%25BE%25E4%25BF%25A1%25E8%25BD%25AF%25E4%25BB%25B6%25E6%259C%2580%25E6%2596%25B0%25E5%258A%25A8%25E6%2580%2581/9-5/14.png" TargetMode="External"/><Relationship Id="rId1110" Type="http://schemas.openxmlformats.org/officeDocument/2006/relationships/image" Target="media/image595.png"/><Relationship Id="rId111" Type="http://schemas.openxmlformats.org/officeDocument/2006/relationships/image" Target="media/image57.png"/><Relationship Id="rId1109" Type="http://schemas.openxmlformats.org/officeDocument/2006/relationships/image" Target="https://www.tdx.com.cn/products/helpfile/tdxw/chm/%25E7%25AC%25AC%25E4%25B9%259D%25E7%25AB%25A0%2520%2520%25E9%2580%259A%25E8%25BE%25BE%25E4%25BF%25A1%25E8%25BD%25AF%25E4%25BB%25B6%25E6%259C%2580%25E6%2596%25B0%25E5%258A%25A8%25E6%2580%2581/9-5/13.png" TargetMode="External"/><Relationship Id="rId1108" Type="http://schemas.openxmlformats.org/officeDocument/2006/relationships/image" Target="media/image594.png"/><Relationship Id="rId1107" Type="http://schemas.openxmlformats.org/officeDocument/2006/relationships/image" Target="https://www.tdx.com.cn/products/helpfile/tdxw/chm/%25E7%25AC%25AC%25E4%25B9%259D%25E7%25AB%25A0%2520%2520%25E9%2580%259A%25E8%25BE%25BE%25E4%25BF%25A1%25E8%25BD%25AF%25E4%25BB%25B6%25E6%259C%2580%25E6%2596%25B0%25E5%258A%25A8%25E6%2580%2581/9-5/12.png" TargetMode="External"/><Relationship Id="rId1106" Type="http://schemas.openxmlformats.org/officeDocument/2006/relationships/image" Target="media/image593.png"/><Relationship Id="rId1105" Type="http://schemas.openxmlformats.org/officeDocument/2006/relationships/image" Target="https://www.tdx.com.cn/products/helpfile/tdxw/chm/%25E7%25AC%25AC%25E4%25B9%259D%25E7%25AB%25A0%2520%2520%25E9%2580%259A%25E8%25BE%25BE%25E4%25BF%25A1%25E8%25BD%25AF%25E4%25BB%25B6%25E6%259C%2580%25E6%2596%25B0%25E5%258A%25A8%25E6%2580%2581/9-5/11.png" TargetMode="External"/><Relationship Id="rId1104" Type="http://schemas.openxmlformats.org/officeDocument/2006/relationships/image" Target="media/image592.png"/><Relationship Id="rId1103" Type="http://schemas.openxmlformats.org/officeDocument/2006/relationships/image" Target="https://www.tdx.com.cn/products/helpfile/tdxw/chm/%25E7%25AC%25AC%25E4%25B9%259D%25E7%25AB%25A0%2520%2520%25E9%2580%259A%25E8%25BE%25BE%25E4%25BF%25A1%25E8%25BD%25AF%25E4%25BB%25B6%25E6%259C%2580%25E6%2596%25B0%25E5%258A%25A8%25E6%2580%2581/9-5/10.png" TargetMode="External"/><Relationship Id="rId1102" Type="http://schemas.openxmlformats.org/officeDocument/2006/relationships/image" Target="media/image591.png"/><Relationship Id="rId1101" Type="http://schemas.openxmlformats.org/officeDocument/2006/relationships/image" Target="https://www.tdx.com.cn/products/helpfile/tdxw/chm/%25E7%25AC%25AC%25E4%25B9%259D%25E7%25AB%25A0%2520%2520%25E9%2580%259A%25E8%25BE%25BE%25E4%25BF%25A1%25E8%25BD%25AF%25E4%25BB%25B6%25E6%259C%2580%25E6%2596%25B0%25E5%258A%25A8%25E6%2580%2581/9-5/9.png" TargetMode="External"/><Relationship Id="rId1100" Type="http://schemas.openxmlformats.org/officeDocument/2006/relationships/image" Target="media/image590.png"/><Relationship Id="rId110" Type="http://schemas.openxmlformats.org/officeDocument/2006/relationships/image" Target="media/image56.png"/><Relationship Id="rId11" Type="http://schemas.openxmlformats.org/officeDocument/2006/relationships/image" Target="media/image4.png"/><Relationship Id="rId1099" Type="http://schemas.openxmlformats.org/officeDocument/2006/relationships/image" Target="https://www.tdx.com.cn/products/helpfile/tdxw/chm/%25E7%25AC%25AC%25E4%25B9%259D%25E7%25AB%25A0%2520%2520%25E9%2580%259A%25E8%25BE%25BE%25E4%25BF%25A1%25E8%25BD%25AF%25E4%25BB%25B6%25E6%259C%2580%25E6%2596%25B0%25E5%258A%25A8%25E6%2580%2581/9-5/8.png" TargetMode="External"/><Relationship Id="rId1098" Type="http://schemas.openxmlformats.org/officeDocument/2006/relationships/image" Target="media/image589.png"/><Relationship Id="rId1097" Type="http://schemas.openxmlformats.org/officeDocument/2006/relationships/image" Target="https://www.tdx.com.cn/products/helpfile/tdxw/chm/%25E7%25AC%25AC%25E4%25B9%259D%25E7%25AB%25A0%2520%2520%25E9%2580%259A%25E8%25BE%25BE%25E4%25BF%25A1%25E8%25BD%25AF%25E4%25BB%25B6%25E6%259C%2580%25E6%2596%25B0%25E5%258A%25A8%25E6%2580%2581/9-5/7.png" TargetMode="External"/><Relationship Id="rId1096" Type="http://schemas.openxmlformats.org/officeDocument/2006/relationships/image" Target="media/image588.png"/><Relationship Id="rId1095" Type="http://schemas.openxmlformats.org/officeDocument/2006/relationships/image" Target="https://www.tdx.com.cn/products/helpfile/tdxw/chm/%25E7%25AC%25AC%25E4%25B9%259D%25E7%25AB%25A0%2520%2520%25E9%2580%259A%25E8%25BE%25BE%25E4%25BF%25A1%25E8%25BD%25AF%25E4%25BB%25B6%25E6%259C%2580%25E6%2596%25B0%25E5%258A%25A8%25E6%2580%2581/9-5/6.png" TargetMode="External"/><Relationship Id="rId1094" Type="http://schemas.openxmlformats.org/officeDocument/2006/relationships/image" Target="media/image587.png"/><Relationship Id="rId1093" Type="http://schemas.openxmlformats.org/officeDocument/2006/relationships/image" Target="https://www.tdx.com.cn/products/helpfile/tdxw/chm/%25E7%25AC%25AC%25E4%25B9%259D%25E7%25AB%25A0%2520%2520%25E9%2580%259A%25E8%25BE%25BE%25E4%25BF%25A1%25E8%25BD%25AF%25E4%25BB%25B6%25E6%259C%2580%25E6%2596%25B0%25E5%258A%25A8%25E6%2580%2581/9-5/5.png" TargetMode="External"/><Relationship Id="rId1092" Type="http://schemas.openxmlformats.org/officeDocument/2006/relationships/image" Target="media/image586.png"/><Relationship Id="rId1091" Type="http://schemas.openxmlformats.org/officeDocument/2006/relationships/image" Target="media/image585.png"/><Relationship Id="rId1090" Type="http://schemas.openxmlformats.org/officeDocument/2006/relationships/image" Target="https://www.tdx.com.cn/products/helpfile/tdxw/chm/%25E7%25AC%25AC%25E4%25B9%259D%25E7%25AB%25A0%2520%2520%25E9%2580%259A%25E8%25BE%25BE%25E4%25BF%25A1%25E8%25BD%25AF%25E4%25BB%25B6%25E6%259C%2580%25E6%2596%25B0%25E5%258A%25A8%25E6%2580%2581/9-5/3.png" TargetMode="External"/><Relationship Id="rId109" Type="http://schemas.openxmlformats.org/officeDocument/2006/relationships/image" Target="https://www.tdx.com.cn/products/helpfile/tdxw/chm/%25E7%25AC%25AC%25E4%25BA%258C%25E7%25AB%25A0%2520%25E5%258A%259F%25E8%2583%25BD/2-5/2.png" TargetMode="External"/><Relationship Id="rId1089" Type="http://schemas.openxmlformats.org/officeDocument/2006/relationships/image" Target="media/image584.png"/><Relationship Id="rId1088" Type="http://schemas.openxmlformats.org/officeDocument/2006/relationships/image" Target="https://www.tdx.com.cn/products/helpfile/tdxw/chm/%25E7%25AC%25AC%25E4%25B9%259D%25E7%25AB%25A0%2520%2520%25E9%2580%259A%25E8%25BE%25BE%25E4%25BF%25A1%25E8%25BD%25AF%25E4%25BB%25B6%25E6%259C%2580%25E6%2596%25B0%25E5%258A%25A8%25E6%2580%2581/9-5/2.png" TargetMode="External"/><Relationship Id="rId1087" Type="http://schemas.openxmlformats.org/officeDocument/2006/relationships/image" Target="media/image583.png"/><Relationship Id="rId1086" Type="http://schemas.openxmlformats.org/officeDocument/2006/relationships/image" Target="https://www.tdx.com.cn/products/helpfile/tdxw/chm/%25E7%25AC%25AC%25E4%25B9%259D%25E7%25AB%25A0%2520%2520%25E9%2580%259A%25E8%25BE%25BE%25E4%25BF%25A1%25E8%25BD%25AF%25E4%25BB%25B6%25E6%259C%2580%25E6%2596%25B0%25E5%258A%25A8%25E6%2580%2581/9-5/1.png" TargetMode="External"/><Relationship Id="rId1085" Type="http://schemas.openxmlformats.org/officeDocument/2006/relationships/image" Target="media/image582.png"/><Relationship Id="rId1084" Type="http://schemas.openxmlformats.org/officeDocument/2006/relationships/image" Target="https://www.tdx.com.cn/products/helpfile/tdxw/chm/%25E7%25AC%25AC%25E4%25B9%259D%25E7%25AB%25A0%2520%2520%25E9%2580%259A%25E8%25BE%25BE%25E4%25BF%25A1%25E8%25BD%25AF%25E4%25BB%25B6%25E6%259C%2580%25E6%2596%25B0%25E5%258A%25A8%25E6%2580%2581/9-3/1.png" TargetMode="External"/><Relationship Id="rId1083" Type="http://schemas.openxmlformats.org/officeDocument/2006/relationships/image" Target="media/image581.png"/><Relationship Id="rId1082" Type="http://schemas.openxmlformats.org/officeDocument/2006/relationships/image" Target="https://www.tdx.com.cn/products/helpfile/tdxjysm/images/14_%25E5%2585%25B6%25E5%25AE%2583%25E5%25BD%25A2%25E6%2580%2581.png" TargetMode="External"/><Relationship Id="rId1081" Type="http://schemas.openxmlformats.org/officeDocument/2006/relationships/image" Target="media/image580.png"/><Relationship Id="rId1080" Type="http://schemas.openxmlformats.org/officeDocument/2006/relationships/image" Target="https://www.tdx.com.cn/products/helpfile/tdxjysm/images/13_%25E4%25B8%258B%25E8%25B7%258C%25E7%259B%2598%25E6%2595%25B4.png" TargetMode="External"/><Relationship Id="rId108" Type="http://schemas.openxmlformats.org/officeDocument/2006/relationships/image" Target="media/image55.png"/><Relationship Id="rId1079" Type="http://schemas.openxmlformats.org/officeDocument/2006/relationships/image" Target="media/image579.png"/><Relationship Id="rId1078" Type="http://schemas.openxmlformats.org/officeDocument/2006/relationships/image" Target="https://www.tdx.com.cn/products/helpfile/tdxjysm/images/12_%25E4%25B8%258A%25E8%25A1%258C%25E7%259B%2598%25E6%2595%25B4.png" TargetMode="External"/><Relationship Id="rId1077" Type="http://schemas.openxmlformats.org/officeDocument/2006/relationships/image" Target="media/image578.png"/><Relationship Id="rId1076" Type="http://schemas.openxmlformats.org/officeDocument/2006/relationships/image" Target="https://www.tdx.com.cn/products/helpfile/tdxjysm/images/11_%25E6%258B%2590%25E5%25A4%25B4%25E4%25B8%258B%25E8%25B7%258C.png" TargetMode="External"/><Relationship Id="rId1075" Type="http://schemas.openxmlformats.org/officeDocument/2006/relationships/image" Target="media/image577.png"/><Relationship Id="rId1074" Type="http://schemas.openxmlformats.org/officeDocument/2006/relationships/image" Target="https://www.tdx.com.cn/products/helpfile/tdxjysm/images/10_%25E6%258B%2590%25E5%25A4%25B4%25E4%25B8%258A%25E5%258D%2587.png" TargetMode="External"/><Relationship Id="rId1073" Type="http://schemas.openxmlformats.org/officeDocument/2006/relationships/image" Target="media/image576.png"/><Relationship Id="rId1072" Type="http://schemas.openxmlformats.org/officeDocument/2006/relationships/image" Target="https://www.tdx.com.cn/products/helpfile/tdxjysm/images/9_%25E4%25B8%258B%25E9%2599%258D%25E9%2580%259A%25E9%2581%2593.png" TargetMode="External"/><Relationship Id="rId1071" Type="http://schemas.openxmlformats.org/officeDocument/2006/relationships/image" Target="media/image575.png"/><Relationship Id="rId1070" Type="http://schemas.openxmlformats.org/officeDocument/2006/relationships/image" Target="https://www.tdx.com.cn/products/helpfile/tdxjysm/images/8_%25E4%25B8%258A%25E5%258D%2587%25E9%2580%259A%25E9%2581%2593.png" TargetMode="External"/><Relationship Id="rId107" Type="http://schemas.openxmlformats.org/officeDocument/2006/relationships/image" Target="media/image54.png"/><Relationship Id="rId1069" Type="http://schemas.openxmlformats.org/officeDocument/2006/relationships/image" Target="media/image574.png"/><Relationship Id="rId1068" Type="http://schemas.openxmlformats.org/officeDocument/2006/relationships/image" Target="https://www.tdx.com.cn/products/helpfile/tdxjysm/images/7_%25E7%259B%2598%25E6%2595%25B4%25E5%2590%258E%25E4%25B8%258B%25E8%25B7%258C.png" TargetMode="External"/><Relationship Id="rId1067" Type="http://schemas.openxmlformats.org/officeDocument/2006/relationships/image" Target="media/image573.png"/><Relationship Id="rId1066" Type="http://schemas.openxmlformats.org/officeDocument/2006/relationships/image" Target="https://www.tdx.com.cn/products/helpfile/tdxjysm/images/6_%25E7%259B%2598%25E6%2595%25B4%25E5%2590%258E%25E4%25B8%258A%25E8%25A1%258C.png" TargetMode="External"/><Relationship Id="rId1065" Type="http://schemas.openxmlformats.org/officeDocument/2006/relationships/image" Target="media/image572.png"/><Relationship Id="rId1064" Type="http://schemas.openxmlformats.org/officeDocument/2006/relationships/image" Target="https://www.tdx.com.cn/products/helpfile/tdxjysm/images/5_%25E7%259B%2598%25E6%2595%25B4.png" TargetMode="External"/><Relationship Id="rId1063" Type="http://schemas.openxmlformats.org/officeDocument/2006/relationships/image" Target="media/image571.png"/><Relationship Id="rId1062" Type="http://schemas.openxmlformats.org/officeDocument/2006/relationships/image" Target="https://www.tdx.com.cn/products/helpfile/tdxjysm/images/4_M%25E9%25A1%25B6.png" TargetMode="External"/><Relationship Id="rId1061" Type="http://schemas.openxmlformats.org/officeDocument/2006/relationships/image" Target="media/image570.png"/><Relationship Id="rId1060" Type="http://schemas.openxmlformats.org/officeDocument/2006/relationships/image" Target="https://www.tdx.com.cn/products/helpfile/tdxjysm/images/3_W%25E5%25BA%2595.png" TargetMode="External"/><Relationship Id="rId106" Type="http://schemas.openxmlformats.org/officeDocument/2006/relationships/image" Target="https://www.tdx.com.cn/products/helpfile/tdxw/chm/%25E7%25AC%25AC%25E4%25BA%258C%25E7%25AB%25A0%2520%25E5%258A%259F%25E8%2583%25BD/2-4/2.png" TargetMode="External"/><Relationship Id="rId1059" Type="http://schemas.openxmlformats.org/officeDocument/2006/relationships/image" Target="media/image569.png"/><Relationship Id="rId1058" Type="http://schemas.openxmlformats.org/officeDocument/2006/relationships/image" Target="https://www.tdx.com.cn/products/helpfile/tdxjysm/images/1_V%25E5%259E%258B%25E5%258F%258D%25E8%25BD%25AC.png" TargetMode="External"/><Relationship Id="rId1057" Type="http://schemas.openxmlformats.org/officeDocument/2006/relationships/image" Target="media/image568.png"/><Relationship Id="rId1056" Type="http://schemas.openxmlformats.org/officeDocument/2006/relationships/image" Target="https://www.tdx.com.cn/products/helpfile/tdxjysm/images/2_%25E5%2580%2592V%25E5%259E%258B%25E5%258F%258D%25E8%25BD%25AC.png" TargetMode="External"/><Relationship Id="rId1055" Type="http://schemas.openxmlformats.org/officeDocument/2006/relationships/image" Target="media/image567.png"/><Relationship Id="rId1054" Type="http://schemas.openxmlformats.org/officeDocument/2006/relationships/image" Target="https://www.tdx.com.cn/products/helpfile/tdxw/chm/%25E7%25AC%25AC%25E5%2585%25AD%25E7%25AB%25A0%2520%2520%25E5%259F%25BA%25E7%25A1%2580%25E7%2589%2588%25E5%258A%259F%25E8%2583%25BD/6-22/4.png" TargetMode="External"/><Relationship Id="rId1053" Type="http://schemas.openxmlformats.org/officeDocument/2006/relationships/image" Target="media/image566.png"/><Relationship Id="rId1052" Type="http://schemas.openxmlformats.org/officeDocument/2006/relationships/image" Target="https://www.tdx.com.cn/products/helpfile/tdxw/chm/%25E7%25AC%25AC%25E5%2585%25AD%25E7%25AB%25A0%2520%2520%25E5%259F%25BA%25E7%25A1%2580%25E7%2589%2588%25E5%258A%259F%25E8%2583%25BD/6-22/3.png" TargetMode="External"/><Relationship Id="rId1051" Type="http://schemas.openxmlformats.org/officeDocument/2006/relationships/image" Target="media/image565.png"/><Relationship Id="rId1050" Type="http://schemas.openxmlformats.org/officeDocument/2006/relationships/image" Target="https://www.tdx.com.cn/products/helpfile/tdxw/chm/%25E7%25AC%25AC%25E5%2585%25AD%25E7%25AB%25A0%2520%2520%25E5%259F%25BA%25E7%25A1%2580%25E7%2589%2588%25E5%258A%259F%25E8%2583%25BD/6-22/2.png" TargetMode="External"/><Relationship Id="rId105" Type="http://schemas.openxmlformats.org/officeDocument/2006/relationships/image" Target="media/image53.png"/><Relationship Id="rId1049" Type="http://schemas.openxmlformats.org/officeDocument/2006/relationships/image" Target="media/image564.png"/><Relationship Id="rId1048" Type="http://schemas.openxmlformats.org/officeDocument/2006/relationships/image" Target="https://www.tdx.com.cn/products/helpfile/tdxw/chm/%25E7%25AC%25AC%25E5%2585%25AD%25E7%25AB%25A0%2520%2520%25E5%259F%25BA%25E7%25A1%2580%25E7%2589%2588%25E5%258A%259F%25E8%2583%25BD/6-22/1.png" TargetMode="External"/><Relationship Id="rId1047" Type="http://schemas.openxmlformats.org/officeDocument/2006/relationships/image" Target="media/image563.png"/><Relationship Id="rId1046" Type="http://schemas.openxmlformats.org/officeDocument/2006/relationships/image" Target="https://www.tdx.com.cn/products/helpfile/tdxw/chm/%25E7%25AC%25AC%25E5%2585%25AD%25E7%25AB%25A0%2520%2520%25E5%259F%25BA%25E7%25A1%2580%25E7%2589%2588%25E5%258A%259F%25E8%2583%25BD/6-21/3.png" TargetMode="External"/><Relationship Id="rId1045" Type="http://schemas.openxmlformats.org/officeDocument/2006/relationships/image" Target="media/image562.png"/><Relationship Id="rId1044" Type="http://schemas.openxmlformats.org/officeDocument/2006/relationships/image" Target="https://www.tdx.com.cn/products/helpfile/tdxw/chm/%25E7%25AC%25AC%25E5%2585%25AD%25E7%25AB%25A0%2520%2520%25E5%259F%25BA%25E7%25A1%2580%25E7%2589%2588%25E5%258A%259F%25E8%2583%25BD/6-21/2.png" TargetMode="External"/><Relationship Id="rId1043" Type="http://schemas.openxmlformats.org/officeDocument/2006/relationships/image" Target="media/image561.png"/><Relationship Id="rId1042" Type="http://schemas.openxmlformats.org/officeDocument/2006/relationships/image" Target="https://www.tdx.com.cn/products/helpfile/tdxw/chm/%25E7%25AC%25AC%25E5%2585%25AD%25E7%25AB%25A0%2520%2520%25E5%259F%25BA%25E7%25A1%2580%25E7%2589%2588%25E5%258A%259F%25E8%2583%25BD/6-21/4.png" TargetMode="External"/><Relationship Id="rId1041" Type="http://schemas.openxmlformats.org/officeDocument/2006/relationships/image" Target="media/image560.png"/><Relationship Id="rId1040" Type="http://schemas.openxmlformats.org/officeDocument/2006/relationships/image" Target="https://www.tdx.com.cn/products/helpfile/tdxw/chm/%25E7%25AC%25AC%25E5%2585%25AD%25E7%25AB%25A0%2520%2520%25E5%259F%25BA%25E7%25A1%2580%25E7%2589%2588%25E5%258A%259F%25E8%2583%25BD/6-21/5.png" TargetMode="External"/><Relationship Id="rId104" Type="http://schemas.openxmlformats.org/officeDocument/2006/relationships/image" Target="https://www.tdx.com.cn/products/helpfile/tdxw/chm/%25E7%25AC%25AC%25E4%25BA%258C%25E7%25AB%25A0%2520%25E5%258A%259F%25E8%2583%25BD/2-4/1.png" TargetMode="External"/><Relationship Id="rId1039" Type="http://schemas.openxmlformats.org/officeDocument/2006/relationships/image" Target="media/image559.png"/><Relationship Id="rId1038" Type="http://schemas.openxmlformats.org/officeDocument/2006/relationships/image" Target="https://www.tdx.com.cn/products/helpfile/tdxw/chm/%25E7%25AC%25AC%25E5%2585%25AD%25E7%25AB%25A0%2520%2520%25E5%259F%25BA%25E7%25A1%2580%25E7%2589%2588%25E5%258A%259F%25E8%2583%25BD/6-19/2.png" TargetMode="External"/><Relationship Id="rId1037" Type="http://schemas.openxmlformats.org/officeDocument/2006/relationships/image" Target="media/image558.png"/><Relationship Id="rId1036" Type="http://schemas.openxmlformats.org/officeDocument/2006/relationships/image" Target="https://www.tdx.com.cn/products/helpfile/tdxw/chm/%25E7%25AC%25AC%25E5%2585%25AD%25E7%25AB%25A0%2520%2520%25E5%259F%25BA%25E7%25A1%2580%25E7%2589%2588%25E5%258A%259F%25E8%2583%25BD/6-19/1.png" TargetMode="External"/><Relationship Id="rId1035" Type="http://schemas.openxmlformats.org/officeDocument/2006/relationships/image" Target="media/image557.png"/><Relationship Id="rId1034" Type="http://schemas.openxmlformats.org/officeDocument/2006/relationships/image" Target="https://www.tdx.com.cn/products/helpfile/tdxw/chm/%25E7%25AC%25AC%25E5%2585%25AD%25E7%25AB%25A0%2520%2520%25E5%259F%25BA%25E7%25A1%2580%25E7%2589%2588%25E5%258A%259F%25E8%2583%25BD/6-18/5.png" TargetMode="External"/><Relationship Id="rId1033" Type="http://schemas.openxmlformats.org/officeDocument/2006/relationships/image" Target="media/image556.png"/><Relationship Id="rId1032" Type="http://schemas.openxmlformats.org/officeDocument/2006/relationships/image" Target="https://www.tdx.com.cn/products/helpfile/tdxw/chm/%25E7%25AC%25AC%25E5%2585%25AD%25E7%25AB%25A0%2520%2520%25E5%259F%25BA%25E7%25A1%2580%25E7%2589%2588%25E5%258A%259F%25E8%2583%25BD/6-18/4.png" TargetMode="External"/><Relationship Id="rId1031" Type="http://schemas.openxmlformats.org/officeDocument/2006/relationships/image" Target="media/image555.png"/><Relationship Id="rId1030" Type="http://schemas.openxmlformats.org/officeDocument/2006/relationships/image" Target="https://www.tdx.com.cn/products/helpfile/tdxw/chm/%25E7%25AC%25AC%25E5%2585%25AD%25E7%25AB%25A0%2520%2520%25E5%259F%25BA%25E7%25A1%2580%25E7%2589%2588%25E5%258A%259F%25E8%2583%25BD/6-18/3.png" TargetMode="External"/><Relationship Id="rId103" Type="http://schemas.openxmlformats.org/officeDocument/2006/relationships/image" Target="media/image52.png"/><Relationship Id="rId1029" Type="http://schemas.openxmlformats.org/officeDocument/2006/relationships/image" Target="media/image554.png"/><Relationship Id="rId1028" Type="http://schemas.openxmlformats.org/officeDocument/2006/relationships/image" Target="https://www.tdx.com.cn/products/helpfile/tdxw/chm/%25E7%25AC%25AC%25E5%2585%25AD%25E7%25AB%25A0%2520%2520%25E5%259F%25BA%25E7%25A1%2580%25E7%2589%2588%25E5%258A%259F%25E8%2583%25BD/6-18/2.png" TargetMode="External"/><Relationship Id="rId1027" Type="http://schemas.openxmlformats.org/officeDocument/2006/relationships/image" Target="media/image553.png"/><Relationship Id="rId1026" Type="http://schemas.openxmlformats.org/officeDocument/2006/relationships/image" Target="https://www.tdx.com.cn/products/helpfile/tdxw/chm/%25E7%25AC%25AC%25E5%2585%25AD%25E7%25AB%25A0%2520%2520%25E5%259F%25BA%25E7%25A1%2580%25E7%2589%2588%25E5%258A%259F%25E8%2583%25BD/6-18/1.png" TargetMode="External"/><Relationship Id="rId1025" Type="http://schemas.openxmlformats.org/officeDocument/2006/relationships/image" Target="media/image552.png"/><Relationship Id="rId1024" Type="http://schemas.openxmlformats.org/officeDocument/2006/relationships/image" Target="https://www.tdx.com.cn/products/helpfile/tdxw/chm/%25E7%25AC%25AC%25E5%2585%25AD%25E7%25AB%25A0%2520%2520%25E5%259F%25BA%25E7%25A1%2580%25E7%2589%2588%25E5%258A%259F%25E8%2583%25BD/6-17/2.png" TargetMode="External"/><Relationship Id="rId1023" Type="http://schemas.openxmlformats.org/officeDocument/2006/relationships/image" Target="media/image551.png"/><Relationship Id="rId1022" Type="http://schemas.openxmlformats.org/officeDocument/2006/relationships/image" Target="https://www.tdx.com.cn/products/helpfile/tdxw/chm/%25E7%25AC%25AC%25E5%2585%25AD%25E7%25AB%25A0%2520%2520%25E5%259F%25BA%25E7%25A1%2580%25E7%2589%2588%25E5%258A%259F%25E8%2583%25BD/6-17/1.png" TargetMode="External"/><Relationship Id="rId1021" Type="http://schemas.openxmlformats.org/officeDocument/2006/relationships/image" Target="media/image550.png"/><Relationship Id="rId1020" Type="http://schemas.openxmlformats.org/officeDocument/2006/relationships/image" Target="https://www.tdx.com.cn/products/helpfile/tdxw/chm/%25E7%25AC%25AC%25E5%2585%25AD%25E7%25AB%25A0%2520%2520%25E5%259F%25BA%25E7%25A1%2580%25E7%2589%2588%25E5%258A%259F%25E8%2583%25BD/6-17/0.5.png" TargetMode="External"/><Relationship Id="rId102" Type="http://schemas.openxmlformats.org/officeDocument/2006/relationships/image" Target="https://www.tdx.com.cn/products/helpfile/tdxw/chm/%25E7%25AC%25AC%25E4%25BA%258C%25E7%25AB%25A0%2520%25E5%258A%259F%25E8%2583%25BD/2-3/13.png" TargetMode="External"/><Relationship Id="rId1019" Type="http://schemas.openxmlformats.org/officeDocument/2006/relationships/image" Target="media/image549.png"/><Relationship Id="rId1018" Type="http://schemas.openxmlformats.org/officeDocument/2006/relationships/image" Target="https://www.tdx.com.cn/products/helpfile/tdxw/chm/%25E7%25AC%25AC%25E5%2585%25AD%25E7%25AB%25A0%2520%2520%25E5%259F%25BA%25E7%25A1%2580%25E7%2589%2588%25E5%258A%259F%25E8%2583%25BD/6-16/6-16-2/4.png" TargetMode="External"/><Relationship Id="rId1017" Type="http://schemas.openxmlformats.org/officeDocument/2006/relationships/image" Target="media/image548.png"/><Relationship Id="rId1016" Type="http://schemas.openxmlformats.org/officeDocument/2006/relationships/image" Target="https://www.tdx.com.cn/products/helpfile/tdxw/chm/%25E7%25AC%25AC%25E5%2585%25AD%25E7%25AB%25A0%2520%2520%25E5%259F%25BA%25E7%25A1%2580%25E7%2589%2588%25E5%258A%259F%25E8%2583%25BD/6-16/6-16-2/3.png" TargetMode="External"/><Relationship Id="rId1015" Type="http://schemas.openxmlformats.org/officeDocument/2006/relationships/image" Target="media/image547.png"/><Relationship Id="rId1014" Type="http://schemas.openxmlformats.org/officeDocument/2006/relationships/image" Target="https://www.tdx.com.cn/products/helpfile/tdxw/chm/%25E7%25AC%25AC%25E5%2585%25AD%25E7%25AB%25A0%2520%2520%25E5%259F%25BA%25E7%25A1%2580%25E7%2589%2588%25E5%258A%259F%25E8%2583%25BD/6-16/6-16-2/2.png" TargetMode="External"/><Relationship Id="rId1013" Type="http://schemas.openxmlformats.org/officeDocument/2006/relationships/image" Target="media/image546.png"/><Relationship Id="rId1012" Type="http://schemas.openxmlformats.org/officeDocument/2006/relationships/image" Target="https://www.tdx.com.cn/products/helpfile/tdxw/chm/%25E7%25AC%25AC%25E5%2585%25AD%25E7%25AB%25A0%2520%2520%25E5%259F%25BA%25E7%25A1%2580%25E7%2589%2588%25E5%258A%259F%25E8%2583%25BD/6-16/6-16-2/1.png" TargetMode="External"/><Relationship Id="rId1011" Type="http://schemas.openxmlformats.org/officeDocument/2006/relationships/image" Target="media/image545.png"/><Relationship Id="rId1010" Type="http://schemas.openxmlformats.org/officeDocument/2006/relationships/image" Target="file:///F:\0713&#36890;&#36798;&#20449;&#32508;&#21512;&#37329;&#34701;&#32456;&#31471;V6.17\&#31532;&#20845;&#31456;%2520%2520&#22522;&#30784;&#29256;&#21151;&#33021;\6-16\6-16-1\5.png" TargetMode="External"/><Relationship Id="rId101" Type="http://schemas.openxmlformats.org/officeDocument/2006/relationships/image" Target="media/image51.png"/><Relationship Id="rId1009" Type="http://schemas.openxmlformats.org/officeDocument/2006/relationships/image" Target="media/image544.png"/><Relationship Id="rId1008" Type="http://schemas.openxmlformats.org/officeDocument/2006/relationships/image" Target="file:///F:\0713&#36890;&#36798;&#20449;&#32508;&#21512;&#37329;&#34701;&#32456;&#31471;V6.17\&#31532;&#20845;&#31456;%2520%2520&#22522;&#30784;&#29256;&#21151;&#33021;\6-16\6-16-1\4.png" TargetMode="External"/><Relationship Id="rId1007" Type="http://schemas.openxmlformats.org/officeDocument/2006/relationships/image" Target="media/image543.png"/><Relationship Id="rId1006" Type="http://schemas.openxmlformats.org/officeDocument/2006/relationships/image" Target="file:///F:\0713&#36890;&#36798;&#20449;&#32508;&#21512;&#37329;&#34701;&#32456;&#31471;V6.17\&#31532;&#20845;&#31456;%2520%2520&#22522;&#30784;&#29256;&#21151;&#33021;\6-16\6-16-1\3.png" TargetMode="External"/><Relationship Id="rId1005" Type="http://schemas.openxmlformats.org/officeDocument/2006/relationships/image" Target="media/image542.png"/><Relationship Id="rId1004" Type="http://schemas.openxmlformats.org/officeDocument/2006/relationships/image" Target="file:///F:\0713&#36890;&#36798;&#20449;&#32508;&#21512;&#37329;&#34701;&#32456;&#31471;V6.17\&#31532;&#20845;&#31456;%2520%2520&#22522;&#30784;&#29256;&#21151;&#33021;\6-16\6-16-1\2.png" TargetMode="External"/><Relationship Id="rId1003" Type="http://schemas.openxmlformats.org/officeDocument/2006/relationships/image" Target="media/image541.png"/><Relationship Id="rId1002" Type="http://schemas.openxmlformats.org/officeDocument/2006/relationships/image" Target="file:///F:\0713&#36890;&#36798;&#20449;&#32508;&#21512;&#37329;&#34701;&#32456;&#31471;V6.17\&#31532;&#20845;&#31456;%2520%2520&#22522;&#30784;&#29256;&#21151;&#33021;\6-16\6-16-1\1.png" TargetMode="External"/><Relationship Id="rId1001" Type="http://schemas.openxmlformats.org/officeDocument/2006/relationships/image" Target="media/image540.png"/><Relationship Id="rId1000" Type="http://schemas.openxmlformats.org/officeDocument/2006/relationships/image" Target="https://www.tdx.com.cn/products/helpfile/tdxw/chm/%25E7%25AC%25AC%25E5%2585%25AD%25E7%25AB%25A0%2520%2520%25E5%259F%25BA%25E7%25A1%2580%25E7%2589%2588%25E5%258A%259F%25E8%2583%25BD/6-15/3.png" TargetMode="External"/><Relationship Id="rId100" Type="http://schemas.openxmlformats.org/officeDocument/2006/relationships/image" Target="https://www.tdx.com.cn/products/helpfile/tdxw/chm/%25E7%25AC%25AC%25E4%25BA%258C%25E7%25AB%25A0%2520%25E5%258A%259F%25E8%2583%25BD/2-3/12.1.png" TargetMode="External"/><Relationship Id="rId10" Type="http://schemas.openxmlformats.org/officeDocument/2006/relationships/image" Target="media/image3.pn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Dell/Documents/Tencent%2520Files/2602671830/Image/C2C/Image3/9ZE_L@PJ~W_%255dTR%257bE%255d~SR0SV.png" TargetMode="External"/><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Administrator\&#26700;&#38754;\&#22797;&#20214;%20&#36890;&#36798;&#20449;&#32437;&#21521;&#27169;&#29256;2017.dot"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64BACB4-2F16-4392-ACA3-B4C00B3EE34C}">
  <ds:schemaRefs/>
</ds:datastoreItem>
</file>

<file path=docProps/app.xml><?xml version="1.0" encoding="utf-8"?>
<Properties xmlns="http://schemas.openxmlformats.org/officeDocument/2006/extended-properties" xmlns:vt="http://schemas.openxmlformats.org/officeDocument/2006/docPropsVTypes">
  <Template>复件 通达信纵向模版2017</Template>
  <Company>微软中国</Company>
  <Pages>635</Pages>
  <Words>94175</Words>
  <Characters>536799</Characters>
  <Lines>4473</Lines>
  <Paragraphs>1259</Paragraphs>
  <TotalTime>6223</TotalTime>
  <ScaleCrop>false</ScaleCrop>
  <LinksUpToDate>false</LinksUpToDate>
  <CharactersWithSpaces>629715</CharactersWithSpaces>
  <Application>WPS Office_12.1.0.16120_F1E327BC-269C-435d-A152-05C5408002CA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2020-07-31T08:51:00Z</dcterms:created>
  <dc:creator>AutoBVT</dc:creator>
  <cp:lastModifiedBy>黄艳红</cp:lastModifiedBy>
  <dcterms:modified xsi:type="dcterms:W3CDTF">2024-01-09T05:30:23Z</dcterms:modified>
  <cp:revision>793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2052-12.1.0.16120</vt:lpwstr>
  </property>
  <property fmtid="{D5CDD505-2E9C-101B-9397-08002B2CF9AE}" pid="3" name="ICV">
    <vt:lpwstr>7EE33DBCF3114D9CABFC62C2381AE754_13</vt:lpwstr>
  </property>
</Properties>
</file>