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8"/>
      </w:pPr>
      <w:r>
        <w:rPr>
          <w:rFonts w:hint="eastAsia"/>
          <w:lang w:val="en-US" w:eastAsia="zh-CN"/>
        </w:rPr>
        <w:t xml:space="preserve">Skywalking Agent 采集 GaussDB </w:t>
      </w:r>
      <w:r>
        <w:rPr>
          <w:rFonts w:hint="default"/>
          <w:lang w:val="en-US" w:eastAsia="zh-CN"/>
        </w:rPr>
        <w:t xml:space="preserve">JDBC </w:t>
      </w:r>
      <w:r>
        <w:rPr>
          <w:rFonts w:hint="eastAsia"/>
          <w:lang w:val="en-US" w:eastAsia="zh-CN"/>
        </w:rPr>
        <w:t>链路-使用指南</w:t>
      </w:r>
    </w:p>
    <w:p>
      <w:pPr>
        <w:pStyle w:val="2"/>
      </w:pPr>
      <w:r>
        <w:rPr>
          <w:rFonts w:hint="eastAsia"/>
        </w:rPr>
        <w:t>商品说明</w:t>
      </w:r>
    </w:p>
    <w:p>
      <w:pPr>
        <w:pStyle w:val="7"/>
        <w:rPr>
          <w:rFonts w:hint="eastAsia" w:ascii="Times New Roman" w:hAnsi="Times New Roman" w:cs="Times New Roman"/>
          <w:snapToGrid w:val="0"/>
          <w:sz w:val="21"/>
          <w:szCs w:val="21"/>
        </w:rPr>
      </w:pPr>
      <w:r>
        <w:rPr>
          <w:rFonts w:hint="eastAsia" w:ascii="Times New Roman" w:hAnsi="Times New Roman" w:cs="Times New Roman"/>
          <w:snapToGrid w:val="0"/>
          <w:sz w:val="21"/>
          <w:szCs w:val="21"/>
        </w:rPr>
        <w:t>GaussDB</w:t>
      </w:r>
      <w:r>
        <w:rPr>
          <w:rFonts w:hint="default" w:ascii="Times New Roman" w:hAnsi="Times New Roman" w:cs="Times New Roman"/>
          <w:snapToGrid w:val="0"/>
          <w:sz w:val="21"/>
          <w:szCs w:val="21"/>
          <w:lang w:val="en-US"/>
        </w:rPr>
        <w:t xml:space="preserve"> </w:t>
      </w:r>
      <w:r>
        <w:rPr>
          <w:rFonts w:hint="eastAsia" w:ascii="Times New Roman" w:hAnsi="Times New Roman" w:cs="Times New Roman"/>
          <w:snapToGrid w:val="0"/>
          <w:sz w:val="21"/>
          <w:szCs w:val="21"/>
        </w:rPr>
        <w:t>是华为自主创新研发的分布式关系型数据库。该产品具备企业级复杂事务混合负载能力，同时支持分布式事务，同城跨AZ部署，数据0丢失，支持1000+的扩展能力，PB级海量存储。同时拥有云上高可用，高可靠，高安全，弹性伸缩，一键部署，快速备份恢复，监控告警等关键能力，能为企业提供功能全面，稳定可靠，扩展性强，性能优越的企业级数据库服务。</w:t>
      </w:r>
    </w:p>
    <w:p>
      <w:pPr>
        <w:pStyle w:val="7"/>
        <w:rPr>
          <w:rFonts w:hint="eastAsia" w:ascii="Times New Roman" w:hAnsi="Times New Roman" w:cs="Times New Roman"/>
          <w:snapToGrid w:val="0"/>
          <w:sz w:val="21"/>
          <w:szCs w:val="21"/>
        </w:rPr>
      </w:pPr>
      <w:r>
        <w:rPr>
          <w:rFonts w:hint="eastAsia" w:ascii="Times New Roman" w:hAnsi="Times New Roman" w:cs="Times New Roman"/>
          <w:snapToGrid w:val="0"/>
          <w:sz w:val="21"/>
          <w:szCs w:val="21"/>
        </w:rPr>
        <w:t>Apache Skywalking是一个开源的应用性能监控系统，专为微服务、云原生和基于容器的架构设计。它提供了端到端的分布式跟踪、服务拓扑分析、服务中心的可观察性和API仪表板。</w:t>
      </w:r>
    </w:p>
    <w:p>
      <w:pPr>
        <w:pStyle w:val="7"/>
        <w:rPr>
          <w:rFonts w:hint="default" w:ascii="Times New Roman" w:hAnsi="Times New Roman" w:eastAsia="宋体" w:cs="Times New Roman"/>
          <w:snapToGrid w:val="0"/>
          <w:sz w:val="21"/>
          <w:szCs w:val="21"/>
          <w:lang w:val="en-US" w:eastAsia="zh-CN"/>
        </w:rPr>
      </w:pPr>
      <w:r>
        <w:rPr>
          <w:rFonts w:hint="eastAsia" w:ascii="Times New Roman" w:hAnsi="Times New Roman" w:cs="Times New Roman"/>
          <w:snapToGrid w:val="0"/>
          <w:sz w:val="21"/>
          <w:szCs w:val="21"/>
          <w:lang w:val="en-US" w:eastAsia="zh-CN"/>
        </w:rPr>
        <w:t>本商品利用了 Skywalking Agent 插件机制，让 Agent 支持采集使用了 Gaussdb JDBC Driver 的Java 应用的链路，包括将 Java 应用的http server 链路span 访问gaussdb server 的span进行串联；从而能基于链路从应用调用方统计出慢 SQL 语句以及相应指标。</w:t>
      </w:r>
    </w:p>
    <w:p>
      <w:pPr>
        <w:pStyle w:val="2"/>
      </w:pPr>
      <w:r>
        <w:rPr>
          <w:rFonts w:hint="eastAsia"/>
        </w:rPr>
        <w:t>商品购买</w:t>
      </w:r>
    </w:p>
    <w:p>
      <w:pPr>
        <w:rPr>
          <w:rFonts w:hint="eastAsia"/>
        </w:rPr>
      </w:pPr>
      <w:r>
        <w:rPr>
          <w:rFonts w:hint="eastAsia"/>
        </w:rPr>
        <w:t>您可以在云商店搜索“</w:t>
      </w:r>
      <w:r>
        <w:rPr>
          <w:rFonts w:hint="eastAsia" w:ascii="Arial" w:hAnsi="Arial" w:eastAsia="宋体" w:cs="Arial"/>
          <w:b/>
          <w:bCs/>
          <w:i w:val="0"/>
          <w:iCs w:val="0"/>
          <w:caps w:val="0"/>
          <w:color w:val="C00000"/>
          <w:spacing w:val="0"/>
          <w:sz w:val="19"/>
          <w:szCs w:val="19"/>
          <w:shd w:val="clear" w:fill="FFFFFF"/>
          <w:lang w:val="en-US" w:eastAsia="zh-CN"/>
        </w:rPr>
        <w:t>Skywalking</w:t>
      </w:r>
      <w:r>
        <w:rPr>
          <w:rFonts w:hint="default" w:ascii="Arial" w:hAnsi="Arial" w:eastAsia="宋体" w:cs="Arial"/>
          <w:b/>
          <w:bCs/>
          <w:i w:val="0"/>
          <w:iCs w:val="0"/>
          <w:caps w:val="0"/>
          <w:color w:val="C00000"/>
          <w:spacing w:val="0"/>
          <w:sz w:val="19"/>
          <w:szCs w:val="19"/>
          <w:shd w:val="clear" w:fill="FFFFFF"/>
          <w:lang w:val="en-US" w:eastAsia="zh-CN"/>
        </w:rPr>
        <w:t>-GaussDB-JDBC</w:t>
      </w:r>
      <w:r>
        <w:rPr>
          <w:rFonts w:hint="eastAsia"/>
        </w:rPr>
        <w:t>”。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>其中，地域、规格、推荐配置使用默认，购买方式根据您的需求选择按需/按月/按年，短期使用推荐按需，长期使用推荐按月/按年，确认配置后点击“立即购买”。</w:t>
      </w:r>
    </w:p>
    <w:p>
      <w:pPr>
        <w:rPr>
          <w:rFonts w:hint="eastAsia"/>
        </w:rPr>
      </w:pPr>
    </w:p>
    <w:p>
      <w:pPr>
        <w:rPr>
          <w:rFonts w:hint="default" w:cs="Times New Roman"/>
          <w:snapToGrid w:val="0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另外，此商品需要搭配华为 </w:t>
      </w:r>
      <w:r>
        <w:rPr>
          <w:rFonts w:hint="eastAsia" w:ascii="Times New Roman" w:hAnsi="Times New Roman" w:cs="Times New Roman"/>
          <w:snapToGrid w:val="0"/>
          <w:sz w:val="21"/>
          <w:szCs w:val="21"/>
        </w:rPr>
        <w:t>GaussDB</w:t>
      </w:r>
      <w:r>
        <w:rPr>
          <w:rFonts w:hint="default" w:ascii="Times New Roman" w:hAnsi="Times New Roman" w:cs="Times New Roman"/>
          <w:snapToGrid w:val="0"/>
          <w:sz w:val="21"/>
          <w:szCs w:val="21"/>
          <w:lang w:val="en-US"/>
        </w:rPr>
        <w:t xml:space="preserve"> </w:t>
      </w:r>
      <w:r>
        <w:rPr>
          <w:rFonts w:hint="eastAsia" w:cs="Times New Roman"/>
          <w:snapToGrid w:val="0"/>
          <w:sz w:val="21"/>
          <w:szCs w:val="21"/>
          <w:lang w:val="en-US" w:eastAsia="zh-CN"/>
        </w:rPr>
        <w:t>数据库使用，请先自行购买：</w:t>
      </w:r>
    </w:p>
    <w:p>
      <w:pPr>
        <w:rPr>
          <w:rFonts w:hint="eastAsia" w:eastAsia="宋体"/>
          <w:lang w:val="en-US" w:eastAsia="zh-CN"/>
        </w:rPr>
      </w:pPr>
      <w:r>
        <w:drawing>
          <wp:inline distT="0" distB="0" distL="114300" distR="114300">
            <wp:extent cx="4019550" cy="4933950"/>
            <wp:effectExtent l="0" t="0" r="19050" b="1905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19550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  <w:r>
        <w:rPr>
          <w:rFonts w:hint="eastAsia"/>
        </w:rPr>
        <w:t>商品资源配置</w:t>
      </w:r>
    </w:p>
    <w:p>
      <w:pPr>
        <w:rPr>
          <w:rFonts w:hint="eastAsia"/>
        </w:rPr>
      </w:pPr>
      <w:r>
        <w:rPr>
          <w:rFonts w:hint="eastAsia"/>
        </w:rPr>
        <w:t>商品支持</w:t>
      </w:r>
      <w:r>
        <w:rPr>
          <w:rFonts w:hint="default"/>
          <w:lang w:val="en-US"/>
        </w:rPr>
        <w:t xml:space="preserve"> </w:t>
      </w:r>
      <w:r>
        <w:rPr>
          <w:rFonts w:hint="eastAsia"/>
          <w:b/>
        </w:rPr>
        <w:t>E</w:t>
      </w:r>
      <w:r>
        <w:rPr>
          <w:b/>
        </w:rPr>
        <w:t>CS</w:t>
      </w:r>
      <w:r>
        <w:rPr>
          <w:rFonts w:hint="eastAsia"/>
          <w:b/>
        </w:rPr>
        <w:t>控制台配置</w:t>
      </w:r>
      <w:r>
        <w:rPr>
          <w:rFonts w:hint="eastAsia"/>
        </w:rPr>
        <w:t>，下面对资源配置的方式进行介绍。</w:t>
      </w:r>
    </w:p>
    <w:p>
      <w:pPr>
        <w:pStyle w:val="3"/>
      </w:pPr>
      <w:r>
        <w:rPr>
          <w:rFonts w:hint="eastAsia"/>
        </w:rPr>
        <w:t>E</w:t>
      </w:r>
      <w:r>
        <w:t>CS</w:t>
      </w:r>
      <w:r>
        <w:rPr>
          <w:rFonts w:hint="eastAsia"/>
        </w:rPr>
        <w:t>控制台配置</w:t>
      </w:r>
    </w:p>
    <w:p>
      <w:pPr>
        <w:pStyle w:val="4"/>
        <w:rPr>
          <w:rFonts w:hint="default" w:cs="Times New Roman"/>
          <w:snapToGrid w:val="0"/>
          <w:sz w:val="21"/>
          <w:szCs w:val="21"/>
          <w:lang w:val="en-US" w:eastAsia="zh-CN"/>
        </w:rPr>
      </w:pPr>
      <w:r>
        <w:rPr>
          <w:rFonts w:hint="eastAsia"/>
        </w:rPr>
        <w:t>准备工作</w:t>
      </w:r>
    </w:p>
    <w:p>
      <w:r>
        <w:rPr>
          <w:rFonts w:hint="eastAsia"/>
        </w:rPr>
        <w:t>在使用E</w:t>
      </w:r>
      <w:r>
        <w:t>CS</w:t>
      </w:r>
      <w:r>
        <w:rPr>
          <w:rFonts w:hint="eastAsia"/>
        </w:rPr>
        <w:t>控制台配置前，需要您提前配置好</w:t>
      </w:r>
      <w:r>
        <w:rPr>
          <w:rFonts w:hint="eastAsia"/>
          <w:b/>
        </w:rPr>
        <w:t>安全组规则</w:t>
      </w:r>
      <w:r>
        <w:rPr>
          <w:rFonts w:hint="eastAsia"/>
        </w:rPr>
        <w:t>。</w:t>
      </w:r>
    </w:p>
    <w:p>
      <w:r>
        <w:rPr>
          <w:rFonts w:hint="eastAsia"/>
          <w:b/>
        </w:rPr>
        <w:t>安全组规则</w:t>
      </w:r>
      <w:r>
        <w:rPr>
          <w:rFonts w:hint="eastAsia"/>
        </w:rPr>
        <w:t>的配置如下：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入方向规则放通端口</w:t>
      </w:r>
      <w:r>
        <w:rPr>
          <w:rFonts w:hint="default"/>
          <w:lang w:val="en-US"/>
        </w:rPr>
        <w:t xml:space="preserve">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>8080</w:t>
      </w:r>
      <w:r>
        <w:rPr>
          <w:rFonts w:hint="eastAsia"/>
        </w:rPr>
        <w:t>，</w:t>
      </w:r>
      <w:r>
        <w:rPr>
          <w:rFonts w:hint="eastAsia"/>
          <w:color w:val="FF0000"/>
        </w:rPr>
        <w:t>源地址内必须包含您的客户端ip</w:t>
      </w:r>
      <w:r>
        <w:rPr>
          <w:rFonts w:hint="eastAsia"/>
        </w:rPr>
        <w:t>，否则无法访问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入方向规则放通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CloudShell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连接实例使用的端口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2</w:t>
      </w:r>
      <w:r>
        <w:t>2</w:t>
      </w:r>
      <w:r>
        <w:rPr>
          <w:rFonts w:hint="eastAsia"/>
        </w:rPr>
        <w:t>，以便在控制台登录调试。</w:t>
      </w:r>
    </w:p>
    <w:p>
      <w:pPr>
        <w:pStyle w:val="19"/>
        <w:numPr>
          <w:ilvl w:val="0"/>
          <w:numId w:val="2"/>
        </w:numPr>
        <w:ind w:firstLineChars="0"/>
      </w:pPr>
      <w:r>
        <w:rPr>
          <w:rFonts w:hint="eastAsia"/>
        </w:rPr>
        <w:t>出方向规则一键放通</w:t>
      </w:r>
    </w:p>
    <w:p>
      <w:pPr>
        <w:rPr>
          <w:rFonts w:hint="eastAsia"/>
        </w:rPr>
      </w:pPr>
    </w:p>
    <w:p>
      <w:pPr>
        <w:pStyle w:val="4"/>
      </w:pPr>
      <w:r>
        <w:rPr>
          <w:rFonts w:hint="eastAsia"/>
        </w:rPr>
        <w:t>创建E</w:t>
      </w:r>
      <w:r>
        <w:t>CS</w:t>
      </w:r>
    </w:p>
    <w:p>
      <w:r>
        <w:rPr>
          <w:rFonts w:hint="eastAsia"/>
        </w:rPr>
        <w:t>前提工作准备好后，选择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E</w:t>
      </w:r>
      <w:r>
        <w:t>CS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控制台配置跳转到购买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E</w:t>
      </w:r>
      <w:r>
        <w:t>CS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页面，</w:t>
      </w:r>
      <w:r>
        <w:t>ECS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资源的配置如下图所示：</w:t>
      </w:r>
    </w:p>
    <w:p>
      <w:r>
        <w:rPr>
          <w:rFonts w:hint="eastAsia"/>
        </w:rPr>
        <w:drawing>
          <wp:inline distT="0" distB="0" distL="114300" distR="114300">
            <wp:extent cx="5266055" cy="2549525"/>
            <wp:effectExtent l="0" t="0" r="10795" b="3175"/>
            <wp:docPr id="11" name="图片 11" descr="16783486365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7834863658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4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60975" cy="2519045"/>
            <wp:effectExtent l="0" t="0" r="15875" b="14605"/>
            <wp:docPr id="12" name="图片 12" descr="1678349536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7834953613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1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drawing>
          <wp:inline distT="0" distB="0" distL="114300" distR="114300">
            <wp:extent cx="5257800" cy="2529205"/>
            <wp:effectExtent l="0" t="0" r="0" b="4445"/>
            <wp:docPr id="14" name="图片 14" descr="1678351089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783510898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529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</w:rPr>
      </w:pPr>
      <w:r>
        <w:rPr>
          <w:rFonts w:hint="eastAsia"/>
          <w:b/>
          <w:bCs/>
        </w:rPr>
        <w:t>值得注意的是：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V</w:t>
      </w:r>
      <w:r>
        <w:t>PC</w:t>
      </w:r>
      <w:r>
        <w:rPr>
          <w:rFonts w:hint="eastAsia"/>
        </w:rPr>
        <w:t>您可以自行创建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安全组选择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3.</w:t>
      </w:r>
      <w:r>
        <w:t>1</w:t>
      </w:r>
      <w:r>
        <w:rPr>
          <w:rFonts w:hint="eastAsia"/>
        </w:rPr>
        <w:t>.1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章节中配置的安全组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弹性公网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I</w:t>
      </w:r>
      <w:r>
        <w:t>P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选择现在购买，推荐选择“按流量计费”，带宽大小可设置为</w:t>
      </w:r>
      <w:r>
        <w:rPr>
          <w:rFonts w:hint="default"/>
          <w:lang w:val="en-US"/>
        </w:rPr>
        <w:t xml:space="preserve"> </w:t>
      </w:r>
      <w:r>
        <w:t>5M</w:t>
      </w:r>
      <w:r>
        <w:rPr>
          <w:rFonts w:hint="eastAsia"/>
        </w:rPr>
        <w:t>bit/s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高级配置需要在高级选项支持注入自定义数据，所以登录凭证不能选择“密码”，选择创建后设置</w:t>
      </w:r>
    </w:p>
    <w:p>
      <w:pPr>
        <w:pStyle w:val="19"/>
        <w:numPr>
          <w:ilvl w:val="0"/>
          <w:numId w:val="3"/>
        </w:numPr>
        <w:ind w:firstLineChars="0"/>
      </w:pPr>
      <w:r>
        <w:rPr>
          <w:rFonts w:hint="eastAsia"/>
        </w:rPr>
        <w:t>其余默认或按规则填写即可。</w:t>
      </w:r>
    </w:p>
    <w:p>
      <w:pPr>
        <w:rPr>
          <w:rFonts w:hint="eastAsia"/>
        </w:rPr>
      </w:pPr>
    </w:p>
    <w:p>
      <w:pPr>
        <w:pStyle w:val="2"/>
      </w:pPr>
      <w:r>
        <w:rPr>
          <w:rFonts w:hint="eastAsia"/>
        </w:rPr>
        <w:t>商品使用</w:t>
      </w:r>
      <w: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pStyle w:val="3"/>
        <w:rPr>
          <w:rFonts w:hint="eastAsia"/>
        </w:rPr>
      </w:pPr>
      <w:r>
        <w:rPr>
          <w:rFonts w:hint="eastAsia"/>
          <w:lang w:val="en-US" w:eastAsia="zh-CN"/>
        </w:rPr>
        <w:t>启动 Skywalking OAP 和 Skywalking UI</w:t>
      </w:r>
      <w:r>
        <w:rPr>
          <w:rFonts w:hint="default"/>
          <w:lang w:val="en-US" w:eastAsia="zh-CN"/>
        </w:rPr>
        <w:t xml:space="preserve"> Web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通过远程登录进入 ECS 实例，执行如下命令行：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/>
        </w:rPr>
      </w:pPr>
      <w:r>
        <w:rPr>
          <w:rFonts w:hint="eastAsia"/>
        </w:rPr>
        <w:t>cd /opt/software/apache-skywalking-apm-bin</w:t>
      </w:r>
      <w:r>
        <w:rPr>
          <w:rFonts w:hint="default"/>
          <w:lang w:val="en-US"/>
        </w:rPr>
        <w:t>/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bookmarkStart w:id="0" w:name="_GoBack"/>
      <w:bookmarkEnd w:id="0"/>
      <w:r>
        <w:rPr>
          <w:rFonts w:hint="default"/>
          <w:lang w:val="en-US" w:eastAsia="zh-CN"/>
        </w:rPr>
        <w:t>./bin/startup.sh &amp; #</w:t>
      </w:r>
      <w:r>
        <w:rPr>
          <w:rFonts w:hint="eastAsia"/>
          <w:lang w:val="en-US" w:eastAsia="zh-CN"/>
        </w:rPr>
        <w:t>后台运行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可以通过</w:t>
      </w:r>
      <w:r>
        <w:rPr>
          <w:rFonts w:hint="default"/>
          <w:lang w:val="en-US" w:eastAsia="zh-CN"/>
        </w:rPr>
        <w:t xml:space="preserve">: 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ps -ef | grep java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来检查 Skywalking OAP 和 UI 进程是否启动，并通过：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telnet localhost</w:t>
      </w:r>
      <w:r>
        <w:rPr>
          <w:rFonts w:hint="default"/>
          <w:lang w:val="en-US" w:eastAsia="zh-CN"/>
        </w:rPr>
        <w:t xml:space="preserve"> 11800 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和 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telnet localhost</w:t>
      </w:r>
      <w:r>
        <w:rPr>
          <w:rFonts w:hint="default"/>
          <w:lang w:val="en-US" w:eastAsia="zh-CN"/>
        </w:rPr>
        <w:t xml:space="preserve"> 80</w:t>
      </w:r>
      <w:r>
        <w:rPr>
          <w:rFonts w:hint="eastAsia"/>
          <w:lang w:val="en-US" w:eastAsia="zh-CN"/>
        </w:rPr>
        <w:t>8</w:t>
      </w:r>
      <w:r>
        <w:rPr>
          <w:rFonts w:hint="default"/>
          <w:lang w:val="en-US" w:eastAsia="zh-CN"/>
        </w:rPr>
        <w:t xml:space="preserve">0 </w:t>
      </w:r>
    </w:p>
    <w:p>
      <w:pPr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检查两个Java 进程是否通过端口对外正常提供服务。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随后，通过 ECS 公网 </w:t>
      </w:r>
      <w:r>
        <w:rPr>
          <w:rFonts w:hint="default"/>
          <w:lang w:val="en-US" w:eastAsia="zh-CN"/>
        </w:rPr>
        <w:t>http://</w:t>
      </w:r>
      <w:r>
        <w:rPr>
          <w:rFonts w:hint="eastAsia"/>
          <w:lang w:val="en-US" w:eastAsia="zh-CN"/>
        </w:rPr>
        <w:t>IP</w:t>
      </w:r>
      <w:r>
        <w:rPr>
          <w:rFonts w:hint="default"/>
          <w:lang w:val="en-US" w:eastAsia="zh-CN"/>
        </w:rPr>
        <w:t xml:space="preserve">:8080 </w:t>
      </w:r>
      <w:r>
        <w:rPr>
          <w:rFonts w:hint="eastAsia"/>
          <w:lang w:val="en-US" w:eastAsia="zh-CN"/>
        </w:rPr>
        <w:t>端口访问 Skywalking UI Web 界面，能够正常打开</w:t>
      </w:r>
      <w:r>
        <w:rPr>
          <w:rFonts w:hint="default"/>
          <w:lang w:val="en-US" w:eastAsia="zh-CN"/>
        </w:rPr>
        <w:t>: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</w:pPr>
      <w:r>
        <w:drawing>
          <wp:inline distT="0" distB="0" distL="114300" distR="114300">
            <wp:extent cx="5262245" cy="2381250"/>
            <wp:effectExtent l="0" t="0" r="20955" b="635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界面数据为空为正常状态，接下来，可以启动 ECS 里面内置的 Java 应用来联调产生数据。</w:t>
      </w:r>
    </w:p>
    <w:p>
      <w:pPr>
        <w:pStyle w:val="3"/>
      </w:pPr>
      <w:r>
        <w:rPr>
          <w:rFonts w:hint="eastAsia"/>
          <w:lang w:val="en-US" w:eastAsia="zh-CN"/>
        </w:rPr>
        <w:t>启动 ECS 内置的 Java Demo 应用</w:t>
      </w:r>
    </w:p>
    <w:p>
      <w:pPr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 xml:space="preserve">Demo </w:t>
      </w:r>
      <w:r>
        <w:rPr>
          <w:rFonts w:hint="eastAsia"/>
          <w:lang w:val="en-US" w:eastAsia="zh-CN"/>
        </w:rPr>
        <w:t xml:space="preserve">应用需要链接 GaussDB 数据库实例，请打开 GaussDB 控制台获取相应链接信息并创建好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testdb </w:t>
      </w:r>
      <w:r>
        <w:rPr>
          <w:rFonts w:hint="eastAsia"/>
          <w:lang w:val="en-US" w:eastAsia="zh-CN"/>
        </w:rPr>
        <w:t>数据库名。</w:t>
      </w:r>
    </w:p>
    <w:p>
      <w:pPr>
        <w:jc w:val="center"/>
        <w:rPr>
          <w:rFonts w:hint="eastAsia"/>
          <w:lang w:val="en-US" w:eastAsia="zh-CN"/>
        </w:rPr>
      </w:pPr>
      <w:r>
        <w:drawing>
          <wp:inline distT="0" distB="0" distL="114300" distR="114300">
            <wp:extent cx="4468495" cy="4142740"/>
            <wp:effectExtent l="0" t="0" r="1905" b="2286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468495" cy="41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当你获取链接信息之后，需要通过如下命令配置给 Demo 应用：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export DATASOURCE_URL=jdbc:opengauss://</w:t>
      </w:r>
      <w:r>
        <w:rPr>
          <w:rFonts w:hint="default"/>
          <w:lang w:val="en-US" w:eastAsia="zh-CN"/>
        </w:rPr>
        <w:t>x.x.x.x</w:t>
      </w:r>
      <w:r>
        <w:rPr>
          <w:rFonts w:hint="eastAsia"/>
          <w:lang w:val="en-US" w:eastAsia="zh-CN"/>
        </w:rPr>
        <w:t>:8000/testdb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export DATASOURCE_USERNAME=root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export DATASOURCE_PASSWORD=xxx</w:t>
      </w:r>
    </w:p>
    <w:p>
      <w:pPr>
        <w:rPr>
          <w:rFonts w:hint="eastAsia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通过远程登录进入 ECS 实例，执行如下命令行启动 Java Demo 应用：</w:t>
      </w:r>
    </w:p>
    <w:p>
      <w:pPr>
        <w:rPr>
          <w:rFonts w:hint="eastAsia"/>
          <w:lang w:val="en-US" w:eastAsia="zh-CN"/>
        </w:rPr>
      </w:pP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/>
        </w:rPr>
      </w:pPr>
      <w:r>
        <w:rPr>
          <w:rFonts w:hint="default"/>
          <w:lang w:val="en-US"/>
        </w:rPr>
        <w:t xml:space="preserve">cd </w:t>
      </w:r>
      <w:r>
        <w:rPr>
          <w:rFonts w:hint="eastAsia"/>
        </w:rPr>
        <w:t>/opt/software/spring-boot-jpa-postgresql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eastAsia"/>
        </w:rPr>
      </w:pPr>
      <w:r>
        <w:rPr>
          <w:rFonts w:hint="eastAsia"/>
        </w:rPr>
        <w:t>java -javaagent:./skywalking-agent/skywalking-agent.jar -jar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target/spring-boot-jpa-postgresql-0.0.1-SNAPSHOT.jar</w:t>
      </w:r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t xml:space="preserve">看到控制台出现如下信息即代表 java 应用启动成功，并暴露了 </w:t>
      </w:r>
      <w:r>
        <w:rPr>
          <w:rFonts w:hint="default" w:ascii="Times New Roman Bold" w:hAnsi="Times New Roman Bold" w:cs="Times New Roman Bold"/>
          <w:b/>
          <w:bCs/>
        </w:rPr>
        <w:t xml:space="preserve">8081 </w:t>
      </w:r>
      <w:r>
        <w:rPr>
          <w:rFonts w:hint="eastAsia"/>
        </w:rPr>
        <w:t>端口，随即可以访问其接口：</w:t>
      </w:r>
    </w:p>
    <w:p>
      <w:r>
        <w:drawing>
          <wp:inline distT="0" distB="0" distL="114300" distR="114300">
            <wp:extent cx="5269865" cy="1107440"/>
            <wp:effectExtent l="0" t="0" r="13335" b="1016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10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另外，您也可以通过如下命令使 Java 应用在后台运行：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eastAsia"/>
        </w:rPr>
        <w:t>nohup java -javaagent:./skywalking-agent/skywalking-agent.jar -jar</w:t>
      </w:r>
      <w:r>
        <w:rPr>
          <w:rFonts w:hint="default"/>
          <w:lang w:val="en-US"/>
        </w:rPr>
        <w:t xml:space="preserve"> </w:t>
      </w:r>
      <w:r>
        <w:rPr>
          <w:rFonts w:hint="eastAsia"/>
        </w:rPr>
        <w:t>target/spring-boot-jpa-postgresql-0.0.1-SNAPSHOT.jar &gt;/dev/null 2&gt;&amp;1 &amp;</w:t>
      </w:r>
    </w:p>
    <w:p>
      <w:pPr>
        <w:pStyle w:val="3"/>
      </w:pPr>
      <w:r>
        <w:rPr>
          <w:rFonts w:hint="eastAsia"/>
          <w:lang w:val="en-US" w:eastAsia="zh-CN"/>
        </w:rPr>
        <w:t>向 Java Demo应用发起请求产生数据</w:t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您可以执行如下命令向 Java 应用发起请求，</w:t>
      </w:r>
      <w:r>
        <w:rPr>
          <w:rFonts w:hint="default"/>
          <w:lang w:val="en-US" w:eastAsia="zh-CN"/>
        </w:rPr>
        <w:t xml:space="preserve">以下接口包含了对 GaussDB 实例中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testdb </w:t>
      </w:r>
      <w:r>
        <w:rPr>
          <w:rFonts w:hint="default"/>
          <w:lang w:val="en-US" w:eastAsia="zh-CN"/>
        </w:rPr>
        <w:t xml:space="preserve">数据库中的 </w:t>
      </w:r>
      <w:r>
        <w:rPr>
          <w:rFonts w:hint="default" w:ascii="Times New Roman Bold" w:hAnsi="Times New Roman Bold" w:cs="Times New Roman Bold"/>
          <w:b/>
          <w:bCs/>
          <w:lang w:val="en-US" w:eastAsia="zh-CN"/>
        </w:rPr>
        <w:t xml:space="preserve">tutorials </w:t>
      </w:r>
      <w:r>
        <w:rPr>
          <w:rFonts w:hint="default"/>
          <w:lang w:val="en-US" w:eastAsia="zh-CN"/>
        </w:rPr>
        <w:t>表的增删改查：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增加数据，可重复执行进行插入数据: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 --location 'localhost:8081/api/tutorials' \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--header 'Content-Type: application/json' \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--data '{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"title": "t1",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"description": "t1_description",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"published": true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}'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获取所有数据: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 --location --request GET 'localhost:8081/api/tutorials' \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--header 'Content-Type: application/json' \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--data '{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"title": "t1",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"description": "t1_description",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"published": true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}'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 ID 获取单个数据: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 --location --request GET 'localhost:8081/api/tutorials/1'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 ID更新单个数据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 --location --request PUT 'localhost:8081/api/tutorials/1' \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--header 'Content-Type: application/json' \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--data '{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"title": "t1",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"description": "t1_description_update",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 xml:space="preserve">    "published": true</w:t>
      </w:r>
    </w:p>
    <w:p>
      <w:pPr>
        <w:widowControl w:val="0"/>
        <w:numPr>
          <w:ilvl w:val="0"/>
          <w:numId w:val="0"/>
        </w:num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autoSpaceDE w:val="0"/>
        <w:autoSpaceDN w:val="0"/>
        <w:adjustRightInd w:val="0"/>
        <w:spacing w:line="360" w:lineRule="auto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}'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根据 ID 删除单个数据：</w:t>
      </w:r>
    </w:p>
    <w:p>
      <w:pPr>
        <w:pBdr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</w:pBd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curl --location --request DELETE 'localhost:8081/api/tutorials/1'</w:t>
      </w:r>
    </w:p>
    <w:p>
      <w:pPr>
        <w:rPr>
          <w:rFonts w:hint="default"/>
          <w:lang w:val="en-US" w:eastAsia="zh-CN"/>
        </w:rPr>
      </w:pPr>
    </w:p>
    <w:p>
      <w:pPr>
        <w:pStyle w:val="3"/>
      </w:pPr>
      <w:r>
        <w:rPr>
          <w:rFonts w:hint="eastAsia"/>
          <w:lang w:val="en-US" w:eastAsia="zh-CN"/>
        </w:rPr>
        <w:t>在 Skywalking UI 中检查结果</w:t>
      </w:r>
    </w:p>
    <w:p>
      <w:pPr>
        <w:numPr>
          <w:ilvl w:val="0"/>
          <w:numId w:val="5"/>
        </w:numPr>
        <w:ind w:left="420" w:leftChars="0" w:hanging="420" w:firstLineChars="0"/>
      </w:pPr>
      <w:r>
        <w:rPr>
          <w:rFonts w:hint="eastAsia"/>
        </w:rPr>
        <w:t xml:space="preserve">打开 Skywalking UI 检查 </w:t>
      </w:r>
      <w:r>
        <w:rPr>
          <w:rFonts w:hint="eastAsia"/>
          <w:b/>
          <w:bCs/>
        </w:rPr>
        <w:t>虚拟数据库</w:t>
      </w:r>
      <w:r>
        <w:rPr>
          <w:rFonts w:hint="eastAsia"/>
        </w:rPr>
        <w:t xml:space="preserve"> 是否有数据，会有一些延迟。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74310" cy="1373505"/>
            <wp:effectExtent l="0" t="0" r="8890" b="2349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ind w:left="420" w:leftChars="0" w:hanging="420" w:firstLineChars="0"/>
      </w:pPr>
      <w:r>
        <w:rPr>
          <w:rFonts w:hint="eastAsia"/>
        </w:rPr>
        <w:t xml:space="preserve">打开 Skywalking UI 中链路查询页面中筛选出 </w:t>
      </w:r>
      <w:r>
        <w:rPr>
          <w:rFonts w:hint="default" w:ascii="Times New Roman Bold" w:hAnsi="Times New Roman Bold" w:cs="Times New Roman Bold"/>
          <w:b/>
          <w:bCs/>
        </w:rPr>
        <w:t>gaussdb-java-demo</w:t>
      </w:r>
      <w:r>
        <w:rPr>
          <w:rFonts w:hint="eastAsia"/>
        </w:rPr>
        <w:t xml:space="preserve"> 服务的链路，检查相关链路中是否出现 GaussDB SQL 执行的链路：</w:t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  <w:jc w:val="center"/>
      </w:pPr>
      <w:r>
        <w:drawing>
          <wp:inline distT="0" distB="0" distL="114300" distR="114300">
            <wp:extent cx="4636770" cy="3887470"/>
            <wp:effectExtent l="0" t="0" r="11430" b="24130"/>
            <wp:docPr id="1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636770" cy="388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autoSpaceDE w:val="0"/>
        <w:autoSpaceDN w:val="0"/>
        <w:adjustRightInd w:val="0"/>
        <w:spacing w:line="360" w:lineRule="auto"/>
      </w:pPr>
      <w:r>
        <w:drawing>
          <wp:inline distT="0" distB="0" distL="114300" distR="114300">
            <wp:extent cx="5273040" cy="2061210"/>
            <wp:effectExtent l="0" t="0" r="10160" b="2159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6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/>
          <w:lang w:val="en-US" w:eastAsia="zh-CN"/>
        </w:rPr>
      </w:pPr>
    </w:p>
    <w:p>
      <w:pPr>
        <w:pStyle w:val="3"/>
      </w:pPr>
      <w:r>
        <w:rPr>
          <w:rFonts w:hint="eastAsia"/>
        </w:rPr>
        <w:t>参考文档</w:t>
      </w:r>
    </w:p>
    <w:p>
      <w:pPr>
        <w:pStyle w:val="19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eastAsia"/>
        </w:rPr>
        <w:fldChar w:fldCharType="begin"/>
      </w:r>
      <w:r>
        <w:instrText xml:space="preserve"> HYPERLINK "https://skywalking.apache.org/docs/" </w:instrText>
      </w:r>
      <w:r>
        <w:rPr>
          <w:rFonts w:hint="eastAsia"/>
        </w:rPr>
        <w:fldChar w:fldCharType="separate"/>
      </w:r>
      <w:r>
        <w:rPr>
          <w:rStyle w:val="12"/>
          <w:rFonts w:hint="eastAsia"/>
        </w:rPr>
        <w:t>Skywalking 文档</w:t>
      </w:r>
      <w:r>
        <w:rPr>
          <w:rFonts w:hint="eastAsia"/>
        </w:rPr>
        <w:fldChar w:fldCharType="end"/>
      </w:r>
    </w:p>
    <w:p>
      <w:pPr>
        <w:pStyle w:val="19"/>
        <w:numPr>
          <w:ilvl w:val="0"/>
          <w:numId w:val="6"/>
        </w:numPr>
        <w:ind w:firstLineChars="0"/>
        <w:rPr>
          <w:rFonts w:hint="eastAsia"/>
        </w:rPr>
      </w:pPr>
      <w:r>
        <w:rPr>
          <w:rFonts w:hint="default"/>
          <w:lang w:val="en-US"/>
        </w:rPr>
        <w:fldChar w:fldCharType="begin"/>
      </w:r>
      <w:r>
        <w:rPr>
          <w:rFonts w:hint="default"/>
          <w:lang w:val="en-US"/>
        </w:rPr>
        <w:instrText xml:space="preserve"> HYPERLINK "https://www.huaweicloud.com/product/gaussdb.html" </w:instrText>
      </w:r>
      <w:r>
        <w:rPr>
          <w:rFonts w:hint="default"/>
          <w:lang w:val="en-US"/>
        </w:rPr>
        <w:fldChar w:fldCharType="separate"/>
      </w:r>
      <w:r>
        <w:rPr>
          <w:rStyle w:val="12"/>
          <w:rFonts w:hint="default"/>
          <w:lang w:val="en-US"/>
        </w:rPr>
        <w:t xml:space="preserve">GaussDB </w:t>
      </w:r>
      <w:r>
        <w:rPr>
          <w:rStyle w:val="12"/>
          <w:rFonts w:hint="eastAsia"/>
          <w:lang w:val="en-US" w:eastAsia="zh-CN"/>
        </w:rPr>
        <w:t>数据库</w:t>
      </w:r>
      <w:r>
        <w:rPr>
          <w:rFonts w:hint="default"/>
          <w:lang w:val="en-US"/>
        </w:rPr>
        <w:fldChar w:fldCharType="end"/>
      </w:r>
    </w:p>
    <w:p/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312" w:right="1800" w:bottom="1440" w:left="1800" w:header="779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Times New Roman Bold">
    <w:panose1 w:val="02020603050405020304"/>
    <w:charset w:val="00"/>
    <w:family w:val="auto"/>
    <w:pitch w:val="default"/>
    <w:sig w:usb0="E0002AEF" w:usb1="C0007841" w:usb2="00000009" w:usb3="00000000" w:csb0="400001FF" w:csb1="FFFF0000"/>
  </w:font>
  <w:font w:name="Dotum">
    <w:altName w:val="Apple SD Gothic Neo"/>
    <w:panose1 w:val="020B0600000101010101"/>
    <w:charset w:val="81"/>
    <w:family w:val="swiss"/>
    <w:pitch w:val="default"/>
    <w:sig w:usb0="00000000" w:usb1="00000000" w:usb2="00000030" w:usb3="00000000" w:csb0="4008009F" w:csb1="DFD70000"/>
  </w:font>
  <w:font w:name="DotumChe">
    <w:altName w:val="Apple SD Gothic Neo"/>
    <w:panose1 w:val="020B0609000101010101"/>
    <w:charset w:val="81"/>
    <w:family w:val="modern"/>
    <w:pitch w:val="default"/>
    <w:sig w:usb0="00000000" w:usb1="00000000" w:usb2="00000030" w:usb3="00000000" w:csb0="4008009F" w:csb1="DFD7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Apple SD Gothic Neo">
    <w:panose1 w:val="02000300000000000000"/>
    <w:charset w:val="81"/>
    <w:family w:val="auto"/>
    <w:pitch w:val="default"/>
    <w:sig w:usb0="00000203" w:usb1="21D12C10" w:usb2="00000010" w:usb3="00000000" w:csb0="00280005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Tahoma">
    <w:panose1 w:val="020B0804030504040204"/>
    <w:charset w:val="00"/>
    <w:family w:val="auto"/>
    <w:pitch w:val="default"/>
    <w:sig w:usb0="E1002AFF" w:usb1="C000605B" w:usb2="00000029" w:usb3="00000000" w:csb0="200101FF" w:csb1="2028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5" w:type="pct"/>
      <w:tblInd w:w="0" w:type="dxa"/>
      <w:tblBorders>
        <w:top w:val="single" w:color="auto" w:sz="4" w:space="0"/>
        <w:left w:val="none" w:color="auto" w:sz="0" w:space="0"/>
        <w:bottom w:val="none" w:color="auto" w:sz="0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108" w:type="dxa"/>
        <w:bottom w:w="0" w:type="dxa"/>
        <w:right w:w="108" w:type="dxa"/>
      </w:tblCellMar>
    </w:tblPr>
    <w:tblGrid>
      <w:gridCol w:w="3003"/>
      <w:gridCol w:w="2924"/>
      <w:gridCol w:w="2604"/>
    </w:tblGrid>
    <w:tr>
      <w:tblPrEx>
        <w:tblBorders>
          <w:top w:val="single" w:color="auto" w:sz="4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trHeight w:val="257" w:hRule="atLeast"/>
      </w:trPr>
      <w:tc>
        <w:tcPr>
          <w:tcW w:w="1760" w:type="pct"/>
        </w:tcPr>
        <w:p>
          <w:pPr>
            <w:pStyle w:val="5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>
            <w:t>2024-1-26</w:t>
          </w:r>
          <w:r>
            <w:fldChar w:fldCharType="end"/>
          </w:r>
        </w:p>
      </w:tc>
      <w:tc>
        <w:tcPr>
          <w:tcW w:w="1714" w:type="pct"/>
        </w:tcPr>
        <w:p>
          <w:pPr>
            <w:pStyle w:val="5"/>
          </w:pPr>
          <w:r>
            <w:rPr>
              <w:rFonts w:hint="eastAsia"/>
            </w:rPr>
            <w:t>华为保密信息,未经授权禁止扩散</w:t>
          </w:r>
        </w:p>
      </w:tc>
      <w:tc>
        <w:tcPr>
          <w:tcW w:w="1526" w:type="pct"/>
        </w:tcPr>
        <w:p>
          <w:pPr>
            <w:pStyle w:val="5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 xml:space="preserve">PAGE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fldChar w:fldCharType="begin"/>
          </w:r>
          <w:r>
            <w:instrText xml:space="preserve"> NUMPAGES  \* Arabic  \* MERGEFORMAT </w:instrText>
          </w:r>
          <w:r>
            <w:fldChar w:fldCharType="separate"/>
          </w:r>
          <w:r>
            <w:t>1</w:t>
          </w:r>
          <w:r>
            <w:fldChar w:fldCharType="end"/>
          </w:r>
          <w:r>
            <w:rPr>
              <w:rFonts w:hint="eastAsia"/>
            </w:rPr>
            <w:t>页</w:t>
          </w:r>
        </w:p>
      </w:tc>
    </w:tr>
  </w:tbl>
  <w:p>
    <w:pPr>
      <w:pStyle w:val="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tbl>
    <w:tblPr>
      <w:tblStyle w:val="9"/>
      <w:tblW w:w="5000" w:type="pct"/>
      <w:tblInd w:w="0" w:type="dxa"/>
      <w:tblBorders>
        <w:top w:val="none" w:color="auto" w:sz="0" w:space="0"/>
        <w:left w:val="none" w:color="auto" w:sz="0" w:space="0"/>
        <w:bottom w:val="single" w:color="auto" w:sz="4" w:space="0"/>
        <w:right w:val="none" w:color="auto" w:sz="0" w:space="0"/>
        <w:insideH w:val="none" w:color="auto" w:sz="0" w:space="0"/>
        <w:insideV w:val="none" w:color="auto" w:sz="0" w:space="0"/>
      </w:tblBorders>
      <w:tblLayout w:type="autofit"/>
      <w:tblCellMar>
        <w:top w:w="0" w:type="dxa"/>
        <w:left w:w="57" w:type="dxa"/>
        <w:bottom w:w="0" w:type="dxa"/>
        <w:right w:w="57" w:type="dxa"/>
      </w:tblCellMar>
    </w:tblPr>
    <w:tblGrid>
      <w:gridCol w:w="842"/>
      <w:gridCol w:w="5894"/>
      <w:gridCol w:w="1684"/>
    </w:tblGrid>
    <w:tr>
      <w:tblPrEx>
        <w:tblBorders>
          <w:top w:val="none" w:color="auto" w:sz="0" w:space="0"/>
          <w:left w:val="none" w:color="auto" w:sz="0" w:space="0"/>
          <w:bottom w:val="single" w:color="auto" w:sz="4" w:space="0"/>
          <w:right w:val="none" w:color="auto" w:sz="0" w:space="0"/>
          <w:insideH w:val="none" w:color="auto" w:sz="0" w:space="0"/>
          <w:insideV w:val="none" w:color="auto" w:sz="0" w:space="0"/>
        </w:tblBorders>
      </w:tblPrEx>
      <w:trPr>
        <w:cantSplit/>
        <w:trHeight w:val="782" w:hRule="exact"/>
      </w:trPr>
      <w:tc>
        <w:tcPr>
          <w:tcW w:w="500" w:type="pct"/>
        </w:tcPr>
        <w:p>
          <w:pPr>
            <w:rPr>
              <w:rFonts w:ascii="Dotum" w:hAnsi="Dotum" w:eastAsia="Dotum"/>
            </w:rPr>
          </w:pPr>
          <w:r>
            <w:rPr>
              <w:rFonts w:hint="eastAsia" w:ascii="宋体" w:hAnsi="宋体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-29845</wp:posOffset>
                </wp:positionH>
                <wp:positionV relativeFrom="paragraph">
                  <wp:posOffset>19685</wp:posOffset>
                </wp:positionV>
                <wp:extent cx="436880" cy="446405"/>
                <wp:effectExtent l="0" t="0" r="1270" b="0"/>
                <wp:wrapThrough wrapText="bothSides">
                  <wp:wrapPolygon>
                    <wp:start x="0" y="0"/>
                    <wp:lineTo x="0" y="20279"/>
                    <wp:lineTo x="20721" y="20279"/>
                    <wp:lineTo x="20721" y="0"/>
                    <wp:lineTo x="0" y="0"/>
                  </wp:wrapPolygon>
                </wp:wrapThrough>
                <wp:docPr id="1" name="图片 1" descr="C:\Users\f00250756.CHINA\Desktop\HW_POS_RBG_Vertical-150pp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图片 1" descr="C:\Users\f00250756.CHINA\Desktop\HW_POS_RBG_Vertical-150ppi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36880" cy="44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3500" w:type="pct"/>
          <w:vAlign w:val="bottom"/>
        </w:tcPr>
        <w:p>
          <w:pPr>
            <w:pStyle w:val="6"/>
            <w:ind w:firstLine="540" w:firstLineChars="30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文档名称</w:t>
          </w:r>
        </w:p>
      </w:tc>
      <w:tc>
        <w:tcPr>
          <w:tcW w:w="1000" w:type="pct"/>
          <w:vAlign w:val="bottom"/>
        </w:tcPr>
        <w:p>
          <w:pPr>
            <w:pStyle w:val="6"/>
            <w:ind w:firstLine="630" w:firstLineChars="350"/>
            <w:rPr>
              <w:rFonts w:ascii="宋体" w:hAnsi="宋体"/>
            </w:rPr>
          </w:pPr>
          <w:r>
            <w:rPr>
              <w:rFonts w:hint="eastAsia" w:ascii="宋体" w:hAnsi="宋体"/>
            </w:rPr>
            <w:t>文档密级</w:t>
          </w:r>
        </w:p>
      </w:tc>
    </w:tr>
  </w:tbl>
  <w:p>
    <w:pPr>
      <w:pStyle w:val="6"/>
      <w:rPr>
        <w:rFonts w:ascii="DotumChe" w:hAnsi="DotumChe" w:eastAsia="DotumChe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F6CA3E"/>
    <w:multiLevelType w:val="singleLevel"/>
    <w:tmpl w:val="F7F6CA3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5AD15653"/>
    <w:multiLevelType w:val="multilevel"/>
    <w:tmpl w:val="5AD1565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2">
    <w:nsid w:val="63546429"/>
    <w:multiLevelType w:val="multilevel"/>
    <w:tmpl w:val="63546429"/>
    <w:lvl w:ilvl="0" w:tentative="0">
      <w:start w:val="1"/>
      <w:numFmt w:val="decimal"/>
      <w:pStyle w:val="2"/>
      <w:lvlText w:val="%1"/>
      <w:lvlJc w:val="left"/>
      <w:pPr>
        <w:tabs>
          <w:tab w:val="left" w:pos="432"/>
        </w:tabs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lvlText w:val="%1.%2"/>
      <w:lvlJc w:val="left"/>
      <w:pPr>
        <w:tabs>
          <w:tab w:val="left" w:pos="576"/>
        </w:tabs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lvlText w:val="%1.%2.%3"/>
      <w:lvlJc w:val="left"/>
      <w:pPr>
        <w:tabs>
          <w:tab w:val="left" w:pos="720"/>
        </w:tabs>
        <w:ind w:left="720" w:hanging="720"/>
      </w:pPr>
      <w:rPr>
        <w:rFonts w:hint="eastAsia"/>
      </w:rPr>
    </w:lvl>
    <w:lvl w:ilvl="3" w:tentative="0">
      <w:start w:val="1"/>
      <w:numFmt w:val="decimal"/>
      <w:lvlText w:val="%4.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4" w:tentative="0">
      <w:start w:val="1"/>
      <w:numFmt w:val="decimal"/>
      <w:lvlText w:val="%5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5" w:tentative="0">
      <w:start w:val="1"/>
      <w:numFmt w:val="lowerLetter"/>
      <w:lvlText w:val="%6）"/>
      <w:lvlJc w:val="left"/>
      <w:pPr>
        <w:tabs>
          <w:tab w:val="left" w:pos="567"/>
        </w:tabs>
        <w:ind w:left="936" w:hanging="680"/>
      </w:pPr>
      <w:rPr>
        <w:rFonts w:hint="eastAsia"/>
      </w:rPr>
    </w:lvl>
    <w:lvl w:ilvl="6" w:tentative="0">
      <w:start w:val="1"/>
      <w:numFmt w:val="lowerRoman"/>
      <w:lvlText w:val="%7"/>
      <w:lvlJc w:val="left"/>
      <w:pPr>
        <w:tabs>
          <w:tab w:val="left" w:pos="567"/>
        </w:tabs>
        <w:ind w:left="936" w:hanging="68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tabs>
          <w:tab w:val="left" w:pos="1440"/>
        </w:tabs>
        <w:ind w:left="1440" w:hanging="1440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tabs>
          <w:tab w:val="left" w:pos="1584"/>
        </w:tabs>
        <w:ind w:left="1584" w:hanging="1584"/>
      </w:pPr>
      <w:rPr>
        <w:rFonts w:hint="eastAsia"/>
      </w:rPr>
    </w:lvl>
  </w:abstractNum>
  <w:abstractNum w:abstractNumId="3">
    <w:nsid w:val="6C7169D5"/>
    <w:multiLevelType w:val="multilevel"/>
    <w:tmpl w:val="6C7169D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71867EDA"/>
    <w:multiLevelType w:val="multilevel"/>
    <w:tmpl w:val="71867EDA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5">
    <w:nsid w:val="7CEF7883"/>
    <w:multiLevelType w:val="singleLevel"/>
    <w:tmpl w:val="7CEF788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k1MTk5Mzk0MmQ0YjMxMTNlNDNlMzAzNGM3YWJlMDcifQ=="/>
  </w:docVars>
  <w:rsids>
    <w:rsidRoot w:val="00060750"/>
    <w:rsid w:val="00060750"/>
    <w:rsid w:val="003C1150"/>
    <w:rsid w:val="004B5879"/>
    <w:rsid w:val="00522821"/>
    <w:rsid w:val="00856D2C"/>
    <w:rsid w:val="00A34C37"/>
    <w:rsid w:val="00AA0085"/>
    <w:rsid w:val="00BF31CE"/>
    <w:rsid w:val="00C54367"/>
    <w:rsid w:val="00CB590D"/>
    <w:rsid w:val="00D56790"/>
    <w:rsid w:val="00DF59AA"/>
    <w:rsid w:val="275F3835"/>
    <w:rsid w:val="27FF68FA"/>
    <w:rsid w:val="372735B9"/>
    <w:rsid w:val="37761078"/>
    <w:rsid w:val="38993C8D"/>
    <w:rsid w:val="3F9E3BFC"/>
    <w:rsid w:val="3FF9EDB1"/>
    <w:rsid w:val="47FB4451"/>
    <w:rsid w:val="47FDE221"/>
    <w:rsid w:val="4FFCBC7A"/>
    <w:rsid w:val="51BD5C86"/>
    <w:rsid w:val="574B1174"/>
    <w:rsid w:val="57F3B281"/>
    <w:rsid w:val="5BFFC3CF"/>
    <w:rsid w:val="5D37D5EE"/>
    <w:rsid w:val="5D7FA6F0"/>
    <w:rsid w:val="5D97D50D"/>
    <w:rsid w:val="5DF75E88"/>
    <w:rsid w:val="5FEFB83E"/>
    <w:rsid w:val="638611E4"/>
    <w:rsid w:val="692F5884"/>
    <w:rsid w:val="6E3F9C0A"/>
    <w:rsid w:val="6E73DC26"/>
    <w:rsid w:val="6F7CCCBB"/>
    <w:rsid w:val="6FFFF538"/>
    <w:rsid w:val="75BFA06C"/>
    <w:rsid w:val="775FA42F"/>
    <w:rsid w:val="77761862"/>
    <w:rsid w:val="777710A7"/>
    <w:rsid w:val="77CF2157"/>
    <w:rsid w:val="77EFCE48"/>
    <w:rsid w:val="7A9FE239"/>
    <w:rsid w:val="7ADF266F"/>
    <w:rsid w:val="7D7FB54B"/>
    <w:rsid w:val="7DDCCEE6"/>
    <w:rsid w:val="7DDF614E"/>
    <w:rsid w:val="7DEF8502"/>
    <w:rsid w:val="7EBD8220"/>
    <w:rsid w:val="7EF77517"/>
    <w:rsid w:val="7FE7C065"/>
    <w:rsid w:val="7FEFBED0"/>
    <w:rsid w:val="89F6F45F"/>
    <w:rsid w:val="8FF97302"/>
    <w:rsid w:val="9FBB4032"/>
    <w:rsid w:val="9FFDEE4B"/>
    <w:rsid w:val="A57FB994"/>
    <w:rsid w:val="AC5DB955"/>
    <w:rsid w:val="AEFBD248"/>
    <w:rsid w:val="AFBB1542"/>
    <w:rsid w:val="BEBA9370"/>
    <w:rsid w:val="BECB7F84"/>
    <w:rsid w:val="BEF54C33"/>
    <w:rsid w:val="BF2F6FE3"/>
    <w:rsid w:val="BFF76BD6"/>
    <w:rsid w:val="C5EE2488"/>
    <w:rsid w:val="C73677C3"/>
    <w:rsid w:val="CFF96B13"/>
    <w:rsid w:val="DFA704E7"/>
    <w:rsid w:val="DFCFDF66"/>
    <w:rsid w:val="E7FF7B76"/>
    <w:rsid w:val="E8FFA837"/>
    <w:rsid w:val="EBF7AE46"/>
    <w:rsid w:val="F6BF535B"/>
    <w:rsid w:val="F6FAFEAB"/>
    <w:rsid w:val="F99F4773"/>
    <w:rsid w:val="FA9B09DE"/>
    <w:rsid w:val="FBE6E746"/>
    <w:rsid w:val="FBE7345F"/>
    <w:rsid w:val="FBF50839"/>
    <w:rsid w:val="FC6F6AAE"/>
    <w:rsid w:val="FDBF648E"/>
    <w:rsid w:val="FDF5B839"/>
    <w:rsid w:val="FDFFD264"/>
    <w:rsid w:val="FEC941E3"/>
    <w:rsid w:val="FEFFD728"/>
    <w:rsid w:val="FF302BE0"/>
    <w:rsid w:val="FFEFA593"/>
    <w:rsid w:val="FFFF90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  <w:adjustRightInd w:val="0"/>
      <w:spacing w:line="360" w:lineRule="auto"/>
    </w:pPr>
    <w:rPr>
      <w:rFonts w:ascii="Times New Roman" w:hAnsi="Times New Roman" w:eastAsia="宋体" w:cs="Times New Roman"/>
      <w:snapToGrid w:val="0"/>
      <w:kern w:val="0"/>
      <w:sz w:val="21"/>
      <w:szCs w:val="21"/>
      <w:lang w:val="en-US" w:eastAsia="zh-CN" w:bidi="ar-SA"/>
    </w:rPr>
  </w:style>
  <w:style w:type="paragraph" w:styleId="2">
    <w:name w:val="heading 1"/>
    <w:next w:val="3"/>
    <w:link w:val="13"/>
    <w:qFormat/>
    <w:uiPriority w:val="0"/>
    <w:pPr>
      <w:keepNext/>
      <w:numPr>
        <w:ilvl w:val="0"/>
        <w:numId w:val="1"/>
      </w:numPr>
      <w:spacing w:before="240" w:after="240"/>
      <w:jc w:val="both"/>
      <w:outlineLvl w:val="0"/>
    </w:pPr>
    <w:rPr>
      <w:rFonts w:ascii="Arial" w:hAnsi="Arial" w:eastAsia="黑体" w:cs="Times New Roman"/>
      <w:b/>
      <w:kern w:val="0"/>
      <w:sz w:val="32"/>
      <w:szCs w:val="32"/>
      <w:lang w:val="en-US" w:eastAsia="zh-CN" w:bidi="ar-SA"/>
    </w:rPr>
  </w:style>
  <w:style w:type="paragraph" w:styleId="3">
    <w:name w:val="heading 2"/>
    <w:next w:val="1"/>
    <w:link w:val="14"/>
    <w:qFormat/>
    <w:uiPriority w:val="0"/>
    <w:pPr>
      <w:keepNext/>
      <w:numPr>
        <w:ilvl w:val="1"/>
        <w:numId w:val="1"/>
      </w:numPr>
      <w:spacing w:before="240" w:after="240"/>
      <w:jc w:val="both"/>
      <w:outlineLvl w:val="1"/>
    </w:pPr>
    <w:rPr>
      <w:rFonts w:ascii="Arial" w:hAnsi="Arial" w:eastAsia="黑体" w:cs="Times New Roman"/>
      <w:kern w:val="0"/>
      <w:sz w:val="24"/>
      <w:szCs w:val="24"/>
      <w:lang w:val="en-US" w:eastAsia="zh-CN" w:bidi="ar-SA"/>
    </w:rPr>
  </w:style>
  <w:style w:type="paragraph" w:styleId="4">
    <w:name w:val="heading 3"/>
    <w:basedOn w:val="1"/>
    <w:next w:val="1"/>
    <w:link w:val="15"/>
    <w:qFormat/>
    <w:uiPriority w:val="0"/>
    <w:pPr>
      <w:keepNext/>
      <w:keepLines/>
      <w:numPr>
        <w:ilvl w:val="2"/>
        <w:numId w:val="1"/>
      </w:numPr>
      <w:autoSpaceDE/>
      <w:autoSpaceDN/>
      <w:adjustRightInd/>
      <w:spacing w:before="260" w:after="260" w:line="416" w:lineRule="auto"/>
      <w:jc w:val="both"/>
      <w:outlineLvl w:val="2"/>
    </w:pPr>
    <w:rPr>
      <w:rFonts w:eastAsia="黑体"/>
      <w:bCs/>
      <w:kern w:val="2"/>
      <w:sz w:val="24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link w:val="16"/>
    <w:qFormat/>
    <w:uiPriority w:val="0"/>
    <w:pPr>
      <w:tabs>
        <w:tab w:val="center" w:pos="4510"/>
        <w:tab w:val="right" w:pos="9020"/>
      </w:tabs>
    </w:pPr>
    <w:rPr>
      <w:rFonts w:ascii="Arial" w:hAnsi="Arial" w:eastAsia="宋体" w:cs="Times New Roman"/>
      <w:kern w:val="0"/>
      <w:sz w:val="18"/>
      <w:szCs w:val="18"/>
      <w:lang w:val="en-US" w:eastAsia="zh-CN" w:bidi="ar-SA"/>
    </w:rPr>
  </w:style>
  <w:style w:type="paragraph" w:styleId="6">
    <w:name w:val="header"/>
    <w:link w:val="17"/>
    <w:qFormat/>
    <w:uiPriority w:val="0"/>
    <w:pPr>
      <w:tabs>
        <w:tab w:val="center" w:pos="4153"/>
        <w:tab w:val="right" w:pos="8306"/>
      </w:tabs>
      <w:snapToGrid w:val="0"/>
      <w:jc w:val="both"/>
    </w:pPr>
    <w:rPr>
      <w:rFonts w:ascii="Arial" w:hAnsi="Arial" w:eastAsia="宋体" w:cs="Times New Roman"/>
      <w:kern w:val="0"/>
      <w:sz w:val="18"/>
      <w:szCs w:val="18"/>
      <w:lang w:val="en-US" w:eastAsia="zh-CN" w:bidi="ar-SA"/>
    </w:rPr>
  </w:style>
  <w:style w:type="paragraph" w:styleId="7">
    <w:name w:val="Normal (Web)"/>
    <w:basedOn w:val="1"/>
    <w:unhideWhenUsed/>
    <w:qFormat/>
    <w:uiPriority w:val="99"/>
    <w:pPr>
      <w:widowControl/>
      <w:autoSpaceDE/>
      <w:autoSpaceDN/>
      <w:adjustRightInd/>
      <w:spacing w:before="100" w:beforeAutospacing="1" w:after="100" w:afterAutospacing="1" w:line="240" w:lineRule="auto"/>
    </w:pPr>
    <w:rPr>
      <w:rFonts w:ascii="宋体" w:hAnsi="宋体" w:cs="宋体"/>
      <w:snapToGrid/>
      <w:sz w:val="24"/>
      <w:szCs w:val="24"/>
    </w:rPr>
  </w:style>
  <w:style w:type="paragraph" w:styleId="8">
    <w:name w:val="Title"/>
    <w:basedOn w:val="1"/>
    <w:next w:val="1"/>
    <w:link w:val="18"/>
    <w:qFormat/>
    <w:uiPriority w:val="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11">
    <w:name w:val="FollowedHyperlink"/>
    <w:basedOn w:val="10"/>
    <w:semiHidden/>
    <w:unhideWhenUsed/>
    <w:qFormat/>
    <w:uiPriority w:val="0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12">
    <w:name w:val="Hyperlink"/>
    <w:basedOn w:val="10"/>
    <w:unhideWhenUsed/>
    <w:qFormat/>
    <w:uiPriority w:val="99"/>
    <w:rPr>
      <w:color w:val="0000FF"/>
      <w:u w:val="single"/>
    </w:rPr>
  </w:style>
  <w:style w:type="character" w:customStyle="1" w:styleId="13">
    <w:name w:val="标题 1 字符"/>
    <w:basedOn w:val="10"/>
    <w:link w:val="2"/>
    <w:qFormat/>
    <w:uiPriority w:val="0"/>
    <w:rPr>
      <w:rFonts w:ascii="Arial" w:hAnsi="Arial" w:eastAsia="黑体" w:cs="Times New Roman"/>
      <w:b/>
      <w:kern w:val="0"/>
      <w:sz w:val="32"/>
      <w:szCs w:val="32"/>
    </w:rPr>
  </w:style>
  <w:style w:type="character" w:customStyle="1" w:styleId="14">
    <w:name w:val="标题 2 字符"/>
    <w:basedOn w:val="10"/>
    <w:link w:val="3"/>
    <w:qFormat/>
    <w:uiPriority w:val="0"/>
    <w:rPr>
      <w:rFonts w:ascii="Arial" w:hAnsi="Arial" w:eastAsia="黑体" w:cs="Times New Roman"/>
      <w:kern w:val="0"/>
      <w:sz w:val="24"/>
      <w:szCs w:val="24"/>
    </w:rPr>
  </w:style>
  <w:style w:type="character" w:customStyle="1" w:styleId="15">
    <w:name w:val="标题 3 字符"/>
    <w:basedOn w:val="10"/>
    <w:link w:val="4"/>
    <w:qFormat/>
    <w:uiPriority w:val="0"/>
    <w:rPr>
      <w:rFonts w:ascii="Times New Roman" w:hAnsi="Times New Roman" w:eastAsia="黑体" w:cs="Times New Roman"/>
      <w:bCs/>
      <w:snapToGrid w:val="0"/>
      <w:sz w:val="24"/>
      <w:szCs w:val="32"/>
    </w:rPr>
  </w:style>
  <w:style w:type="character" w:customStyle="1" w:styleId="16">
    <w:name w:val="页脚 字符"/>
    <w:basedOn w:val="10"/>
    <w:link w:val="5"/>
    <w:qFormat/>
    <w:uiPriority w:val="0"/>
    <w:rPr>
      <w:rFonts w:ascii="Arial" w:hAnsi="Arial" w:eastAsia="宋体" w:cs="Times New Roman"/>
      <w:kern w:val="0"/>
      <w:sz w:val="18"/>
      <w:szCs w:val="18"/>
    </w:rPr>
  </w:style>
  <w:style w:type="character" w:customStyle="1" w:styleId="17">
    <w:name w:val="页眉 字符"/>
    <w:basedOn w:val="10"/>
    <w:link w:val="6"/>
    <w:qFormat/>
    <w:uiPriority w:val="0"/>
    <w:rPr>
      <w:rFonts w:ascii="Arial" w:hAnsi="Arial" w:eastAsia="宋体" w:cs="Times New Roman"/>
      <w:kern w:val="0"/>
      <w:sz w:val="18"/>
      <w:szCs w:val="18"/>
    </w:rPr>
  </w:style>
  <w:style w:type="character" w:customStyle="1" w:styleId="18">
    <w:name w:val="标题 字符"/>
    <w:basedOn w:val="10"/>
    <w:link w:val="8"/>
    <w:qFormat/>
    <w:uiPriority w:val="0"/>
    <w:rPr>
      <w:rFonts w:asciiTheme="majorHAnsi" w:hAnsiTheme="majorHAnsi" w:eastAsiaTheme="majorEastAsia" w:cstheme="majorBidi"/>
      <w:b/>
      <w:bCs/>
      <w:snapToGrid w:val="0"/>
      <w:kern w:val="0"/>
      <w:sz w:val="32"/>
      <w:szCs w:val="32"/>
    </w:rPr>
  </w:style>
  <w:style w:type="paragraph" w:styleId="1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818</Words>
  <Characters>1119</Characters>
  <Lines>15</Lines>
  <Paragraphs>4</Paragraphs>
  <TotalTime>89</TotalTime>
  <ScaleCrop>false</ScaleCrop>
  <LinksUpToDate>false</LinksUpToDate>
  <CharactersWithSpaces>2025</CharactersWithSpaces>
  <Application>WPS Office_6.5.0.8619_F1E327BC-269C-435d-A152-05C5408002CA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2023-04-05T01:46:00Z</dcterms:created>
  <dc:creator>Administrator</dc:creator>
  <cp:lastModifiedBy>谭建</cp:lastModifiedBy>
  <dcterms:modified xsi:type="dcterms:W3CDTF">2024-01-26T22:42:09Z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2052-6.5.0.8619</vt:lpwstr>
  </property>
  <property fmtid="{D5CDD505-2E9C-101B-9397-08002B2CF9AE}" pid="3" name="ICV">
    <vt:lpwstr>5373944A85253434162FA965B27D7467_43</vt:lpwstr>
  </property>
</Properties>
</file>