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  <w:bookmarkStart w:id="0" w:name="_GoBack"/>
      <w:bookmarkEnd w:id="0"/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今日油价查询：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334"/>
        <w:gridCol w:w="1619"/>
        <w:gridCol w:w="3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5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7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93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25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5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provinceName</w:t>
            </w:r>
          </w:p>
        </w:tc>
        <w:tc>
          <w:tcPr>
            <w:tcW w:w="76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93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25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省份名称 例如：上海、北京、浙江。 如不传表示查询全部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tbl>
      <w:tblPr>
        <w:tblStyle w:val="8"/>
        <w:tblpPr w:leftFromText="180" w:rightFromText="180" w:vertAnchor="text" w:horzAnchor="margin" w:tblpY="21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69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tblHeader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成功为200其它为失败返回码</w:t>
            </w: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(</w:t>
            </w: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非http返回状态码</w:t>
            </w: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code对应的描述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唯一业务号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返回具体结果object类型，详见data返回字段描述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p0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0号柴油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p89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89号汽油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ct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更新时间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p90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90号汽油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p92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92号汽油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p93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93号汽油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prov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省份名称价格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p95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95号汽油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p98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98号汽油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99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p97</w:t>
            </w:r>
          </w:p>
        </w:tc>
        <w:tc>
          <w:tcPr>
            <w:tcW w:w="4006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7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/>
                <w:color w:val="24292E"/>
                <w:sz w:val="21"/>
                <w:szCs w:val="21"/>
              </w:rPr>
              <w:t>97号汽油</w:t>
            </w:r>
            <w:r>
              <w:rPr>
                <w:rFonts w:hint="eastAsia" w:ascii="Consolas" w:hAnsi="Consolas"/>
                <w:color w:val="24292E"/>
                <w:sz w:val="21"/>
                <w:szCs w:val="21"/>
              </w:rPr>
              <w:t>价格</w:t>
            </w:r>
          </w:p>
        </w:tc>
      </w:tr>
    </w:tbl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50E46"/>
    <w:rsid w:val="00452E75"/>
    <w:rsid w:val="0048084A"/>
    <w:rsid w:val="004F7FEB"/>
    <w:rsid w:val="005457D3"/>
    <w:rsid w:val="0056695E"/>
    <w:rsid w:val="005806AE"/>
    <w:rsid w:val="00581EF6"/>
    <w:rsid w:val="005823A5"/>
    <w:rsid w:val="00616F55"/>
    <w:rsid w:val="00620872"/>
    <w:rsid w:val="00685A78"/>
    <w:rsid w:val="006B07FA"/>
    <w:rsid w:val="006D2291"/>
    <w:rsid w:val="00785C6D"/>
    <w:rsid w:val="007D5166"/>
    <w:rsid w:val="007F6CBD"/>
    <w:rsid w:val="008008BE"/>
    <w:rsid w:val="00825A8E"/>
    <w:rsid w:val="00863724"/>
    <w:rsid w:val="008945B3"/>
    <w:rsid w:val="008A3F05"/>
    <w:rsid w:val="008B69A9"/>
    <w:rsid w:val="008C2F1F"/>
    <w:rsid w:val="008D0C22"/>
    <w:rsid w:val="00925141"/>
    <w:rsid w:val="00962DED"/>
    <w:rsid w:val="0097651B"/>
    <w:rsid w:val="009B6F98"/>
    <w:rsid w:val="009F0519"/>
    <w:rsid w:val="009F7B0E"/>
    <w:rsid w:val="00A01CAC"/>
    <w:rsid w:val="00A1479E"/>
    <w:rsid w:val="00A7339B"/>
    <w:rsid w:val="00B11E7F"/>
    <w:rsid w:val="00B3286A"/>
    <w:rsid w:val="00B65B75"/>
    <w:rsid w:val="00B6644D"/>
    <w:rsid w:val="00C00D27"/>
    <w:rsid w:val="00C07A73"/>
    <w:rsid w:val="00C15594"/>
    <w:rsid w:val="00D003E4"/>
    <w:rsid w:val="00D22D76"/>
    <w:rsid w:val="00E859D9"/>
    <w:rsid w:val="00EA7E0F"/>
    <w:rsid w:val="2F2B4DB8"/>
    <w:rsid w:val="3B7C4700"/>
    <w:rsid w:val="4D944CE6"/>
    <w:rsid w:val="600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</Words>
  <Characters>2114</Characters>
  <Lines>17</Lines>
  <Paragraphs>4</Paragraphs>
  <TotalTime>0</TotalTime>
  <ScaleCrop>false</ScaleCrop>
  <LinksUpToDate>false</LinksUpToDate>
  <CharactersWithSpaces>2480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2024-02-04T06:33:16Z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3E06654B81B04F8684B764F0D0C75468_12</vt:lpwstr>
  </property>
</Properties>
</file>