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5C12B"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rFonts w:hint="eastAsia"/>
          <w:lang w:eastAsia="zh-CN"/>
        </w:rPr>
        <w:t>辰明智能制造ERP+MES融合转型咨询服务</w:t>
      </w:r>
      <w:r>
        <w:rPr>
          <w:rStyle w:val="7"/>
        </w:rPr>
        <w:t>使用指南</w:t>
      </w:r>
    </w:p>
    <w:p w14:paraId="5119C57D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BDA997A">
      <w:pPr>
        <w:pStyle w:val="2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一、服务概述与核心价值</w:t>
      </w:r>
      <w:r>
        <w:t>​</w:t>
      </w:r>
    </w:p>
    <w:p w14:paraId="6ACA0687"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eastAsia="zh-CN"/>
        </w:rPr>
        <w:t>辰明智能制造ERP+MES融合转型咨询</w:t>
      </w:r>
      <w:r>
        <w:t>聚焦企业数字化转型中的关键痛点，通过精准诊断、快速验证（POC）和可行性方案设计，帮助企业低成本试错、高效落地数智化升级。其核心优势包括：</w:t>
      </w:r>
    </w:p>
    <w:p w14:paraId="2787AFD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轻量化投入</w:t>
      </w:r>
      <w:r>
        <w:t>​：避免传统咨询的高成本长周期，按需选择服务模块；</w:t>
      </w:r>
    </w:p>
    <w:p w14:paraId="485DBFD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结果导向</w:t>
      </w:r>
      <w:r>
        <w:t>​：以可落地的POC成品和诊断报告为交付核心；</w:t>
      </w:r>
    </w:p>
    <w:p w14:paraId="774E08A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定制化服务</w:t>
      </w:r>
      <w:r>
        <w:t>​：根据企业实际需求动态调整服务内容。</w:t>
      </w:r>
    </w:p>
    <w:p w14:paraId="7135F2BC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398F280">
      <w:pPr>
        <w:pStyle w:val="2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二、服务购买流程</w:t>
      </w:r>
      <w:r>
        <w:t>​</w:t>
      </w:r>
    </w:p>
    <w:p w14:paraId="4EEA593C">
      <w:pPr>
        <w:pStyle w:val="3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步骤1：登录云商店选购服务</w:t>
      </w:r>
      <w:r>
        <w:t>​</w:t>
      </w:r>
    </w:p>
    <w:p w14:paraId="59C8BC6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进入云商店主页 → 搜索“数智化轻咨询” → 查看商品详情（含服务目录、交付物说明、定价）；</w:t>
      </w:r>
    </w:p>
    <w:p w14:paraId="3B601A2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选择“</w:t>
      </w:r>
      <w:r>
        <w:rPr>
          <w:rStyle w:val="7"/>
        </w:rPr>
        <w:t>出海一站式服务</w:t>
      </w:r>
      <w:r>
        <w:t>”服务包，确认包含以下内容：</w:t>
      </w: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3303"/>
        <w:gridCol w:w="4945"/>
      </w:tblGrid>
      <w:tr w14:paraId="1019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3EC2F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4027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服务目录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6A22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交付物说明</w:t>
            </w:r>
          </w:p>
        </w:tc>
      </w:tr>
      <w:tr w14:paraId="6C58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B3AF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BB7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辰明智能制造ERP+MES融合转型咨询服务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24A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《企业现状调研和外部洞察析报告》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POC设计与实施成品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​（如流程自动化demo、数据看板原型）</w:t>
            </w:r>
          </w:p>
        </w:tc>
      </w:tr>
      <w:tr w14:paraId="39CD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35B3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DA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企业经营管理诊断和咨询服务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AFE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《诊断报告》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《改进建议书》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注：可根据企业需求增删模块</w:t>
            </w:r>
          </w:p>
        </w:tc>
      </w:tr>
    </w:tbl>
    <w:p w14:paraId="57E80790">
      <w:pPr>
        <w:pStyle w:val="3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步骤2：签订服务协议（SOW）​</w:t>
      </w:r>
      <w:r>
        <w:t>​</w:t>
      </w:r>
    </w:p>
    <w:p w14:paraId="779DBFB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与服务商确认具体范围、交付节点、报价；</w:t>
      </w:r>
    </w:p>
    <w:p w14:paraId="505E365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 xml:space="preserve">重点明确： </w:t>
      </w:r>
    </w:p>
    <w:p w14:paraId="5DCC5266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​</w:t>
      </w:r>
      <w:r>
        <w:rPr>
          <w:rStyle w:val="7"/>
        </w:rPr>
        <w:t>调研范围</w:t>
      </w:r>
      <w:r>
        <w:t>​（业务/技术/数据现状）；</w:t>
      </w:r>
    </w:p>
    <w:p w14:paraId="5601124B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​</w:t>
      </w:r>
      <w:r>
        <w:rPr>
          <w:rStyle w:val="7"/>
        </w:rPr>
        <w:t>POC验证目标</w:t>
      </w:r>
      <w:r>
        <w:t>​（如效率提升20%、成本降低15%等可量化指标）；</w:t>
      </w:r>
    </w:p>
    <w:p w14:paraId="6728F67D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​</w:t>
      </w:r>
      <w:r>
        <w:rPr>
          <w:rStyle w:val="7"/>
        </w:rPr>
        <w:t>交付物验收标准</w:t>
      </w:r>
      <w:r>
        <w:t>​（如报告框架、数据来源要求）。</w:t>
      </w:r>
    </w:p>
    <w:p w14:paraId="448EB24A"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A8D726">
      <w:pPr>
        <w:pStyle w:val="2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三、服务实施流程框架</w:t>
      </w:r>
      <w:r>
        <w:t>​</w:t>
      </w:r>
    </w:p>
    <w:p w14:paraId="2A3BB69A">
      <w:pPr>
        <w:pStyle w:val="3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阶段1：需求对齐与调研</w:t>
      </w:r>
      <w:r>
        <w:t>​</w:t>
      </w:r>
    </w:p>
    <w:p w14:paraId="5DD96078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企业现状诊断</w:t>
      </w:r>
      <w:r>
        <w:t xml:space="preserve">​： </w:t>
      </w:r>
    </w:p>
    <w:p w14:paraId="42CA1240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业务调研：梳理核心流程瓶颈（如供应链、客户服务）；</w:t>
      </w:r>
    </w:p>
    <w:p w14:paraId="16EDD5CD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技术评估：分析现有系统集成度与数据治理水平；</w:t>
      </w:r>
    </w:p>
    <w:p w14:paraId="18B88D14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输出《企业现状调研和外部洞察析报告》（含行业对标与机会点）。</w:t>
      </w:r>
    </w:p>
    <w:p w14:paraId="48D3D3DB">
      <w:pPr>
        <w:pStyle w:val="3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阶段2：POC设计与验证</w:t>
      </w:r>
      <w:r>
        <w:t>​</w:t>
      </w:r>
    </w:p>
    <w:p w14:paraId="7317BC7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场景化验证</w:t>
      </w:r>
      <w:r>
        <w:t xml:space="preserve">​： </w:t>
      </w:r>
    </w:p>
    <w:p w14:paraId="4731C065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选择1-2个高价值业务场景（如智能客服响应、库存预测）设计POC；</w:t>
      </w:r>
    </w:p>
    <w:p w14:paraId="4E14C7FB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交付可运行的POC成品（如AI模型、自动化脚本），验证技术可行性；</w:t>
      </w:r>
    </w:p>
    <w:p w14:paraId="6087B2F7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输出《POC测试报告》含成本效益分析。</w:t>
      </w:r>
    </w:p>
    <w:p w14:paraId="197C5603">
      <w:pPr>
        <w:pStyle w:val="3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阶段3：管理诊断与方案设计</w:t>
      </w:r>
      <w:r>
        <w:t>​</w:t>
      </w:r>
    </w:p>
    <w:p w14:paraId="03E5CCE3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根因分析与优化建议</w:t>
      </w:r>
      <w:r>
        <w:t xml:space="preserve">​： </w:t>
      </w:r>
    </w:p>
    <w:p w14:paraId="25A69D4A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基于调研及POC结果，识别管理机制问题（如跨部门协作低效）；</w:t>
      </w:r>
    </w:p>
    <w:p w14:paraId="04392CF1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输出《诊断报告》与《改进建议书》（含组织调整建议、KPI重构方案）；</w:t>
      </w:r>
    </w:p>
    <w:p w14:paraId="5B072FAF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8"/>
        </w:rPr>
        <w:t>注：此阶段可与企业内部复盘会结合，确保建议落地性</w:t>
      </w:r>
      <w:r>
        <w:t>。</w:t>
      </w:r>
    </w:p>
    <w:p w14:paraId="683519BF">
      <w:pPr>
        <w:pStyle w:val="3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阶段4：交付与迭代支持</w:t>
      </w:r>
      <w:r>
        <w:t>​</w:t>
      </w:r>
    </w:p>
    <w:p w14:paraId="3EB488B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</w:pPr>
      <w:r>
        <w:t>交付所有文档及POC源码；</w:t>
      </w:r>
    </w:p>
    <w:p w14:paraId="5B33D31C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</w:pPr>
      <w:r>
        <w:t>提供30天轻量级远程支持，协助问题调优。</w:t>
      </w:r>
    </w:p>
    <w:p w14:paraId="605AB530">
      <w:pPr>
        <w:keepNext w:val="0"/>
        <w:keepLines w:val="0"/>
        <w:widowControl/>
        <w:suppressLineNumbers w:val="0"/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AC790E6">
      <w:pPr>
        <w:pStyle w:val="2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四、关键交付物说明</w:t>
      </w:r>
      <w:r>
        <w:t>​</w:t>
      </w: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5"/>
        <w:gridCol w:w="5395"/>
      </w:tblGrid>
      <w:tr w14:paraId="2756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2C5D8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交付物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1991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内容要点</w:t>
            </w:r>
          </w:p>
        </w:tc>
      </w:tr>
      <w:tr w14:paraId="44DC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7FC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​《企业现状调研报告》​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1B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业务痛点地图、技术短板分析、竞对数智化水平对比</w:t>
            </w:r>
          </w:p>
        </w:tc>
      </w:tr>
      <w:tr w14:paraId="03F3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D5CC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POC设计与实施成品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8E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可演示的轻应用/工具包，附操作手册与测试数据</w:t>
            </w:r>
          </w:p>
        </w:tc>
      </w:tr>
      <w:tr w14:paraId="493D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F14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​《诊断报告》​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BF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管理问题归因（如流程冗余、决策链路缺失）</w:t>
            </w:r>
          </w:p>
        </w:tc>
      </w:tr>
      <w:tr w14:paraId="700B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7D9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​《改进建议书》​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8D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分阶段实施路径、资源投入计划、风险应对策略</w:t>
            </w:r>
          </w:p>
        </w:tc>
      </w:tr>
    </w:tbl>
    <w:p w14:paraId="6F0724DE"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2EF5DE2">
      <w:pPr>
        <w:pStyle w:val="2"/>
        <w:keepNext w:val="0"/>
        <w:keepLines w:val="0"/>
        <w:widowControl/>
        <w:suppressLineNumbers w:val="0"/>
      </w:pPr>
      <w:r>
        <w:t>​</w:t>
      </w:r>
      <w:r>
        <w:rPr>
          <w:rStyle w:val="7"/>
          <w:b/>
        </w:rPr>
        <w:t>五、成功实践建议</w:t>
      </w:r>
      <w:r>
        <w:t>​</w:t>
      </w:r>
    </w:p>
    <w:p w14:paraId="7C8486A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明确优先级</w:t>
      </w:r>
      <w:r>
        <w:t>​：聚焦“小切口、高价值”场景启动POC，避免泛泛而谈；</w:t>
      </w:r>
    </w:p>
    <w:p w14:paraId="5524974F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跨部门协同</w:t>
      </w:r>
      <w:r>
        <w:t>​：确保业务、技术团队共同参与需求确认；</w:t>
      </w:r>
    </w:p>
    <w:p w14:paraId="5177CDF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t>​</w:t>
      </w:r>
      <w:r>
        <w:rPr>
          <w:rStyle w:val="7"/>
        </w:rPr>
        <w:t>预算控制</w:t>
      </w:r>
      <w:r>
        <w:t>​：根据SOW阶段拆分付款节点，降低风险。</w:t>
      </w:r>
    </w:p>
    <w:p w14:paraId="6E9CA080"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Style w:val="7"/>
          <w:rFonts w:hint="eastAsia" w:ascii="宋体" w:hAnsi="宋体" w:eastAsia="宋体" w:cs="宋体"/>
          <w:sz w:val="24"/>
          <w:szCs w:val="24"/>
        </w:rPr>
        <w:t>注</w:t>
      </w:r>
      <w:r>
        <w:rPr>
          <w:rFonts w:hint="eastAsia" w:ascii="宋体" w:hAnsi="宋体" w:eastAsia="宋体" w:cs="宋体"/>
          <w:sz w:val="24"/>
          <w:szCs w:val="24"/>
        </w:rPr>
        <w:t>​：本指南基于标准流程设计，实际执行中可结合企业需求动态调整服务模块（如增加数据安全评估、供应链优化专项）。详细案例可参考数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辰明智能制造ERP+MES融合转型咨询服务</w:t>
      </w:r>
      <w:r>
        <w:rPr>
          <w:rFonts w:hint="eastAsia" w:ascii="宋体" w:hAnsi="宋体" w:eastAsia="宋体" w:cs="宋体"/>
          <w:sz w:val="24"/>
          <w:szCs w:val="24"/>
        </w:rPr>
        <w:t>项目建议书框架及轻咨询实施要点。</w:t>
      </w:r>
      <w:bookmarkStart w:id="0" w:name="_GoBack"/>
      <w:bookmarkEnd w:id="0"/>
    </w:p>
    <w:p w14:paraId="1E38AF33">
      <w:pPr>
        <w:pStyle w:val="9"/>
        <w:ind w:left="360" w:firstLine="0" w:firstLineChars="0"/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47658"/>
    <w:multiLevelType w:val="multilevel"/>
    <w:tmpl w:val="957476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73D9800"/>
    <w:multiLevelType w:val="multilevel"/>
    <w:tmpl w:val="D73D98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CCD7C04"/>
    <w:multiLevelType w:val="multilevel"/>
    <w:tmpl w:val="DCCD7C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A3F0502"/>
    <w:multiLevelType w:val="multilevel"/>
    <w:tmpl w:val="1A3F05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213FAB9"/>
    <w:multiLevelType w:val="multilevel"/>
    <w:tmpl w:val="2213FA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22F7B3B4"/>
    <w:multiLevelType w:val="multilevel"/>
    <w:tmpl w:val="22F7B3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4347C353"/>
    <w:multiLevelType w:val="multilevel"/>
    <w:tmpl w:val="4347C3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4DDC6B85"/>
    <w:multiLevelType w:val="multilevel"/>
    <w:tmpl w:val="4DDC6B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FF"/>
    <w:rsid w:val="0010602F"/>
    <w:rsid w:val="00125BE8"/>
    <w:rsid w:val="00326DE2"/>
    <w:rsid w:val="006F6A97"/>
    <w:rsid w:val="009F6F0F"/>
    <w:rsid w:val="00BA58D9"/>
    <w:rsid w:val="00C35019"/>
    <w:rsid w:val="00CC3BFF"/>
    <w:rsid w:val="00D120A7"/>
    <w:rsid w:val="00FF56AB"/>
    <w:rsid w:val="04895A1C"/>
    <w:rsid w:val="3D5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Georgia" w:hAnsi="Georgia" w:eastAsia="宋体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  <w14:ligatures w14:val="none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PricewaterhouseCoopers</Company>
  <Pages>3</Pages>
  <Words>1161</Words>
  <Characters>1212</Characters>
  <Lines>2</Lines>
  <Paragraphs>1</Paragraphs>
  <TotalTime>2</TotalTime>
  <ScaleCrop>false</ScaleCrop>
  <LinksUpToDate>false</LinksUpToDate>
  <CharactersWithSpaces>1220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2024-09-11T03:26:00Z</dcterms:created>
  <dc:creator>Jason ZD Wang (CN - ADVS)</dc:creator>
  <cp:lastModifiedBy>尐步</cp:lastModifiedBy>
  <dcterms:modified xsi:type="dcterms:W3CDTF">2025-06-02T07:04:34Z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eyJoZGlkIjoiZTYzMDIyMTQzMGJiYzRkMzA4ZjBkODNjMTM3MDI0ODgiLCJ1c2VySWQiOiIyNjQxMTg5MjEifQ==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A337837CFF504A1987BE5C2CD0D4B75A_12</vt:lpwstr>
  </property>
</Properties>
</file>