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103EB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  <w:lang w:val="en-US" w:eastAsia="zh-CN"/>
        </w:rPr>
        <w:t>极欧带</w:t>
      </w:r>
      <w:r>
        <w:rPr>
          <w:rFonts w:hint="eastAsia" w:ascii="华文隶书" w:hAnsi="华文隶书" w:eastAsia="华文隶书" w:cs="华文隶书"/>
          <w:b/>
          <w:sz w:val="44"/>
          <w:szCs w:val="44"/>
        </w:rPr>
        <w:t>料库WLCS软件操作手册</w:t>
      </w:r>
    </w:p>
    <w:p w14:paraId="5EAA9C52">
      <w:pPr>
        <w:jc w:val="center"/>
        <w:rPr>
          <w:rFonts w:hint="eastAsia" w:ascii="华文隶书" w:hAnsi="华文隶书" w:eastAsia="华文隶书" w:cs="华文隶书"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sz w:val="44"/>
          <w:szCs w:val="44"/>
          <w:lang w:val="en-US" w:eastAsia="zh-CN"/>
        </w:rPr>
        <w:t>极</w:t>
      </w:r>
    </w:p>
    <w:p w14:paraId="432FAB57">
      <w:pPr>
        <w:jc w:val="center"/>
        <w:rPr>
          <w:rFonts w:hint="eastAsia" w:ascii="华文隶书" w:hAnsi="华文隶书" w:eastAsia="华文隶书" w:cs="华文隶书"/>
          <w:sz w:val="44"/>
          <w:szCs w:val="44"/>
          <w:lang w:val="en-US" w:eastAsia="zh-CN"/>
        </w:rPr>
      </w:pPr>
      <w:bookmarkStart w:id="28" w:name="_GoBack"/>
      <w:bookmarkEnd w:id="28"/>
      <w:r>
        <w:rPr>
          <w:rFonts w:hint="eastAsia" w:ascii="华文隶书" w:hAnsi="华文隶书" w:eastAsia="华文隶书" w:cs="华文隶书"/>
          <w:sz w:val="44"/>
          <w:szCs w:val="44"/>
          <w:lang w:val="en-US" w:eastAsia="zh-CN"/>
        </w:rPr>
        <w:t>欧</w:t>
      </w:r>
    </w:p>
    <w:p w14:paraId="185FC5E9">
      <w:pPr>
        <w:jc w:val="center"/>
        <w:rPr>
          <w:rFonts w:hint="default" w:ascii="华文隶书" w:hAnsi="华文隶书" w:eastAsia="华文隶书" w:cs="华文隶书"/>
          <w:sz w:val="44"/>
          <w:szCs w:val="44"/>
          <w:lang w:val="en-US" w:eastAsia="zh-CN"/>
        </w:rPr>
      </w:pPr>
      <w:r>
        <w:rPr>
          <w:rFonts w:hint="eastAsia" w:ascii="华文隶书" w:hAnsi="华文隶书" w:eastAsia="华文隶书" w:cs="华文隶书"/>
          <w:sz w:val="44"/>
          <w:szCs w:val="44"/>
          <w:lang w:val="en-US" w:eastAsia="zh-CN"/>
        </w:rPr>
        <w:t>带</w:t>
      </w:r>
    </w:p>
    <w:p w14:paraId="2F7F452D">
      <w:pPr>
        <w:jc w:val="center"/>
        <w:rPr>
          <w:rFonts w:ascii="华文隶书" w:hAnsi="华文隶书" w:eastAsia="华文隶书" w:cs="华文隶书"/>
          <w:sz w:val="44"/>
          <w:szCs w:val="44"/>
        </w:rPr>
      </w:pPr>
      <w:r>
        <w:rPr>
          <w:rFonts w:hint="eastAsia" w:ascii="华文隶书" w:hAnsi="华文隶书" w:eastAsia="华文隶书" w:cs="华文隶书"/>
          <w:sz w:val="44"/>
          <w:szCs w:val="44"/>
        </w:rPr>
        <w:t>料</w:t>
      </w:r>
    </w:p>
    <w:p w14:paraId="794D388A">
      <w:pPr>
        <w:jc w:val="center"/>
        <w:rPr>
          <w:rFonts w:hint="eastAsia"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sz w:val="44"/>
          <w:szCs w:val="44"/>
        </w:rPr>
        <w:t>库</w:t>
      </w:r>
    </w:p>
    <w:p w14:paraId="5E0B9DA1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W</w:t>
      </w:r>
    </w:p>
    <w:p w14:paraId="35EC1EA3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L</w:t>
      </w:r>
    </w:p>
    <w:p w14:paraId="73D0935E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C</w:t>
      </w:r>
    </w:p>
    <w:p w14:paraId="5659DE8D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S</w:t>
      </w:r>
    </w:p>
    <w:p w14:paraId="5B84E922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系</w:t>
      </w:r>
    </w:p>
    <w:p w14:paraId="3C4D1978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统</w:t>
      </w:r>
    </w:p>
    <w:p w14:paraId="7A7635F0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软</w:t>
      </w:r>
    </w:p>
    <w:p w14:paraId="72C87384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件</w:t>
      </w:r>
    </w:p>
    <w:p w14:paraId="03BC5C86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操</w:t>
      </w:r>
    </w:p>
    <w:p w14:paraId="661954A6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作</w:t>
      </w:r>
    </w:p>
    <w:p w14:paraId="6999F602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手</w:t>
      </w:r>
    </w:p>
    <w:p w14:paraId="21F9825E">
      <w:pPr>
        <w:jc w:val="center"/>
        <w:rPr>
          <w:rFonts w:ascii="华文隶书" w:hAnsi="华文隶书" w:eastAsia="华文隶书" w:cs="华文隶书"/>
          <w:b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sz w:val="44"/>
          <w:szCs w:val="44"/>
        </w:rPr>
        <w:t>册</w:t>
      </w:r>
    </w:p>
    <w:p w14:paraId="3EE984F6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14:paraId="4B0BEFE2">
      <w:pPr>
        <w:rPr>
          <w:lang w:val="zh-CN"/>
        </w:rPr>
      </w:pPr>
    </w:p>
    <w:sdt>
      <w:sdtPr>
        <w:rPr>
          <w:rFonts w:ascii="宋体" w:hAnsi="宋体"/>
        </w:rPr>
        <w:id w:val="147454440"/>
        <w15:color w:val="DBDBDB"/>
        <w:docPartObj>
          <w:docPartGallery w:val="Table of Contents"/>
          <w:docPartUnique/>
        </w:docPartObj>
      </w:sdtPr>
      <w:sdtEndPr>
        <w:rPr>
          <w:rFonts w:ascii="宋体" w:hAnsi="宋体"/>
        </w:rPr>
      </w:sdtEndPr>
      <w:sdtContent>
        <w:p w14:paraId="5D6C305B">
          <w:pPr>
            <w:jc w:val="center"/>
            <w:rPr>
              <w:rFonts w:ascii="宋体" w:hAnsi="宋体" w:cs="宋体"/>
              <w:sz w:val="28"/>
              <w:szCs w:val="28"/>
            </w:rPr>
          </w:pPr>
          <w:r>
            <w:rPr>
              <w:rFonts w:hint="eastAsia" w:ascii="宋体" w:hAnsi="宋体" w:cs="宋体"/>
              <w:sz w:val="28"/>
              <w:szCs w:val="28"/>
            </w:rPr>
            <w:t>目录</w:t>
          </w:r>
        </w:p>
        <w:p w14:paraId="0BE835EE"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cs="宋体"/>
              <w:sz w:val="28"/>
              <w:szCs w:val="28"/>
            </w:rPr>
            <w:instrText xml:space="preserve">TOC \o "1-3" \h \u </w:instrText>
          </w:r>
          <w:r>
            <w:rPr>
              <w:rFonts w:hint="eastAsia" w:ascii="宋体" w:hAnsi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_Toc29349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  <w:bCs/>
              <w:szCs w:val="32"/>
            </w:rPr>
            <w:t>第一章 系统概述</w:t>
          </w:r>
          <w:r>
            <w:tab/>
          </w:r>
          <w:r>
            <w:fldChar w:fldCharType="begin"/>
          </w:r>
          <w:r>
            <w:instrText xml:space="preserve"> PAGEREF _Toc29349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43AD9DBC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_Toc24612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1.1系统介绍</w:t>
          </w:r>
          <w:r>
            <w:tab/>
          </w:r>
          <w:r>
            <w:fldChar w:fldCharType="begin"/>
          </w:r>
          <w:r>
            <w:instrText xml:space="preserve"> PAGEREF _Toc24612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7B55BD89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_Toc11041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1.2系统启动前准备</w:t>
          </w:r>
          <w:r>
            <w:tab/>
          </w:r>
          <w:r>
            <w:fldChar w:fldCharType="begin"/>
          </w:r>
          <w:r>
            <w:instrText xml:space="preserve"> PAGEREF _Toc11041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6C3628FF"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_Toc9959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  <w:bCs/>
              <w:szCs w:val="32"/>
            </w:rPr>
            <w:t>第二章 软件操作详解</w:t>
          </w:r>
          <w:r>
            <w:tab/>
          </w:r>
          <w:r>
            <w:fldChar w:fldCharType="begin"/>
          </w:r>
          <w:r>
            <w:instrText xml:space="preserve"> PAGEREF _Toc9959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076A2BF5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_Toc6099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2.1 首页</w:t>
          </w:r>
          <w:r>
            <w:tab/>
          </w:r>
          <w:r>
            <w:fldChar w:fldCharType="begin"/>
          </w:r>
          <w:r>
            <w:instrText xml:space="preserve"> PAGEREF _Toc6099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5724092B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_Toc26887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</w:rPr>
            <w:t>2.1.1 库位状态显示</w:t>
          </w:r>
          <w:r>
            <w:tab/>
          </w:r>
          <w:r>
            <w:fldChar w:fldCharType="begin"/>
          </w:r>
          <w:r>
            <w:instrText xml:space="preserve"> PAGEREF _Toc26887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6160B369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_Toc22379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</w:rPr>
            <w:t>2.1.2 设备状态显示</w:t>
          </w:r>
          <w:r>
            <w:tab/>
          </w:r>
          <w:r>
            <w:fldChar w:fldCharType="begin"/>
          </w:r>
          <w:r>
            <w:instrText xml:space="preserve"> PAGEREF _Toc22379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575E2681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_Toc15473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</w:rPr>
            <w:t>2.1.3 报警信息显示</w:t>
          </w:r>
          <w:r>
            <w:tab/>
          </w:r>
          <w:r>
            <w:fldChar w:fldCharType="begin"/>
          </w:r>
          <w:r>
            <w:instrText xml:space="preserve"> PAGEREF _Toc15473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A12822C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_Toc14911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2.2 实体管理</w:t>
          </w:r>
          <w:r>
            <w:tab/>
          </w:r>
          <w:r>
            <w:fldChar w:fldCharType="begin"/>
          </w:r>
          <w:r>
            <w:instrText xml:space="preserve"> PAGEREF _Toc14911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0A1D5EB3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_Toc16874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2.2.1 托盘管理</w:t>
          </w:r>
          <w:r>
            <w:tab/>
          </w:r>
          <w:r>
            <w:fldChar w:fldCharType="begin"/>
          </w:r>
          <w:r>
            <w:instrText xml:space="preserve"> PAGEREF _Toc16874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7E66FAC9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_Toc20631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2.2.2 工位管理</w:t>
          </w:r>
          <w:r>
            <w:tab/>
          </w:r>
          <w:r>
            <w:fldChar w:fldCharType="begin"/>
          </w:r>
          <w:r>
            <w:instrText xml:space="preserve"> PAGEREF _Toc20631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B32E8DF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_Toc30899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2.2.3 设备管理</w:t>
          </w:r>
          <w:r>
            <w:tab/>
          </w:r>
          <w:r>
            <w:fldChar w:fldCharType="begin"/>
          </w:r>
          <w:r>
            <w:instrText xml:space="preserve"> PAGEREF _Toc30899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33BD63B9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_Toc29803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2.3 生产管理</w:t>
          </w:r>
          <w:r>
            <w:tab/>
          </w:r>
          <w:r>
            <w:fldChar w:fldCharType="begin"/>
          </w:r>
          <w:r>
            <w:instrText xml:space="preserve"> PAGEREF _Toc29803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7748F770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_Toc5070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2.3.1 任务管理</w:t>
          </w:r>
          <w:r>
            <w:tab/>
          </w:r>
          <w:r>
            <w:fldChar w:fldCharType="begin"/>
          </w:r>
          <w:r>
            <w:instrText xml:space="preserve"> PAGEREF _Toc5070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215E203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_Toc29168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2.3.2 指令管理</w:t>
          </w:r>
          <w:r>
            <w:tab/>
          </w:r>
          <w:r>
            <w:fldChar w:fldCharType="begin"/>
          </w:r>
          <w:r>
            <w:instrText xml:space="preserve"> PAGEREF _Toc29168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63CA2F77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_Toc1752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2.4 历史记录</w:t>
          </w:r>
          <w:r>
            <w:tab/>
          </w:r>
          <w:r>
            <w:fldChar w:fldCharType="begin"/>
          </w:r>
          <w:r>
            <w:instrText xml:space="preserve"> PAGEREF _Toc1752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0D669E38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_Toc19877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2.4.1 历史任务</w:t>
          </w:r>
          <w:r>
            <w:tab/>
          </w:r>
          <w:r>
            <w:fldChar w:fldCharType="begin"/>
          </w:r>
          <w:r>
            <w:instrText xml:space="preserve"> PAGEREF _Toc19877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3BF0E28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_Toc28255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历史任务主要查询显示历史任务信息，如图2.4.1.1所示。</w:t>
          </w:r>
          <w:r>
            <w:tab/>
          </w:r>
          <w:r>
            <w:fldChar w:fldCharType="begin"/>
          </w:r>
          <w:r>
            <w:instrText xml:space="preserve"> PAGEREF _Toc28255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A836F2B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_Toc23492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2.4.2 历史指令</w:t>
          </w:r>
          <w:r>
            <w:tab/>
          </w:r>
          <w:r>
            <w:fldChar w:fldCharType="begin"/>
          </w:r>
          <w:r>
            <w:instrText xml:space="preserve"> PAGEREF _Toc23492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48CA62D5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_Toc22538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历史指令主要查询显示历史指令信息，如图2.4.2.1所示。</w:t>
          </w:r>
          <w:r>
            <w:tab/>
          </w:r>
          <w:r>
            <w:fldChar w:fldCharType="begin"/>
          </w:r>
          <w:r>
            <w:instrText xml:space="preserve"> PAGEREF _Toc22538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5D0AFE22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_Toc15427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>2.5 日志管理</w:t>
          </w:r>
          <w:r>
            <w:tab/>
          </w:r>
          <w:r>
            <w:fldChar w:fldCharType="begin"/>
          </w:r>
          <w:r>
            <w:instrText xml:space="preserve"> PAGEREF _Toc15427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5E50A8AC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_Toc20774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 xml:space="preserve">2.5.1 </w:t>
          </w:r>
          <w:r>
            <w:rPr>
              <w:rFonts w:hint="eastAsia" w:asciiTheme="minorEastAsia" w:hAnsiTheme="minorEastAsia" w:eastAsiaTheme="minorEastAsia" w:cstheme="minorEastAsia"/>
            </w:rPr>
            <w:t>操作日志</w:t>
          </w:r>
          <w:r>
            <w:tab/>
          </w:r>
          <w:r>
            <w:fldChar w:fldCharType="begin"/>
          </w:r>
          <w:r>
            <w:instrText xml:space="preserve"> PAGEREF _Toc20774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927F42E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_Toc10182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操作日志主要是对登录人员对系统操作的信息记录，如图2.5.1.1所示。</w:t>
          </w:r>
          <w:r>
            <w:tab/>
          </w:r>
          <w:r>
            <w:fldChar w:fldCharType="begin"/>
          </w:r>
          <w:r>
            <w:instrText xml:space="preserve"> PAGEREF _Toc10182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424B7181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_Toc5697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2.5.2 接口日志</w:t>
          </w:r>
          <w:r>
            <w:tab/>
          </w:r>
          <w:r>
            <w:fldChar w:fldCharType="begin"/>
          </w:r>
          <w:r>
            <w:instrText xml:space="preserve"> PAGEREF _Toc5697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2A40CBB6">
          <w:pPr>
            <w:pStyle w:val="3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_Toc7470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</w:rPr>
            <w:t>接口日志主要查询显示接口信息，如图2.5.2.1所示。</w:t>
          </w:r>
          <w:r>
            <w:tab/>
          </w:r>
          <w:r>
            <w:fldChar w:fldCharType="begin"/>
          </w:r>
          <w:r>
            <w:instrText xml:space="preserve"> PAGEREF _Toc7470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6BD17318">
          <w:pPr>
            <w:pStyle w:val="6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_Toc21759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/>
              <w:bCs/>
              <w:szCs w:val="32"/>
            </w:rPr>
            <w:t>第三章 异常处理</w:t>
          </w:r>
          <w:r>
            <w:tab/>
          </w:r>
          <w:r>
            <w:fldChar w:fldCharType="begin"/>
          </w:r>
          <w:r>
            <w:instrText xml:space="preserve"> PAGEREF _Toc21759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4117E905"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cs="宋体"/>
              <w:szCs w:val="28"/>
            </w:rPr>
            <w:fldChar w:fldCharType="begin"/>
          </w:r>
          <w:r>
            <w:rPr>
              <w:rFonts w:hint="eastAsia" w:ascii="宋体" w:hAnsi="宋体" w:cs="宋体"/>
              <w:szCs w:val="28"/>
            </w:rPr>
            <w:instrText xml:space="preserve"> HYPERLINK \l _Toc15537 </w:instrText>
          </w:r>
          <w:r>
            <w:rPr>
              <w:rFonts w:hint="eastAsia" w:ascii="宋体" w:hAnsi="宋体" w:cs="宋体"/>
              <w:szCs w:val="28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28"/>
            </w:rPr>
            <w:t xml:space="preserve">3.1 </w:t>
          </w:r>
          <w:r>
            <w:rPr>
              <w:rFonts w:hint="eastAsia" w:asciiTheme="majorEastAsia" w:hAnsiTheme="majorEastAsia" w:eastAsiaTheme="majorEastAsia" w:cstheme="majorEastAsia"/>
              <w:szCs w:val="28"/>
              <w:lang w:val="en-US" w:eastAsia="zh-CN"/>
            </w:rPr>
            <w:t>桁架区域的子母车手动发送任务</w:t>
          </w:r>
          <w:r>
            <w:tab/>
          </w:r>
          <w:r>
            <w:fldChar w:fldCharType="begin"/>
          </w:r>
          <w:r>
            <w:instrText xml:space="preserve"> PAGEREF _Toc15537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cs="宋体"/>
              <w:szCs w:val="28"/>
            </w:rPr>
            <w:fldChar w:fldCharType="end"/>
          </w:r>
        </w:p>
        <w:p w14:paraId="6ADD947F">
          <w:r>
            <w:rPr>
              <w:rFonts w:hint="eastAsia" w:ascii="宋体" w:hAnsi="宋体" w:cs="宋体"/>
              <w:szCs w:val="28"/>
            </w:rPr>
            <w:fldChar w:fldCharType="end"/>
          </w:r>
        </w:p>
      </w:sdtContent>
    </w:sdt>
    <w:p w14:paraId="19EC537E">
      <w:r>
        <w:br w:type="page"/>
      </w:r>
    </w:p>
    <w:p w14:paraId="331E401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bookmarkStart w:id="0" w:name="_Toc29349"/>
      <w:r>
        <w:rPr>
          <w:rFonts w:hint="eastAsia"/>
          <w:b/>
          <w:bCs/>
          <w:sz w:val="32"/>
          <w:szCs w:val="32"/>
        </w:rPr>
        <w:t>系统概述</w:t>
      </w:r>
      <w:bookmarkEnd w:id="0"/>
    </w:p>
    <w:p w14:paraId="69A6A2E6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1" w:name="_Toc24612"/>
      <w:r>
        <w:rPr>
          <w:rFonts w:hint="eastAsia" w:asciiTheme="majorEastAsia" w:hAnsiTheme="majorEastAsia" w:eastAsiaTheme="majorEastAsia" w:cstheme="majorEastAsia"/>
          <w:sz w:val="28"/>
          <w:szCs w:val="28"/>
        </w:rPr>
        <w:t>1.1系统介绍</w:t>
      </w:r>
      <w:bookmarkEnd w:id="1"/>
    </w:p>
    <w:p w14:paraId="4BAAEC13"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本系统用于立库系统，作为WMS和物流设备的中间桥梁，</w:t>
      </w:r>
      <w:r>
        <w:rPr>
          <w:rFonts w:hint="eastAsia" w:asciiTheme="minorEastAsia" w:hAnsiTheme="minorEastAsia" w:eastAsiaTheme="minorEastAsia" w:cstheme="minorEastAsia"/>
          <w:color w:val="333333"/>
          <w:kern w:val="0"/>
          <w:sz w:val="24"/>
          <w:lang w:bidi="ar"/>
        </w:rPr>
        <w:t>负责协调调度底层设备，使底层设备可以执行仓储系统的业务流程，主要功能为：对下采集堆垛机及输送线状态信息，对上接收WMS任务指令，下发给底层PLC，执行取货送货，货位整理等任务。</w:t>
      </w:r>
    </w:p>
    <w:p w14:paraId="1153C433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2" w:name="_Toc11041"/>
      <w:r>
        <w:rPr>
          <w:rFonts w:hint="eastAsia" w:asciiTheme="majorEastAsia" w:hAnsiTheme="majorEastAsia" w:eastAsiaTheme="majorEastAsia" w:cstheme="majorEastAsia"/>
          <w:sz w:val="28"/>
          <w:szCs w:val="28"/>
        </w:rPr>
        <w:t>1.2系统启动前准备</w:t>
      </w:r>
      <w:bookmarkEnd w:id="2"/>
    </w:p>
    <w:p w14:paraId="6284F03B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（1）将电脑开机并将软件打开。</w:t>
      </w:r>
    </w:p>
    <w:p w14:paraId="254FAFF0"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（2）检查网络是否连接正常，与PLC及WMS是否能正常通信。</w:t>
      </w:r>
    </w:p>
    <w:p w14:paraId="4A7CE0EA">
      <w:pPr>
        <w:rPr>
          <w:rFonts w:asciiTheme="majorEastAsia" w:hAnsiTheme="majorEastAsia" w:eastAsiaTheme="majorEastAsia" w:cstheme="majorEastAsia"/>
          <w:sz w:val="28"/>
          <w:szCs w:val="28"/>
        </w:rPr>
      </w:pPr>
    </w:p>
    <w:p w14:paraId="0BCA587D">
      <w:r>
        <w:br w:type="page"/>
      </w:r>
    </w:p>
    <w:p w14:paraId="48AC4725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bookmarkStart w:id="3" w:name="_Toc9959"/>
      <w:r>
        <w:rPr>
          <w:rFonts w:hint="eastAsia"/>
          <w:b/>
          <w:bCs/>
          <w:sz w:val="32"/>
          <w:szCs w:val="32"/>
        </w:rPr>
        <w:t>软件操作详解</w:t>
      </w:r>
      <w:bookmarkEnd w:id="3"/>
    </w:p>
    <w:p w14:paraId="6DD107E8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4" w:name="_Toc6099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2.1 首页</w:t>
      </w:r>
      <w:bookmarkEnd w:id="4"/>
    </w:p>
    <w:p w14:paraId="188A3B3F"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打开软件进入WLCS系统，如2.1.1所示。点击左侧栏中的首页，进入系统监测界面，此界面包括任务的执行控制、输送线的状态显示及库位的信息显示。</w:t>
      </w:r>
    </w:p>
    <w:p w14:paraId="58A51388"/>
    <w:p w14:paraId="162D7F7E">
      <w:pPr>
        <w:jc w:val="center"/>
      </w:pPr>
    </w:p>
    <w:p w14:paraId="057D62D5">
      <w:pPr>
        <w:jc w:val="center"/>
      </w:pPr>
    </w:p>
    <w:p w14:paraId="051ABAF8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50210"/>
            <wp:effectExtent l="0" t="0" r="5715" b="7620"/>
            <wp:docPr id="5" name="图片 5" descr="173525988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52598826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B5DE">
      <w:pPr>
        <w:jc w:val="center"/>
      </w:pPr>
      <w:r>
        <w:rPr>
          <w:rFonts w:hint="eastAsia"/>
        </w:rPr>
        <w:t>图2.1.1</w:t>
      </w:r>
    </w:p>
    <w:p w14:paraId="09BFA1CB">
      <w:pPr>
        <w:jc w:val="center"/>
      </w:pPr>
    </w:p>
    <w:p w14:paraId="2344A870">
      <w:pPr>
        <w:outlineLvl w:val="2"/>
        <w:rPr>
          <w:rFonts w:asciiTheme="majorEastAsia" w:hAnsiTheme="majorEastAsia" w:eastAsiaTheme="majorEastAsia" w:cstheme="majorEastAsia"/>
          <w:sz w:val="24"/>
        </w:rPr>
      </w:pPr>
      <w:bookmarkStart w:id="5" w:name="_Toc26887"/>
      <w:r>
        <w:rPr>
          <w:rFonts w:hint="eastAsia" w:asciiTheme="majorEastAsia" w:hAnsiTheme="majorEastAsia" w:eastAsiaTheme="majorEastAsia" w:cstheme="majorEastAsia"/>
          <w:sz w:val="24"/>
        </w:rPr>
        <w:t>2.1.1 库位状态显示</w:t>
      </w:r>
      <w:bookmarkEnd w:id="5"/>
    </w:p>
    <w:p w14:paraId="7AD85B0F"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如图2.1.1.1所示，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WLCS监控库位的有货、无货、当前托盘码等状态信息，并实时显示到监控界面上。 </w:t>
      </w:r>
    </w:p>
    <w:p w14:paraId="36B0A3A7"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879725"/>
            <wp:effectExtent l="0" t="0" r="2540" b="2540"/>
            <wp:docPr id="9" name="图片 9" descr="e92e819cfa9740130346de7dfa6d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92e819cfa9740130346de7dfa6dc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8D65"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1069975"/>
            <wp:effectExtent l="0" t="0" r="8890" b="9525"/>
            <wp:docPr id="6" name="图片 6" descr="14a735526fdd088f612b005df1ef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a735526fdd088f612b005df1efe6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1B79">
      <w:pPr>
        <w:jc w:val="center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/>
        </w:rPr>
        <w:t>图2.1.1.1</w:t>
      </w:r>
    </w:p>
    <w:p w14:paraId="528FF90B">
      <w:pPr>
        <w:outlineLvl w:val="2"/>
        <w:rPr>
          <w:rFonts w:asciiTheme="majorEastAsia" w:hAnsiTheme="majorEastAsia" w:eastAsiaTheme="majorEastAsia" w:cstheme="majorEastAsia"/>
          <w:sz w:val="24"/>
        </w:rPr>
      </w:pPr>
      <w:bookmarkStart w:id="6" w:name="_Toc22379"/>
      <w:r>
        <w:rPr>
          <w:rFonts w:hint="eastAsia" w:asciiTheme="majorEastAsia" w:hAnsiTheme="majorEastAsia" w:eastAsiaTheme="majorEastAsia" w:cstheme="majorEastAsia"/>
          <w:sz w:val="24"/>
        </w:rPr>
        <w:t>2.1.2 设备状态显示</w:t>
      </w:r>
      <w:bookmarkEnd w:id="6"/>
    </w:p>
    <w:p w14:paraId="7605FEFD"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如图2.1.2.1所示，双击对应的设备图标，WLCS监控设备的基础信息：设备号、设备托盘最高容量，设备的实时信息：设备状态、设备空满位、设备故障等信息，并显示到监控界面。 </w:t>
      </w:r>
    </w:p>
    <w:p w14:paraId="0A5FFE0E">
      <w:pPr>
        <w:rPr>
          <w:rFonts w:asciiTheme="majorEastAsia" w:hAnsiTheme="majorEastAsia" w:eastAsiaTheme="majorEastAsia" w:cstheme="majorEastAsia"/>
          <w:sz w:val="24"/>
        </w:rPr>
      </w:pPr>
    </w:p>
    <w:p w14:paraId="04DB8E54">
      <w:pPr>
        <w:jc w:val="center"/>
        <w:rPr>
          <w:rFonts w:asciiTheme="majorEastAsia" w:hAnsiTheme="majorEastAsia" w:eastAsiaTheme="majorEastAsia" w:cstheme="majorEastAsia"/>
          <w:sz w:val="24"/>
        </w:rPr>
      </w:pPr>
      <w:r>
        <w:drawing>
          <wp:inline distT="0" distB="0" distL="0" distR="0">
            <wp:extent cx="5274310" cy="1258570"/>
            <wp:effectExtent l="0" t="0" r="2540" b="0"/>
            <wp:docPr id="1492758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5814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917D">
      <w:pPr>
        <w:jc w:val="center"/>
        <w:rPr>
          <w:rFonts w:asciiTheme="majorEastAsia" w:hAnsiTheme="majorEastAsia" w:eastAsiaTheme="majorEastAsia" w:cstheme="majorEastAsia"/>
          <w:sz w:val="24"/>
        </w:rPr>
      </w:pPr>
      <w:r>
        <w:rPr>
          <w:rFonts w:hint="eastAsia"/>
        </w:rPr>
        <w:t>图2.1.2.1</w:t>
      </w:r>
    </w:p>
    <w:p w14:paraId="34A626D4">
      <w:pPr>
        <w:rPr>
          <w:rFonts w:asciiTheme="majorEastAsia" w:hAnsiTheme="majorEastAsia" w:eastAsiaTheme="majorEastAsia" w:cstheme="majorEastAsia"/>
          <w:sz w:val="24"/>
        </w:rPr>
      </w:pPr>
    </w:p>
    <w:p w14:paraId="5CB2AA90">
      <w:pPr>
        <w:outlineLvl w:val="2"/>
        <w:rPr>
          <w:rFonts w:asciiTheme="majorEastAsia" w:hAnsiTheme="majorEastAsia" w:eastAsiaTheme="majorEastAsia" w:cstheme="majorEastAsia"/>
          <w:sz w:val="24"/>
        </w:rPr>
      </w:pPr>
      <w:bookmarkStart w:id="7" w:name="_Toc15473"/>
      <w:r>
        <w:rPr>
          <w:rFonts w:hint="eastAsia" w:asciiTheme="majorEastAsia" w:hAnsiTheme="majorEastAsia" w:eastAsiaTheme="majorEastAsia" w:cstheme="majorEastAsia"/>
          <w:sz w:val="24"/>
        </w:rPr>
        <w:t>2.1.3 报警信息显示</w:t>
      </w:r>
      <w:bookmarkEnd w:id="7"/>
    </w:p>
    <w:p w14:paraId="770054F9"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如图2.1.3.1所示，主页报警信息按钮点击弹出所有报警信息，在弹出的报警信息界面点击信息前面的蓝色故障码图标，可以将对应的报警信息消除。 </w:t>
      </w:r>
    </w:p>
    <w:p w14:paraId="50567E31">
      <w:pPr>
        <w:widowControl/>
        <w:spacing w:line="360" w:lineRule="auto"/>
        <w:ind w:firstLine="480" w:firstLineChars="200"/>
        <w:jc w:val="center"/>
        <w:rPr>
          <w:rFonts w:hint="eastAsia" w:asciiTheme="minorEastAsia" w:hAnsiTheme="minorEastAsia" w:eastAsiaTheme="minorEastAsia" w:cstheme="minorEastAsia"/>
          <w:color w:val="5C5C5C"/>
          <w:kern w:val="0"/>
          <w:sz w:val="24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color w:val="5C5C5C"/>
          <w:kern w:val="0"/>
          <w:sz w:val="24"/>
          <w:lang w:eastAsia="zh-CN" w:bidi="ar"/>
        </w:rPr>
        <w:drawing>
          <wp:inline distT="0" distB="0" distL="114300" distR="114300">
            <wp:extent cx="5269865" cy="2474595"/>
            <wp:effectExtent l="0" t="0" r="8890" b="8255"/>
            <wp:docPr id="10" name="图片 10" descr="82f4b7aeab9664e9242f6a0214e8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2f4b7aeab9664e9242f6a0214e83c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91FE">
      <w:pPr>
        <w:jc w:val="center"/>
        <w:rPr>
          <w:rFonts w:asciiTheme="minorEastAsia" w:hAnsiTheme="minorEastAsia" w:eastAsiaTheme="minorEastAsia" w:cstheme="minorEastAsia"/>
          <w:color w:val="5C5C5C"/>
          <w:kern w:val="0"/>
          <w:sz w:val="24"/>
          <w:lang w:bidi="ar"/>
        </w:rPr>
      </w:pPr>
      <w:r>
        <w:rPr>
          <w:rFonts w:hint="eastAsia"/>
        </w:rPr>
        <w:t>图2.1.3.1</w:t>
      </w:r>
    </w:p>
    <w:p w14:paraId="1E4C9E90">
      <w:pPr>
        <w:widowControl/>
        <w:spacing w:line="360" w:lineRule="auto"/>
        <w:ind w:firstLine="480" w:firstLineChars="200"/>
        <w:jc w:val="center"/>
        <w:rPr>
          <w:rFonts w:asciiTheme="minorEastAsia" w:hAnsiTheme="minorEastAsia" w:eastAsiaTheme="minorEastAsia" w:cstheme="minorEastAsia"/>
          <w:color w:val="5C5C5C"/>
          <w:kern w:val="0"/>
          <w:sz w:val="24"/>
          <w:lang w:bidi="ar"/>
        </w:rPr>
      </w:pPr>
    </w:p>
    <w:p w14:paraId="5BF762CF">
      <w:r>
        <w:rPr>
          <w:rFonts w:hint="eastAsia"/>
        </w:rPr>
        <w:br w:type="page"/>
      </w:r>
    </w:p>
    <w:p w14:paraId="65E93213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8" w:name="_Toc14911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2.2 实体管理</w:t>
      </w:r>
      <w:bookmarkEnd w:id="8"/>
    </w:p>
    <w:p w14:paraId="2DD5C5FE"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实体管理是对立库的实体信息的维护管理，包含三个部分：托盘管理、工位管理、设备管理。</w:t>
      </w:r>
    </w:p>
    <w:p w14:paraId="50A139FA">
      <w:pPr>
        <w:outlineLvl w:val="2"/>
        <w:rPr>
          <w:sz w:val="24"/>
        </w:rPr>
      </w:pPr>
      <w:bookmarkStart w:id="9" w:name="_Toc16874"/>
      <w:r>
        <w:rPr>
          <w:rFonts w:hint="eastAsia"/>
          <w:sz w:val="24"/>
        </w:rPr>
        <w:t>2.2.1 托盘管理</w:t>
      </w:r>
      <w:bookmarkEnd w:id="9"/>
    </w:p>
    <w:p w14:paraId="322D298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托盘管理主要为新增、编辑、删除、查询托盘实体信息，并如图2.2.1.1实时显示。</w:t>
      </w:r>
    </w:p>
    <w:p w14:paraId="301F93D4">
      <w:pPr>
        <w:spacing w:line="360" w:lineRule="auto"/>
        <w:ind w:firstLine="420" w:firstLineChars="200"/>
      </w:pPr>
      <w:r>
        <w:drawing>
          <wp:inline distT="0" distB="0" distL="114300" distR="114300">
            <wp:extent cx="5261610" cy="1728470"/>
            <wp:effectExtent l="0" t="0" r="1524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58B8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图2.2.1.1</w:t>
      </w:r>
    </w:p>
    <w:p w14:paraId="3027394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查询：点击查询按钮可以按查询条件（托盘号、托盘类型）查询出托盘的托盘码、当前所在工位等信息。</w:t>
      </w:r>
    </w:p>
    <w:p w14:paraId="69DD2BC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新增：点击新增按钮如图2.2.1.2弹出托盘新增界面，输入对应托盘编号、托盘类型、托盘状态等信息点击界面上的确认按钮。</w:t>
      </w:r>
    </w:p>
    <w:p w14:paraId="433B928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编辑：点击操作按钮后依次点击编辑则如图所示2.2.1.3弹出编辑界面,修改对应的信息点击界面上的确认按钮。</w:t>
      </w:r>
    </w:p>
    <w:p w14:paraId="679DB199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删除：点击操作按钮后依次点击删除则如图所示2.2.1.4弹出删除确认界面,点击界面上的确认按钮则会删除对应托盘信息。</w:t>
      </w:r>
    </w:p>
    <w:p w14:paraId="18FF633F">
      <w:pPr>
        <w:spacing w:line="360" w:lineRule="auto"/>
        <w:ind w:firstLine="480" w:firstLineChars="200"/>
        <w:rPr>
          <w:sz w:val="24"/>
        </w:rPr>
      </w:pPr>
    </w:p>
    <w:p w14:paraId="3124A31B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3615F2E2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3040" cy="4431030"/>
            <wp:effectExtent l="0" t="0" r="5715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18D3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图2.2.1.2</w:t>
      </w:r>
    </w:p>
    <w:p w14:paraId="07DF41E4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3040" cy="4759960"/>
            <wp:effectExtent l="0" t="0" r="381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7691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图2.2.1.3</w:t>
      </w:r>
    </w:p>
    <w:p w14:paraId="07611A1C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562005B8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114300" distR="114300">
            <wp:extent cx="5266690" cy="2740660"/>
            <wp:effectExtent l="0" t="0" r="10160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E861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图2.2.1.4</w:t>
      </w:r>
    </w:p>
    <w:p w14:paraId="78DCF26B">
      <w:pPr>
        <w:outlineLvl w:val="2"/>
        <w:rPr>
          <w:sz w:val="24"/>
        </w:rPr>
      </w:pPr>
      <w:bookmarkStart w:id="10" w:name="_Toc20631"/>
      <w:r>
        <w:rPr>
          <w:rFonts w:hint="eastAsia"/>
          <w:sz w:val="24"/>
        </w:rPr>
        <w:t>2.2.2 工位管理</w:t>
      </w:r>
      <w:bookmarkEnd w:id="10"/>
    </w:p>
    <w:p w14:paraId="0F265C4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工位管理主要为导入、新增、编辑、删除、查询工位实体信息，并如图2.2.2.1实时显示。</w:t>
      </w:r>
    </w:p>
    <w:p w14:paraId="6F62E57F">
      <w:pPr>
        <w:spacing w:line="360" w:lineRule="auto"/>
        <w:ind w:firstLine="420" w:firstLineChars="200"/>
      </w:pPr>
      <w:r>
        <w:drawing>
          <wp:inline distT="0" distB="0" distL="114300" distR="114300">
            <wp:extent cx="5268595" cy="2678430"/>
            <wp:effectExtent l="0" t="0" r="8255" b="762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0BFC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图2.2.2.1</w:t>
      </w:r>
    </w:p>
    <w:p w14:paraId="4E4A6CAF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导入：点击导入按钮弹，选择电脑上的工位数据excel存放位置后将工位信息一次性导入到系统。</w:t>
      </w:r>
    </w:p>
    <w:p w14:paraId="07140103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工位号、工位类型）查询出工位的工位名称、工位上层名称、工位下层名称、工位编号、工位类型、最高容量、当前个数、分类、能否出、能否进、锁定状态、是否使用等信息。</w:t>
      </w:r>
    </w:p>
    <w:p w14:paraId="5DAC1E61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新增：点击新增按钮如图2.2.2.2弹出工位新增界面，输入工位名称、工位上层名称、工位下层名称、工位编号、工位类型、最高容量、当前个数、分类、是否使用等信息点击界面上的确认按钮。</w:t>
      </w:r>
    </w:p>
    <w:p w14:paraId="648F2DA6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编辑：点击操作按钮后依次点击编辑则如图所示2.2.2.3弹出编辑界面,修改对应的信息点击界面上的确认按钮。</w:t>
      </w:r>
    </w:p>
    <w:p w14:paraId="3173966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删除：点击操作按钮后依次点击删除则如图所示2.2.2.4弹出删除确认界面,点击界面上的确认按钮则会删除对应托盘信息。</w:t>
      </w:r>
    </w:p>
    <w:p w14:paraId="7042A090">
      <w:pPr>
        <w:spacing w:line="360" w:lineRule="auto"/>
        <w:ind w:firstLine="480" w:firstLineChars="200"/>
        <w:rPr>
          <w:sz w:val="24"/>
        </w:rPr>
      </w:pPr>
    </w:p>
    <w:p w14:paraId="587610D9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0D57D33C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4310" cy="2936240"/>
            <wp:effectExtent l="0" t="0" r="2540" b="165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1CAF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图2.2.2.2</w:t>
      </w:r>
    </w:p>
    <w:p w14:paraId="22D812A1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4310" cy="2936240"/>
            <wp:effectExtent l="0" t="0" r="2540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AD81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图2.2.2.3</w:t>
      </w:r>
    </w:p>
    <w:p w14:paraId="2E34798B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117A5689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114300" distR="114300">
            <wp:extent cx="5264785" cy="2635885"/>
            <wp:effectExtent l="0" t="0" r="12065" b="1206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A72F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图2.2.2.4</w:t>
      </w:r>
    </w:p>
    <w:p w14:paraId="78B7870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25A8BE01">
      <w:pPr>
        <w:outlineLvl w:val="2"/>
        <w:rPr>
          <w:sz w:val="24"/>
        </w:rPr>
      </w:pPr>
      <w:bookmarkStart w:id="11" w:name="_Toc30899"/>
      <w:r>
        <w:rPr>
          <w:rFonts w:hint="eastAsia"/>
          <w:sz w:val="24"/>
        </w:rPr>
        <w:t>2.2.3 设备管理</w:t>
      </w:r>
      <w:bookmarkEnd w:id="11"/>
    </w:p>
    <w:p w14:paraId="05BF981B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设备管理主要为导入、新增、编辑、删除、查询工位实体信息，并如图2.2.3.1实时显示。</w:t>
      </w:r>
    </w:p>
    <w:p w14:paraId="247164B8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3D6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图2.2.3.1</w:t>
      </w:r>
    </w:p>
    <w:p w14:paraId="37E8CDE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导入：点击导入按钮弹，选择电脑上的设备数据excel存放位置后将设备信息一次性导入到系统。</w:t>
      </w:r>
    </w:p>
    <w:p w14:paraId="7A6974C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设备号）查询出设备的设备名称、设备上层名称、设备下层名称、设备编号、空满位状态、联机状态、故障码、当前任务ID、设备状态、设备类型、锁定状态、是否使用等信息。</w:t>
      </w:r>
    </w:p>
    <w:p w14:paraId="04DC1D5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新增：点击新增按钮如图2.2.3.2弹出设备新增界面，输入设备名称、设备上层名称、设备下层名称、设备编号、设备类型、是否启用、写PLC地址、写PLC架号等信息点击界面上的确认按钮。</w:t>
      </w:r>
    </w:p>
    <w:p w14:paraId="74A9E87D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编辑：点击操作按钮后依次点击编辑则如图所示2.2.3.3弹出编辑界面,修改对应的信息点击界面上的确认按钮。</w:t>
      </w:r>
    </w:p>
    <w:p w14:paraId="11B50F7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删除：点击操作按钮后依次点击删除则如图所示2.2.3.4弹出删除确认界面,点击界面上的确认按钮则会删除对应托盘信息。</w:t>
      </w:r>
    </w:p>
    <w:p w14:paraId="3137320B">
      <w:pPr>
        <w:spacing w:line="360" w:lineRule="auto"/>
        <w:ind w:firstLine="480" w:firstLineChars="200"/>
        <w:rPr>
          <w:sz w:val="24"/>
        </w:rPr>
      </w:pPr>
    </w:p>
    <w:p w14:paraId="310C4BB5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1917166D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4310" cy="2936240"/>
            <wp:effectExtent l="0" t="0" r="2540" b="1651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674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图2.2.3.2</w:t>
      </w:r>
    </w:p>
    <w:p w14:paraId="4B0DE591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4310" cy="2936240"/>
            <wp:effectExtent l="0" t="0" r="2540" b="1651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21A8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图2.2.3.3</w:t>
      </w:r>
    </w:p>
    <w:p w14:paraId="692C7DBC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6CB72A8E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114300" distR="114300">
            <wp:extent cx="5269865" cy="2653665"/>
            <wp:effectExtent l="0" t="0" r="6985" b="1333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5048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图2.2.3.4</w:t>
      </w:r>
    </w:p>
    <w:p w14:paraId="2B9402E8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3887D495">
      <w:pPr>
        <w:spacing w:line="360" w:lineRule="auto"/>
        <w:ind w:firstLine="420" w:firstLineChars="200"/>
        <w:jc w:val="center"/>
      </w:pPr>
    </w:p>
    <w:p w14:paraId="53D26F62">
      <w:pPr>
        <w:spacing w:line="360" w:lineRule="auto"/>
        <w:ind w:firstLine="420" w:firstLineChars="200"/>
        <w:jc w:val="center"/>
      </w:pPr>
    </w:p>
    <w:p w14:paraId="6460EDCF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12" w:name="_Toc29803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2.3 生产管理</w:t>
      </w:r>
      <w:bookmarkEnd w:id="12"/>
    </w:p>
    <w:p w14:paraId="44C1CEC7"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生产管理是对立库的生产信息的维护管理，包含二个部分：任务管理、指令管理。指令和任务的管理是拆分关系，一条出库或入库任务关联到多个设备协作才能将任务执行完成，每个对应的设备的搬运执行都对应一条指令。</w:t>
      </w:r>
    </w:p>
    <w:p w14:paraId="1AFD6CE1">
      <w:pPr>
        <w:outlineLvl w:val="2"/>
        <w:rPr>
          <w:sz w:val="24"/>
        </w:rPr>
      </w:pPr>
      <w:bookmarkStart w:id="13" w:name="_Toc5070"/>
      <w:r>
        <w:rPr>
          <w:rFonts w:hint="eastAsia"/>
          <w:sz w:val="24"/>
        </w:rPr>
        <w:t>2.3.1 任务管理</w:t>
      </w:r>
      <w:bookmarkEnd w:id="13"/>
    </w:p>
    <w:p w14:paraId="2FAA6C0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任务管理主要为新增、编辑、删除、查询、详情、手动完工等功能，如图2.3.1.1所示。</w:t>
      </w:r>
    </w:p>
    <w:p w14:paraId="0185C360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3002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图2.3.1.1</w:t>
      </w:r>
    </w:p>
    <w:p w14:paraId="4728537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查询：点击查询按钮可以按查询条件（任务ID、任务类型、任务状态、托盘号）查询出任务信息。</w:t>
      </w:r>
    </w:p>
    <w:p w14:paraId="70CCB31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新增：点击新增按钮如图2.3.1.2弹出任务新增界面，输入对应起始位、目标位、托盘号、优先库号、任务类型、途经点等信息点击界面上的确认按钮。</w:t>
      </w:r>
    </w:p>
    <w:p w14:paraId="4C201627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编辑：点击操作按钮后依次点击编辑则如图所示2.3.1.3弹出编辑界面,修改对应的信息点击界面上的确认按钮。</w:t>
      </w:r>
    </w:p>
    <w:p w14:paraId="77FE4D1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删除：点击操作按钮后依次点击删除则如图所示2.3.1.4弹出删除确认界面,点击界面上的确认按钮则会删除对应托盘信息。</w:t>
      </w:r>
    </w:p>
    <w:p w14:paraId="49FB96A4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详情：点击任务后的详情按钮则如图所示2.3.1.5将任务拆分的指令信息显示出来。</w:t>
      </w:r>
    </w:p>
    <w:p w14:paraId="1B10402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手动报工：点击操作按钮后依次点击手动报工按钮则如图所示2.3.1.6将任务的报工信息手动发送到WMS，此功能只有在任务未正常报工下使用，为了保证WMS和WLCS的信息同步，请谨慎使用。</w:t>
      </w:r>
    </w:p>
    <w:p w14:paraId="7CF561F0">
      <w:pPr>
        <w:spacing w:line="360" w:lineRule="auto"/>
        <w:ind w:firstLine="480" w:firstLineChars="200"/>
        <w:rPr>
          <w:sz w:val="24"/>
        </w:rPr>
      </w:pPr>
    </w:p>
    <w:p w14:paraId="09828244">
      <w:pPr>
        <w:spacing w:line="360" w:lineRule="auto"/>
        <w:ind w:firstLine="480" w:firstLineChars="200"/>
        <w:rPr>
          <w:sz w:val="24"/>
        </w:rPr>
      </w:pPr>
    </w:p>
    <w:p w14:paraId="33B6E076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04EF7B98"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5274310" cy="4549775"/>
            <wp:effectExtent l="0" t="0" r="2540" b="3175"/>
            <wp:docPr id="743101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0160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123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图2.3.1.2</w:t>
      </w:r>
    </w:p>
    <w:p w14:paraId="31B6C3E5">
      <w:pPr>
        <w:spacing w:line="360" w:lineRule="auto"/>
        <w:ind w:firstLine="420" w:firstLineChars="200"/>
        <w:jc w:val="center"/>
      </w:pPr>
      <w:r>
        <w:drawing>
          <wp:inline distT="0" distB="0" distL="0" distR="0">
            <wp:extent cx="5274310" cy="4549775"/>
            <wp:effectExtent l="0" t="0" r="2540" b="3175"/>
            <wp:docPr id="261864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401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EF5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图2.3.1.3</w:t>
      </w:r>
    </w:p>
    <w:p w14:paraId="258B2D19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6E83E4F1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114300" distR="114300">
            <wp:extent cx="5261610" cy="2586355"/>
            <wp:effectExtent l="0" t="0" r="15240" b="4445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E795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图2.3.1.4</w:t>
      </w:r>
    </w:p>
    <w:p w14:paraId="19CCA2AE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1770" cy="1172845"/>
            <wp:effectExtent l="0" t="0" r="5080" b="8255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A00C8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图2.3.1.5</w:t>
      </w:r>
    </w:p>
    <w:p w14:paraId="7E7CC0DA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1135" cy="2696845"/>
            <wp:effectExtent l="0" t="0" r="5715" b="825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326E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图2.3.1.6</w:t>
      </w:r>
    </w:p>
    <w:p w14:paraId="3D1219E2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556AC05A">
      <w:pPr>
        <w:outlineLvl w:val="2"/>
        <w:rPr>
          <w:sz w:val="24"/>
        </w:rPr>
      </w:pPr>
      <w:bookmarkStart w:id="14" w:name="_Toc29168"/>
      <w:r>
        <w:rPr>
          <w:rFonts w:hint="eastAsia"/>
          <w:sz w:val="24"/>
        </w:rPr>
        <w:t>2.3.2 指令管理</w:t>
      </w:r>
      <w:bookmarkEnd w:id="14"/>
    </w:p>
    <w:p w14:paraId="07640905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任务管理主要为新增、编辑、删除、查询、手动完工等功能，如图2.3.2.1所示。</w:t>
      </w:r>
    </w:p>
    <w:p w14:paraId="71C9A0B2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DA06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图2.3.2.1</w:t>
      </w:r>
    </w:p>
    <w:p w14:paraId="2F4E677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查询：点击查询按钮可以按查询条件（指令号、设备号、指令状态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）查询出指令信息。</w:t>
      </w:r>
    </w:p>
    <w:p w14:paraId="79B4896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新增：点击新增按钮如图2.3.2.2弹出指令新增界面，输入对应起始位、目标位、执行设备号、指令号、指令类型、托盘类型等信息点击界面上的确认按钮。</w:t>
      </w:r>
    </w:p>
    <w:p w14:paraId="583CE7A2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编辑：点击操作按钮后依次点击编辑则如图所示2.3.2.3弹出编辑界面,修改对应的信息点击界面上的确认按钮。</w:t>
      </w:r>
    </w:p>
    <w:p w14:paraId="60312938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删除：点击操作按钮后依次点击删除则如图所示2.3.2.4弹出删除确认界面,点击界面上的确认按钮则会删除对应托盘信息。</w:t>
      </w:r>
    </w:p>
    <w:p w14:paraId="2B6F1E3A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重新下发：点击操作按钮后依次点击重新下发按钮则如图所示2.3.2.5将指令状态重新变更成未执行，此功能只有在任务未正常执行下且托盘还在起始位使用，请谨慎使用。</w:t>
      </w:r>
    </w:p>
    <w:p w14:paraId="5AD074EC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手动报工：点击操作按钮后依次点击手动报工按钮则如图所示2.3.2.6将指令的状态手动改变成执行完成，此功能只有在指令已完成且未正常更变指令状态未执行完成下使用，为了保证任务的正常执行，请谨慎使用。</w:t>
      </w:r>
    </w:p>
    <w:p w14:paraId="4A3C1DB3">
      <w:pPr>
        <w:spacing w:line="360" w:lineRule="auto"/>
        <w:ind w:firstLine="480" w:firstLineChars="200"/>
        <w:rPr>
          <w:sz w:val="24"/>
        </w:rPr>
      </w:pPr>
    </w:p>
    <w:p w14:paraId="276206E3">
      <w:pPr>
        <w:spacing w:line="360" w:lineRule="auto"/>
        <w:ind w:firstLine="480" w:firstLineChars="200"/>
        <w:rPr>
          <w:sz w:val="24"/>
        </w:rPr>
      </w:pPr>
    </w:p>
    <w:p w14:paraId="5A75976E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59C48396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2405" cy="4545330"/>
            <wp:effectExtent l="0" t="0" r="4445" b="762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EB7A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图2.3.2.2</w:t>
      </w:r>
    </w:p>
    <w:p w14:paraId="3433E695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2405" cy="4545330"/>
            <wp:effectExtent l="0" t="0" r="4445" b="7620"/>
            <wp:docPr id="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2CB9D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图2.3.2.3</w:t>
      </w:r>
    </w:p>
    <w:p w14:paraId="345861A5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77A302D2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drawing>
          <wp:inline distT="0" distB="0" distL="114300" distR="114300">
            <wp:extent cx="5266690" cy="2962910"/>
            <wp:effectExtent l="0" t="0" r="10160" b="889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46DF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图2.3.2.4</w:t>
      </w:r>
    </w:p>
    <w:p w14:paraId="19610AB6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66690" cy="2520315"/>
            <wp:effectExtent l="0" t="0" r="10160" b="13335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4CA3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图2.3.2.5</w:t>
      </w:r>
    </w:p>
    <w:p w14:paraId="3832F652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5271135" cy="2696845"/>
            <wp:effectExtent l="0" t="0" r="5715" b="825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445F">
      <w:pPr>
        <w:spacing w:line="360" w:lineRule="auto"/>
        <w:ind w:firstLine="360" w:firstLineChars="200"/>
        <w:jc w:val="center"/>
      </w:pPr>
      <w:r>
        <w:rPr>
          <w:rFonts w:hint="eastAsia" w:ascii="宋体" w:hAnsi="宋体" w:cs="宋体"/>
          <w:sz w:val="18"/>
          <w:szCs w:val="18"/>
        </w:rPr>
        <w:t>图2.3.1.6</w:t>
      </w:r>
    </w:p>
    <w:p w14:paraId="32FC966B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20812693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15" w:name="_Toc1752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2.4 历史记录</w:t>
      </w:r>
      <w:bookmarkEnd w:id="15"/>
    </w:p>
    <w:p w14:paraId="4B6D1660"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历史记录对已经完成的任务及指令的追溯，包含二个部分：历史任务、历史指令。</w:t>
      </w:r>
    </w:p>
    <w:p w14:paraId="2D5670BE">
      <w:pPr>
        <w:outlineLvl w:val="2"/>
        <w:rPr>
          <w:sz w:val="24"/>
        </w:rPr>
      </w:pPr>
      <w:bookmarkStart w:id="16" w:name="_Toc19877"/>
      <w:r>
        <w:rPr>
          <w:rFonts w:hint="eastAsia"/>
          <w:sz w:val="24"/>
        </w:rPr>
        <w:t>2.4.1 历史任务</w:t>
      </w:r>
      <w:bookmarkEnd w:id="16"/>
    </w:p>
    <w:p w14:paraId="1DA8C7FB">
      <w:pPr>
        <w:ind w:firstLine="480" w:firstLineChars="200"/>
        <w:outlineLvl w:val="2"/>
        <w:rPr>
          <w:sz w:val="24"/>
        </w:rPr>
      </w:pPr>
      <w:bookmarkStart w:id="17" w:name="_Toc28255"/>
      <w:r>
        <w:rPr>
          <w:rFonts w:hint="eastAsia"/>
          <w:sz w:val="24"/>
        </w:rPr>
        <w:t>历史任务主要查询显示历史任务信息，如图2.4.1.1所示。</w:t>
      </w:r>
      <w:bookmarkEnd w:id="17"/>
    </w:p>
    <w:p w14:paraId="6D4FE382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8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5F59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图2.4.1.1</w:t>
      </w:r>
    </w:p>
    <w:p w14:paraId="696175E6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查询：点击查询按钮可以按查询条件（任务ID、托盘号、任务类型、起始时间、结束时间）查询出历史任务信息。</w:t>
      </w:r>
    </w:p>
    <w:p w14:paraId="0875F5DF">
      <w:pPr>
        <w:spacing w:line="360" w:lineRule="auto"/>
        <w:ind w:firstLine="480" w:firstLineChars="200"/>
        <w:rPr>
          <w:sz w:val="24"/>
        </w:rPr>
      </w:pPr>
    </w:p>
    <w:p w14:paraId="413D820F">
      <w:pPr>
        <w:spacing w:line="360" w:lineRule="auto"/>
        <w:ind w:firstLine="480" w:firstLineChars="200"/>
        <w:rPr>
          <w:sz w:val="24"/>
        </w:rPr>
      </w:pPr>
    </w:p>
    <w:p w14:paraId="20AB4B73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45F55267">
      <w:pPr>
        <w:outlineLvl w:val="2"/>
        <w:rPr>
          <w:sz w:val="24"/>
        </w:rPr>
      </w:pPr>
      <w:bookmarkStart w:id="18" w:name="_Toc23492"/>
      <w:r>
        <w:rPr>
          <w:rFonts w:hint="eastAsia"/>
          <w:sz w:val="24"/>
        </w:rPr>
        <w:t>2.4.2 历史指令</w:t>
      </w:r>
      <w:bookmarkEnd w:id="18"/>
    </w:p>
    <w:p w14:paraId="53E620B0">
      <w:pPr>
        <w:ind w:firstLine="480" w:firstLineChars="200"/>
        <w:outlineLvl w:val="2"/>
        <w:rPr>
          <w:sz w:val="24"/>
        </w:rPr>
      </w:pPr>
      <w:bookmarkStart w:id="19" w:name="_Toc22538"/>
      <w:r>
        <w:rPr>
          <w:rFonts w:hint="eastAsia"/>
          <w:sz w:val="24"/>
        </w:rPr>
        <w:t>历史指令主要查询显示历史指令信息，如图2.4.2.1所示。</w:t>
      </w:r>
      <w:bookmarkEnd w:id="19"/>
    </w:p>
    <w:p w14:paraId="4C022984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9304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图2.4.2.1</w:t>
      </w:r>
    </w:p>
    <w:p w14:paraId="79C318D6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查询：点击查询按钮可以按查询条件（指令号、起始时间、结束时间）查询出历史指令信息。</w:t>
      </w:r>
    </w:p>
    <w:p w14:paraId="495F2E29">
      <w:pPr>
        <w:spacing w:line="360" w:lineRule="auto"/>
        <w:ind w:firstLine="480" w:firstLineChars="200"/>
        <w:rPr>
          <w:sz w:val="24"/>
        </w:rPr>
      </w:pPr>
    </w:p>
    <w:p w14:paraId="30F65233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2B403735">
      <w:pPr>
        <w:spacing w:line="360" w:lineRule="auto"/>
        <w:ind w:firstLine="420" w:firstLineChars="200"/>
        <w:jc w:val="center"/>
      </w:pPr>
    </w:p>
    <w:p w14:paraId="6F0820C5">
      <w:pPr>
        <w:outlineLvl w:val="1"/>
        <w:rPr>
          <w:rFonts w:asciiTheme="majorEastAsia" w:hAnsiTheme="majorEastAsia" w:eastAsiaTheme="majorEastAsia" w:cstheme="majorEastAsia"/>
          <w:sz w:val="28"/>
          <w:szCs w:val="28"/>
        </w:rPr>
      </w:pPr>
      <w:bookmarkStart w:id="20" w:name="_Toc15427"/>
      <w:r>
        <w:rPr>
          <w:rFonts w:hint="eastAsia" w:asciiTheme="majorEastAsia" w:hAnsiTheme="majorEastAsia" w:eastAsiaTheme="majorEastAsia" w:cstheme="majorEastAsia"/>
          <w:sz w:val="28"/>
          <w:szCs w:val="28"/>
        </w:rPr>
        <w:t>2.5 日志管理</w:t>
      </w:r>
      <w:bookmarkEnd w:id="20"/>
    </w:p>
    <w:p w14:paraId="2F508252">
      <w:pPr>
        <w:spacing w:line="360" w:lineRule="auto"/>
        <w:ind w:firstLine="48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日志管理包含二个部分：操作日志、接口日志。</w:t>
      </w:r>
    </w:p>
    <w:p w14:paraId="07F941B3">
      <w:pPr>
        <w:outlineLvl w:val="2"/>
        <w:rPr>
          <w:sz w:val="24"/>
        </w:rPr>
      </w:pPr>
      <w:bookmarkStart w:id="21" w:name="_Toc20774"/>
      <w:r>
        <w:rPr>
          <w:rFonts w:hint="eastAsia"/>
          <w:sz w:val="24"/>
        </w:rPr>
        <w:t xml:space="preserve">2.5.1 </w:t>
      </w:r>
      <w:r>
        <w:rPr>
          <w:rFonts w:hint="eastAsia" w:asciiTheme="minorEastAsia" w:hAnsiTheme="minorEastAsia" w:eastAsiaTheme="minorEastAsia" w:cstheme="minorEastAsia"/>
          <w:sz w:val="24"/>
        </w:rPr>
        <w:t>操作日志</w:t>
      </w:r>
      <w:bookmarkEnd w:id="21"/>
    </w:p>
    <w:p w14:paraId="52FD26D2">
      <w:pPr>
        <w:ind w:firstLine="480" w:firstLineChars="200"/>
        <w:outlineLvl w:val="2"/>
        <w:rPr>
          <w:sz w:val="24"/>
        </w:rPr>
      </w:pPr>
      <w:bookmarkStart w:id="22" w:name="_Toc13142"/>
      <w:bookmarkStart w:id="23" w:name="_Toc10182"/>
      <w:r>
        <w:rPr>
          <w:rFonts w:hint="eastAsia"/>
          <w:sz w:val="24"/>
        </w:rPr>
        <w:t>操作日志主要是对登录人员对系统操作的信息记录，如图2.5.1.1所示。</w:t>
      </w:r>
      <w:bookmarkEnd w:id="22"/>
      <w:bookmarkEnd w:id="23"/>
    </w:p>
    <w:p w14:paraId="7F0D89D5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ABB00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图2.5.1.1</w:t>
      </w:r>
    </w:p>
    <w:p w14:paraId="23D27FAE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查询：点击查询按钮可以按查询条件（起始时间、结束时间）查询出操作信息。</w:t>
      </w:r>
    </w:p>
    <w:p w14:paraId="1C476CD1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</w:p>
    <w:p w14:paraId="4221B044">
      <w:pPr>
        <w:outlineLvl w:val="2"/>
        <w:rPr>
          <w:sz w:val="24"/>
        </w:rPr>
      </w:pPr>
      <w:bookmarkStart w:id="24" w:name="_Toc5697"/>
      <w:r>
        <w:rPr>
          <w:rFonts w:hint="eastAsia"/>
          <w:sz w:val="24"/>
        </w:rPr>
        <w:t>2.5.2 接口日志</w:t>
      </w:r>
      <w:bookmarkEnd w:id="24"/>
    </w:p>
    <w:p w14:paraId="0BD337EE">
      <w:pPr>
        <w:ind w:firstLine="480" w:firstLineChars="200"/>
        <w:outlineLvl w:val="2"/>
        <w:rPr>
          <w:sz w:val="24"/>
        </w:rPr>
      </w:pPr>
      <w:bookmarkStart w:id="25" w:name="_Toc7470"/>
      <w:r>
        <w:rPr>
          <w:rFonts w:hint="eastAsia"/>
          <w:sz w:val="24"/>
        </w:rPr>
        <w:t>接口日志主要查询显示接口信息，如图2.5.2.1所示。</w:t>
      </w:r>
      <w:bookmarkEnd w:id="25"/>
    </w:p>
    <w:p w14:paraId="317874BC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962910"/>
            <wp:effectExtent l="0" t="0" r="10160" b="8890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AA6E0">
      <w:pPr>
        <w:spacing w:line="360" w:lineRule="auto"/>
        <w:ind w:firstLine="36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 w:ascii="宋体" w:hAnsi="宋体" w:cs="宋体"/>
          <w:sz w:val="18"/>
          <w:szCs w:val="18"/>
        </w:rPr>
        <w:t>图2.5.2.1</w:t>
      </w:r>
    </w:p>
    <w:p w14:paraId="0CA51130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查询：点击查询按钮可以按查询条件（请求方、返回方、起始时间、结束时间）查询出接口信息。</w:t>
      </w:r>
    </w:p>
    <w:p w14:paraId="1BB959BA">
      <w:pPr>
        <w:jc w:val="center"/>
      </w:pPr>
    </w:p>
    <w:p w14:paraId="241272DA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bookmarkStart w:id="26" w:name="_Toc21759"/>
      <w:r>
        <w:rPr>
          <w:rFonts w:hint="eastAsia"/>
          <w:b/>
          <w:bCs/>
          <w:sz w:val="32"/>
          <w:szCs w:val="32"/>
        </w:rPr>
        <w:t>异常处理</w:t>
      </w:r>
      <w:bookmarkEnd w:id="26"/>
    </w:p>
    <w:p w14:paraId="2D53EE6C">
      <w:pPr>
        <w:outlineLvl w:val="1"/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bookmarkStart w:id="27" w:name="_Toc15537"/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3.1 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桁架区域的子母车手动发送任务</w:t>
      </w:r>
      <w:bookmarkEnd w:id="27"/>
    </w:p>
    <w:p w14:paraId="68F33B02">
      <w:r>
        <w:rPr>
          <w:rFonts w:hint="eastAsia" w:asciiTheme="majorEastAsia" w:hAnsiTheme="majorEastAsia" w:eastAsiaTheme="majorEastAsia" w:cstheme="majorEastAsia"/>
          <w:sz w:val="24"/>
        </w:rPr>
        <w:t>3.1.1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出现故障时，手动子母车发送任务，把料转移到库口</w:t>
      </w:r>
      <w:r>
        <w:rPr>
          <w:rFonts w:hint="eastAsia"/>
        </w:rPr>
        <w:t>，如图3.1.1.1所示</w:t>
      </w:r>
    </w:p>
    <w:p w14:paraId="314DCE4B"/>
    <w:p w14:paraId="2D6A614E">
      <w:r>
        <w:drawing>
          <wp:inline distT="0" distB="0" distL="114300" distR="114300">
            <wp:extent cx="5264150" cy="2800985"/>
            <wp:effectExtent l="0" t="0" r="3810" b="5715"/>
            <wp:docPr id="11" name="图片 11" descr="30648d64263c4f580077c43ab056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0648d64263c4f580077c43ab0567a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DE8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814955"/>
            <wp:effectExtent l="0" t="0" r="0" b="2540"/>
            <wp:docPr id="12" name="图片 12" descr="ade754480cbbb4b5e27d5f6e7ef3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de754480cbbb4b5e27d5f6e7ef372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A273">
      <w:pPr>
        <w:spacing w:line="360" w:lineRule="auto"/>
        <w:ind w:firstLine="420" w:firstLineChars="200"/>
        <w:jc w:val="center"/>
        <w:rPr>
          <w:rFonts w:ascii="宋体" w:hAnsi="宋体" w:cs="宋体"/>
          <w:sz w:val="18"/>
          <w:szCs w:val="18"/>
        </w:rPr>
      </w:pPr>
      <w:r>
        <w:rPr>
          <w:rFonts w:hint="eastAsia"/>
        </w:rPr>
        <w:t xml:space="preserve">   </w:t>
      </w:r>
      <w:r>
        <w:rPr>
          <w:rFonts w:hint="eastAsia" w:ascii="宋体" w:hAnsi="宋体" w:cs="宋体"/>
          <w:sz w:val="18"/>
          <w:szCs w:val="18"/>
        </w:rPr>
        <w:t>图3.1.1.1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0593679"/>
      <w:docPartObj>
        <w:docPartGallery w:val="autotext"/>
      </w:docPartObj>
    </w:sdtPr>
    <w:sdtContent>
      <w:p w14:paraId="3ACE126B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4E3CA1E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A5523">
    <w:pPr>
      <w:pStyle w:val="5"/>
      <w:jc w:val="center"/>
      <w:rPr>
        <w:sz w:val="24"/>
      </w:rPr>
    </w:pPr>
    <w:r>
      <w:rPr>
        <w:rFonts w:hint="eastAsia"/>
        <w:sz w:val="24"/>
      </w:rPr>
      <w:t>江苏森蓝智能系统有限公司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C1DC92"/>
    <w:multiLevelType w:val="singleLevel"/>
    <w:tmpl w:val="19C1DC92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0ZWFmMjQ0ODZkN2EyNzExYjllYTRkMDMxZWNkMzYifQ=="/>
  </w:docVars>
  <w:rsids>
    <w:rsidRoot w:val="7E8A4787"/>
    <w:rsid w:val="004874D5"/>
    <w:rsid w:val="00550402"/>
    <w:rsid w:val="005E6008"/>
    <w:rsid w:val="00660C4F"/>
    <w:rsid w:val="006847A4"/>
    <w:rsid w:val="00794C3B"/>
    <w:rsid w:val="007B695F"/>
    <w:rsid w:val="00921CD9"/>
    <w:rsid w:val="00A233FF"/>
    <w:rsid w:val="00A4513D"/>
    <w:rsid w:val="00C221B6"/>
    <w:rsid w:val="00F734FF"/>
    <w:rsid w:val="00FC02BF"/>
    <w:rsid w:val="02312E35"/>
    <w:rsid w:val="04046FCB"/>
    <w:rsid w:val="04C76EBC"/>
    <w:rsid w:val="04EC334C"/>
    <w:rsid w:val="064132B6"/>
    <w:rsid w:val="06E2177E"/>
    <w:rsid w:val="07BF0C15"/>
    <w:rsid w:val="092839ED"/>
    <w:rsid w:val="09873049"/>
    <w:rsid w:val="0A757631"/>
    <w:rsid w:val="0B0964B9"/>
    <w:rsid w:val="0BFE2041"/>
    <w:rsid w:val="0D976A24"/>
    <w:rsid w:val="0DB311D0"/>
    <w:rsid w:val="0E3F34AC"/>
    <w:rsid w:val="0E566EB6"/>
    <w:rsid w:val="0E7A0CB5"/>
    <w:rsid w:val="101B7ABD"/>
    <w:rsid w:val="11894027"/>
    <w:rsid w:val="11A704AF"/>
    <w:rsid w:val="12A64BE7"/>
    <w:rsid w:val="149F633D"/>
    <w:rsid w:val="15724A80"/>
    <w:rsid w:val="15D969F4"/>
    <w:rsid w:val="16557A30"/>
    <w:rsid w:val="1835086D"/>
    <w:rsid w:val="18963B30"/>
    <w:rsid w:val="1BFE7CDF"/>
    <w:rsid w:val="1C0C5329"/>
    <w:rsid w:val="1D9A2F80"/>
    <w:rsid w:val="1E685541"/>
    <w:rsid w:val="1EAA4A5F"/>
    <w:rsid w:val="20073E58"/>
    <w:rsid w:val="204D2127"/>
    <w:rsid w:val="20C74310"/>
    <w:rsid w:val="20CF050A"/>
    <w:rsid w:val="20E41338"/>
    <w:rsid w:val="20E64997"/>
    <w:rsid w:val="2208576B"/>
    <w:rsid w:val="23B75E78"/>
    <w:rsid w:val="23D9477F"/>
    <w:rsid w:val="23F35E85"/>
    <w:rsid w:val="2643626D"/>
    <w:rsid w:val="26753BA5"/>
    <w:rsid w:val="274C22D9"/>
    <w:rsid w:val="27850FEE"/>
    <w:rsid w:val="29363ABF"/>
    <w:rsid w:val="296B5DDA"/>
    <w:rsid w:val="297B6483"/>
    <w:rsid w:val="2A937C2A"/>
    <w:rsid w:val="2B2F07C6"/>
    <w:rsid w:val="2CE23E15"/>
    <w:rsid w:val="2D100DE3"/>
    <w:rsid w:val="2DA546A1"/>
    <w:rsid w:val="2F2907FC"/>
    <w:rsid w:val="2F386A6B"/>
    <w:rsid w:val="2F503F79"/>
    <w:rsid w:val="2FE47BBF"/>
    <w:rsid w:val="301160CC"/>
    <w:rsid w:val="3178614A"/>
    <w:rsid w:val="32FE2A32"/>
    <w:rsid w:val="33290DD7"/>
    <w:rsid w:val="340C386D"/>
    <w:rsid w:val="35384DBC"/>
    <w:rsid w:val="36A55DE0"/>
    <w:rsid w:val="376B702A"/>
    <w:rsid w:val="3799503B"/>
    <w:rsid w:val="38C033A5"/>
    <w:rsid w:val="393D48CE"/>
    <w:rsid w:val="399173B4"/>
    <w:rsid w:val="39A43833"/>
    <w:rsid w:val="3ABB7A95"/>
    <w:rsid w:val="3B263677"/>
    <w:rsid w:val="40724CC0"/>
    <w:rsid w:val="409558F0"/>
    <w:rsid w:val="412D0904"/>
    <w:rsid w:val="417847B1"/>
    <w:rsid w:val="417D3AFD"/>
    <w:rsid w:val="42857B53"/>
    <w:rsid w:val="428B464C"/>
    <w:rsid w:val="42A50A52"/>
    <w:rsid w:val="43540D6D"/>
    <w:rsid w:val="43F67EE8"/>
    <w:rsid w:val="444052B9"/>
    <w:rsid w:val="448866B1"/>
    <w:rsid w:val="44CE5A6E"/>
    <w:rsid w:val="45D24DF1"/>
    <w:rsid w:val="4605689B"/>
    <w:rsid w:val="46C71010"/>
    <w:rsid w:val="47957739"/>
    <w:rsid w:val="47F87617"/>
    <w:rsid w:val="49687E15"/>
    <w:rsid w:val="49B40F4C"/>
    <w:rsid w:val="4A6209BE"/>
    <w:rsid w:val="4B1E10EB"/>
    <w:rsid w:val="4BBF058B"/>
    <w:rsid w:val="4D0D2750"/>
    <w:rsid w:val="4DD23507"/>
    <w:rsid w:val="4E9463C0"/>
    <w:rsid w:val="4F732AC8"/>
    <w:rsid w:val="50A36A83"/>
    <w:rsid w:val="50E5303D"/>
    <w:rsid w:val="520C130D"/>
    <w:rsid w:val="52BE77B3"/>
    <w:rsid w:val="534F7E20"/>
    <w:rsid w:val="53D60474"/>
    <w:rsid w:val="54D6549C"/>
    <w:rsid w:val="55087F82"/>
    <w:rsid w:val="574E4841"/>
    <w:rsid w:val="581610D9"/>
    <w:rsid w:val="587D4247"/>
    <w:rsid w:val="589622D8"/>
    <w:rsid w:val="58DC5815"/>
    <w:rsid w:val="5934738B"/>
    <w:rsid w:val="59F10EFE"/>
    <w:rsid w:val="5A4A5A76"/>
    <w:rsid w:val="5B162F19"/>
    <w:rsid w:val="5B293C03"/>
    <w:rsid w:val="5C3749D1"/>
    <w:rsid w:val="5EF03005"/>
    <w:rsid w:val="5EF33758"/>
    <w:rsid w:val="5F4B7B56"/>
    <w:rsid w:val="6221301F"/>
    <w:rsid w:val="623616DF"/>
    <w:rsid w:val="6348056F"/>
    <w:rsid w:val="635B3031"/>
    <w:rsid w:val="644C3C0E"/>
    <w:rsid w:val="650930DB"/>
    <w:rsid w:val="650F6D5D"/>
    <w:rsid w:val="66141043"/>
    <w:rsid w:val="664016E2"/>
    <w:rsid w:val="66497D5C"/>
    <w:rsid w:val="664D318C"/>
    <w:rsid w:val="672524A2"/>
    <w:rsid w:val="6851394D"/>
    <w:rsid w:val="685B255F"/>
    <w:rsid w:val="68A966AE"/>
    <w:rsid w:val="68D756D8"/>
    <w:rsid w:val="68DC3EF7"/>
    <w:rsid w:val="68F505D1"/>
    <w:rsid w:val="6B3A57F2"/>
    <w:rsid w:val="6C9D734B"/>
    <w:rsid w:val="6CA7347B"/>
    <w:rsid w:val="6D0D7EFA"/>
    <w:rsid w:val="6D1023AE"/>
    <w:rsid w:val="71217120"/>
    <w:rsid w:val="71431EA2"/>
    <w:rsid w:val="7154262E"/>
    <w:rsid w:val="73793216"/>
    <w:rsid w:val="746D7236"/>
    <w:rsid w:val="75B551D4"/>
    <w:rsid w:val="75BB43EF"/>
    <w:rsid w:val="765F4ED4"/>
    <w:rsid w:val="76C47FFB"/>
    <w:rsid w:val="77453BED"/>
    <w:rsid w:val="785E711E"/>
    <w:rsid w:val="79321C7D"/>
    <w:rsid w:val="7AA40ED2"/>
    <w:rsid w:val="7AE26C50"/>
    <w:rsid w:val="7B0A6218"/>
    <w:rsid w:val="7BE52B8E"/>
    <w:rsid w:val="7CA9011F"/>
    <w:rsid w:val="7CF22976"/>
    <w:rsid w:val="7D0B08C3"/>
    <w:rsid w:val="7DE30113"/>
    <w:rsid w:val="7E8A4787"/>
    <w:rsid w:val="7FEC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5B5"/>
      <w:kern w:val="0"/>
      <w:sz w:val="32"/>
      <w:szCs w:val="32"/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4">
    <w:name w:val="页脚 字符"/>
    <w:basedOn w:val="9"/>
    <w:link w:val="4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3099</Words>
  <Characters>3720</Characters>
  <Lines>38</Lines>
  <Paragraphs>10</Paragraphs>
  <TotalTime>0</TotalTime>
  <ScaleCrop>false</ScaleCrop>
  <LinksUpToDate>false</LinksUpToDate>
  <CharactersWithSpaces>3798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2024-05-23T02:36:00Z</dcterms:created>
  <dc:creator>袁升驰</dc:creator>
  <cp:lastModifiedBy>孙荣庆</cp:lastModifiedBy>
  <dcterms:modified xsi:type="dcterms:W3CDTF">2024-12-27T00:52:10Z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98FBE82B597C420A9D7B6847CD82BCF5_13</vt:lpwstr>
  </property>
</Properties>
</file>