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22C7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622C71">
              <w:rPr>
                <w:rFonts w:ascii="Calibri" w:hAnsi="Calibri"/>
                <w:color w:val="002060"/>
                <w:sz w:val="24"/>
                <w:szCs w:val="24"/>
              </w:rPr>
              <w:t>Katib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622C71" w:rsidRPr="00622C71">
              <w:rPr>
                <w:rFonts w:ascii="Calibri" w:hAnsi="Calibri"/>
                <w:color w:val="002060"/>
                <w:sz w:val="24"/>
                <w:szCs w:val="24"/>
              </w:rPr>
              <w:t>0.17.0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28551C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28551C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23319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3634B5">
                <w:rPr>
                  <w:rStyle w:val="af6"/>
                  <w:rFonts w:ascii="Calibri" w:hAnsi="Calibri"/>
                  <w:sz w:val="24"/>
                  <w:szCs w:val="24"/>
                </w:rPr>
                <w:t>https://github.com/kubeflow/katib/blob/master/LICENSE</w:t>
              </w:r>
            </w:hyperlink>
          </w:p>
          <w:p w:rsidR="0023319B" w:rsidRPr="0023319B" w:rsidRDefault="0023319B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73" w:rsidRDefault="00580F73">
      <w:r>
        <w:separator/>
      </w:r>
    </w:p>
  </w:endnote>
  <w:endnote w:type="continuationSeparator" w:id="0">
    <w:p w:rsidR="00580F73" w:rsidRDefault="0058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622C71">
            <w:rPr>
              <w:noProof/>
            </w:rPr>
            <w:t>2025-7-15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73" w:rsidRDefault="00580F73">
      <w:r>
        <w:separator/>
      </w:r>
    </w:p>
  </w:footnote>
  <w:footnote w:type="continuationSeparator" w:id="0">
    <w:p w:rsidR="00580F73" w:rsidRDefault="0058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3319B"/>
    <w:rsid w:val="0028551C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80F73"/>
    <w:rsid w:val="005A114A"/>
    <w:rsid w:val="005B4A8E"/>
    <w:rsid w:val="00622C71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D6D97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ubeflow/katib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B8A6-21F9-48B3-BBF3-6036F07D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2025-07-15T11:14:00Z</dcterms:modified>
</cp:coreProperties>
</file>