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FC78">
      <w:pPr>
        <w:rPr/>
      </w:pPr>
      <w:r>
        <w:rPr>
          <w:rFonts w:hint="default"/>
        </w:rPr>
        <w:t>一、服务内容</w:t>
      </w:r>
    </w:p>
    <w:p w14:paraId="44B9F116">
      <w:pPr>
        <w:rPr>
          <w:rFonts w:hint="default"/>
        </w:rPr>
      </w:pPr>
      <w:r>
        <w:rPr>
          <w:rFonts w:hint="default"/>
        </w:rPr>
        <w:t>我们提供全链条、定制化的生物医药数据人工服务，涵盖从数据采集到决策支持的多个环节，具体包括：</w:t>
      </w:r>
    </w:p>
    <w:p w14:paraId="0405D9EC">
      <w:pPr>
        <w:rPr>
          <w:rFonts w:hint="default"/>
        </w:rPr>
      </w:pPr>
      <w:r>
        <w:rPr>
          <w:rFonts w:hint="default"/>
        </w:rPr>
        <w:t>1. 数据采集与归集</w:t>
      </w:r>
    </w:p>
    <w:p w14:paraId="24E92876">
      <w:pPr>
        <w:rPr/>
      </w:pPr>
      <w:r>
        <w:rPr>
          <w:rFonts w:hint="default"/>
        </w:rPr>
        <w:t>多源异构数据采集：包括基因</w:t>
      </w:r>
      <w:bookmarkStart w:id="0" w:name="_GoBack"/>
      <w:bookmarkEnd w:id="0"/>
      <w:r>
        <w:rPr>
          <w:rFonts w:hint="default"/>
        </w:rPr>
        <w:t>测序、蛋白质组学、代谢组学、化学结构、临床试验数据、电子病历、文献数据等。</w:t>
      </w:r>
    </w:p>
    <w:p w14:paraId="474F1172">
      <w:pPr>
        <w:rPr/>
      </w:pPr>
      <w:r>
        <w:rPr>
          <w:rFonts w:hint="default"/>
        </w:rPr>
        <w:t>数据整合与清洗：去重、填补缺失值、格式标准化、异常值处理，确保数据质量。</w:t>
      </w:r>
    </w:p>
    <w:p w14:paraId="231BE6BF">
      <w:pPr>
        <w:rPr>
          <w:rFonts w:hint="default"/>
        </w:rPr>
      </w:pPr>
      <w:r>
        <w:rPr>
          <w:rFonts w:hint="default"/>
        </w:rPr>
        <w:t>2. 数据治理与标准化</w:t>
      </w:r>
    </w:p>
    <w:p w14:paraId="5CC48921">
      <w:pPr>
        <w:rPr/>
      </w:pPr>
      <w:r>
        <w:rPr>
          <w:rFonts w:hint="default"/>
        </w:rPr>
        <w:t>数据结构化处理：将非结构化或半结构化数据（如医学影像、病理报告、临床记录）转化为结构化数据。</w:t>
      </w:r>
    </w:p>
    <w:p w14:paraId="2B20B3B2">
      <w:pPr>
        <w:rPr/>
      </w:pPr>
      <w:r>
        <w:rPr>
          <w:rFonts w:hint="default"/>
        </w:rPr>
        <w:t>元数据管理：建立统一的数据字典与编码体系，支持跨平台数据交换与整合。</w:t>
      </w:r>
    </w:p>
    <w:p w14:paraId="3FDC9AA6">
      <w:pPr>
        <w:rPr>
          <w:rFonts w:hint="default"/>
        </w:rPr>
      </w:pPr>
      <w:r>
        <w:rPr>
          <w:rFonts w:hint="default"/>
        </w:rPr>
        <w:t>3. 数据标注与特征提取</w:t>
      </w:r>
    </w:p>
    <w:p w14:paraId="79F08AAF">
      <w:pPr>
        <w:rPr/>
      </w:pPr>
      <w:r>
        <w:rPr>
          <w:rFonts w:hint="default"/>
        </w:rPr>
        <w:t>生物信息学标注：如基因变异注释、蛋白质功能域标记、药物靶点识别。</w:t>
      </w:r>
    </w:p>
    <w:p w14:paraId="2EE726D1">
      <w:pPr>
        <w:rPr/>
      </w:pPr>
      <w:r>
        <w:rPr>
          <w:rFonts w:hint="default"/>
        </w:rPr>
        <w:t>化学数据标注：化合物活性标记、毒性特征标注、分子作用机制标注。</w:t>
      </w:r>
    </w:p>
    <w:p w14:paraId="2B9DCC5F">
      <w:pPr>
        <w:rPr/>
      </w:pPr>
      <w:r>
        <w:rPr>
          <w:rFonts w:hint="default"/>
        </w:rPr>
        <w:t>临床数据标注：如疗效终点事件、不良反应分类、患者分层标记。</w:t>
      </w:r>
    </w:p>
    <w:p w14:paraId="7C73D182">
      <w:pPr>
        <w:rPr>
          <w:rFonts w:hint="default"/>
        </w:rPr>
      </w:pPr>
      <w:r>
        <w:rPr>
          <w:rFonts w:hint="default"/>
        </w:rPr>
        <w:t>4. 生物信息学分析</w:t>
      </w:r>
    </w:p>
    <w:p w14:paraId="75CC137D">
      <w:pPr>
        <w:rPr/>
      </w:pPr>
      <w:r>
        <w:rPr>
          <w:rFonts w:hint="default"/>
        </w:rPr>
        <w:t>基因组/转录组/蛋白组分析：差异表达分析、通路富集、突变检测。</w:t>
      </w:r>
    </w:p>
    <w:p w14:paraId="0DFD3A32">
      <w:pPr>
        <w:rPr/>
      </w:pPr>
      <w:r>
        <w:rPr>
          <w:rFonts w:hint="default"/>
        </w:rPr>
        <w:t>分子对接与虚拟筛选：靶点-配体模拟、候选药物筛选。</w:t>
      </w:r>
    </w:p>
    <w:p w14:paraId="2B5C6CFA">
      <w:pPr>
        <w:rPr/>
      </w:pPr>
      <w:r>
        <w:rPr>
          <w:rFonts w:hint="default"/>
        </w:rPr>
        <w:t>蛋白质结构预测与功能注释。</w:t>
      </w:r>
    </w:p>
    <w:p w14:paraId="2222B84C">
      <w:pPr>
        <w:rPr>
          <w:rFonts w:hint="default"/>
        </w:rPr>
      </w:pPr>
      <w:r>
        <w:rPr>
          <w:rFonts w:hint="default"/>
        </w:rPr>
        <w:t>5. 化学数据分析</w:t>
      </w:r>
    </w:p>
    <w:p w14:paraId="52654259">
      <w:pPr>
        <w:rPr/>
      </w:pPr>
      <w:r>
        <w:rPr>
          <w:rFonts w:hint="default"/>
        </w:rPr>
        <w:t>化合物库筛选与ADMET（吸收、分布、代谢、排泄、毒性）预测。</w:t>
      </w:r>
    </w:p>
    <w:p w14:paraId="7513422C">
      <w:pPr>
        <w:rPr/>
      </w:pPr>
      <w:r>
        <w:rPr>
          <w:rFonts w:hint="default"/>
        </w:rPr>
        <w:t>药效与构效关系（QSAR）建模。</w:t>
      </w:r>
    </w:p>
    <w:p w14:paraId="1805087B">
      <w:pPr>
        <w:rPr/>
      </w:pPr>
      <w:r>
        <w:rPr>
          <w:rFonts w:hint="default"/>
        </w:rPr>
        <w:t>毒理与安全性评估模型构建。</w:t>
      </w:r>
    </w:p>
    <w:p w14:paraId="6C11CFBF">
      <w:pPr>
        <w:rPr>
          <w:rFonts w:hint="default"/>
        </w:rPr>
      </w:pPr>
      <w:r>
        <w:rPr>
          <w:rFonts w:hint="default"/>
        </w:rPr>
        <w:t>6. 临床试验数据分析</w:t>
      </w:r>
    </w:p>
    <w:p w14:paraId="07A2ED12">
      <w:pPr>
        <w:rPr/>
      </w:pPr>
      <w:r>
        <w:rPr>
          <w:rFonts w:hint="default"/>
        </w:rPr>
        <w:t>患者数据分层与基线特征分析。</w:t>
      </w:r>
    </w:p>
    <w:p w14:paraId="532ED40C">
      <w:pPr>
        <w:rPr/>
      </w:pPr>
      <w:r>
        <w:rPr>
          <w:rFonts w:hint="default"/>
        </w:rPr>
        <w:t>药效与安全性统计分析（如生存分析、不良反应率分析）。</w:t>
      </w:r>
    </w:p>
    <w:p w14:paraId="45A0DB03">
      <w:pPr>
        <w:rPr/>
      </w:pPr>
      <w:r>
        <w:rPr>
          <w:rFonts w:hint="default"/>
        </w:rPr>
        <w:t>试验设计与模拟支持（如样本量估算、随机化方案）。</w:t>
      </w:r>
    </w:p>
    <w:p w14:paraId="40BAC502">
      <w:pPr>
        <w:rPr>
          <w:rFonts w:hint="default"/>
        </w:rPr>
      </w:pPr>
      <w:r>
        <w:rPr>
          <w:rFonts w:hint="default"/>
        </w:rPr>
        <w:t>7. 报告生成与决策支持</w:t>
      </w:r>
    </w:p>
    <w:p w14:paraId="1DA97B6C">
      <w:pPr>
        <w:rPr/>
      </w:pPr>
      <w:r>
        <w:rPr>
          <w:rFonts w:hint="default"/>
        </w:rPr>
        <w:t>定制化分析报告撰写，包括数据解读、可视化图表、研发建议。</w:t>
      </w:r>
    </w:p>
    <w:p w14:paraId="7BC0DEE9">
      <w:pPr>
        <w:rPr/>
      </w:pPr>
      <w:r>
        <w:rPr>
          <w:rFonts w:hint="default"/>
        </w:rPr>
        <w:t>为研发决策提供数据支撑，如靶点优先级排序、候选药物推荐、试验优化建议。</w:t>
      </w:r>
    </w:p>
    <w:p w14:paraId="34CCB3AC">
      <w:pPr>
        <w:rPr>
          <w:rFonts w:hint="default"/>
        </w:rPr>
      </w:pPr>
    </w:p>
    <w:p w14:paraId="2BC742D3">
      <w:pPr>
        <w:rPr>
          <w:rFonts w:hint="default"/>
        </w:rPr>
      </w:pPr>
      <w:r>
        <w:rPr>
          <w:rFonts w:hint="default"/>
        </w:rPr>
        <w:t>二、服务流程</w:t>
      </w:r>
    </w:p>
    <w:p w14:paraId="0A29376B">
      <w:pPr>
        <w:rPr>
          <w:rFonts w:hint="default" w:eastAsia="仿宋"/>
          <w:lang w:val="en-US" w:eastAsia="zh-CN"/>
        </w:rPr>
      </w:pPr>
      <w:r>
        <w:rPr>
          <w:rFonts w:hint="default"/>
        </w:rPr>
        <w:t>我们采用标准化与定制化相结合的服务流程，确保高效交付与高质量输出：</w:t>
      </w:r>
      <w:r>
        <w:rPr>
          <w:rFonts w:hint="eastAsia"/>
          <w:lang w:val="en-US" w:eastAsia="zh-CN"/>
        </w:rPr>
        <w:t>用户在云商店进行下单后，我们将与用户进行联系，并按照以下标准流程开展服务：</w:t>
      </w:r>
    </w:p>
    <w:p w14:paraId="5D183060">
      <w:pPr>
        <w:rPr>
          <w:rFonts w:hint="default"/>
        </w:rPr>
      </w:pPr>
      <w:r>
        <w:rPr>
          <w:rFonts w:hint="default"/>
        </w:rPr>
        <w:t>1. 需求沟通与方案设计</w:t>
      </w:r>
    </w:p>
    <w:p w14:paraId="4157D724">
      <w:pPr>
        <w:rPr/>
      </w:pPr>
      <w:r>
        <w:rPr>
          <w:rFonts w:hint="default"/>
        </w:rPr>
        <w:t>与客户深入沟通，明确研发目标、数据类型与分析需求。</w:t>
      </w:r>
    </w:p>
    <w:p w14:paraId="20B74273">
      <w:pPr>
        <w:rPr/>
      </w:pPr>
      <w:r>
        <w:rPr>
          <w:rFonts w:hint="default"/>
        </w:rPr>
        <w:t>制定定制化服务方案，包括范围、时间节点、交付标准。</w:t>
      </w:r>
    </w:p>
    <w:p w14:paraId="24ECFD7C">
      <w:pPr>
        <w:rPr>
          <w:rFonts w:hint="default"/>
        </w:rPr>
      </w:pPr>
      <w:r>
        <w:rPr>
          <w:rFonts w:hint="default"/>
        </w:rPr>
        <w:t>2. 数据采集与预处理</w:t>
      </w:r>
    </w:p>
    <w:p w14:paraId="3F4FE874">
      <w:pPr>
        <w:rPr/>
      </w:pPr>
      <w:r>
        <w:rPr>
          <w:rFonts w:hint="default"/>
        </w:rPr>
        <w:t>协助客户完成数据采集或直接对接已有数据源。</w:t>
      </w:r>
    </w:p>
    <w:p w14:paraId="6BE646A8">
      <w:pPr>
        <w:rPr/>
      </w:pPr>
      <w:r>
        <w:rPr>
          <w:rFonts w:hint="default"/>
        </w:rPr>
        <w:t>进行数据清洗、格式转换与标准化处理。</w:t>
      </w:r>
    </w:p>
    <w:p w14:paraId="65CF82FD">
      <w:pPr>
        <w:rPr>
          <w:rFonts w:hint="default"/>
        </w:rPr>
      </w:pPr>
      <w:r>
        <w:rPr>
          <w:rFonts w:hint="default"/>
        </w:rPr>
        <w:t>3. 数据标注与治理</w:t>
      </w:r>
    </w:p>
    <w:p w14:paraId="0343C5E5">
      <w:pPr>
        <w:rPr/>
      </w:pPr>
      <w:r>
        <w:rPr>
          <w:rFonts w:hint="default"/>
        </w:rPr>
        <w:t>根据项目需求进行人工标注与结构化处理。</w:t>
      </w:r>
    </w:p>
    <w:p w14:paraId="05A440A6">
      <w:pPr>
        <w:rPr/>
      </w:pPr>
      <w:r>
        <w:rPr>
          <w:rFonts w:hint="default"/>
        </w:rPr>
        <w:t>建立质量控制机制，确保标注准确性与一致性。</w:t>
      </w:r>
    </w:p>
    <w:p w14:paraId="4106314E">
      <w:pPr>
        <w:rPr>
          <w:rFonts w:hint="default"/>
        </w:rPr>
      </w:pPr>
      <w:r>
        <w:rPr>
          <w:rFonts w:hint="default"/>
        </w:rPr>
        <w:t>4. 多维度数据分析</w:t>
      </w:r>
    </w:p>
    <w:p w14:paraId="0A48FC77">
      <w:pPr>
        <w:rPr/>
      </w:pPr>
      <w:r>
        <w:rPr>
          <w:rFonts w:hint="default"/>
        </w:rPr>
        <w:t>运用生物信息学、化学信息学及统计方法进行深度分析。</w:t>
      </w:r>
    </w:p>
    <w:p w14:paraId="339086C1">
      <w:pPr>
        <w:rPr/>
      </w:pPr>
      <w:r>
        <w:rPr>
          <w:rFonts w:hint="default"/>
        </w:rPr>
        <w:t>结合领域知识进行结果解读与模型优化。</w:t>
      </w:r>
    </w:p>
    <w:p w14:paraId="49426118">
      <w:pPr>
        <w:rPr>
          <w:rFonts w:hint="default"/>
        </w:rPr>
      </w:pPr>
      <w:r>
        <w:rPr>
          <w:rFonts w:hint="default"/>
        </w:rPr>
        <w:t>5. 结果验证与报告撰写</w:t>
      </w:r>
    </w:p>
    <w:p w14:paraId="3DBD1C28">
      <w:pPr>
        <w:rPr/>
      </w:pPr>
      <w:r>
        <w:rPr>
          <w:rFonts w:hint="default"/>
        </w:rPr>
        <w:t>对分析结果进行交叉验证与可靠性评估。</w:t>
      </w:r>
    </w:p>
    <w:p w14:paraId="7026FC9F">
      <w:pPr>
        <w:rPr/>
      </w:pPr>
      <w:r>
        <w:rPr>
          <w:rFonts w:hint="default"/>
        </w:rPr>
        <w:t>撰写分析报告，提供可视化结果与决策建议。</w:t>
      </w:r>
    </w:p>
    <w:p w14:paraId="1DE312CD">
      <w:pPr>
        <w:rPr>
          <w:rFonts w:hint="default"/>
        </w:rPr>
      </w:pPr>
      <w:r>
        <w:rPr>
          <w:rFonts w:hint="default"/>
        </w:rPr>
        <w:t>6. 交付与售后支持</w:t>
      </w:r>
    </w:p>
    <w:p w14:paraId="6F18D3A4">
      <w:pPr>
        <w:rPr/>
      </w:pPr>
      <w:r>
        <w:rPr>
          <w:rFonts w:hint="default"/>
        </w:rPr>
        <w:t>按约定格式交付数据、分析结果与报告文档。</w:t>
      </w:r>
    </w:p>
    <w:p w14:paraId="7BBE739A">
      <w:pPr>
        <w:rPr/>
      </w:pPr>
      <w:r>
        <w:rPr>
          <w:rFonts w:hint="default"/>
        </w:rPr>
        <w:t>提供结果解读、后续优化建议与技术支持。</w:t>
      </w:r>
    </w:p>
    <w:p w14:paraId="590C06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B1A26"/>
    <w:multiLevelType w:val="singleLevel"/>
    <w:tmpl w:val="C68B1A26"/>
    <w:lvl w:ilvl="0" w:tentative="0">
      <w:start w:val="1"/>
      <w:numFmt w:val="decimal"/>
      <w:pStyle w:val="4"/>
      <w:lvlText w:val="图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665A7"/>
    <w:rsid w:val="2820147A"/>
    <w:rsid w:val="485C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42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pPr>
      <w:widowControl/>
      <w:numPr>
        <w:ilvl w:val="0"/>
        <w:numId w:val="1"/>
      </w:numPr>
      <w:ind w:left="0" w:firstLine="0" w:firstLineChars="0"/>
      <w:jc w:val="center"/>
    </w:pPr>
    <w:rPr>
      <w:rFonts w:ascii="Cambria" w:hAnsi="Cambria" w:eastAsia="仿宋_GB2312" w:cs="Arial"/>
      <w:b/>
      <w:snapToGrid w:val="0"/>
      <w:color w:val="000000"/>
      <w:kern w:val="0"/>
      <w:sz w:val="24"/>
      <w:szCs w:val="20"/>
      <w:lang w:eastAsia="en-US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2024-06-21T08:56:00Z</dcterms:created>
  <dc:creator>90793</dc:creator>
  <cp:lastModifiedBy>老黑</cp:lastModifiedBy>
  <dcterms:modified xsi:type="dcterms:W3CDTF">2025-08-12T07:33:13Z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84E6A21139854DC2A1A29FF626A21E56_12</vt:lpwstr>
  </property>
  <property fmtid="{D5CDD505-2E9C-101B-9397-08002B2CF9AE}" pid="4" name="KSOTemplateDocerSaveRecord">
    <vt:lpwstr>eyJoZGlkIjoiYmEyZDMxNWRkYmY5MjE3NjUxYTk3ZDA1NDUyNmVkYWEiLCJ1c2VySWQiOiI0MjA2Mzg4NzEifQ==</vt:lpwstr>
  </property>
</Properties>
</file>