
<file path=[Content_Types].xml><?xml version="1.0" encoding="utf-8"?>
<Types xmlns="http://schemas.openxmlformats.org/package/2006/content-types">
  <Default Extension="png" ContentType="image/pn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rPr/>
      </w:pPr>
    </w:p>
    <w:p>
      <w:pPr>
        <w:rPr/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  <w:r>
        <w:rPr>
          <w:rFonts w:hint="eastAsia"/>
          <w:b/>
          <w:bCs/>
          <w:sz w:val="56"/>
          <w:szCs w:val="96"/>
        </w:rPr>
        <w:t>基坑监测水位计</w:t>
      </w:r>
    </w:p>
    <w:p>
      <w:pPr>
        <w:jc w:val="center"/>
        <w:rPr>
          <w:b/>
          <w:bCs/>
          <w:sz w:val="40"/>
          <w:szCs w:val="96"/>
        </w:rPr>
      </w:pPr>
      <w:r>
        <w:rPr>
          <w:rFonts w:hint="eastAsia"/>
          <w:b/>
          <w:bCs/>
          <w:sz w:val="40"/>
          <w:szCs w:val="96"/>
        </w:rPr>
        <w:t>规格书</w:t>
      </w: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sz w:val="44"/>
          <w:szCs w:val="36"/>
        </w:rPr>
      </w:pPr>
      <w:r>
        <w:rPr>
          <w:rFonts w:ascii="Arial" w:hAnsi="Arial" w:cs="Arial"/>
          <w:b/>
          <w:color w:val="656565"/>
          <w:sz w:val="32"/>
          <w:shd w:val="clear" w:color="auto" w:fill="FFFFFF"/>
        </w:rPr>
        <w:t>深圳威惠智能科技有限公司</w:t>
      </w:r>
    </w:p>
    <w:p>
      <w:pPr>
        <w:jc w:val="center"/>
        <w:rPr>
          <w:sz w:val="28"/>
          <w:szCs w:val="36"/>
        </w:rPr>
      </w:pPr>
    </w:p>
    <w:p>
      <w:pPr>
        <w:pStyle w:val="000002"/>
        <w:rPr/>
      </w:pPr>
      <w:r>
        <w:rPr>
          <w:rFonts w:hint="eastAsia"/>
        </w:rPr>
        <w:t>一、简介</w:t>
      </w:r>
    </w:p>
    <w:p>
      <w:pPr>
        <w:pStyle w:val="000008"/>
        <w:spacing w:line="360" w:lineRule="auto"/>
        <w:ind w:firstLineChars="0"/>
        <w:rPr>
          <w:sz w:val="24"/>
          <w:szCs w:val="24"/>
        </w:rPr>
      </w:pPr>
      <w:r>
        <w:rPr>
          <w:rFonts w:ascii="Helvetica" w:hAnsi="Helvetica" w:cs="Helvetica"/>
          <w:color w:val="303030"/>
          <w:sz w:val="24"/>
          <w:szCs w:val="24"/>
          <w:shd w:val="clear" w:color="auto" w:fill="FFFFFF"/>
        </w:rPr>
        <w:t>随着高层建筑的发展以及城市地下空间的开发利用，深基坑工程越来越多。由于基坑开挖所造成的基坑安全问题，以及对周边环境的影响问题也越来越引起参建方、政府和社会的普遍关注。对基坑工程实施现场监测，是保证基坑及周边环境安全行之有效的手段。</w:t>
      </w:r>
    </w:p>
    <w:p>
      <w:pPr>
        <w:pStyle w:val="000008"/>
        <w:spacing w:line="360" w:lineRule="auto"/>
        <w:ind w:firstLineChars="0"/>
        <w:rPr>
          <w:rFonts w:ascii="宋体" w:hAnsi="宋体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为加强地下工程和深基坑安全监测工作，实现地下工程和深基坑监测工作的动态管理，保障工程施工安全</w:t>
      </w:r>
      <w:r>
        <w:rPr>
          <w:rFonts w:hint="eastAsia" w:ascii="Arial" w:hAnsi="Arial" w:cs="Arial"/>
          <w:color w:val="333333"/>
          <w:sz w:val="24"/>
          <w:szCs w:val="24"/>
          <w:shd w:val="clear" w:color="auto" w:fill="FFFFFF"/>
        </w:rPr>
        <w:t>，</w:t>
      </w:r>
      <w:r>
        <w:rPr>
          <w:rFonts w:hint="eastAsia"/>
          <w:sz w:val="24"/>
        </w:rPr>
        <w:t>深圳基坑于2020年6月份已经全面铺开自动化监测，</w:t>
      </w:r>
      <w:r>
        <w:rPr>
          <w:rFonts w:ascii="宋体" w:hAnsi="宋体" w:cs="Arial"/>
          <w:color w:val="333333"/>
          <w:sz w:val="24"/>
          <w:szCs w:val="24"/>
          <w:shd w:val="clear" w:color="auto" w:fill="FFFFFF"/>
        </w:rPr>
        <w:t>系统可以实现监测数据的自动采集、实时传输，并建立信息管理平台，通过数据分析，形成各类变化曲线和图形，使监测成果“形象化”。由于这套系统实现了检测数据自动采集，并利用无线传输技术或网络传输方式实现实时传输功能，减少人为因素对监测数据的干扰。</w:t>
      </w:r>
    </w:p>
    <w:p>
      <w:pPr>
        <w:pStyle w:val="000008"/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水位监测目前已有的思路是8通道GPRS节点+水位计的方式。此种方式的存在需要人工开槽，人力投入大。线缆容易被碾压，导致数据丢失或者传感器损坏，维护成本过大。</w:t>
      </w:r>
    </w:p>
    <w:p>
      <w:pPr>
        <w:pStyle w:val="000008"/>
        <w:spacing w:line="360" w:lineRule="auto"/>
        <w:ind w:firstLine="0" w:firstLineChars="0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409825" cy="3209925"/>
            <wp:effectExtent l="19050" t="0" r="9525" b="0"/>
            <wp:docPr id="2" name="图片 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图片 9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99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390775" cy="3190875"/>
            <wp:effectExtent l="19050" t="0" r="9525" b="0"/>
            <wp:docPr id="5" name="图片 1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000002"/>
        <w:rPr/>
      </w:pPr>
      <w:r>
        <w:rPr>
          <w:rFonts w:hint="eastAsia"/>
        </w:rPr>
        <w:t>二、产品功能需求</w:t>
      </w:r>
    </w:p>
    <w:tbl>
      <w:tblPr>
        <w:tblStyle w:val="00000b"/>
        <w:tblW w:w="0" w:type="auto"/>
        <w:tblLayout w:type="fixed"/>
        <w:tblLook w:firstRow="false" w:lastRow="false" w:firstColumn="false" w:lastColumn="false" w:noHBand="false" w:noVBand="false" w:val="0000"/>
      </w:tblPr>
      <w:tblGrid>
        <w:gridCol w:w="1471"/>
        <w:gridCol w:w="2900"/>
        <w:gridCol w:w="4151"/>
      </w:tblGrid>
      <w:tr>
        <w:trPr>
          <w:trHeight w:val="378"/>
        </w:trPr>
        <w:tc>
          <w:tcPr>
            <w:tcW w:w="147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需求</w:t>
            </w:r>
          </w:p>
        </w:tc>
        <w:tc>
          <w:tcPr>
            <w:tcW w:w="290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参数</w:t>
            </w:r>
          </w:p>
        </w:tc>
        <w:tc>
          <w:tcPr>
            <w:tcW w:w="415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</w:tr>
      <w:tr>
        <w:trPr>
          <w:trHeight w:val="413"/>
        </w:trPr>
        <w:tc>
          <w:tcPr>
            <w:tcW w:w="147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量程</w:t>
            </w:r>
          </w:p>
        </w:tc>
        <w:tc>
          <w:tcPr>
            <w:tcW w:w="2900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0~50米</w:t>
            </w:r>
          </w:p>
        </w:tc>
        <w:tc>
          <w:tcPr>
            <w:tcW w:w="4151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已有选型的传感器</w:t>
            </w:r>
          </w:p>
        </w:tc>
      </w:tr>
      <w:tr>
        <w:trPr>
          <w:trHeight w:val="419"/>
        </w:trPr>
        <w:tc>
          <w:tcPr>
            <w:tcW w:w="147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精度</w:t>
            </w:r>
          </w:p>
        </w:tc>
        <w:tc>
          <w:tcPr>
            <w:tcW w:w="2900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10mm</w:t>
            </w:r>
          </w:p>
        </w:tc>
        <w:tc>
          <w:tcPr>
            <w:tcW w:w="4151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已有选型的传感器</w:t>
            </w:r>
          </w:p>
        </w:tc>
      </w:tr>
      <w:tr>
        <w:trPr>
          <w:trHeight w:val="694"/>
        </w:trPr>
        <w:tc>
          <w:tcPr>
            <w:tcW w:w="147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外观尺寸</w:t>
            </w:r>
          </w:p>
        </w:tc>
        <w:tc>
          <w:tcPr>
            <w:tcW w:w="2900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上下两个圆柱体结构，</w:t>
            </w:r>
          </w:p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下圆柱体小于50mm</w:t>
            </w:r>
          </w:p>
        </w:tc>
        <w:tc>
          <w:tcPr>
            <w:tcW w:w="4151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能放进50mm的水位管里，采集仪能够卡在水位管的顶部</w:t>
            </w:r>
          </w:p>
        </w:tc>
      </w:tr>
      <w:tr>
        <w:trPr>
          <w:trHeight w:val="705"/>
        </w:trPr>
        <w:tc>
          <w:tcPr>
            <w:tcW w:w="147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材料</w:t>
            </w:r>
          </w:p>
        </w:tc>
        <w:tc>
          <w:tcPr>
            <w:tcW w:w="2900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304不锈钢</w:t>
            </w:r>
          </w:p>
        </w:tc>
        <w:tc>
          <w:tcPr>
            <w:tcW w:w="4151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采集仪顶部存在受车辆碾压的风险，需要能够承受车辆的压力</w:t>
            </w:r>
          </w:p>
        </w:tc>
      </w:tr>
      <w:tr>
        <w:trPr>
          <w:trHeight w:val="1119"/>
        </w:trPr>
        <w:tc>
          <w:tcPr>
            <w:tcW w:w="147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供电</w:t>
            </w:r>
          </w:p>
        </w:tc>
        <w:tc>
          <w:tcPr>
            <w:tcW w:w="2900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最高采集频率，可到5min/次，正常使用2H/次，能够支撑半年以上</w:t>
            </w:r>
          </w:p>
        </w:tc>
        <w:tc>
          <w:tcPr>
            <w:tcW w:w="4151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可以通过平台控制采集的频率</w:t>
            </w:r>
          </w:p>
        </w:tc>
      </w:tr>
      <w:tr>
        <w:trPr>
          <w:trHeight w:val="467"/>
        </w:trPr>
        <w:tc>
          <w:tcPr>
            <w:tcW w:w="147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协议</w:t>
            </w:r>
          </w:p>
        </w:tc>
        <w:tc>
          <w:tcPr>
            <w:tcW w:w="2900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485协议</w:t>
            </w:r>
          </w:p>
        </w:tc>
        <w:tc>
          <w:tcPr>
            <w:tcW w:w="4151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按照深圳检测中心提供的协议进行开发</w:t>
            </w:r>
          </w:p>
        </w:tc>
      </w:tr>
      <w:tr>
        <w:trPr>
          <w:trHeight w:val="428"/>
        </w:trPr>
        <w:tc>
          <w:tcPr>
            <w:tcW w:w="147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传输</w:t>
            </w:r>
          </w:p>
        </w:tc>
        <w:tc>
          <w:tcPr>
            <w:tcW w:w="2900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上平台，内置NB模块</w:t>
            </w:r>
          </w:p>
        </w:tc>
        <w:tc>
          <w:tcPr>
            <w:tcW w:w="4151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能够接入知物云平台，深圳检测中心平台</w:t>
            </w:r>
          </w:p>
        </w:tc>
      </w:tr>
      <w:tr>
        <w:trPr>
          <w:trHeight w:val="497"/>
        </w:trPr>
        <w:tc>
          <w:tcPr>
            <w:tcW w:w="147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充电</w:t>
            </w:r>
          </w:p>
        </w:tc>
        <w:tc>
          <w:tcPr>
            <w:tcW w:w="2900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不支持充电</w:t>
            </w:r>
          </w:p>
        </w:tc>
        <w:tc>
          <w:tcPr>
            <w:tcW w:w="4151" w:type="dxa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内置锂亚电池，不支持充电</w:t>
            </w:r>
          </w:p>
        </w:tc>
      </w:tr>
    </w:tbl>
    <w:p>
      <w:pPr>
        <w:rPr/>
      </w:pPr>
    </w:p>
    <w:bookmarkStart w:id="1" w:name="_Toc496626407"/>
    <w:p>
      <w:pPr>
        <w:pStyle w:val="000002"/>
        <w:rPr/>
      </w:pPr>
      <w:r>
        <w:rPr>
          <w:rFonts w:hint="eastAsia"/>
        </w:rPr>
        <w:t>三、威惠基坑监测水位计产品特点</w:t>
      </w:r>
    </w:p>
    <w:p>
      <w:pPr>
        <w:pStyle w:val="000008"/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威惠</w:t>
      </w:r>
      <w:r>
        <w:rPr>
          <w:rFonts w:ascii="宋体" w:hAnsi="宋体"/>
          <w:sz w:val="24"/>
          <w:szCs w:val="24"/>
        </w:rPr>
        <w:t>NB-IoT</w:t>
      </w:r>
      <w:r>
        <w:rPr>
          <w:rFonts w:hint="eastAsia" w:ascii="宋体" w:hAnsi="宋体"/>
          <w:sz w:val="24"/>
          <w:szCs w:val="24"/>
        </w:rPr>
        <w:t>基坑监测水位计</w:t>
      </w:r>
      <w:r>
        <w:rPr>
          <w:rFonts w:ascii="宋体" w:hAnsi="宋体"/>
          <w:sz w:val="24"/>
          <w:szCs w:val="24"/>
        </w:rPr>
        <w:t>，采用</w:t>
      </w:r>
      <w:r>
        <w:rPr>
          <w:rFonts w:hint="eastAsia" w:ascii="宋体" w:hAnsi="宋体"/>
          <w:sz w:val="24"/>
          <w:szCs w:val="24"/>
        </w:rPr>
        <w:t>压力式传感器检测基坑地下水位</w:t>
      </w:r>
      <w:r>
        <w:rPr>
          <w:rFonts w:ascii="宋体" w:hAnsi="宋体"/>
          <w:sz w:val="24"/>
          <w:szCs w:val="24"/>
        </w:rPr>
        <w:t>，内置</w:t>
      </w:r>
      <w:r>
        <w:rPr>
          <w:rFonts w:hint="eastAsia" w:ascii="宋体" w:hAnsi="宋体"/>
          <w:sz w:val="24"/>
          <w:szCs w:val="24"/>
        </w:rPr>
        <w:t>威惠</w:t>
      </w:r>
      <w:r>
        <w:rPr>
          <w:rFonts w:ascii="宋体" w:hAnsi="宋体"/>
          <w:sz w:val="24"/>
          <w:szCs w:val="24"/>
        </w:rPr>
        <w:t>Bore OS物联网操作系统</w:t>
      </w:r>
      <w:r>
        <w:rPr>
          <w:rFonts w:hint="eastAsia" w:ascii="宋体" w:hAnsi="宋体"/>
          <w:sz w:val="24"/>
          <w:szCs w:val="24"/>
        </w:rPr>
        <w:t>及NB-IoT物联网通信模块</w:t>
      </w:r>
      <w:r>
        <w:rPr>
          <w:rFonts w:ascii="宋体" w:hAnsi="宋体"/>
          <w:sz w:val="24"/>
          <w:szCs w:val="24"/>
        </w:rPr>
        <w:t>，系统检测到传感器的信号，会通过NB-IoT网络把消息传输至</w:t>
      </w:r>
      <w:r>
        <w:rPr>
          <w:rFonts w:hint="eastAsia" w:ascii="宋体" w:hAnsi="宋体"/>
          <w:sz w:val="24"/>
          <w:szCs w:val="24"/>
        </w:rPr>
        <w:t>威惠</w:t>
      </w:r>
      <w:r>
        <w:rPr>
          <w:rFonts w:ascii="宋体" w:hAnsi="宋体"/>
          <w:sz w:val="24"/>
          <w:szCs w:val="24"/>
        </w:rPr>
        <w:t>智能</w:t>
      </w:r>
      <w:r>
        <w:rPr>
          <w:rFonts w:hint="eastAsia" w:ascii="宋体" w:hAnsi="宋体"/>
          <w:sz w:val="24"/>
          <w:szCs w:val="24"/>
        </w:rPr>
        <w:t>后台</w:t>
      </w:r>
      <w:r>
        <w:rPr>
          <w:rFonts w:ascii="宋体" w:hAnsi="宋体"/>
          <w:sz w:val="24"/>
          <w:szCs w:val="24"/>
        </w:rPr>
        <w:t>系统中心。</w:t>
      </w:r>
    </w:p>
    <w:p>
      <w:pPr>
        <w:pStyle w:val="000008"/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本产品具有高可靠性、超长待机、无线传输、安装简易等特点</w:t>
      </w:r>
      <w:r>
        <w:rPr>
          <w:rFonts w:hint="eastAsia" w:ascii="宋体" w:hAnsi="宋体"/>
          <w:sz w:val="24"/>
          <w:szCs w:val="24"/>
        </w:rPr>
        <w:t>，无需开槽布线工程，极大降低了因线缆被碾压</w:t>
      </w:r>
      <w:r>
        <w:rPr>
          <w:rFonts w:hint="eastAsia"/>
          <w:sz w:val="24"/>
        </w:rPr>
        <w:t>导致数据丢失或者传感器损坏的故障概率，大大提高了系统的可靠性</w:t>
      </w:r>
      <w:r>
        <w:rPr>
          <w:rFonts w:ascii="宋体" w:hAnsi="宋体"/>
          <w:sz w:val="24"/>
          <w:szCs w:val="24"/>
        </w:rPr>
        <w:t>。</w:t>
      </w:r>
      <w:r>
        <w:rPr>
          <w:rFonts w:hint="eastAsia" w:ascii="宋体" w:hAnsi="宋体"/>
          <w:sz w:val="24"/>
          <w:szCs w:val="24"/>
        </w:rPr>
        <w:t>同时施工和维护工程大幅度减少，也具有较高的经济效益。</w:t>
      </w:r>
    </w:p>
    <w:p>
      <w:pPr>
        <w:pStyle w:val="000008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具备实时时钟功能，可以进行周期自检上报。</w:t>
      </w:r>
    </w:p>
    <w:p>
      <w:pPr>
        <w:pStyle w:val="000008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支持上报周期可设置。</w:t>
      </w:r>
    </w:p>
    <w:p>
      <w:pPr>
        <w:pStyle w:val="000008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具备上传电池电压的功能。</w:t>
      </w:r>
    </w:p>
    <w:p>
      <w:pPr>
        <w:pStyle w:val="000008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支持通讯模组无线侧基本数据读取功能。</w:t>
      </w:r>
    </w:p>
    <w:p>
      <w:pPr>
        <w:pStyle w:val="000008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支持远程配置联网IP和端口号。</w:t>
      </w:r>
    </w:p>
    <w:p>
      <w:pPr>
        <w:pStyle w:val="000008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支持配接电信平台，移动平台，联通平台，直推客户平台等多种接入方式。</w:t>
      </w:r>
    </w:p>
    <w:p>
      <w:pPr>
        <w:pStyle w:val="000002"/>
        <w:rPr/>
      </w:pPr>
      <w:r>
        <w:rPr>
          <w:rFonts w:hint="eastAsia"/>
        </w:rPr>
        <w:t>四、技术参数</w:t>
      </w:r>
      <w:bookmarkEnd w:id="1"/>
      <w:r>
        <w:rPr>
          <w:rFonts w:hint="eastAsia"/>
        </w:rPr>
        <w:t>及指标</w:t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false" w:lastRow="false" w:firstColumn="false" w:lastColumn="false" w:noHBand="false" w:noVBand="false" w:val="04A0"/>
      </w:tblPr>
      <w:tblGrid>
        <w:gridCol w:w="1710"/>
        <w:gridCol w:w="1879"/>
        <w:gridCol w:w="4851"/>
      </w:tblGrid>
      <w:tr>
        <w:trPr>
          <w:trHeight w:val="703"/>
          <w:jc w:val="center"/>
        </w:trPr>
        <w:tc>
          <w:tcPr>
            <w:tcW w:w="3589" w:type="dxa"/>
            <w:gridSpan w:val="2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项目参数名称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内容</w:t>
            </w:r>
          </w:p>
        </w:tc>
      </w:tr>
      <w:tr>
        <w:trPr>
          <w:trHeight w:val="541"/>
          <w:jc w:val="center"/>
        </w:trPr>
        <w:tc>
          <w:tcPr>
            <w:tcW w:w="3589" w:type="dxa"/>
            <w:gridSpan w:val="2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属性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基坑监测水位计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电池</w:t>
            </w: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标称电压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3.6V DC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continue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极限工作电压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2.8V DC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continue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电池容量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不低于19000mAH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restart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整机功耗</w:t>
            </w: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休眠电流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≤15uA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continue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最大功耗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≤2W @3.6V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continue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工作年限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≥6月（</w:t>
            </w:r>
            <w:r>
              <w:rPr>
                <w:rFonts w:hint="eastAsia"/>
                <w:sz w:val="24"/>
              </w:rPr>
              <w:t>最高采集频率5min/次，正常使用2H/次</w:t>
            </w:r>
            <w:r>
              <w:rPr>
                <w:rFonts w:hint="eastAsia" w:ascii="宋体" w:hAnsi="宋体"/>
                <w:sz w:val="24"/>
              </w:rPr>
              <w:t>）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通讯接口</w:t>
            </w: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无线通信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NB-IoT(远程)（B3/B5/B8全网通）</w:t>
            </w:r>
          </w:p>
        </w:tc>
      </w:tr>
      <w:tr>
        <w:trPr>
          <w:trHeight w:val="635"/>
          <w:jc w:val="center"/>
        </w:trPr>
        <w:tc>
          <w:tcPr>
            <w:tcW w:w="1710" w:type="dxa"/>
            <w:vMerge w:val="restart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测量功能</w:t>
            </w: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检测周期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可设置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continue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电池电压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测量范围为2.8-3.6V，误差为±0.2V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报警次数</w:t>
            </w: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可配置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1-10次或连续报警至手工解除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指示功能</w:t>
            </w: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ind w:firstLine="120" w:firstLineChars="5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LED灯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在设备内部，代表运行或联网的情况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外观和尺寸</w:t>
            </w: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尺寸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感应头尺寸φ42*220mm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continue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天线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外置灌胶防水天线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continue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材质及抗压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autoSpaceDE w:val="false"/>
              <w:autoSpaceDN w:val="false"/>
              <w:adjustRightInd w:val="false"/>
              <w:jc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304不锈钢</w:t>
            </w:r>
          </w:p>
        </w:tc>
      </w:tr>
      <w:tr>
        <w:trPr>
          <w:trHeight w:val="535"/>
          <w:jc w:val="center"/>
        </w:trPr>
        <w:tc>
          <w:tcPr>
            <w:tcW w:w="1710" w:type="dxa"/>
            <w:vMerge w:val="continue"/>
            <w:shd w:val="clear" w:color="auto" w:fill="auto"/>
          </w:tcPr>
          <w:p>
            <w:pPr>
              <w:widowControl/>
              <w:spacing w:line="450" w:lineRule="atLeast"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防护</w:t>
            </w:r>
          </w:p>
        </w:tc>
        <w:tc>
          <w:tcPr>
            <w:tcW w:w="4851" w:type="dxa"/>
            <w:shd w:val="clear" w:color="auto" w:fill="auto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防护等级IP68，防潮，防凝露</w:t>
            </w:r>
          </w:p>
        </w:tc>
      </w:tr>
    </w:tbl>
    <w:p>
      <w:pPr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表1技术指标要求表</w:t>
      </w:r>
    </w:p>
    <w:p>
      <w:pPr>
        <w:rPr/>
      </w:pPr>
    </w:p>
    <w:p>
      <w:pPr>
        <w:pStyle w:val="000002"/>
        <w:rPr/>
      </w:pPr>
      <w:r>
        <w:rPr>
          <w:rFonts w:hint="eastAsia"/>
        </w:rPr>
        <w:t>五、环境指标</w:t>
      </w:r>
    </w:p>
    <w:tbl>
      <w:tblPr>
        <w:tblpPr w:leftFromText="180" w:rightFromText="180" w:vertAnchor="text" w:horzAnchor="page" w:tblpX="1905" w:tblpY="326"/>
        <w:tblOverlap w:val="never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false" w:lastRow="false" w:firstColumn="false" w:lastColumn="false" w:noHBand="false" w:noVBand="false" w:val="04A0"/>
      </w:tblPr>
      <w:tblGrid>
        <w:gridCol w:w="3062"/>
        <w:gridCol w:w="2840"/>
        <w:gridCol w:w="2618"/>
      </w:tblGrid>
      <w:tr>
        <w:trPr>
          <w:trHeight w:val="423"/>
        </w:trPr>
        <w:tc>
          <w:tcPr>
            <w:tcW w:w="3062" w:type="dxa"/>
            <w:vAlign w:val="center"/>
          </w:tcPr>
          <w:p>
            <w:pPr>
              <w:jc w:val="center"/>
              <w:rPr>
                <w:rFonts w:ascii="黑体" w:hAnsi="宋体" w:eastAsia="黑体"/>
                <w:b/>
              </w:rPr>
            </w:pPr>
            <w:r>
              <w:rPr>
                <w:rFonts w:hint="eastAsia" w:ascii="黑体" w:hAnsi="宋体" w:eastAsia="黑体"/>
                <w:b/>
              </w:rPr>
              <w:t>指标名称</w:t>
            </w:r>
          </w:p>
        </w:tc>
        <w:tc>
          <w:tcPr>
            <w:tcW w:w="5458" w:type="dxa"/>
            <w:gridSpan w:val="2"/>
            <w:vAlign w:val="center"/>
          </w:tcPr>
          <w:p>
            <w:pPr>
              <w:ind w:firstLine="1240" w:firstLineChars="588"/>
              <w:jc w:val="center"/>
              <w:rPr>
                <w:rFonts w:ascii="黑体" w:hAnsi="宋体" w:eastAsia="黑体"/>
                <w:b/>
              </w:rPr>
            </w:pPr>
            <w:r>
              <w:rPr>
                <w:rFonts w:hint="eastAsia" w:ascii="黑体" w:hAnsi="宋体" w:eastAsia="黑体"/>
                <w:b/>
              </w:rPr>
              <w:t>详细参数</w:t>
            </w:r>
          </w:p>
        </w:tc>
      </w:tr>
      <w:tr>
        <w:trPr>
          <w:trHeight w:val="423"/>
        </w:trPr>
        <w:tc>
          <w:tcPr>
            <w:tcW w:w="306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工作温度（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℃）</w:t>
            </w:r>
          </w:p>
        </w:tc>
        <w:tc>
          <w:tcPr>
            <w:tcW w:w="2840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正常工作温度</w:t>
            </w:r>
          </w:p>
        </w:tc>
        <w:tc>
          <w:tcPr>
            <w:tcW w:w="2618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-10℃～60℃</w:t>
            </w:r>
          </w:p>
        </w:tc>
      </w:tr>
      <w:tr>
        <w:trPr>
          <w:trHeight w:val="423"/>
        </w:trPr>
        <w:tc>
          <w:tcPr>
            <w:tcW w:w="306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贮存温度（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℃）</w:t>
            </w:r>
          </w:p>
        </w:tc>
        <w:tc>
          <w:tcPr>
            <w:tcW w:w="5458" w:type="dxa"/>
            <w:gridSpan w:val="2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-15℃～70℃</w:t>
            </w:r>
          </w:p>
        </w:tc>
      </w:tr>
      <w:tr>
        <w:trPr>
          <w:trHeight w:val="423"/>
        </w:trPr>
        <w:tc>
          <w:tcPr>
            <w:tcW w:w="306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工作湿度</w:t>
            </w:r>
          </w:p>
        </w:tc>
        <w:tc>
          <w:tcPr>
            <w:tcW w:w="5458" w:type="dxa"/>
            <w:gridSpan w:val="2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%～100%</w:t>
            </w:r>
          </w:p>
        </w:tc>
      </w:tr>
      <w:tr>
        <w:trPr>
          <w:trHeight w:val="446"/>
        </w:trPr>
        <w:tc>
          <w:tcPr>
            <w:tcW w:w="3062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大气压</w:t>
            </w:r>
            <w:r>
              <w:rPr>
                <w:rFonts w:ascii="宋体" w:hAnsi="宋体"/>
                <w:sz w:val="24"/>
              </w:rPr>
              <w:t>kPa</w:t>
            </w:r>
          </w:p>
        </w:tc>
        <w:tc>
          <w:tcPr>
            <w:tcW w:w="545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63.0～ 106.0（海拔 4000m 及以下）</w:t>
            </w:r>
          </w:p>
        </w:tc>
      </w:tr>
    </w:tbl>
    <w:p>
      <w:pPr>
        <w:rPr>
          <w:rFonts w:ascii="宋体" w:hAnsi="宋体"/>
          <w:b/>
          <w:sz w:val="24"/>
        </w:rPr>
      </w:pPr>
    </w:p>
    <w:p>
      <w:pPr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表2环境指标要求表</w:t>
      </w:r>
    </w:p>
    <w:p>
      <w:pPr>
        <w:pStyle w:val="000002"/>
        <w:rPr/>
      </w:pPr>
      <w:r>
        <w:rPr>
          <w:rFonts w:hint="eastAsia"/>
        </w:rPr>
        <w:t>六、设备性能及安全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false" w:lastRow="false" w:firstColumn="false" w:lastColumn="false" w:noHBand="false" w:noVBand="false" w:val="04A0"/>
      </w:tblPr>
      <w:tblGrid>
        <w:gridCol w:w="3052"/>
        <w:gridCol w:w="5228"/>
      </w:tblGrid>
      <w:tr>
        <w:trPr>
          <w:trHeight w:val="647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通信响应时间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＜60s</w:t>
            </w:r>
          </w:p>
        </w:tc>
      </w:tr>
      <w:tr>
        <w:trPr>
          <w:trHeight w:val="647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平均无故障时间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≥15000小时</w:t>
            </w:r>
          </w:p>
        </w:tc>
      </w:tr>
      <w:tr>
        <w:trPr>
          <w:trHeight w:val="647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报警数据误报率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≤0.1%</w:t>
            </w:r>
          </w:p>
        </w:tc>
      </w:tr>
      <w:tr>
        <w:trPr>
          <w:trHeight w:val="647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报警数据漏报率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≤0.1%</w:t>
            </w:r>
          </w:p>
        </w:tc>
      </w:tr>
      <w:tr>
        <w:trPr>
          <w:trHeight w:val="647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电磁兼容性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符合IEC 61000-4-2、3、4、5</w:t>
            </w:r>
          </w:p>
        </w:tc>
      </w:tr>
      <w:tr>
        <w:trPr>
          <w:trHeight w:val="647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常态下绝缘电阻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≥100MΩ</w:t>
            </w:r>
          </w:p>
        </w:tc>
      </w:tr>
      <w:tr>
        <w:trPr>
          <w:trHeight w:val="647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湿热下绝缘电阻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≥2MΩ</w:t>
            </w:r>
          </w:p>
        </w:tc>
      </w:tr>
      <w:tr>
        <w:trPr>
          <w:trHeight w:val="692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泄漏电流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＜5mA</w:t>
            </w:r>
          </w:p>
        </w:tc>
      </w:tr>
    </w:tbl>
    <w:bookmarkStart w:id="2" w:name="_Toc496626408"/>
    <w:p>
      <w:pPr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表3安全指标要求表</w:t>
      </w:r>
    </w:p>
    <w:p>
      <w:pPr>
        <w:pStyle w:val="000002"/>
        <w:rPr/>
      </w:pPr>
      <w:r>
        <w:rPr>
          <w:rFonts w:hint="eastAsia"/>
        </w:rPr>
        <w:t>七、设备外观</w:t>
      </w:r>
      <w:bookmarkEnd w:id="2"/>
    </w:p>
    <w:p>
      <w:pPr>
        <w:jc w:val="center"/>
        <w:rPr/>
      </w:pPr>
      <w:r>
        <w:rPr>
          <w:noProof/>
        </w:rPr>
        <w:drawing>
          <wp:inline distT="0" distB="0" distL="0" distR="0">
            <wp:extent cx="2358390" cy="3797927"/>
            <wp:effectExtent l="19050" t="0" r="3810" b="0"/>
            <wp:docPr id="8" name="图片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Picture 1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26" cy="38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9869" cy="3792157"/>
            <wp:effectExtent l="19050" t="0" r="5181" b="0"/>
            <wp:docPr id="11" name="图片 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Picture 4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37" cy="380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600"/>
        <w:jc w:val="left"/>
        <w:rPr>
          <w:sz w:val="24"/>
        </w:rPr>
      </w:pPr>
      <w:r>
        <w:rPr>
          <w:rFonts w:hint="eastAsia"/>
          <w:sz w:val="24"/>
        </w:rPr>
        <w:t>基坑监测水位计                    监测终端</w:t>
      </w:r>
    </w:p>
    <w:p>
      <w:pPr>
        <w:pStyle w:val="000002"/>
        <w:rPr/>
      </w:pPr>
      <w:r>
        <w:rPr>
          <w:rFonts w:hint="eastAsia"/>
        </w:rPr>
        <w:t>八、安装说明</w:t>
      </w:r>
    </w:p>
    <w:p>
      <w:pPr>
        <w:pStyle w:val="000008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安装方</w:t>
      </w:r>
      <w:r>
        <w:rPr>
          <w:rFonts w:hint="eastAsia" w:ascii="宋体" w:hAnsi="宋体"/>
          <w:sz w:val="24"/>
          <w:szCs w:val="24"/>
        </w:rPr>
        <w:t>式</w:t>
      </w:r>
      <w:r>
        <w:rPr>
          <w:rFonts w:ascii="宋体" w:hAnsi="宋体"/>
          <w:sz w:val="24"/>
          <w:szCs w:val="24"/>
        </w:rPr>
        <w:t>：</w:t>
      </w:r>
    </w:p>
    <w:p>
      <w:pPr>
        <w:pStyle w:val="000008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将传感器及线缆顺着监测孔缓慢垂下到底部</w:t>
      </w:r>
    </w:p>
    <w:p>
      <w:pPr>
        <w:pStyle w:val="000008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连接传感器线缆与采集器接口</w:t>
      </w:r>
    </w:p>
    <w:p>
      <w:pPr>
        <w:pStyle w:val="000008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将采集器放入监测孔，放置平整</w:t>
      </w:r>
    </w:p>
    <w:p>
      <w:pPr>
        <w:pStyle w:val="000008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在后台查看水位计监测数据，确定工作正常</w:t>
      </w:r>
    </w:p>
    <w:p>
      <w:pPr>
        <w:pStyle w:val="000008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注意事项</w:t>
      </w:r>
      <w:r>
        <w:rPr>
          <w:rFonts w:ascii="宋体" w:hAnsi="宋体"/>
          <w:sz w:val="24"/>
          <w:szCs w:val="24"/>
        </w:rPr>
        <w:t>：</w:t>
      </w:r>
    </w:p>
    <w:p>
      <w:pPr>
        <w:pStyle w:val="000008"/>
        <w:spacing w:line="360" w:lineRule="auto"/>
        <w:ind w:left="900" w:firstLine="0"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水位计直接安放在地面监测孔中，地面安装孔上部直径要比下部水管直径大，不小于60mm，保证采集器安装后顶部天线低于地面20mm，避免被车辆直接碾压。</w:t>
      </w:r>
    </w:p>
    <w:p>
      <w:pPr>
        <w:pStyle w:val="000008"/>
        <w:spacing w:line="360" w:lineRule="auto"/>
        <w:ind w:left="900" w:firstLine="0" w:firstLineChars="0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请参考下面的示意图：</w:t>
      </w:r>
      <w:bookmarkStart w:id="3" w:name="_GoBack"/>
      <w:bookmarkEnd w:id="3"/>
    </w:p>
    <w:p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278120" cy="3619529"/>
            <wp:effectExtent l="19050" t="0" r="0" b="0"/>
            <wp:docPr id="14" name="图片 1" descr="观测井构造示意图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" name="Picture 1" descr="观测井构造示意图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61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Pr="0030120E" w:rsidR="002119BF" w:rsidSect="00496AB6">
      <w:headerReference r:id="rId7" w:type="default"/>
      <w:footerReference r:id="rId8" w:type="default"/>
      <w:pgSz w:w="11906" w:h="16838"/>
      <w:pgMar w:top="1474" w:right="1797" w:bottom="1440" w:left="1797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="http://schemas.openxmlformats.org/wordprocessingml/2006/main">
  <w:endnote w:type="continuationSeparator" w:id="0">
    <w:p>
      <w:pPr>
        <w:rPr/>
      </w:pPr>
      <w:r>
        <w:rPr/>
        <w:continuationSeparator/>
      </w:r>
    </w:p>
  </w:endnote>
  <w:endnote w:type="separator" w:id="1">
    <w:p>
      <w:pPr>
        <w:rPr/>
      </w:pPr>
      <w:r>
        <w:rPr/>
        <w:separator/>
      </w:r>
    </w:p>
  </w:endnote>
</w:endnotes>
</file>

<file path=word/fontTable.xml><?xml version="1.0" encoding="utf-8"?>
<w:fonts xmlns:w="http://schemas.openxmlformats.org/wordprocessingml/2006/main">
  <w:font w:name="Calibri Light">
    <w:panose1 w:val="020F0302020204030204"/>
    <w:charset w:val="00" w:characterSet="ISO-8859-1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 w:characterSet="ISO-8859-1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 w:characterSet="ISO-8859-1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 w:characterSet="ISO-8859-1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 w:characterSet="ISO-8859-1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 w:characterSet="ISO-8859-1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 w:characterSet="ISO-8859-1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 w:characterSet="ISO-8859-1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 w:characterSet="ISO-8859-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="http://schemas.openxmlformats.org/wordprocessingml/2006/main">
  <w:p>
    <w:pPr>
      <w:pStyle w:val="000006"/>
      <w:jc w:val="center"/>
      <w:rPr/>
    </w:pPr>
    <w:r>
      <w:rPr>
        <w:rFonts w:hint="eastAsia"/>
      </w:rPr>
      <w:t>第</w:t>
    </w:r>
    <w:r>
      <w:rPr/>
      <w:fldChar w:fldCharType="begin" w:fldLock="false" w:dirty="false"/>
    </w:r>
    <w:r>
      <w:rPr/>
      <w:instrText xml:space="preserve"> PAGE   \* MERGEFORMAT </w:instrText>
    </w:r>
    <w:r>
      <w:rPr/>
      <w:fldChar w:fldCharType="separate" w:fldLock="false" w:dirty="false"/>
    </w:r>
    <w:r>
      <w:rPr>
        <w:noProof/>
      </w:rPr>
      <w:t>6</w:t>
    </w:r>
    <w:r>
      <w:rPr/>
      <w:fldChar w:fldCharType="end" w:fldLock="false" w:dirty="false"/>
    </w:r>
    <w:r>
      <w:rPr>
        <w:rFonts w:hint="eastAsia"/>
      </w:rPr>
      <w:t>页 共</w:t>
    </w:r>
    <w:r>
      <w:rPr/>
      <w:fldChar w:fldCharType="begin" w:fldLock="false" w:dirty="false"/>
    </w:r>
    <w:r>
      <w:rPr/>
      <w:instrText xml:space="preserve"> NUMPAGES   \* MERGEFORMAT </w:instrText>
    </w:r>
    <w:r>
      <w:rPr/>
      <w:fldChar w:fldCharType="separate" w:fldLock="false" w:dirty="false"/>
    </w:r>
    <w:r>
      <w:rPr>
        <w:noProof/>
      </w:rPr>
      <w:t>7</w:t>
    </w:r>
    <w:r>
      <w:rPr/>
      <w:fldChar w:fldCharType="end" w:fldLock="false" w:dirty="false"/>
    </w:r>
    <w:r>
      <w:rPr>
        <w:rFonts w:hint="eastAsia"/>
      </w:rPr>
      <w:t>页</w:t>
    </w:r>
  </w:p>
</w:ftr>
</file>

<file path=word/footnotes.xml><?xml version="1.0" encoding="utf-8"?>
<w:footnotes xmlns:w="http://schemas.openxmlformats.org/wordprocessingml/2006/main">
  <w:footnote w:type="continuationSeparator" w:id="1">
    <w:p>
      <w:pPr>
        <w:rPr/>
      </w:pPr>
      <w:r>
        <w:rPr/>
        <w:continuationSeparator/>
      </w:r>
    </w:p>
  </w:footnote>
  <w:footnote w:type="separator" w:id="0">
    <w:p>
      <w:pPr>
        <w:rPr/>
      </w:pPr>
      <w:r>
        <w:rPr/>
        <w:separator/>
      </w:r>
    </w:p>
  </w:footnote>
</w:footnotes>
</file>

<file path=word/header1.xml><?xml version="1.0" encoding="utf-8"?>
<w:hdr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p>
    <w:pPr>
      <w:pStyle w:val="000007"/>
      <w:pBdr>
        <w:bottom w:val="dotted" w:color="auto" w:sz="4" w:space="1"/>
      </w:pBdr>
      <w:tabs>
        <w:tab w:val="clear" w:pos="4153"/>
        <w:tab w:val="clear" w:pos="8306"/>
        <w:tab w:val="left" w:pos="6015"/>
      </w:tabs>
      <w:rPr>
        <w:rFonts w:ascii="Arial Black" w:hAnsi="Arial Black"/>
        <w:sz w:val="24"/>
      </w:rPr>
    </w:pPr>
    <w:r>
      <w:rPr>
        <w:noProof/>
      </w:rPr>
      <w:drawing>
        <wp:inline distT="0" distB="0" distL="0" distR="0">
          <wp:extent cx="1382973" cy="361950"/>
          <wp:effectExtent l="19050" t="0" r="7677" b="0"/>
          <wp:docPr id="17" name="图片 1" descr="http://www.wiihey.com/zh-CN/img/logo9.pn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18" name="Picture 1" descr="http://www.wiihey.com/zh-CN/img/logo9.png"/>
                  <pic:cNvPicPr>
                    <a:picLocks noChangeAspect="true" noChangeArrowheads="true"/>
                  </pic:cNvPicPr>
                </pic:nvPicPr>
                <pic:blipFill>
                  <a:blip r:embed="rId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973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/>
      <w:tab/>
    </w:r>
    <w:r>
      <w:rPr>
        <w:rFonts w:hint="eastAsia" w:ascii="Arial Black" w:hAnsi="Arial Black"/>
        <w:color w:val="297FD5" w:themeColor="accent3"/>
        <w:sz w:val="24"/>
      </w:rPr>
      <w:t>www.wiihey.com</w:t>
    </w:r>
  </w:p>
</w:hdr>
</file>

<file path=word/numbering.xml><?xml version="1.0" encoding="utf-8"?>
<w:numbering xmlns:w="http://schemas.openxmlformats.org/wordprocessingml/2006/main">
  <w:abstractNum w:abstractNumId="1">
    <w:nsid w:val="2CFB672B"/>
    <w:multiLevelType w:val="hybridMultilevel"/>
    <w:tmpl w:val="47F29118"/>
    <w:lvl w:ilvl="0" w:tplc="04090011">
      <w:start w:val="1"/>
      <w:numFmt w:val="decimal"/>
      <w:lvlText w:val="%1)"/>
      <w:lvlJc w:val="left"/>
      <w:pPr>
        <w:ind w:left="480" w:hanging="480"/>
      </w:pPr>
    </w:lvl>
    <w:lvl w:ilvl="7" w:tplc="04090019" w:tentative="true">
      <w:start w:val="1"/>
      <w:numFmt w:val="lowerLetter"/>
      <w:lvlText w:val="%8)"/>
      <w:lvlJc w:val="left"/>
      <w:pPr>
        <w:ind w:left="3840" w:hanging="480"/>
      </w:pPr>
    </w:lvl>
    <w:lvl w:ilvl="5" w:tplc="0409001B" w:tentative="true">
      <w:start w:val="1"/>
      <w:numFmt w:val="lowerRoman"/>
      <w:lvlText w:val="%6."/>
      <w:lvlJc w:val="right"/>
      <w:pPr>
        <w:ind w:left="2880" w:hanging="480"/>
      </w:pPr>
    </w:lvl>
    <w:lvl w:ilvl="4" w:tplc="04090019" w:tentative="true">
      <w:start w:val="1"/>
      <w:numFmt w:val="lowerLetter"/>
      <w:lvlText w:val="%5)"/>
      <w:lvlJc w:val="left"/>
      <w:pPr>
        <w:ind w:left="2400" w:hanging="480"/>
      </w:pPr>
    </w:lvl>
    <w:lvl w:ilvl="1" w:tplc="04090019" w:tentative="true">
      <w:start w:val="1"/>
      <w:numFmt w:val="lowerLetter"/>
      <w:lvlText w:val="%2)"/>
      <w:lvlJc w:val="left"/>
      <w:pPr>
        <w:ind w:left="960" w:hanging="480"/>
      </w:pPr>
    </w:lvl>
    <w:lvl w:ilvl="3" w:tplc="0409000F" w:tentative="true">
      <w:start w:val="1"/>
      <w:numFmt w:val="decimal"/>
      <w:lvlText w:val="%4."/>
      <w:lvlJc w:val="left"/>
      <w:pPr>
        <w:ind w:left="1920" w:hanging="480"/>
      </w:pPr>
    </w:lvl>
    <w:lvl w:ilvl="2" w:tplc="0409001B" w:tentative="true">
      <w:start w:val="1"/>
      <w:numFmt w:val="lowerRoman"/>
      <w:lvlText w:val="%3."/>
      <w:lvlJc w:val="right"/>
      <w:pPr>
        <w:ind w:left="1440" w:hanging="480"/>
      </w:pPr>
    </w:lvl>
    <w:lvl w:ilvl="8" w:tplc="0409001B" w:tentative="true">
      <w:start w:val="1"/>
      <w:numFmt w:val="lowerRoman"/>
      <w:lvlText w:val="%9."/>
      <w:lvlJc w:val="right"/>
      <w:pPr>
        <w:ind w:left="4320" w:hanging="480"/>
      </w:pPr>
    </w:lvl>
    <w:lvl w:ilvl="6" w:tplc="0409000F" w:tentative="true">
      <w:start w:val="1"/>
      <w:numFmt w:val="decimal"/>
      <w:lvlText w:val="%7."/>
      <w:lvlJc w:val="left"/>
      <w:pPr>
        <w:ind w:left="3360" w:hanging="480"/>
      </w:pPr>
    </w:lvl>
  </w:abstractNum>
  <w:abstractNum w:abstractNumId="2">
    <w:nsid w:val="42AF7803"/>
    <w:multiLevelType w:val="hybridMultilevel"/>
    <w:tmpl w:val="C9844FCA"/>
    <w:lvl w:ilvl="2" w:tplc="04090005" w:tentative="true">
      <w:start w:val="1"/>
      <w:numFmt w:val="bullet"/>
      <w:lvlText w:val=""/>
      <w:lvlJc w:val="left"/>
      <w:pPr>
        <w:ind w:left="2160" w:hanging="420"/>
      </w:pPr>
      <w:rPr>
        <w:rFonts w:hint="default" w:ascii="Wingdings" w:hAnsi="Wingdings"/>
      </w:rPr>
    </w:lvl>
    <w:lvl w:ilvl="8" w:tplc="04090005" w:tentative="true">
      <w:start w:val="1"/>
      <w:numFmt w:val="bullet"/>
      <w:lvlText w:val=""/>
      <w:lvlJc w:val="left"/>
      <w:pPr>
        <w:ind w:left="4680" w:hanging="420"/>
      </w:pPr>
      <w:rPr>
        <w:rFonts w:hint="default" w:ascii="Wingdings" w:hAnsi="Wingdings"/>
      </w:rPr>
    </w:lvl>
    <w:lvl w:ilvl="3" w:tplc="04090001" w:tentative="true">
      <w:start w:val="1"/>
      <w:numFmt w:val="bullet"/>
      <w:lvlText w:val=""/>
      <w:lvlJc w:val="left"/>
      <w:pPr>
        <w:ind w:left="2580" w:hanging="420"/>
      </w:pPr>
      <w:rPr>
        <w:rFonts w:hint="default" w:ascii="Wingdings" w:hAnsi="Wingdings"/>
      </w:rPr>
    </w:lvl>
    <w:lvl w:ilvl="0" w:tplc="0409000B">
      <w:start w:val="1"/>
      <w:numFmt w:val="bullet"/>
      <w:lvlText w:val=""/>
      <w:lvlJc w:val="left"/>
      <w:pPr>
        <w:ind w:left="1320" w:hanging="420"/>
      </w:pPr>
      <w:rPr>
        <w:rFonts w:hint="default" w:ascii="Wingdings" w:hAnsi="Wingdings"/>
      </w:rPr>
    </w:lvl>
    <w:lvl w:ilvl="4" w:tplc="04090003" w:tentative="true">
      <w:start w:val="1"/>
      <w:numFmt w:val="bullet"/>
      <w:lvlText w:val=""/>
      <w:lvlJc w:val="left"/>
      <w:pPr>
        <w:ind w:left="3000" w:hanging="420"/>
      </w:pPr>
      <w:rPr>
        <w:rFonts w:hint="default" w:ascii="Wingdings" w:hAnsi="Wingdings"/>
      </w:rPr>
    </w:lvl>
    <w:lvl w:ilvl="1" w:tplc="04090003" w:tentative="true">
      <w:start w:val="1"/>
      <w:numFmt w:val="bullet"/>
      <w:lvlText w:val=""/>
      <w:lvlJc w:val="left"/>
      <w:pPr>
        <w:ind w:left="1740" w:hanging="420"/>
      </w:pPr>
      <w:rPr>
        <w:rFonts w:hint="default" w:ascii="Wingdings" w:hAnsi="Wingdings"/>
      </w:rPr>
    </w:lvl>
    <w:lvl w:ilvl="7" w:tplc="04090003" w:tentative="true">
      <w:start w:val="1"/>
      <w:numFmt w:val="bullet"/>
      <w:lvlText w:val=""/>
      <w:lvlJc w:val="left"/>
      <w:pPr>
        <w:ind w:left="4260" w:hanging="420"/>
      </w:pPr>
      <w:rPr>
        <w:rFonts w:hint="default" w:ascii="Wingdings" w:hAnsi="Wingdings"/>
      </w:rPr>
    </w:lvl>
    <w:lvl w:ilvl="6" w:tplc="04090001" w:tentative="true">
      <w:start w:val="1"/>
      <w:numFmt w:val="bullet"/>
      <w:lvlText w:val=""/>
      <w:lvlJc w:val="left"/>
      <w:pPr>
        <w:ind w:left="3840" w:hanging="420"/>
      </w:pPr>
      <w:rPr>
        <w:rFonts w:hint="default" w:ascii="Wingdings" w:hAnsi="Wingdings"/>
      </w:rPr>
    </w:lvl>
    <w:lvl w:ilvl="5" w:tplc="04090005" w:tentative="true">
      <w:start w:val="1"/>
      <w:numFmt w:val="bullet"/>
      <w:lvlText w:val=""/>
      <w:lvlJc w:val="left"/>
      <w:pPr>
        <w:ind w:left="3420" w:hanging="420"/>
      </w:pPr>
      <w:rPr>
        <w:rFonts w:hint="default" w:ascii="Wingdings" w:hAnsi="Wingdings"/>
      </w:rPr>
    </w:lvl>
  </w:abstractNum>
  <w:abstractNum w:abstractNumId="3">
    <w:nsid w:val="3443330D"/>
    <w:multiLevelType w:val="hybridMultilevel"/>
    <w:tmpl w:val="708C2FA4"/>
    <w:lvl w:ilvl="1" w:tplc="04090019" w:tentative="true">
      <w:start w:val="1"/>
      <w:numFmt w:val="lowerLetter"/>
      <w:lvlText w:val="%2)"/>
      <w:lvlJc w:val="left"/>
      <w:pPr>
        <w:ind w:left="1380" w:hanging="480"/>
      </w:pPr>
    </w:lvl>
    <w:lvl w:ilvl="8" w:tplc="0409001B" w:tentative="true">
      <w:start w:val="1"/>
      <w:numFmt w:val="lowerRoman"/>
      <w:lvlText w:val="%9."/>
      <w:lvlJc w:val="right"/>
      <w:pPr>
        <w:ind w:left="4740" w:hanging="480"/>
      </w:pPr>
    </w:lvl>
    <w:lvl w:ilvl="4" w:tplc="04090019" w:tentative="true">
      <w:start w:val="1"/>
      <w:numFmt w:val="lowerLetter"/>
      <w:lvlText w:val="%5)"/>
      <w:lvlJc w:val="left"/>
      <w:pPr>
        <w:ind w:left="2820" w:hanging="480"/>
      </w:pPr>
    </w:lvl>
    <w:lvl w:ilvl="2" w:tplc="0409001B" w:tentative="true">
      <w:start w:val="1"/>
      <w:numFmt w:val="lowerRoman"/>
      <w:lvlText w:val="%3."/>
      <w:lvlJc w:val="right"/>
      <w:pPr>
        <w:ind w:left="1860" w:hanging="480"/>
      </w:pPr>
    </w:lvl>
    <w:lvl w:ilvl="5" w:tplc="0409001B" w:tentative="true">
      <w:start w:val="1"/>
      <w:numFmt w:val="lowerRoman"/>
      <w:lvlText w:val="%6."/>
      <w:lvlJc w:val="right"/>
      <w:pPr>
        <w:ind w:left="3300" w:hanging="480"/>
      </w:pPr>
    </w:lvl>
    <w:lvl w:ilvl="3" w:tplc="0409000F" w:tentative="true">
      <w:start w:val="1"/>
      <w:numFmt w:val="decimal"/>
      <w:lvlText w:val="%4."/>
      <w:lvlJc w:val="left"/>
      <w:pPr>
        <w:ind w:left="2340" w:hanging="480"/>
      </w:pPr>
    </w:lvl>
    <w:lvl w:ilvl="0" w:tplc="04090011">
      <w:start w:val="1"/>
      <w:numFmt w:val="decimal"/>
      <w:lvlText w:val="%1)"/>
      <w:lvlJc w:val="left"/>
      <w:pPr>
        <w:ind w:left="900" w:hanging="480"/>
      </w:pPr>
    </w:lvl>
    <w:lvl w:ilvl="7" w:tplc="04090019" w:tentative="true">
      <w:start w:val="1"/>
      <w:numFmt w:val="lowerLetter"/>
      <w:lvlText w:val="%8)"/>
      <w:lvlJc w:val="left"/>
      <w:pPr>
        <w:ind w:left="4260" w:hanging="480"/>
      </w:pPr>
    </w:lvl>
    <w:lvl w:ilvl="6" w:tplc="0409000F" w:tentative="true">
      <w:start w:val="1"/>
      <w:numFmt w:val="decimal"/>
      <w:lvlText w:val="%7."/>
      <w:lvlJc w:val="left"/>
      <w:pPr>
        <w:ind w:left="3780" w:hanging="480"/>
      </w:pPr>
    </w:lvl>
  </w:abstractNum>
  <w:num w:numId="2">
    <w:abstractNumId w:val="3"/>
  </w:num>
  <w:num w:numId="3">
    <w:abstractNumId w:val="2"/>
  </w:num>
  <w:num w:numId="1">
    <w:abstractNumId w:val="1"/>
  </w:num>
</w:numbering>
</file>

<file path=word/settings.xml><?xml version="1.0" encoding="utf-8"?>
<w:settings xmlns:w="http://schemas.openxmlformats.org/wordprocessingml/2006/main">
  <w:zoom w:percent="130"/>
  <w:embedSystemFonts/>
  <w:bordersDoNotSurroundHeader/>
  <w:bordersDoNotSurroundFooter/>
  <w:proofState w:spelling="clean" w:grammar="dirty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1731"/>
    <w:rsid w:val="00001508"/>
    <w:rsid w:val="00007147"/>
    <w:rsid w:val="000322E7"/>
    <w:rsid w:val="00034010"/>
    <w:rsid w:val="00055BCD"/>
    <w:rsid w:val="000611DA"/>
    <w:rsid w:val="000A4540"/>
    <w:rsid w:val="000B2312"/>
    <w:rsid w:val="000C0F15"/>
    <w:rsid w:val="0010064F"/>
    <w:rsid w:val="00133078"/>
    <w:rsid w:val="00163A54"/>
    <w:rsid w:val="001C0EFB"/>
    <w:rsid w:val="001D075C"/>
    <w:rsid w:val="001D0D09"/>
    <w:rsid w:val="001D517C"/>
    <w:rsid w:val="002119BF"/>
    <w:rsid w:val="002413D5"/>
    <w:rsid w:val="00243CA7"/>
    <w:rsid w:val="00244048"/>
    <w:rsid w:val="002648D7"/>
    <w:rsid w:val="002A0E71"/>
    <w:rsid w:val="002A6600"/>
    <w:rsid w:val="002B48D3"/>
    <w:rsid w:val="002D2FCA"/>
    <w:rsid w:val="002D381E"/>
    <w:rsid w:val="002D7AA6"/>
    <w:rsid w:val="0030120E"/>
    <w:rsid w:val="0030145D"/>
    <w:rsid w:val="00302787"/>
    <w:rsid w:val="003137F7"/>
    <w:rsid w:val="003255FA"/>
    <w:rsid w:val="00331017"/>
    <w:rsid w:val="00350F79"/>
    <w:rsid w:val="00384F69"/>
    <w:rsid w:val="003929BE"/>
    <w:rsid w:val="003B7C5A"/>
    <w:rsid w:val="003C51C2"/>
    <w:rsid w:val="003E3E72"/>
    <w:rsid w:val="00432CCC"/>
    <w:rsid w:val="00452A21"/>
    <w:rsid w:val="00483E18"/>
    <w:rsid w:val="00496AB6"/>
    <w:rsid w:val="004A4C98"/>
    <w:rsid w:val="004B6480"/>
    <w:rsid w:val="004C2E0A"/>
    <w:rsid w:val="004C3B0A"/>
    <w:rsid w:val="004D6CA4"/>
    <w:rsid w:val="004E6132"/>
    <w:rsid w:val="004F2FD1"/>
    <w:rsid w:val="005133D8"/>
    <w:rsid w:val="005430C3"/>
    <w:rsid w:val="005733B2"/>
    <w:rsid w:val="005850B5"/>
    <w:rsid w:val="00587594"/>
    <w:rsid w:val="005B0CAE"/>
    <w:rsid w:val="006008F1"/>
    <w:rsid w:val="00641FA2"/>
    <w:rsid w:val="00656A8E"/>
    <w:rsid w:val="00695F82"/>
    <w:rsid w:val="006B2B32"/>
    <w:rsid w:val="006F4E3F"/>
    <w:rsid w:val="0071058A"/>
    <w:rsid w:val="0073406F"/>
    <w:rsid w:val="00741544"/>
    <w:rsid w:val="00751272"/>
    <w:rsid w:val="00795142"/>
    <w:rsid w:val="00796008"/>
    <w:rsid w:val="007A7AC7"/>
    <w:rsid w:val="008924D7"/>
    <w:rsid w:val="008C197D"/>
    <w:rsid w:val="008C37AE"/>
    <w:rsid w:val="008E61FB"/>
    <w:rsid w:val="008F191F"/>
    <w:rsid w:val="008F6D3C"/>
    <w:rsid w:val="00900D2B"/>
    <w:rsid w:val="009110E1"/>
    <w:rsid w:val="0095454F"/>
    <w:rsid w:val="009560EA"/>
    <w:rsid w:val="0095766A"/>
    <w:rsid w:val="00976FD7"/>
    <w:rsid w:val="009B726D"/>
    <w:rsid w:val="009C395B"/>
    <w:rsid w:val="009C7AA5"/>
    <w:rsid w:val="009F29DE"/>
    <w:rsid w:val="00A02BEB"/>
    <w:rsid w:val="00A2466C"/>
    <w:rsid w:val="00A37A5A"/>
    <w:rsid w:val="00A673B0"/>
    <w:rsid w:val="00A722E4"/>
    <w:rsid w:val="00A87316"/>
    <w:rsid w:val="00AE59B9"/>
    <w:rsid w:val="00AF47BC"/>
    <w:rsid w:val="00B143E6"/>
    <w:rsid w:val="00B3426A"/>
    <w:rsid w:val="00B35C19"/>
    <w:rsid w:val="00B44FA1"/>
    <w:rsid w:val="00B52689"/>
    <w:rsid w:val="00B638C6"/>
    <w:rsid w:val="00B841F6"/>
    <w:rsid w:val="00C32FFD"/>
    <w:rsid w:val="00CB6651"/>
    <w:rsid w:val="00CC1731"/>
    <w:rsid w:val="00CE1B22"/>
    <w:rsid w:val="00D00FD7"/>
    <w:rsid w:val="00D6575E"/>
    <w:rsid w:val="00DB288E"/>
    <w:rsid w:val="00DC294C"/>
    <w:rsid w:val="00E578C6"/>
    <w:rsid w:val="00EC2257"/>
    <w:rsid w:val="00F31EFF"/>
    <w:rsid w:val="00F50F90"/>
    <w:rsid w:val="00FF13DB"/>
    <w:rsid w:val="03942B7C"/>
    <w:rsid w:val="0B1E130E"/>
    <w:rsid w:val="0D074083"/>
    <w:rsid w:val="13452747"/>
    <w:rsid w:val="18382EEC"/>
    <w:rsid w:val="1B6A22BA"/>
    <w:rsid w:val="256252F3"/>
    <w:rsid w:val="2B014E13"/>
    <w:rsid w:val="2D067300"/>
    <w:rsid w:val="341B4CE8"/>
    <w:rsid w:val="509B4593"/>
    <w:rsid w:val="51552066"/>
    <w:rsid w:val="545B17F7"/>
    <w:rsid w:val="559D365B"/>
    <w:rsid w:val="56D3155B"/>
    <w:rsid w:val="56EC0630"/>
    <w:rsid w:val="56F542EA"/>
    <w:rsid w:val="589035AE"/>
    <w:rsid w:val="58AB7801"/>
    <w:rsid w:val="5D5831F6"/>
    <w:rsid w:val="5EDC4B0B"/>
    <w:rsid w:val="600F707A"/>
    <w:rsid w:val="617F18A2"/>
    <w:rsid w:val="64B829D9"/>
    <w:rsid w:val="6CFD12B6"/>
    <w:rsid w:val="6F2D3B9C"/>
    <w:rsid w:val="73D800E5"/>
    <w:rsid w:val="7D3924B1"/>
    <w:rsid w:val="7D545EA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宋体" w:cs="Times New Roman"/>
        <w:lang w:val="en-US" w:eastAsia="zh-CN" w:bidi="ar-SA"/>
      </w:rPr>
    </w:rPrDefault>
    <w:pPrDefault>
      <w:pPr/>
    </w:pPrDefault>
  </w:docDefaults>
  <w:latentStyles w:defLockedState="false" w:defUIPriority="0" w:defSemiHidden="true" w:defUnhideWhenUsed="true" w:defQFormat="false" w:count="267">
    <w:lsdException w:name="Normal" w:semiHidden="false" w:unhideWhenUsed="false" w:qFormat="true"/>
    <w:lsdException w:name="Colorful Shading Accent 2" w:uiPriority="71" w:semiHidden="false" w:unhideWhenUsed="false"/>
    <w:lsdException w:name="Medium List 1 Accent 5" w:uiPriority="65" w:semiHidden="false" w:unhideWhenUsed="false"/>
    <w:lsdException w:name="Light Grid Accent 6" w:uiPriority="62" w:semiHidden="false" w:unhideWhenUsed="false"/>
    <w:lsdException w:name="Placeholder Text" w:uiPriority="99"/>
    <w:lsdException w:name="Body Text Indent 2" w:semiHidden="false" w:unhideWhenUsed="false"/>
    <w:lsdException w:name="Medium Grid 2 Accent 2" w:uiPriority="68" w:semiHidden="false" w:unhideWhenUsed="false"/>
    <w:lsdException w:name="Light Shading Accent 3" w:uiPriority="60" w:semiHidden="false" w:unhideWhenUsed="false"/>
    <w:lsdException w:name="Medium Grid 3 Accent 6" w:uiPriority="69" w:semiHidden="false" w:unhideWhenUsed="false"/>
    <w:lsdException w:name="Colorful Grid Accent 2" w:uiPriority="73" w:semiHidden="false" w:unhideWhenUsed="false"/>
    <w:lsdException w:name="Medium Grid 1" w:uiPriority="67" w:semiHidden="false" w:unhideWhenUsed="false"/>
    <w:lsdException w:name="Medium Grid 2 Accent 5" w:uiPriority="68" w:semiHidden="false" w:unhideWhenUsed="false"/>
    <w:lsdException w:name="Light List Accent 4" w:uiPriority="61" w:semiHidden="false" w:unhideWhenUsed="false"/>
    <w:lsdException w:name="heading 3" w:qFormat="true"/>
    <w:lsdException w:name="Medium Grid 1 Accent 3" w:uiPriority="67" w:semiHidden="false" w:unhideWhenUsed="false"/>
    <w:lsdException w:name="Revision" w:uiPriority="99" w:unhideWhenUsed="false"/>
    <w:lsdException w:name="Light Grid Accent 5" w:uiPriority="62" w:semiHidden="false" w:unhideWhenUsed="false"/>
    <w:lsdException w:name="Intense Quote" w:uiPriority="99" w:semiHidden="false" w:unhideWhenUsed="false"/>
    <w:lsdException w:name="Default Paragraph Font" w:qFormat="true"/>
    <w:lsdException w:name="Outline List 2" w:uiPriority="99"/>
    <w:lsdException w:name="Light Shading" w:uiPriority="60" w:semiHidden="false" w:unhideWhenUsed="false"/>
    <w:lsdException w:name="Dark List Accent 4" w:uiPriority="70" w:semiHidden="false" w:unhideWhenUsed="false"/>
    <w:lsdException w:name="List Number 3" w:semiHidden="false" w:unhideWhenUsed="false"/>
    <w:lsdException w:name="Dark List Accent 6" w:uiPriority="70" w:semiHidden="false" w:unhideWhenUsed="false"/>
    <w:lsdException w:name="heading 8" w:qFormat="true"/>
    <w:lsdException w:name="Medium List 1 Accent 6" w:uiPriority="65" w:semiHidden="false" w:unhideWhenUsed="false"/>
    <w:lsdException w:name="Medium List 2" w:uiPriority="66" w:semiHidden="false" w:unhideWhenUsed="false"/>
    <w:lsdException w:name="heading 7" w:qFormat="true"/>
    <w:lsdException w:name="Light Shading Accent 6" w:uiPriority="60" w:semiHidden="false" w:unhideWhenUsed="false"/>
    <w:lsdException w:name="No Spacing" w:uiPriority="99"/>
    <w:lsdException w:name="Light Shading Accent 2" w:uiPriority="60" w:semiHidden="false" w:unhideWhenUsed="false"/>
    <w:lsdException w:name="Medium Shading 2 Accent 5" w:uiPriority="64" w:semiHidden="false" w:unhideWhenUsed="false"/>
    <w:lsdException w:name="Light List Accent 3" w:uiPriority="61" w:semiHidden="false" w:unhideWhenUsed="false"/>
    <w:lsdException w:name="Medium Shading 1 Accent 1" w:uiPriority="63" w:semiHidden="false" w:unhideWhenUsed="false"/>
    <w:lsdException w:name="Intense Emphasis" w:uiPriority="21" w:semiHidden="false" w:unhideWhenUsed="false" w:qFormat="true"/>
    <w:lsdException w:name="List 5" w:semiHidden="false" w:unhideWhenUsed="false"/>
    <w:lsdException w:name="Title" w:semiHidden="false" w:unhideWhenUsed="false" w:qFormat="true"/>
    <w:lsdException w:name="Colorful Grid Accent 1" w:uiPriority="73" w:semiHidden="false" w:unhideWhenUsed="false"/>
    <w:lsdException w:name="HTML Bottom of Form" w:uiPriority="99"/>
    <w:lsdException w:name="heading 5" w:qFormat="true"/>
    <w:lsdException w:name="Medium Grid 1 Accent 2" w:uiPriority="67" w:semiHidden="false" w:unhideWhenUsed="false"/>
    <w:lsdException w:name="Medium List 2 Accent 6" w:uiPriority="66" w:semiHidden="false" w:unhideWhenUsed="false"/>
    <w:lsdException w:name="Medium List 1 Accent 1" w:uiPriority="65" w:semiHidden="false" w:unhideWhenUsed="false"/>
    <w:lsdException w:name="Medium Grid 2 Accent 1" w:uiPriority="68" w:semiHidden="false" w:unhideWhenUsed="false"/>
    <w:lsdException w:name="Medium Grid 3" w:uiPriority="69" w:semiHidden="false" w:unhideWhenUsed="false"/>
    <w:lsdException w:name="Light Grid" w:uiPriority="62" w:semiHidden="false" w:unhideWhenUsed="false"/>
    <w:lsdException w:name="Block Text" w:semiHidden="false" w:unhideWhenUsed="false"/>
    <w:lsdException w:name="Medium Shading 2 Accent 4" w:uiPriority="64" w:semiHidden="false" w:unhideWhenUsed="false"/>
    <w:lsdException w:name="Outline List 3" w:uiPriority="99"/>
    <w:lsdException w:name="List Bullet 2" w:semiHidden="false" w:unhideWhenUsed="false"/>
    <w:lsdException w:name="Colorful List Accent 5" w:uiPriority="72" w:semiHidden="false" w:unhideWhenUsed="false"/>
    <w:lsdException w:name="Light Grid Accent 1" w:uiPriority="62" w:semiHidden="false" w:unhideWhenUsed="false"/>
    <w:lsdException w:name="Colorful Shading Accent 4" w:uiPriority="71" w:semiHidden="false" w:unhideWhenUsed="false"/>
    <w:lsdException w:name="Medium Grid 3 Accent 1" w:uiPriority="69" w:semiHidden="false" w:unhideWhenUsed="false"/>
    <w:lsdException w:name="Light List Accent 6" w:uiPriority="61" w:semiHidden="false" w:unhideWhenUsed="false"/>
    <w:lsdException w:name="Bibliography" w:uiPriority="37"/>
    <w:lsdException w:name="Intense Reference" w:uiPriority="32" w:semiHidden="false" w:unhideWhenUsed="false" w:qFormat="true"/>
    <w:lsdException w:name="Dark List Accent 5" w:uiPriority="70" w:semiHidden="false" w:unhideWhenUsed="false"/>
    <w:lsdException w:name="List 2" w:semiHidden="false" w:unhideWhenUsed="false"/>
    <w:lsdException w:name="Dark List Accent 1" w:uiPriority="70" w:semiHidden="false" w:unhideWhenUsed="false"/>
    <w:lsdException w:name="Colorful Grid Accent 5" w:uiPriority="73" w:semiHidden="false" w:unhideWhenUsed="false"/>
    <w:lsdException w:name="Colorful Grid" w:uiPriority="73" w:semiHidden="false" w:unhideWhenUsed="false"/>
    <w:lsdException w:name="List Paragraph" w:uiPriority="34" w:semiHidden="false" w:unhideWhenUsed="false" w:qFormat="true"/>
    <w:lsdException w:name="Medium List 2 Accent 4" w:uiPriority="66" w:semiHidden="false" w:unhideWhenUsed="false"/>
    <w:lsdException w:name="Emphasis" w:semiHidden="false" w:unhideWhenUsed="false" w:qFormat="true"/>
    <w:lsdException w:name="List Bullet 5" w:semiHidden="false" w:unhideWhenUsed="false"/>
    <w:lsdException w:name="Medium Grid 1 Accent 6" w:uiPriority="67" w:semiHidden="false" w:unhideWhenUsed="false"/>
    <w:lsdException w:name="List 4" w:semiHidden="false" w:unhideWhenUsed="false"/>
    <w:lsdException w:name="Strong" w:semiHidden="false" w:unhideWhenUsed="false" w:qFormat="true"/>
    <w:lsdException w:name="Medium List 2 Accent 2" w:uiPriority="66" w:semiHidden="false" w:unhideWhenUsed="false"/>
    <w:lsdException w:name="Medium Grid 3 Accent 4" w:uiPriority="69" w:semiHidden="false" w:unhideWhenUsed="false"/>
    <w:lsdException w:name="Medium Grid 3 Accent 5" w:uiPriority="69" w:semiHidden="false" w:unhideWhenUsed="false"/>
    <w:lsdException w:name="List 3" w:semiHidden="false" w:unhideWhenUsed="false"/>
    <w:lsdException w:name="Body Text 3" w:semiHidden="false" w:unhideWhenUsed="false"/>
    <w:lsdException w:name="heading 9" w:qFormat="true"/>
    <w:lsdException w:name="Medium Shading 1 Accent 3" w:uiPriority="63" w:semiHidden="false" w:unhideWhenUsed="false"/>
    <w:lsdException w:name="Light Shading Accent 1" w:uiPriority="60" w:semiHidden="false" w:unhideWhenUsed="false"/>
    <w:lsdException w:name="Subtle Emphasis" w:uiPriority="19" w:semiHidden="false" w:unhideWhenUsed="false" w:qFormat="true"/>
    <w:lsdException w:name="Light Shading Accent 5" w:uiPriority="60" w:semiHidden="false" w:unhideWhenUsed="false"/>
    <w:lsdException w:name="Medium Shading 2 Accent 3" w:uiPriority="64" w:semiHidden="false" w:unhideWhenUsed="false"/>
    <w:lsdException w:name="heading 4" w:qFormat="true"/>
    <w:lsdException w:name="Colorful Shading Accent 5" w:uiPriority="71" w:semiHidden="false" w:unhideWhenUsed="false"/>
    <w:lsdException w:name="Light List" w:uiPriority="61" w:semiHidden="false" w:unhideWhenUsed="false"/>
    <w:lsdException w:name="Colorful List Accent 4" w:uiPriority="72" w:semiHidden="false" w:unhideWhenUsed="false"/>
    <w:lsdException w:name="Subtle Reference" w:uiPriority="31" w:semiHidden="false" w:unhideWhenUsed="false" w:qFormat="true"/>
    <w:lsdException w:name="Medium Grid 2 Accent 3" w:uiPriority="68" w:semiHidden="false" w:unhideWhenUsed="false"/>
    <w:lsdException w:name="No List" w:uiPriority="99"/>
    <w:lsdException w:name="heading 2" w:qFormat="true"/>
    <w:lsdException w:name="Medium Grid 2 Accent 4" w:uiPriority="68" w:semiHidden="false" w:unhideWhenUsed="false"/>
    <w:lsdException w:name="List Bullet 4" w:semiHidden="false" w:unhideWhenUsed="false"/>
    <w:lsdException w:name="Light Shading Accent 4" w:uiPriority="60" w:semiHidden="false" w:unhideWhenUsed="false"/>
    <w:lsdException w:name="Medium Shading 1 Accent 6" w:uiPriority="63" w:semiHidden="false" w:unhideWhenUsed="false"/>
    <w:lsdException w:name="Colorful Grid Accent 3" w:uiPriority="73" w:semiHidden="false" w:unhideWhenUsed="false"/>
    <w:lsdException w:name="Light Grid Accent 2" w:uiPriority="62" w:semiHidden="false" w:unhideWhenUsed="false"/>
    <w:lsdException w:name="caption" w:qFormat="true"/>
    <w:lsdException w:name="Colorful Shading Accent 6" w:uiPriority="71" w:semiHidden="false" w:unhideWhenUsed="false"/>
    <w:lsdException w:name="Subtitle" w:semiHidden="false" w:unhideWhenUsed="false" w:qFormat="true"/>
    <w:lsdException w:name="HTML Top of Form" w:uiPriority="99"/>
    <w:lsdException w:name="Colorful List Accent 3" w:uiPriority="72" w:semiHidden="false" w:unhideWhenUsed="false"/>
    <w:lsdException w:name="Medium List 2 Accent 1" w:uiPriority="66" w:semiHidden="false" w:unhideWhenUsed="false"/>
    <w:lsdException w:name="heading 6" w:qFormat="true"/>
    <w:lsdException w:name="Dark List Accent 2" w:uiPriority="70" w:semiHidden="false" w:unhideWhenUsed="false"/>
    <w:lsdException w:name="Colorful List" w:uiPriority="72" w:semiHidden="false" w:unhideWhenUsed="false"/>
    <w:lsdException w:name="Medium Shading 2 Accent 6" w:uiPriority="64" w:semiHidden="false" w:unhideWhenUsed="false"/>
    <w:lsdException w:name="Medium Shading 2 Accent 1" w:uiPriority="64" w:semiHidden="false" w:unhideWhenUsed="false"/>
    <w:lsdException w:name="Medium Grid 2" w:uiPriority="68" w:semiHidden="false" w:unhideWhenUsed="false"/>
    <w:lsdException w:name="heading 1" w:semiHidden="false" w:unhideWhenUsed="false" w:qFormat="true"/>
    <w:lsdException w:name="Medium Grid 2 Accent 6" w:uiPriority="68" w:semiHidden="false" w:unhideWhenUsed="false"/>
    <w:lsdException w:name="Medium List 2 Accent 5" w:uiPriority="66" w:semiHidden="false" w:unhideWhenUsed="false"/>
    <w:lsdException w:name="Colorful Shading Accent 3" w:uiPriority="71" w:semiHidden="false" w:unhideWhenUsed="false"/>
    <w:lsdException w:name="Dark List" w:uiPriority="70" w:semiHidden="false" w:unhideWhenUsed="false"/>
    <w:lsdException w:name="Colorful List Accent 2" w:uiPriority="72" w:semiHidden="false" w:unhideWhenUsed="false"/>
    <w:lsdException w:name="Medium Shading 1 Accent 5" w:uiPriority="63" w:semiHidden="false" w:unhideWhenUsed="false"/>
    <w:lsdException w:name="Colorful Shading" w:uiPriority="71" w:semiHidden="false" w:unhideWhenUsed="false"/>
    <w:lsdException w:name="Medium List 1 Accent 3" w:uiPriority="65" w:semiHidden="false" w:unhideWhenUsed="false"/>
    <w:lsdException w:name="List" w:semiHidden="false" w:unhideWhenUsed="false"/>
    <w:lsdException w:name="Light Grid Accent 4" w:uiPriority="62" w:semiHidden="false" w:unhideWhenUsed="false"/>
    <w:lsdException w:name="Colorful Shading Accent 1" w:uiPriority="71" w:semiHidden="false" w:unhideWhenUsed="false"/>
    <w:lsdException w:name="Medium Shading 1 Accent 2" w:uiPriority="63" w:semiHidden="false" w:unhideWhenUsed="false"/>
    <w:lsdException w:name="Medium Shading 1 Accent 4" w:uiPriority="63" w:semiHidden="false" w:unhideWhenUsed="false"/>
    <w:lsdException w:name="Medium Shading 1" w:uiPriority="63" w:semiHidden="false" w:unhideWhenUsed="false"/>
    <w:lsdException w:name="List Bullet 3" w:semiHidden="false" w:unhideWhenUsed="false"/>
    <w:lsdException w:name="List Number 2" w:semiHidden="false" w:unhideWhenUsed="false"/>
    <w:lsdException w:name="Light List Accent 1" w:uiPriority="61" w:semiHidden="false" w:unhideWhenUsed="false"/>
    <w:lsdException w:name="Medium Grid 3 Accent 2" w:uiPriority="69" w:semiHidden="false" w:unhideWhenUsed="false"/>
    <w:lsdException w:name="Quote" w:uiPriority="99" w:semiHidden="false" w:unhideWhenUsed="false"/>
    <w:lsdException w:name="Colorful Grid Accent 4" w:uiPriority="73" w:semiHidden="false" w:unhideWhenUsed="false"/>
    <w:lsdException w:name="Light Grid Accent 3" w:uiPriority="62" w:semiHidden="false" w:unhideWhenUsed="false"/>
    <w:lsdException w:name="TOC Heading" w:uiPriority="39" w:qFormat="true"/>
    <w:lsdException w:name="Colorful List Accent 6" w:uiPriority="72" w:semiHidden="false" w:unhideWhenUsed="false"/>
    <w:lsdException w:name="List Number 4" w:semiHidden="false" w:unhideWhenUsed="false"/>
    <w:lsdException w:name="Medium List 1" w:uiPriority="65" w:semiHidden="false" w:unhideWhenUsed="false"/>
    <w:lsdException w:name="Medium Grid 1 Accent 1" w:uiPriority="67" w:semiHidden="false" w:unhideWhenUsed="false"/>
    <w:lsdException w:name="Body Text Indent 3" w:semiHidden="false" w:unhideWhenUsed="false"/>
    <w:lsdException w:name="Medium Shading 2" w:uiPriority="64" w:semiHidden="false" w:unhideWhenUsed="false"/>
    <w:lsdException w:name="Medium List 2 Accent 3" w:uiPriority="66" w:semiHidden="false" w:unhideWhenUsed="false"/>
    <w:lsdException w:name="Colorful List Accent 1" w:uiPriority="72" w:semiHidden="false" w:unhideWhenUsed="false"/>
    <w:lsdException w:name="Medium Grid 1 Accent 4" w:uiPriority="67" w:semiHidden="false" w:unhideWhenUsed="false"/>
    <w:lsdException w:name="Medium List 1 Accent 2" w:uiPriority="65" w:semiHidden="false" w:unhideWhenUsed="false"/>
    <w:lsdException w:name="Light List Accent 5" w:uiPriority="61" w:semiHidden="false" w:unhideWhenUsed="false"/>
    <w:lsdException w:name="Outline List 1" w:uiPriority="99"/>
    <w:lsdException w:name="Colorful Grid Accent 6" w:uiPriority="73" w:semiHidden="false" w:unhideWhenUsed="false"/>
    <w:lsdException w:name="Medium List 1 Accent 4" w:uiPriority="65" w:semiHidden="false" w:unhideWhenUsed="false"/>
    <w:lsdException w:name="Medium Shading 2 Accent 2" w:uiPriority="64" w:semiHidden="false" w:unhideWhenUsed="false"/>
    <w:lsdException w:name="Light List Accent 2" w:uiPriority="61" w:semiHidden="false" w:unhideWhenUsed="false"/>
    <w:lsdException w:name="Book Title" w:uiPriority="33" w:semiHidden="false" w:unhideWhenUsed="false" w:qFormat="true"/>
    <w:lsdException w:name="Dark List Accent 3" w:uiPriority="70" w:semiHidden="false" w:unhideWhenUsed="false"/>
    <w:lsdException w:name="Medium Grid 1 Accent 5" w:uiPriority="67" w:semiHidden="false" w:unhideWhenUsed="false"/>
    <w:lsdException w:name="Medium Grid 3 Accent 3" w:uiPriority="69" w:semiHidden="false" w:unhideWhenUsed="false"/>
  </w:latentStyles>
  <w:style w:type="character" w:styleId="000003" w:default="true">
    <w:name w:val="Default Paragraph Font"/>
    <w:uiPriority w:val="1"/>
    <w:semiHidden/>
    <w:unhideWhenUsed/>
  </w:style>
  <w:style w:type="character" w:styleId="00000a" w:customStyle="true">
    <w:name w:val="批注框文本 Char"/>
    <w:basedOn w:val="000003"/>
    <w:link w:val="000009"/>
    <w:rsid w:val="007A7AC7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000002">
    <w:name w:val="heading 1"/>
    <w:basedOn w:val="000001"/>
    <w:next w:val="000001"/>
    <w:qFormat/>
    <w:rsid w:val="00CC173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000009">
    <w:name w:val="Balloon Text"/>
    <w:basedOn w:val="000001"/>
    <w:link w:val="00000a"/>
    <w:rsid w:val="007A7AC7"/>
    <w:rPr>
      <w:sz w:val="18"/>
      <w:szCs w:val="18"/>
    </w:rPr>
  </w:style>
  <w:style w:type="table" w:styleId="000004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000001" w:default="true">
    <w:name w:val="Normal"/>
    <w:qFormat/>
    <w:rsid w:val="00CC1731"/>
    <w:pPr>
      <w:widowControl w:val="false"/>
      <w:jc w:val="both"/>
    </w:pPr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000008">
    <w:name w:val="List Paragraph"/>
    <w:basedOn w:val="000001"/>
    <w:uiPriority w:val="34"/>
    <w:qFormat/>
    <w:rsid w:val="00CC1731"/>
    <w:pPr>
      <w:ind w:firstLine="420" w:firstLineChars="200"/>
    </w:pPr>
    <w:rPr>
      <w:rFonts w:ascii="Calibri" w:hAnsi="Calibri" w:eastAsia="宋体" w:cs="Times New Roman"/>
      <w:szCs w:val="22"/>
    </w:rPr>
  </w:style>
  <w:style w:type="paragraph" w:styleId="000007">
    <w:name w:val="header"/>
    <w:basedOn w:val="000001"/>
    <w:rsid w:val="00CC1731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false"/>
    </w:pPr>
    <w:rPr>
      <w:sz w:val="18"/>
    </w:rPr>
  </w:style>
  <w:style w:type="table" w:styleId="00000b">
    <w:name w:val="Table Grid"/>
    <w:basedOn w:val="000004"/>
    <w:rsid w:val="000B2312"/>
    <w:pPr>
      <w:widowControl w:val="false"/>
      <w:jc w:val="both"/>
    </w:pPr>
    <w:rPr>
      <w:rFonts w:ascii="Calibri" w:hAnsi="Calibri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000006">
    <w:name w:val="footer"/>
    <w:basedOn w:val="000001"/>
    <w:rsid w:val="00CC1731"/>
    <w:pPr>
      <w:tabs>
        <w:tab w:val="center" w:pos="4153"/>
        <w:tab w:val="right" w:pos="8306"/>
      </w:tabs>
      <w:snapToGrid w:val="false"/>
      <w:jc w:val="left"/>
    </w:pPr>
    <w:rPr>
      <w:sz w:val="18"/>
    </w:rPr>
  </w:style>
  <w:style w:type="numbering" w:styleId="000005" w:default="true">
    <w:name w:val="No List"/>
    <w:uiPriority w:val="99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1.jpg" /><Relationship Id="rId8" Type="http://schemas.openxmlformats.org/officeDocument/2006/relationships/footer" Target="footer1.xml" /><Relationship Id="rId3" Type="http://schemas.openxmlformats.org/officeDocument/2006/relationships/endnotes" Target="endnotes.xml" /><Relationship Id="rId2" Type="http://schemas.openxmlformats.org/officeDocument/2006/relationships/footnotes" Target="footnotes.xml" /><Relationship Id="rId4" Type="http://schemas.openxmlformats.org/officeDocument/2006/relationships/fontTable" Target="fontTable.xml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13" Type="http://schemas.openxmlformats.org/officeDocument/2006/relationships/image" Target="media/image5.png" /><Relationship Id="rId7" Type="http://schemas.openxmlformats.org/officeDocument/2006/relationships/header" Target="header1.xml" /><Relationship Id="rId6" Type="http://schemas.openxmlformats.org/officeDocument/2006/relationships/numbering" Target="numbering.xml" /><Relationship Id="rId10" Type="http://schemas.openxmlformats.org/officeDocument/2006/relationships/image" Target="media/image2.jpg" /><Relationship Id="rId11" Type="http://schemas.openxmlformats.org/officeDocument/2006/relationships/image" Target="media/image3.png" /><Relationship Id="rId5" Type="http://schemas.openxmlformats.org/officeDocument/2006/relationships/theme" Target="theme/theme1.xml" /><Relationship Id="rId12" Type="http://schemas.openxmlformats.org/officeDocument/2006/relationships/image" Target="media/image4.png" /></Relationships>
</file>

<file path=word/_rels/header1.xml.rels><?xml version="1.0" encoding="UTF-8" standalone="yes"?><Relationships xmlns="http://schemas.openxmlformats.org/package/2006/relationships"><Relationship Id="rId0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2024-11-18T16:19:03Z</dcterms:created>
  <dcterms:modified xsi:type="dcterms:W3CDTF">2024-11-18T16:19:03Z</dcterms:modified>
</cp:coreProperties>
</file>