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0BC0B2">
      <w:pPr>
        <w:rPr>
          <w:color w:val="595959" w:themeColor="text1" w:themeTint="A6"/>
          <w:sz w:val="18"/>
          <w:szCs w:val="1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04A13216">
      <w:pPr>
        <w:rPr>
          <w:color w:val="595959" w:themeColor="text1" w:themeTint="A6"/>
          <w:sz w:val="18"/>
          <w:szCs w:val="1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5B324B92">
      <w:pPr>
        <w:rPr>
          <w:color w:val="595959" w:themeColor="text1" w:themeTint="A6"/>
          <w:sz w:val="18"/>
          <w:szCs w:val="1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753852ED">
      <w:pPr>
        <w:rPr>
          <w:color w:val="595959" w:themeColor="text1" w:themeTint="A6"/>
          <w:sz w:val="18"/>
          <w:szCs w:val="1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3E9E9CC4">
      <w:pPr>
        <w:rPr>
          <w:rFonts w:hint="eastAsia"/>
        </w:rPr>
      </w:pPr>
      <w:r>
        <w:rPr>
          <w:color w:val="595959" w:themeColor="text1" w:themeTint="A6"/>
          <w:sz w:val="18"/>
          <w:szCs w:val="1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inline distT="0" distB="0" distL="0" distR="0">
            <wp:extent cx="5443855" cy="1395095"/>
            <wp:effectExtent l="0" t="0" r="444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D62BD"/>
    <w:p w14:paraId="3B00A6D6">
      <w:pPr>
        <w:jc w:val="both"/>
        <w:rPr>
          <w:b/>
          <w:bCs/>
          <w:sz w:val="56"/>
          <w:szCs w:val="96"/>
        </w:rPr>
      </w:pPr>
    </w:p>
    <w:p w14:paraId="25D2888F">
      <w:pPr>
        <w:jc w:val="center"/>
        <w:rPr>
          <w:rFonts w:hint="default"/>
          <w:b/>
          <w:bCs/>
          <w:sz w:val="56"/>
          <w:szCs w:val="96"/>
          <w:lang w:val="en-US" w:eastAsia="zh-CN"/>
        </w:rPr>
      </w:pPr>
      <w:r>
        <w:rPr>
          <w:rFonts w:hint="eastAsia"/>
          <w:b/>
          <w:bCs/>
          <w:sz w:val="56"/>
          <w:szCs w:val="96"/>
          <w:lang w:val="en-US" w:eastAsia="zh-CN"/>
        </w:rPr>
        <w:t>一体化渗压计</w:t>
      </w:r>
    </w:p>
    <w:p w14:paraId="4E59C924">
      <w:pPr>
        <w:jc w:val="center"/>
        <w:rPr>
          <w:b/>
          <w:bCs/>
          <w:sz w:val="40"/>
          <w:szCs w:val="96"/>
        </w:rPr>
      </w:pPr>
      <w:r>
        <w:rPr>
          <w:rFonts w:hint="eastAsia"/>
          <w:b/>
          <w:bCs/>
          <w:sz w:val="40"/>
          <w:szCs w:val="96"/>
        </w:rPr>
        <w:t>规格书</w:t>
      </w:r>
    </w:p>
    <w:p w14:paraId="1262E015">
      <w:pPr>
        <w:jc w:val="center"/>
        <w:rPr>
          <w:b/>
          <w:bCs/>
          <w:sz w:val="56"/>
          <w:szCs w:val="96"/>
        </w:rPr>
      </w:pPr>
    </w:p>
    <w:p w14:paraId="6FC4507A">
      <w:pPr>
        <w:jc w:val="center"/>
        <w:rPr>
          <w:b/>
          <w:bCs/>
          <w:sz w:val="56"/>
          <w:szCs w:val="96"/>
        </w:rPr>
      </w:pPr>
    </w:p>
    <w:p w14:paraId="7B20CF99">
      <w:pPr>
        <w:jc w:val="center"/>
        <w:rPr>
          <w:b/>
          <w:bCs/>
          <w:sz w:val="56"/>
          <w:szCs w:val="96"/>
        </w:rPr>
      </w:pPr>
    </w:p>
    <w:p w14:paraId="0A8CED73">
      <w:pPr>
        <w:jc w:val="center"/>
        <w:rPr>
          <w:b/>
          <w:bCs/>
          <w:sz w:val="56"/>
          <w:szCs w:val="96"/>
        </w:rPr>
      </w:pPr>
    </w:p>
    <w:p w14:paraId="7CBEDEA3">
      <w:pPr>
        <w:jc w:val="center"/>
        <w:rPr>
          <w:b/>
          <w:bCs/>
          <w:sz w:val="56"/>
          <w:szCs w:val="96"/>
        </w:rPr>
      </w:pPr>
    </w:p>
    <w:p w14:paraId="6FD1B98E">
      <w:pPr>
        <w:jc w:val="center"/>
        <w:rPr>
          <w:b/>
          <w:bCs/>
          <w:sz w:val="56"/>
          <w:szCs w:val="96"/>
        </w:rPr>
      </w:pPr>
    </w:p>
    <w:p w14:paraId="3B94F184">
      <w:pPr>
        <w:jc w:val="center"/>
        <w:rPr>
          <w:b/>
          <w:sz w:val="44"/>
          <w:szCs w:val="36"/>
        </w:rPr>
      </w:pPr>
      <w:r>
        <w:rPr>
          <w:rFonts w:ascii="Arial" w:hAnsi="Arial" w:cs="Arial"/>
          <w:b/>
          <w:color w:val="656565"/>
          <w:sz w:val="32"/>
          <w:shd w:val="clear" w:color="auto" w:fill="FFFFFF"/>
        </w:rPr>
        <w:t>深圳威惠智能科技有限公司</w:t>
      </w:r>
    </w:p>
    <w:p w14:paraId="7E131BB7">
      <w:pPr>
        <w:jc w:val="center"/>
        <w:rPr>
          <w:sz w:val="28"/>
          <w:szCs w:val="36"/>
        </w:rPr>
      </w:pPr>
    </w:p>
    <w:p w14:paraId="308189F3">
      <w:pPr>
        <w:pStyle w:val="2"/>
      </w:pPr>
      <w:r>
        <w:rPr>
          <w:rFonts w:hint="eastAsia"/>
        </w:rPr>
        <w:t>一、简介</w:t>
      </w:r>
    </w:p>
    <w:p w14:paraId="4202ED79">
      <w:pPr>
        <w:pStyle w:val="10"/>
        <w:spacing w:line="360" w:lineRule="auto"/>
        <w:ind w:firstLineChars="0"/>
        <w:rPr>
          <w:rFonts w:hint="default" w:ascii="Arial" w:hAnsi="Arial" w:cs="Arial"/>
          <w:color w:val="333333"/>
          <w:sz w:val="24"/>
          <w:szCs w:val="24"/>
          <w:shd w:val="clear" w:color="auto" w:fill="FFFFFF"/>
          <w:lang w:val="en-US"/>
        </w:rPr>
      </w:pPr>
      <w:r>
        <w:rPr>
          <w:rFonts w:hint="eastAsia" w:ascii="Arial" w:hAnsi="Arial" w:cs="Arial"/>
          <w:color w:val="333333"/>
          <w:sz w:val="24"/>
          <w:szCs w:val="24"/>
          <w:shd w:val="clear" w:color="auto" w:fill="FFFFFF"/>
          <w:lang w:val="en-US" w:eastAsia="zh-CN"/>
        </w:rPr>
        <w:t>基于OpenHarmony系统深度开发的一体化渗压计产品，集传感采集、数据传输、供电管理于一体，通过微型化设计实现空间压缩，降低部署成本。鸿蒙分布式能力打通设备间协作链路——设备与平台秒级同步多维数据，支持RS485+Modbus协议直连。</w:t>
      </w:r>
    </w:p>
    <w:p w14:paraId="58179C97">
      <w:pPr>
        <w:pStyle w:val="6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360" w:lineRule="auto"/>
        <w:ind w:left="0" w:right="0" w:firstLine="480" w:firstLineChars="200"/>
        <w:textAlignment w:val="auto"/>
        <w:rPr>
          <w:rFonts w:hint="default" w:ascii="Arial" w:hAnsi="Arial" w:eastAsia="宋体" w:cs="Arial"/>
          <w:color w:val="333333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Arial" w:hAnsi="Arial" w:eastAsia="宋体" w:cs="Arial"/>
          <w:color w:val="333333"/>
          <w:kern w:val="2"/>
          <w:sz w:val="24"/>
          <w:szCs w:val="24"/>
          <w:shd w:val="clear" w:color="auto" w:fill="FFFFFF"/>
          <w:lang w:val="en-US" w:eastAsia="zh-CN" w:bidi="ar-SA"/>
        </w:rPr>
        <w:t>渗压计适用于长期埋没在水工结构物或其它结构物及土体内，测量结构物或土体内部的渗透（孔隙）水压力，置放于测压管内测量扬压力的变化量，长期监测水库、河流、湖泊等的水压。</w:t>
      </w:r>
    </w:p>
    <w:p w14:paraId="62D3E71C">
      <w:pPr>
        <w:pStyle w:val="2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现有产品</w:t>
      </w:r>
    </w:p>
    <w:p w14:paraId="631EA078">
      <w:pPr>
        <w:pStyle w:val="10"/>
        <w:spacing w:line="360" w:lineRule="auto"/>
        <w:ind w:firstLine="0" w:firstLineChars="0"/>
        <w:jc w:val="both"/>
        <w:rPr>
          <w:rFonts w:hint="default" w:ascii="宋体" w:hAnsi="宋体"/>
          <w:sz w:val="24"/>
          <w:szCs w:val="24"/>
          <w:lang w:val="en-US" w:eastAsia="zh-CN"/>
        </w:rPr>
      </w:pPr>
      <w:bookmarkStart w:id="0" w:name="_Toc496626407"/>
      <w:r>
        <w:rPr>
          <w:rFonts w:hint="eastAsia" w:ascii="宋体" w:hAnsi="宋体"/>
          <w:sz w:val="24"/>
          <w:szCs w:val="24"/>
          <w:lang w:val="en-US" w:eastAsia="zh-CN"/>
        </w:rPr>
        <w:t xml:space="preserve">      </w:t>
      </w:r>
      <w:r>
        <w:rPr>
          <w:rFonts w:hint="default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2254250" cy="1690370"/>
            <wp:effectExtent l="0" t="0" r="0" b="3810"/>
            <wp:docPr id="6" name="图片 6" descr="俯视图7（无背景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俯视图7（无背景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         </w:t>
      </w:r>
      <w:r>
        <w:rPr>
          <w:rFonts w:hint="default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1738630" cy="1303655"/>
            <wp:effectExtent l="0" t="0" r="0" b="0"/>
            <wp:docPr id="9" name="图片 9" descr="侧面图1（无背景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侧面图1（无背景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4F241">
      <w:pPr>
        <w:pStyle w:val="10"/>
        <w:spacing w:line="360" w:lineRule="auto"/>
        <w:ind w:firstLine="0" w:firstLineChars="0"/>
        <w:jc w:val="center"/>
        <w:rPr>
          <w:rFonts w:hint="eastAsia" w:ascii="宋体" w:hAnsi="宋体" w:eastAsiaTheme="minor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一体化渗压计产品图</w:t>
      </w:r>
      <w:r>
        <w:rPr>
          <w:rFonts w:hint="eastAsia" w:ascii="宋体" w:hAnsi="宋体" w:eastAsiaTheme="minorEastAsia" w:cstheme="minorBidi"/>
          <w:b/>
          <w:bCs/>
          <w:kern w:val="2"/>
          <w:sz w:val="24"/>
          <w:szCs w:val="24"/>
          <w:lang w:val="en-US" w:eastAsia="zh-CN" w:bidi="ar-SA"/>
        </w:rPr>
        <w:t xml:space="preserve">     </w:t>
      </w:r>
    </w:p>
    <w:p w14:paraId="10CCAC5C">
      <w:pPr>
        <w:pStyle w:val="10"/>
        <w:spacing w:line="360" w:lineRule="auto"/>
        <w:ind w:firstLine="0" w:firstLineChars="0"/>
        <w:jc w:val="center"/>
        <w:rPr>
          <w:rFonts w:hint="eastAsia" w:ascii="宋体" w:hAnsi="宋体" w:eastAsiaTheme="minor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6C1BD67A">
      <w:pPr>
        <w:pStyle w:val="10"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275580" cy="1939290"/>
            <wp:effectExtent l="0" t="0" r="1270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91F99">
      <w:pPr>
        <w:pStyle w:val="10"/>
        <w:spacing w:line="360" w:lineRule="auto"/>
        <w:ind w:firstLine="420" w:firstLineChars="0"/>
        <w:jc w:val="center"/>
        <w:rPr>
          <w:rFonts w:hint="eastAsia" w:ascii="宋体" w:hAnsi="宋体" w:eastAsiaTheme="minor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2"/>
          <w:sz w:val="24"/>
          <w:szCs w:val="24"/>
          <w:lang w:val="en-US" w:eastAsia="zh-CN" w:bidi="ar-SA"/>
        </w:rPr>
        <w:t xml:space="preserve">渗压计结构图   </w:t>
      </w:r>
    </w:p>
    <w:p w14:paraId="3A2E2BC0">
      <w:pPr>
        <w:pStyle w:val="10"/>
        <w:spacing w:line="360" w:lineRule="auto"/>
        <w:ind w:firstLine="420" w:firstLineChars="0"/>
        <w:jc w:val="center"/>
        <w:rPr>
          <w:rFonts w:hint="default" w:ascii="宋体" w:hAnsi="宋体" w:eastAsiaTheme="minor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2"/>
          <w:sz w:val="24"/>
          <w:szCs w:val="24"/>
          <w:lang w:val="en-US" w:eastAsia="zh-CN" w:bidi="ar-SA"/>
        </w:rPr>
        <w:t xml:space="preserve">            </w:t>
      </w:r>
    </w:p>
    <w:p w14:paraId="36B215E6">
      <w:pPr>
        <w:pStyle w:val="10"/>
        <w:numPr>
          <w:ilvl w:val="0"/>
          <w:numId w:val="2"/>
        </w:numPr>
        <w:spacing w:line="360" w:lineRule="auto"/>
        <w:ind w:firstLineChars="0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振弦频率测量，抗干扰，稳定性强。</w:t>
      </w:r>
    </w:p>
    <w:p w14:paraId="11D5DD73">
      <w:pPr>
        <w:pStyle w:val="10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宽量程，覆盖0</w:t>
      </w:r>
      <w:r>
        <w:rPr>
          <w:rFonts w:hint="eastAsia" w:ascii="Arial" w:hAnsi="Arial" w:cs="Arial"/>
          <w:color w:val="333333"/>
          <w:sz w:val="24"/>
          <w:szCs w:val="24"/>
          <w:shd w:val="clear" w:color="auto" w:fill="FFFFFF"/>
          <w:lang w:val="en-US" w:eastAsia="zh-CN"/>
        </w:rPr>
        <w:t>~4MPa（可定制）</w:t>
      </w:r>
      <w:r>
        <w:rPr>
          <w:rFonts w:hint="eastAsia" w:ascii="宋体" w:hAnsi="宋体"/>
          <w:sz w:val="24"/>
          <w:szCs w:val="24"/>
          <w:lang w:val="en-US" w:eastAsia="zh-CN"/>
        </w:rPr>
        <w:t>。</w:t>
      </w:r>
    </w:p>
    <w:p w14:paraId="4CE70D0D">
      <w:pPr>
        <w:pStyle w:val="10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IP67防护，全不锈钢壳体，耐腐蚀。</w:t>
      </w:r>
    </w:p>
    <w:p w14:paraId="59BCF08F">
      <w:pPr>
        <w:pStyle w:val="10"/>
        <w:numPr>
          <w:ilvl w:val="0"/>
          <w:numId w:val="2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温度自动补偿，实时修正数据影响。</w:t>
      </w:r>
    </w:p>
    <w:p w14:paraId="18FDD63F">
      <w:pPr>
        <w:pStyle w:val="10"/>
        <w:numPr>
          <w:ilvl w:val="0"/>
          <w:numId w:val="2"/>
        </w:numPr>
        <w:spacing w:line="360" w:lineRule="auto"/>
        <w:ind w:firstLineChars="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支持RS485通讯，可无缝接入平台。</w:t>
      </w:r>
    </w:p>
    <w:bookmarkEnd w:id="0"/>
    <w:p w14:paraId="325BF073">
      <w:pPr>
        <w:pStyle w:val="2"/>
        <w:numPr>
          <w:ilvl w:val="0"/>
          <w:numId w:val="1"/>
        </w:numPr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产品优势</w:t>
      </w:r>
    </w:p>
    <w:p w14:paraId="11E7FEF3">
      <w:pPr>
        <w:pStyle w:val="10"/>
        <w:numPr>
          <w:ilvl w:val="0"/>
          <w:numId w:val="3"/>
        </w:numPr>
        <w:spacing w:line="360" w:lineRule="auto"/>
        <w:ind w:firstLineChars="0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一体化设计：集数据采集、数据存储、数据传输、电池于一体，无需额外安装网关，也无需额外接电，方便快捷。</w:t>
      </w:r>
    </w:p>
    <w:p w14:paraId="40308CB1">
      <w:pPr>
        <w:pStyle w:val="10"/>
        <w:numPr>
          <w:ilvl w:val="0"/>
          <w:numId w:val="3"/>
        </w:numPr>
        <w:spacing w:line="360" w:lineRule="auto"/>
        <w:ind w:firstLineChars="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数字化传输：直接转化未数字量方便远程采集和传输。</w:t>
      </w:r>
    </w:p>
    <w:p w14:paraId="059CFA27">
      <w:pPr>
        <w:pStyle w:val="10"/>
        <w:numPr>
          <w:ilvl w:val="0"/>
          <w:numId w:val="3"/>
        </w:numPr>
        <w:spacing w:line="360" w:lineRule="auto"/>
        <w:ind w:firstLineChars="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稳定性强：采用高性能传感器，数据稳定。</w:t>
      </w:r>
    </w:p>
    <w:p w14:paraId="258D21A9">
      <w:pPr>
        <w:pStyle w:val="10"/>
        <w:numPr>
          <w:ilvl w:val="0"/>
          <w:numId w:val="3"/>
        </w:numPr>
        <w:spacing w:line="360" w:lineRule="auto"/>
        <w:ind w:firstLineChars="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结构小巧：小巧美观，可在多种结构下安装。</w:t>
      </w:r>
    </w:p>
    <w:p w14:paraId="0EA76DA4">
      <w:pPr>
        <w:pStyle w:val="10"/>
        <w:numPr>
          <w:ilvl w:val="0"/>
          <w:numId w:val="3"/>
        </w:numPr>
        <w:spacing w:line="360" w:lineRule="auto"/>
        <w:ind w:firstLineChars="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环境适应性强：极端环境下也可以工作。</w:t>
      </w:r>
    </w:p>
    <w:p w14:paraId="4A188506">
      <w:pPr>
        <w:pStyle w:val="10"/>
        <w:numPr>
          <w:ilvl w:val="0"/>
          <w:numId w:val="3"/>
        </w:numPr>
        <w:spacing w:line="360" w:lineRule="auto"/>
        <w:ind w:firstLineChars="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远程配置：可通过平台远程下发所需参数设置，如加快采集频率，满足工程需求。</w:t>
      </w:r>
    </w:p>
    <w:p w14:paraId="05D03CF6">
      <w:pPr>
        <w:pStyle w:val="10"/>
        <w:numPr>
          <w:ilvl w:val="0"/>
          <w:numId w:val="3"/>
        </w:numPr>
        <w:spacing w:line="360" w:lineRule="auto"/>
        <w:ind w:firstLineChars="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低功耗：休眠状态下电流低至10uA，减少电量的损耗</w:t>
      </w:r>
    </w:p>
    <w:p w14:paraId="651769F8">
      <w:pPr>
        <w:pStyle w:val="10"/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0" distR="0">
            <wp:extent cx="3178810" cy="2229485"/>
            <wp:effectExtent l="0" t="0" r="254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0A014">
      <w:pPr>
        <w:pStyle w:val="10"/>
        <w:numPr>
          <w:ilvl w:val="0"/>
          <w:numId w:val="0"/>
        </w:numPr>
        <w:spacing w:line="360" w:lineRule="auto"/>
        <w:ind w:leftChars="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采集端外观图</w:t>
      </w:r>
    </w:p>
    <w:p w14:paraId="64FB0745">
      <w:pPr>
        <w:pStyle w:val="2"/>
        <w:numPr>
          <w:ilvl w:val="0"/>
          <w:numId w:val="1"/>
        </w:numPr>
        <w:ind w:left="0" w:leftChars="0" w:firstLine="0" w:firstLineChars="0"/>
        <w:rPr>
          <w:rFonts w:hint="eastAsia"/>
        </w:rPr>
      </w:pPr>
      <w:r>
        <w:rPr>
          <w:rFonts w:hint="eastAsia"/>
        </w:rPr>
        <w:t>技术参数及指标</w:t>
      </w:r>
    </w:p>
    <w:p w14:paraId="6FBFB7F2">
      <w:pPr>
        <w:rPr>
          <w:rFonts w:hint="eastAsia" w:eastAsiaTheme="minorEastAsia"/>
          <w:lang w:val="en-US" w:eastAsia="zh-CN"/>
        </w:rPr>
      </w:pPr>
      <w:bookmarkStart w:id="1" w:name="_GoBack"/>
      <w:bookmarkEnd w:id="1"/>
    </w:p>
    <w:p w14:paraId="0CF8B30D">
      <w:pPr>
        <w:jc w:val="center"/>
      </w:pPr>
      <w:r>
        <w:rPr>
          <w:rFonts w:hint="eastAsia"/>
          <w:b/>
          <w:bCs/>
          <w:lang w:val="en-US" w:eastAsia="zh-CN"/>
        </w:rPr>
        <w:t>表一渗压计规格表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2"/>
        <w:gridCol w:w="2843"/>
        <w:gridCol w:w="2843"/>
      </w:tblGrid>
      <w:tr w14:paraId="49CAC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  <w:vMerge w:val="restart"/>
          </w:tcPr>
          <w:p w14:paraId="3CE29D90">
            <w:pPr>
              <w:spacing w:line="480" w:lineRule="auto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尺寸参数</w:t>
            </w:r>
          </w:p>
        </w:tc>
        <w:tc>
          <w:tcPr>
            <w:tcW w:w="2843" w:type="dxa"/>
          </w:tcPr>
          <w:p w14:paraId="5F29357C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外径D</w:t>
            </w:r>
          </w:p>
        </w:tc>
        <w:tc>
          <w:tcPr>
            <w:tcW w:w="2843" w:type="dxa"/>
          </w:tcPr>
          <w:p w14:paraId="76FA3CB8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20、24mm</w:t>
            </w:r>
          </w:p>
        </w:tc>
      </w:tr>
      <w:tr w14:paraId="1BF55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  <w:vMerge w:val="continue"/>
          </w:tcPr>
          <w:p w14:paraId="40BB4CE6">
            <w:pPr>
              <w:jc w:val="center"/>
              <w:rPr>
                <w:vertAlign w:val="baseline"/>
              </w:rPr>
            </w:pPr>
          </w:p>
        </w:tc>
        <w:tc>
          <w:tcPr>
            <w:tcW w:w="2843" w:type="dxa"/>
          </w:tcPr>
          <w:p w14:paraId="41BEE54D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长度L</w:t>
            </w:r>
          </w:p>
        </w:tc>
        <w:tc>
          <w:tcPr>
            <w:tcW w:w="2843" w:type="dxa"/>
          </w:tcPr>
          <w:p w14:paraId="645DE902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113、126mm</w:t>
            </w:r>
          </w:p>
        </w:tc>
      </w:tr>
      <w:tr w14:paraId="01780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  <w:vMerge w:val="restart"/>
            <w:vAlign w:val="center"/>
          </w:tcPr>
          <w:p w14:paraId="5DB8D5C5">
            <w:pPr>
              <w:bidi w:val="0"/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性能参数</w:t>
            </w:r>
          </w:p>
        </w:tc>
        <w:tc>
          <w:tcPr>
            <w:tcW w:w="2843" w:type="dxa"/>
          </w:tcPr>
          <w:p w14:paraId="186D4F41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分辨率</w:t>
            </w:r>
          </w:p>
        </w:tc>
        <w:tc>
          <w:tcPr>
            <w:tcW w:w="2843" w:type="dxa"/>
          </w:tcPr>
          <w:p w14:paraId="5F928879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0.025%F.S</w:t>
            </w:r>
          </w:p>
        </w:tc>
      </w:tr>
      <w:tr w14:paraId="11E62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  <w:vMerge w:val="continue"/>
          </w:tcPr>
          <w:p w14:paraId="60A6F46F">
            <w:pPr>
              <w:jc w:val="center"/>
              <w:rPr>
                <w:vertAlign w:val="baseline"/>
              </w:rPr>
            </w:pPr>
          </w:p>
        </w:tc>
        <w:tc>
          <w:tcPr>
            <w:tcW w:w="2843" w:type="dxa"/>
          </w:tcPr>
          <w:p w14:paraId="4DC7EBAC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拟合/端基精度</w:t>
            </w:r>
          </w:p>
        </w:tc>
        <w:tc>
          <w:tcPr>
            <w:tcW w:w="2843" w:type="dxa"/>
          </w:tcPr>
          <w:p w14:paraId="5A531A65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0.1%F.S/0.5%F.S</w:t>
            </w:r>
          </w:p>
        </w:tc>
      </w:tr>
      <w:tr w14:paraId="4CE33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  <w:vMerge w:val="continue"/>
          </w:tcPr>
          <w:p w14:paraId="6A9C94E1">
            <w:pPr>
              <w:jc w:val="center"/>
              <w:rPr>
                <w:vertAlign w:val="baseline"/>
              </w:rPr>
            </w:pPr>
          </w:p>
        </w:tc>
        <w:tc>
          <w:tcPr>
            <w:tcW w:w="2843" w:type="dxa"/>
          </w:tcPr>
          <w:p w14:paraId="59CCB02C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测温范围</w:t>
            </w:r>
          </w:p>
        </w:tc>
        <w:tc>
          <w:tcPr>
            <w:tcW w:w="2843" w:type="dxa"/>
          </w:tcPr>
          <w:p w14:paraId="6344F723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-40~+80℃</w:t>
            </w:r>
          </w:p>
        </w:tc>
      </w:tr>
      <w:tr w14:paraId="0DE04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  <w:vMerge w:val="continue"/>
          </w:tcPr>
          <w:p w14:paraId="2CA8398A">
            <w:pPr>
              <w:jc w:val="center"/>
              <w:rPr>
                <w:vertAlign w:val="baseline"/>
              </w:rPr>
            </w:pPr>
          </w:p>
        </w:tc>
        <w:tc>
          <w:tcPr>
            <w:tcW w:w="2843" w:type="dxa"/>
          </w:tcPr>
          <w:p w14:paraId="1B02CD7A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灵敏度</w:t>
            </w:r>
          </w:p>
        </w:tc>
        <w:tc>
          <w:tcPr>
            <w:tcW w:w="2843" w:type="dxa"/>
          </w:tcPr>
          <w:p w14:paraId="6F12DFE7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±0.1℃</w:t>
            </w:r>
          </w:p>
        </w:tc>
      </w:tr>
      <w:tr w14:paraId="52133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  <w:vMerge w:val="continue"/>
          </w:tcPr>
          <w:p w14:paraId="636F251A">
            <w:pPr>
              <w:jc w:val="center"/>
              <w:rPr>
                <w:vertAlign w:val="baseline"/>
              </w:rPr>
            </w:pPr>
          </w:p>
        </w:tc>
        <w:tc>
          <w:tcPr>
            <w:tcW w:w="2843" w:type="dxa"/>
          </w:tcPr>
          <w:p w14:paraId="0E3FD3CE"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测温精度</w:t>
            </w:r>
          </w:p>
        </w:tc>
        <w:tc>
          <w:tcPr>
            <w:tcW w:w="2843" w:type="dxa"/>
          </w:tcPr>
          <w:p w14:paraId="0F8F93B1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±0.5℃</w:t>
            </w:r>
          </w:p>
        </w:tc>
      </w:tr>
      <w:tr w14:paraId="00CCD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  <w:vMerge w:val="continue"/>
          </w:tcPr>
          <w:p w14:paraId="30758291">
            <w:pPr>
              <w:jc w:val="center"/>
              <w:rPr>
                <w:vertAlign w:val="baseline"/>
              </w:rPr>
            </w:pPr>
          </w:p>
        </w:tc>
        <w:tc>
          <w:tcPr>
            <w:tcW w:w="2843" w:type="dxa"/>
          </w:tcPr>
          <w:p w14:paraId="201AE34E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过范围限</w:t>
            </w:r>
          </w:p>
        </w:tc>
        <w:tc>
          <w:tcPr>
            <w:tcW w:w="2843" w:type="dxa"/>
          </w:tcPr>
          <w:p w14:paraId="49C3EBA4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测量上限1.5倍</w:t>
            </w:r>
          </w:p>
        </w:tc>
      </w:tr>
      <w:tr w14:paraId="09A9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  <w:vMerge w:val="continue"/>
          </w:tcPr>
          <w:p w14:paraId="0194D500">
            <w:pPr>
              <w:jc w:val="center"/>
              <w:rPr>
                <w:vertAlign w:val="baseline"/>
              </w:rPr>
            </w:pPr>
          </w:p>
        </w:tc>
        <w:tc>
          <w:tcPr>
            <w:tcW w:w="2843" w:type="dxa"/>
          </w:tcPr>
          <w:p w14:paraId="53BF253C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仪器材料</w:t>
            </w:r>
          </w:p>
        </w:tc>
        <w:tc>
          <w:tcPr>
            <w:tcW w:w="2843" w:type="dxa"/>
          </w:tcPr>
          <w:p w14:paraId="6DA0ECC1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316L不锈钢</w:t>
            </w:r>
          </w:p>
        </w:tc>
      </w:tr>
      <w:tr w14:paraId="1E42A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  <w:vMerge w:val="continue"/>
          </w:tcPr>
          <w:p w14:paraId="014C53C8">
            <w:pPr>
              <w:jc w:val="center"/>
              <w:rPr>
                <w:vertAlign w:val="baseline"/>
              </w:rPr>
            </w:pPr>
          </w:p>
        </w:tc>
        <w:tc>
          <w:tcPr>
            <w:tcW w:w="2843" w:type="dxa"/>
          </w:tcPr>
          <w:p w14:paraId="7EEEF50E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绝缘电阻</w:t>
            </w:r>
          </w:p>
        </w:tc>
        <w:tc>
          <w:tcPr>
            <w:tcW w:w="2843" w:type="dxa"/>
          </w:tcPr>
          <w:p w14:paraId="74DC7652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≥50 MΩ</w:t>
            </w:r>
          </w:p>
        </w:tc>
      </w:tr>
    </w:tbl>
    <w:p w14:paraId="0E776A30">
      <w:pPr>
        <w:jc w:val="center"/>
      </w:pPr>
    </w:p>
    <w:p w14:paraId="352171D6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表二规格参数表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4"/>
        <w:gridCol w:w="2212"/>
        <w:gridCol w:w="4812"/>
      </w:tblGrid>
      <w:tr w14:paraId="65A91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4" w:type="dxa"/>
            <w:vMerge w:val="restart"/>
            <w:vAlign w:val="center"/>
          </w:tcPr>
          <w:p w14:paraId="3DAC92C5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  <w:p w14:paraId="33124E1F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规格参数</w:t>
            </w:r>
          </w:p>
        </w:tc>
        <w:tc>
          <w:tcPr>
            <w:tcW w:w="2212" w:type="dxa"/>
          </w:tcPr>
          <w:p w14:paraId="309B8000">
            <w:pPr>
              <w:bidi w:val="0"/>
              <w:spacing w:line="480" w:lineRule="auto"/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传感器</w:t>
            </w:r>
          </w:p>
        </w:tc>
        <w:tc>
          <w:tcPr>
            <w:tcW w:w="4812" w:type="dxa"/>
          </w:tcPr>
          <w:p w14:paraId="644865AF">
            <w:pPr>
              <w:bidi w:val="0"/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振弦式孔隙水压力传感器，量程：0~4MPa（可定制），精度：≤0.1%F.S</w:t>
            </w:r>
          </w:p>
        </w:tc>
      </w:tr>
      <w:tr w14:paraId="336140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4" w:type="dxa"/>
            <w:vMerge w:val="continue"/>
          </w:tcPr>
          <w:p w14:paraId="633C9AFA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2212" w:type="dxa"/>
          </w:tcPr>
          <w:p w14:paraId="44FC2F0F">
            <w:pPr>
              <w:bidi w:val="0"/>
              <w:spacing w:line="48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供电方式</w:t>
            </w:r>
          </w:p>
        </w:tc>
        <w:tc>
          <w:tcPr>
            <w:tcW w:w="4812" w:type="dxa"/>
          </w:tcPr>
          <w:p w14:paraId="6E728B3C">
            <w:pPr>
              <w:bidi w:val="0"/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内置锂亚电池，可更换，不低于19000mAH 标称电压3.6V DC</w:t>
            </w:r>
          </w:p>
        </w:tc>
      </w:tr>
      <w:tr w14:paraId="5DFCB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4" w:type="dxa"/>
            <w:vMerge w:val="continue"/>
          </w:tcPr>
          <w:p w14:paraId="22B22439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2212" w:type="dxa"/>
          </w:tcPr>
          <w:p w14:paraId="5BF3821E">
            <w:pPr>
              <w:bidi w:val="0"/>
              <w:spacing w:line="48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防护性能</w:t>
            </w:r>
          </w:p>
        </w:tc>
        <w:tc>
          <w:tcPr>
            <w:tcW w:w="4812" w:type="dxa"/>
            <w:vAlign w:val="center"/>
          </w:tcPr>
          <w:p w14:paraId="34105FDF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传感器316L不锈钢壳体，IP68防护等级</w:t>
            </w:r>
          </w:p>
        </w:tc>
      </w:tr>
      <w:tr w14:paraId="7C781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4" w:type="dxa"/>
            <w:vMerge w:val="continue"/>
          </w:tcPr>
          <w:p w14:paraId="06ABE98F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2212" w:type="dxa"/>
          </w:tcPr>
          <w:p w14:paraId="11519A85">
            <w:pPr>
              <w:bidi w:val="0"/>
              <w:spacing w:line="48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温度补偿</w:t>
            </w:r>
          </w:p>
        </w:tc>
        <w:tc>
          <w:tcPr>
            <w:tcW w:w="4812" w:type="dxa"/>
          </w:tcPr>
          <w:p w14:paraId="79D2678D"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内置高精度温度传感器，补偿范围：-20℃~+80℃，精度：±0.5℃</w:t>
            </w:r>
          </w:p>
        </w:tc>
      </w:tr>
      <w:tr w14:paraId="6AA14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4" w:type="dxa"/>
            <w:vMerge w:val="continue"/>
          </w:tcPr>
          <w:p w14:paraId="08A9A372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2212" w:type="dxa"/>
          </w:tcPr>
          <w:p w14:paraId="19ACF466">
            <w:pPr>
              <w:bidi w:val="0"/>
              <w:spacing w:line="48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通讯接口</w:t>
            </w:r>
          </w:p>
        </w:tc>
        <w:tc>
          <w:tcPr>
            <w:tcW w:w="4812" w:type="dxa"/>
          </w:tcPr>
          <w:p w14:paraId="5C7EAEC9"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NB-IOT(B3/B5/B8全网通）</w:t>
            </w:r>
          </w:p>
          <w:p w14:paraId="65F66762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4G Cat1（B1/B3/B5/B8)</w:t>
            </w:r>
          </w:p>
        </w:tc>
      </w:tr>
      <w:tr w14:paraId="03EB0B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4" w:type="dxa"/>
            <w:vMerge w:val="continue"/>
          </w:tcPr>
          <w:p w14:paraId="62E4922D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2212" w:type="dxa"/>
          </w:tcPr>
          <w:p w14:paraId="54431D4C">
            <w:pPr>
              <w:bidi w:val="0"/>
              <w:spacing w:line="48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功能设置</w:t>
            </w:r>
          </w:p>
        </w:tc>
        <w:tc>
          <w:tcPr>
            <w:tcW w:w="4812" w:type="dxa"/>
            <w:vAlign w:val="center"/>
          </w:tcPr>
          <w:p w14:paraId="387702EE">
            <w:pPr>
              <w:jc w:val="center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超压报警阈值可设置，报警响应时间≤15秒</w:t>
            </w:r>
          </w:p>
        </w:tc>
      </w:tr>
    </w:tbl>
    <w:p w14:paraId="705F0EDA">
      <w:pPr>
        <w:jc w:val="center"/>
        <w:rPr>
          <w:rFonts w:hint="default"/>
          <w:b/>
          <w:bCs/>
          <w:lang w:val="en-US" w:eastAsia="zh-CN"/>
        </w:rPr>
      </w:pPr>
    </w:p>
    <w:p w14:paraId="32EA8044">
      <w:pPr>
        <w:jc w:val="center"/>
        <w:rPr>
          <w:rFonts w:hint="default"/>
          <w:b/>
          <w:bCs/>
          <w:lang w:val="en-US" w:eastAsia="zh-CN"/>
        </w:rPr>
      </w:pPr>
    </w:p>
    <w:p w14:paraId="392CDA74">
      <w:pPr>
        <w:widowControl w:val="0"/>
        <w:numPr>
          <w:ilvl w:val="0"/>
          <w:numId w:val="0"/>
        </w:numPr>
        <w:jc w:val="both"/>
      </w:pPr>
    </w:p>
    <w:p w14:paraId="0FBC4399">
      <w:pPr>
        <w:pStyle w:val="2"/>
        <w:rPr>
          <w:rFonts w:hint="eastAsia"/>
        </w:rPr>
      </w:pPr>
      <w:r>
        <w:rPr>
          <w:rFonts w:hint="eastAsia"/>
          <w:lang w:val="en-US" w:eastAsia="zh-CN"/>
        </w:rPr>
        <w:t>四</w:t>
      </w:r>
      <w:r>
        <w:rPr>
          <w:rFonts w:hint="eastAsia"/>
        </w:rPr>
        <w:t>、安装说明</w:t>
      </w:r>
    </w:p>
    <w:p w14:paraId="301EB5C3">
      <w:pPr>
        <w:keepNext w:val="0"/>
        <w:keepLines w:val="0"/>
        <w:widowControl/>
        <w:suppressLineNumbers w:val="0"/>
        <w:jc w:val="left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ascii="宋体" w:hAnsi="宋体"/>
          <w:sz w:val="24"/>
          <w:szCs w:val="24"/>
        </w:rPr>
        <w:t>安装</w:t>
      </w:r>
      <w:r>
        <w:rPr>
          <w:rFonts w:hint="eastAsia" w:ascii="宋体" w:hAnsi="宋体"/>
          <w:sz w:val="24"/>
          <w:szCs w:val="24"/>
          <w:lang w:val="en-US" w:eastAsia="zh-CN"/>
        </w:rPr>
        <w:t>传感器前的准备工作</w:t>
      </w:r>
    </w:p>
    <w:p w14:paraId="4835D5BB">
      <w:pPr>
        <w:pStyle w:val="10"/>
        <w:numPr>
          <w:ilvl w:val="0"/>
          <w:numId w:val="0"/>
        </w:numPr>
        <w:spacing w:line="360" w:lineRule="auto"/>
        <w:ind w:firstLine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1）渗压计在安装前，应先进行检测，合格后方可安装</w:t>
      </w:r>
    </w:p>
    <w:p w14:paraId="00EBA282">
      <w:pPr>
        <w:pStyle w:val="10"/>
        <w:numPr>
          <w:ilvl w:val="0"/>
          <w:numId w:val="0"/>
        </w:numPr>
        <w:spacing w:line="360" w:lineRule="auto"/>
        <w:ind w:firstLine="420"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2）渗压计透水板的浸饱和：渗压计的透水板有一定的密度，压力水要透过透水板作用在感应膜上，如果透水板与感应膜之间的储水腔没有充满水（含有气泡），将会造成渗压计测值的严重滞后</w:t>
      </w:r>
    </w:p>
    <w:p w14:paraId="31893A88">
      <w:pPr>
        <w:pStyle w:val="10"/>
        <w:numPr>
          <w:ilvl w:val="0"/>
          <w:numId w:val="0"/>
        </w:numPr>
        <w:spacing w:line="360" w:lineRule="auto"/>
        <w:ind w:firstLine="420"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3）在埋没前渗压计的透水板与储水腔必须驱除空气，具体操作方法：先将透水板部件从渗压计本体上拔下，然后将透水板部件放入水中浸泡2小时以上，排除透水石中的气泡，使其充分饱和，然后将渗压计与透水板部件浸没在水中重新装配起来。</w:t>
      </w:r>
    </w:p>
    <w:p w14:paraId="5CA50552"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五</w:t>
      </w:r>
      <w:r>
        <w:rPr>
          <w:rFonts w:hint="eastAsia"/>
        </w:rPr>
        <w:t>、安装</w:t>
      </w:r>
      <w:r>
        <w:rPr>
          <w:rFonts w:hint="eastAsia"/>
          <w:lang w:val="en-US" w:eastAsia="zh-CN"/>
        </w:rPr>
        <w:t>示意图</w:t>
      </w:r>
    </w:p>
    <w:p w14:paraId="79A3E7EE">
      <w:pPr>
        <w:pStyle w:val="10"/>
        <w:numPr>
          <w:ilvl w:val="0"/>
          <w:numId w:val="0"/>
        </w:numPr>
        <w:spacing w:line="360" w:lineRule="auto"/>
        <w:ind w:leftChars="0"/>
        <w:jc w:val="center"/>
      </w:pPr>
    </w:p>
    <w:p w14:paraId="6B4098D8">
      <w:pPr>
        <w:pStyle w:val="10"/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3895725" cy="2933700"/>
            <wp:effectExtent l="0" t="0" r="952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F20D9">
      <w:pPr>
        <w:pStyle w:val="10"/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图一混凝土结构体埋没图</w:t>
      </w:r>
    </w:p>
    <w:p w14:paraId="2ED02BFF">
      <w:pPr>
        <w:pStyle w:val="10"/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4371975" cy="3324225"/>
            <wp:effectExtent l="0" t="0" r="9525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D5CC5">
      <w:pPr>
        <w:pStyle w:val="10"/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图二土石结构体埋没图</w:t>
      </w:r>
    </w:p>
    <w:p w14:paraId="75EF75CA">
      <w:pPr>
        <w:pStyle w:val="10"/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4686300" cy="3648075"/>
            <wp:effectExtent l="0" t="0" r="0" b="952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7FF40">
      <w:pPr>
        <w:pStyle w:val="10"/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图三基岩中埋没图</w:t>
      </w:r>
    </w:p>
    <w:p w14:paraId="48EC6DC7">
      <w:pPr>
        <w:pStyle w:val="10"/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5278120" cy="2950845"/>
            <wp:effectExtent l="0" t="0" r="17780" b="190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263BA">
      <w:pPr>
        <w:pStyle w:val="10"/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图四隧道边坡埋设图</w:t>
      </w:r>
    </w:p>
    <w:p w14:paraId="62CE5C0C">
      <w:pPr>
        <w:pStyle w:val="10"/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4867275" cy="3619500"/>
            <wp:effectExtent l="0" t="0" r="9525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E3DF">
      <w:pPr>
        <w:pStyle w:val="10"/>
        <w:numPr>
          <w:ilvl w:val="0"/>
          <w:numId w:val="0"/>
        </w:numPr>
        <w:spacing w:line="360" w:lineRule="auto"/>
        <w:ind w:leftChars="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图五混凝土坝基埋没图</w:t>
      </w:r>
    </w:p>
    <w:p w14:paraId="3C6EC3F4">
      <w:pPr>
        <w:pStyle w:val="10"/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lang w:val="en-US" w:eastAsia="zh-CN"/>
        </w:rPr>
      </w:pPr>
    </w:p>
    <w:p w14:paraId="62754A42">
      <w:pPr>
        <w:pStyle w:val="10"/>
        <w:numPr>
          <w:ilvl w:val="0"/>
          <w:numId w:val="0"/>
        </w:numPr>
        <w:spacing w:line="360" w:lineRule="auto"/>
        <w:ind w:leftChars="0"/>
        <w:jc w:val="center"/>
        <w:rPr>
          <w:rFonts w:hint="default"/>
          <w:lang w:val="en-US" w:eastAsia="zh-CN"/>
        </w:rPr>
      </w:pPr>
    </w:p>
    <w:p w14:paraId="34D882D6">
      <w:pPr>
        <w:spacing w:line="360" w:lineRule="auto"/>
        <w:rPr>
          <w:rFonts w:hint="default" w:ascii="宋体" w:hAnsi="宋体"/>
          <w:sz w:val="24"/>
          <w:lang w:val="en-US"/>
        </w:rPr>
      </w:pPr>
    </w:p>
    <w:sectPr>
      <w:headerReference r:id="rId3" w:type="default"/>
      <w:footerReference r:id="rId4" w:type="default"/>
      <w:pgSz w:w="11906" w:h="16838"/>
      <w:pgMar w:top="1474" w:right="1797" w:bottom="1440" w:left="1797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D3185F">
    <w:pPr>
      <w:pStyle w:val="4"/>
      <w:jc w:val="center"/>
    </w:pP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NUMPAGES   \* MERGEFORMAT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FBC4CB">
    <w:pPr>
      <w:pStyle w:val="5"/>
      <w:pBdr>
        <w:bottom w:val="dotted" w:color="auto" w:sz="4" w:space="1"/>
      </w:pBdr>
      <w:tabs>
        <w:tab w:val="left" w:pos="6015"/>
        <w:tab w:val="clear" w:pos="4153"/>
        <w:tab w:val="clear" w:pos="8306"/>
      </w:tabs>
      <w:rPr>
        <w:rFonts w:ascii="Arial Black" w:hAnsi="Arial Black"/>
        <w:sz w:val="24"/>
      </w:rPr>
    </w:pPr>
    <w:r>
      <w:drawing>
        <wp:inline distT="0" distB="0" distL="0" distR="0">
          <wp:extent cx="1382395" cy="361950"/>
          <wp:effectExtent l="19050" t="0" r="7677" b="0"/>
          <wp:docPr id="7" name="图片 1" descr="http://www.wiihey.com/zh-CN/img/logo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1" descr="http://www.wiihey.com/zh-CN/img/logo9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2973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rPr>
        <w:rFonts w:hint="eastAsia" w:ascii="Arial Black" w:hAnsi="Arial Black"/>
        <w:color w:val="297FD5" w:themeColor="accent3"/>
        <w:sz w:val="24"/>
        <w14:textFill>
          <w14:solidFill>
            <w14:schemeClr w14:val="accent3"/>
          </w14:solidFill>
        </w14:textFill>
      </w:rPr>
      <w:t>www.wiihey.com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174A1D"/>
    <w:multiLevelType w:val="multilevel"/>
    <w:tmpl w:val="F5174A1D"/>
    <w:lvl w:ilvl="0" w:tentative="0">
      <w:start w:val="1"/>
      <w:numFmt w:val="decimal"/>
      <w:lvlText w:val="%1)"/>
      <w:lvlJc w:val="left"/>
      <w:pPr>
        <w:ind w:left="480" w:hanging="480"/>
      </w:p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2AFE83"/>
    <w:multiLevelType w:val="multilevel"/>
    <w:tmpl w:val="082AFE8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2">
    <w:nsid w:val="2CFB672B"/>
    <w:multiLevelType w:val="multilevel"/>
    <w:tmpl w:val="2CFB672B"/>
    <w:lvl w:ilvl="0" w:tentative="0">
      <w:start w:val="1"/>
      <w:numFmt w:val="decimal"/>
      <w:lvlText w:val="%1)"/>
      <w:lvlJc w:val="left"/>
      <w:pPr>
        <w:ind w:left="480" w:hanging="480"/>
      </w:p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lYmE5NTc5MTI4MTZlNDNjN2YxMTE4YTQwZGZjZjMifQ=="/>
  </w:docVars>
  <w:rsids>
    <w:rsidRoot w:val="00CC1731"/>
    <w:rsid w:val="00001508"/>
    <w:rsid w:val="00007147"/>
    <w:rsid w:val="000322E7"/>
    <w:rsid w:val="00034010"/>
    <w:rsid w:val="00055BCD"/>
    <w:rsid w:val="00060832"/>
    <w:rsid w:val="000611DA"/>
    <w:rsid w:val="00090D11"/>
    <w:rsid w:val="000A4540"/>
    <w:rsid w:val="000B2312"/>
    <w:rsid w:val="000C0F15"/>
    <w:rsid w:val="0010064F"/>
    <w:rsid w:val="00133078"/>
    <w:rsid w:val="001341FA"/>
    <w:rsid w:val="00163A54"/>
    <w:rsid w:val="00192461"/>
    <w:rsid w:val="00194D05"/>
    <w:rsid w:val="001C0EFB"/>
    <w:rsid w:val="001D075C"/>
    <w:rsid w:val="001D0D09"/>
    <w:rsid w:val="001D517C"/>
    <w:rsid w:val="002119BF"/>
    <w:rsid w:val="002413D5"/>
    <w:rsid w:val="00243CA7"/>
    <w:rsid w:val="00244048"/>
    <w:rsid w:val="002648D7"/>
    <w:rsid w:val="002A0E71"/>
    <w:rsid w:val="002A6600"/>
    <w:rsid w:val="002B48D3"/>
    <w:rsid w:val="002D2FCA"/>
    <w:rsid w:val="002D381E"/>
    <w:rsid w:val="002D7AA6"/>
    <w:rsid w:val="002F69D0"/>
    <w:rsid w:val="0030120E"/>
    <w:rsid w:val="0030145D"/>
    <w:rsid w:val="00302787"/>
    <w:rsid w:val="003137F7"/>
    <w:rsid w:val="003255FA"/>
    <w:rsid w:val="00331017"/>
    <w:rsid w:val="00350F79"/>
    <w:rsid w:val="003619FA"/>
    <w:rsid w:val="00363709"/>
    <w:rsid w:val="00384F69"/>
    <w:rsid w:val="003929BE"/>
    <w:rsid w:val="003B7C5A"/>
    <w:rsid w:val="003C51C2"/>
    <w:rsid w:val="003E3E72"/>
    <w:rsid w:val="00432CCC"/>
    <w:rsid w:val="00452A21"/>
    <w:rsid w:val="00483E18"/>
    <w:rsid w:val="00496AB6"/>
    <w:rsid w:val="004A4C98"/>
    <w:rsid w:val="004B6480"/>
    <w:rsid w:val="004C23E5"/>
    <w:rsid w:val="004C2E0A"/>
    <w:rsid w:val="004C3B0A"/>
    <w:rsid w:val="004D59C1"/>
    <w:rsid w:val="004D6CA4"/>
    <w:rsid w:val="004E6132"/>
    <w:rsid w:val="004F2FD1"/>
    <w:rsid w:val="005029C5"/>
    <w:rsid w:val="005133D8"/>
    <w:rsid w:val="005430C3"/>
    <w:rsid w:val="005733B2"/>
    <w:rsid w:val="005850B5"/>
    <w:rsid w:val="00587594"/>
    <w:rsid w:val="005875BB"/>
    <w:rsid w:val="005B0CAE"/>
    <w:rsid w:val="005D6036"/>
    <w:rsid w:val="006008F1"/>
    <w:rsid w:val="00611F3A"/>
    <w:rsid w:val="00641FA2"/>
    <w:rsid w:val="00656A8E"/>
    <w:rsid w:val="00695F82"/>
    <w:rsid w:val="006B2B32"/>
    <w:rsid w:val="006F4E3F"/>
    <w:rsid w:val="0071058A"/>
    <w:rsid w:val="0073406F"/>
    <w:rsid w:val="00741544"/>
    <w:rsid w:val="00751272"/>
    <w:rsid w:val="00795142"/>
    <w:rsid w:val="00796008"/>
    <w:rsid w:val="007A7AC7"/>
    <w:rsid w:val="007C2279"/>
    <w:rsid w:val="007D5EBD"/>
    <w:rsid w:val="00831745"/>
    <w:rsid w:val="008924D7"/>
    <w:rsid w:val="008C197D"/>
    <w:rsid w:val="008C37AE"/>
    <w:rsid w:val="008E61FB"/>
    <w:rsid w:val="008F191F"/>
    <w:rsid w:val="008F6D3C"/>
    <w:rsid w:val="00900D2B"/>
    <w:rsid w:val="009110E1"/>
    <w:rsid w:val="0095454F"/>
    <w:rsid w:val="009560EA"/>
    <w:rsid w:val="0095766A"/>
    <w:rsid w:val="00976FD7"/>
    <w:rsid w:val="009B726D"/>
    <w:rsid w:val="009C395B"/>
    <w:rsid w:val="009C7AA5"/>
    <w:rsid w:val="009F29DE"/>
    <w:rsid w:val="00A02BEB"/>
    <w:rsid w:val="00A2466C"/>
    <w:rsid w:val="00A37A5A"/>
    <w:rsid w:val="00A673B0"/>
    <w:rsid w:val="00A722E4"/>
    <w:rsid w:val="00A867A6"/>
    <w:rsid w:val="00A87316"/>
    <w:rsid w:val="00AE59B9"/>
    <w:rsid w:val="00AF47BC"/>
    <w:rsid w:val="00B143E6"/>
    <w:rsid w:val="00B3426A"/>
    <w:rsid w:val="00B35C19"/>
    <w:rsid w:val="00B44FA1"/>
    <w:rsid w:val="00B52689"/>
    <w:rsid w:val="00B638C6"/>
    <w:rsid w:val="00B841F6"/>
    <w:rsid w:val="00BF674E"/>
    <w:rsid w:val="00C03821"/>
    <w:rsid w:val="00C23BB6"/>
    <w:rsid w:val="00C27048"/>
    <w:rsid w:val="00C32FFD"/>
    <w:rsid w:val="00CB6651"/>
    <w:rsid w:val="00CC1731"/>
    <w:rsid w:val="00CE1B22"/>
    <w:rsid w:val="00D00FD7"/>
    <w:rsid w:val="00D6575E"/>
    <w:rsid w:val="00DB288E"/>
    <w:rsid w:val="00DC294C"/>
    <w:rsid w:val="00E578C6"/>
    <w:rsid w:val="00E96A8A"/>
    <w:rsid w:val="00EC2257"/>
    <w:rsid w:val="00EC31B5"/>
    <w:rsid w:val="00F13FBA"/>
    <w:rsid w:val="00F31EFF"/>
    <w:rsid w:val="00F50F90"/>
    <w:rsid w:val="00FF13DB"/>
    <w:rsid w:val="00FF356C"/>
    <w:rsid w:val="036C066A"/>
    <w:rsid w:val="03942B7C"/>
    <w:rsid w:val="04F75026"/>
    <w:rsid w:val="056340A3"/>
    <w:rsid w:val="07CC22E9"/>
    <w:rsid w:val="081D2B7B"/>
    <w:rsid w:val="08791024"/>
    <w:rsid w:val="09475E50"/>
    <w:rsid w:val="0B1E130E"/>
    <w:rsid w:val="0C71779F"/>
    <w:rsid w:val="0C9B3C30"/>
    <w:rsid w:val="0D074083"/>
    <w:rsid w:val="0D52052A"/>
    <w:rsid w:val="10E1025C"/>
    <w:rsid w:val="116F2BDE"/>
    <w:rsid w:val="13452747"/>
    <w:rsid w:val="15154E9D"/>
    <w:rsid w:val="16D43782"/>
    <w:rsid w:val="18382EEC"/>
    <w:rsid w:val="1B6A22BA"/>
    <w:rsid w:val="1B7164A1"/>
    <w:rsid w:val="1B74431A"/>
    <w:rsid w:val="1BC826C6"/>
    <w:rsid w:val="1D011D40"/>
    <w:rsid w:val="1D39082C"/>
    <w:rsid w:val="1F3364BE"/>
    <w:rsid w:val="222F49F4"/>
    <w:rsid w:val="229E2B2D"/>
    <w:rsid w:val="22E63D87"/>
    <w:rsid w:val="24842758"/>
    <w:rsid w:val="250E1317"/>
    <w:rsid w:val="256252F3"/>
    <w:rsid w:val="2B014E13"/>
    <w:rsid w:val="2B397896"/>
    <w:rsid w:val="2B6B3721"/>
    <w:rsid w:val="2BEE1D91"/>
    <w:rsid w:val="2D067300"/>
    <w:rsid w:val="325E54A4"/>
    <w:rsid w:val="3386070A"/>
    <w:rsid w:val="341B4CE8"/>
    <w:rsid w:val="352E396E"/>
    <w:rsid w:val="3577244E"/>
    <w:rsid w:val="3A6746DE"/>
    <w:rsid w:val="3D077171"/>
    <w:rsid w:val="3E784DEA"/>
    <w:rsid w:val="3EAE5A4E"/>
    <w:rsid w:val="43F16B09"/>
    <w:rsid w:val="44E2389E"/>
    <w:rsid w:val="477916E8"/>
    <w:rsid w:val="4D710907"/>
    <w:rsid w:val="509B4593"/>
    <w:rsid w:val="51552066"/>
    <w:rsid w:val="533B56AA"/>
    <w:rsid w:val="541211A6"/>
    <w:rsid w:val="545B17F7"/>
    <w:rsid w:val="559D365B"/>
    <w:rsid w:val="562B0879"/>
    <w:rsid w:val="56D3155B"/>
    <w:rsid w:val="56EC0630"/>
    <w:rsid w:val="56F542EA"/>
    <w:rsid w:val="589035AE"/>
    <w:rsid w:val="58AB7801"/>
    <w:rsid w:val="5A72456C"/>
    <w:rsid w:val="5B604572"/>
    <w:rsid w:val="5BA652E6"/>
    <w:rsid w:val="5D5831F6"/>
    <w:rsid w:val="5EDC4B0B"/>
    <w:rsid w:val="600F707A"/>
    <w:rsid w:val="61531BFF"/>
    <w:rsid w:val="617F18A2"/>
    <w:rsid w:val="64722EF6"/>
    <w:rsid w:val="649A316B"/>
    <w:rsid w:val="64B829D9"/>
    <w:rsid w:val="654F76FD"/>
    <w:rsid w:val="65B75BBB"/>
    <w:rsid w:val="67AF06B9"/>
    <w:rsid w:val="67FC3439"/>
    <w:rsid w:val="6C455FF7"/>
    <w:rsid w:val="6CFD12B6"/>
    <w:rsid w:val="6F2D3B9C"/>
    <w:rsid w:val="718A5D23"/>
    <w:rsid w:val="73D800E5"/>
    <w:rsid w:val="7774302C"/>
    <w:rsid w:val="788A2AAC"/>
    <w:rsid w:val="78AC7C52"/>
    <w:rsid w:val="7AB84B50"/>
    <w:rsid w:val="7B77158B"/>
    <w:rsid w:val="7BD007D6"/>
    <w:rsid w:val="7D3924B1"/>
    <w:rsid w:val="7D54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nhideWhenUsed="0" w:uiPriority="0" w:semiHidden="0" w:name="List"/>
    <w:lsdException w:uiPriority="0" w:name="List Bullet"/>
    <w:lsdException w:uiPriority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semiHidden/>
    <w:unhideWhenUsed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  <w:style w:type="character" w:customStyle="1" w:styleId="11">
    <w:name w:val="批注框文本 字符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tif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1030</Words>
  <Characters>1180</Characters>
  <Lines>14</Lines>
  <Paragraphs>4</Paragraphs>
  <TotalTime>11</TotalTime>
  <ScaleCrop>false</ScaleCrop>
  <LinksUpToDate>false</LinksUpToDate>
  <CharactersWithSpaces>1220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2020-10-28T06:54:00Z</dcterms:created>
  <dc:creator>Administrator</dc:creator>
  <cp:lastModifiedBy>刘</cp:lastModifiedBy>
  <cp:lastPrinted>2020-12-29T13:39:00Z</cp:lastPrinted>
  <dcterms:modified xsi:type="dcterms:W3CDTF">2025-10-16T09:48:13Z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65CAE9E552E645FFA514DA2D77CBC940_13</vt:lpwstr>
  </property>
  <property fmtid="{D5CDD505-2E9C-101B-9397-08002B2CF9AE}" pid="4" name="KSOTemplateDocerSaveRecord">
    <vt:lpwstr>eyJoZGlkIjoiY2FlZmRkOTJjODg5ODkxZWNkZGQyZGZkM2Y4MjUwYzIiLCJ1c2VySWQiOiIzNDI3MDA0NjkifQ==</vt:lpwstr>
  </property>
</Properties>
</file>