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24362">
      <w:pPr>
        <w:adjustRightInd w:val="0"/>
        <w:spacing w:before="120" w:after="120"/>
        <w:ind w:firstLine="482"/>
        <w:jc w:val="left"/>
        <w:rPr>
          <w:rFonts w:ascii="Arial" w:hAnsi="Arial"/>
          <w:b/>
        </w:rPr>
      </w:pPr>
    </w:p>
    <w:p w14:paraId="58D8B3C3">
      <w:pPr>
        <w:adjustRightInd w:val="0"/>
        <w:spacing w:before="120" w:after="120"/>
        <w:ind w:firstLine="482"/>
        <w:jc w:val="left"/>
        <w:rPr>
          <w:rFonts w:ascii="Arial" w:hAnsi="Arial"/>
          <w:b/>
        </w:rPr>
      </w:pPr>
    </w:p>
    <w:p w14:paraId="2653EBAE">
      <w:pPr>
        <w:adjustRightInd w:val="0"/>
        <w:spacing w:before="120" w:after="120"/>
        <w:ind w:firstLine="482"/>
        <w:jc w:val="left"/>
        <w:rPr>
          <w:rFonts w:ascii="Arial" w:hAnsi="Arial"/>
          <w:b/>
        </w:rPr>
      </w:pPr>
    </w:p>
    <w:p w14:paraId="06A82AA0">
      <w:pPr>
        <w:adjustRightInd w:val="0"/>
        <w:spacing w:before="120" w:after="120"/>
        <w:ind w:firstLine="482"/>
        <w:jc w:val="left"/>
        <w:rPr>
          <w:rFonts w:ascii="Arial" w:hAnsi="Arial"/>
          <w:b/>
        </w:rPr>
      </w:pPr>
      <w:bookmarkStart w:id="203" w:name="_GoBack"/>
      <w:bookmarkEnd w:id="203"/>
    </w:p>
    <w:p w14:paraId="752CAF64">
      <w:pPr>
        <w:adjustRightInd w:val="0"/>
        <w:spacing w:before="120" w:after="120"/>
        <w:ind w:firstLine="482"/>
        <w:jc w:val="left"/>
        <w:rPr>
          <w:rFonts w:ascii="Arial" w:hAnsi="Arial"/>
          <w:b/>
        </w:rPr>
      </w:pPr>
    </w:p>
    <w:p w14:paraId="5B5C5ACD">
      <w:pPr>
        <w:spacing w:before="120" w:after="120"/>
        <w:ind w:firstLine="984"/>
        <w:jc w:val="center"/>
        <w:rPr>
          <w:rFonts w:hint="default" w:ascii="黑体" w:hAnsi="黑体" w:eastAsia="黑体" w:cstheme="majorEastAsia"/>
          <w:b/>
          <w:spacing w:val="10"/>
          <w:sz w:val="48"/>
          <w:szCs w:val="48"/>
          <w:lang w:val="en-US"/>
        </w:rPr>
      </w:pPr>
      <w:r>
        <w:rPr>
          <w:rFonts w:hint="eastAsia" w:ascii="黑体" w:hAnsi="黑体" w:eastAsia="黑体" w:cstheme="majorEastAsia"/>
          <w:b/>
          <w:spacing w:val="10"/>
          <w:sz w:val="48"/>
          <w:szCs w:val="48"/>
        </w:rPr>
        <w:t>网络安全</w:t>
      </w:r>
      <w:r>
        <w:rPr>
          <w:rFonts w:hint="eastAsia" w:ascii="黑体" w:hAnsi="黑体" w:eastAsia="黑体" w:cstheme="majorEastAsia"/>
          <w:b/>
          <w:spacing w:val="10"/>
          <w:sz w:val="48"/>
          <w:szCs w:val="48"/>
          <w:lang w:val="en-US" w:eastAsia="zh-CN"/>
        </w:rPr>
        <w:t>统筹协同管理系统</w:t>
      </w:r>
    </w:p>
    <w:p w14:paraId="10DF01BD">
      <w:pPr>
        <w:spacing w:before="120" w:after="120"/>
        <w:ind w:firstLine="984"/>
        <w:jc w:val="center"/>
        <w:rPr>
          <w:rFonts w:ascii="黑体" w:hAnsi="黑体" w:eastAsia="黑体" w:cstheme="majorEastAsia"/>
          <w:b/>
          <w:spacing w:val="10"/>
          <w:sz w:val="48"/>
          <w:szCs w:val="48"/>
        </w:rPr>
      </w:pPr>
      <w:r>
        <w:rPr>
          <w:rFonts w:ascii="黑体" w:hAnsi="黑体" w:eastAsia="黑体" w:cstheme="majorEastAsia"/>
          <w:b/>
          <w:spacing w:val="10"/>
          <w:sz w:val="48"/>
          <w:szCs w:val="48"/>
        </w:rPr>
        <w:t>解决方案</w:t>
      </w:r>
    </w:p>
    <w:p w14:paraId="256AFF53">
      <w:pPr>
        <w:spacing w:before="120" w:after="120"/>
        <w:ind w:firstLine="980"/>
        <w:jc w:val="center"/>
        <w:rPr>
          <w:rFonts w:asciiTheme="majorEastAsia" w:hAnsiTheme="majorEastAsia" w:eastAsiaTheme="majorEastAsia" w:cstheme="majorEastAsia"/>
          <w:b/>
          <w:spacing w:val="10"/>
          <w:sz w:val="48"/>
          <w:szCs w:val="48"/>
        </w:rPr>
      </w:pPr>
    </w:p>
    <w:p w14:paraId="05925958">
      <w:pPr>
        <w:spacing w:before="120" w:after="120"/>
        <w:ind w:firstLine="980"/>
        <w:jc w:val="center"/>
        <w:rPr>
          <w:rFonts w:asciiTheme="majorEastAsia" w:hAnsiTheme="majorEastAsia" w:eastAsiaTheme="majorEastAsia" w:cstheme="majorEastAsia"/>
          <w:b/>
          <w:spacing w:val="10"/>
          <w:sz w:val="48"/>
          <w:szCs w:val="48"/>
        </w:rPr>
      </w:pPr>
    </w:p>
    <w:p w14:paraId="0651E43C">
      <w:pPr>
        <w:spacing w:before="120" w:after="120"/>
        <w:ind w:firstLine="980"/>
        <w:jc w:val="center"/>
        <w:rPr>
          <w:rFonts w:asciiTheme="majorEastAsia" w:hAnsiTheme="majorEastAsia" w:eastAsiaTheme="majorEastAsia" w:cstheme="majorEastAsia"/>
          <w:b/>
          <w:spacing w:val="10"/>
          <w:sz w:val="48"/>
          <w:szCs w:val="48"/>
        </w:rPr>
      </w:pPr>
    </w:p>
    <w:p w14:paraId="5BEB4179">
      <w:pPr>
        <w:spacing w:before="120" w:after="120"/>
        <w:ind w:firstLine="980"/>
        <w:jc w:val="center"/>
        <w:rPr>
          <w:rFonts w:asciiTheme="majorEastAsia" w:hAnsiTheme="majorEastAsia" w:eastAsiaTheme="majorEastAsia" w:cstheme="majorEastAsia"/>
          <w:b/>
          <w:spacing w:val="10"/>
          <w:sz w:val="48"/>
          <w:szCs w:val="48"/>
        </w:rPr>
      </w:pPr>
    </w:p>
    <w:p w14:paraId="5230DE03">
      <w:pPr>
        <w:spacing w:before="120" w:after="120"/>
        <w:ind w:firstLine="980"/>
        <w:jc w:val="center"/>
        <w:rPr>
          <w:rFonts w:asciiTheme="majorEastAsia" w:hAnsiTheme="majorEastAsia" w:eastAsiaTheme="majorEastAsia" w:cstheme="majorEastAsia"/>
          <w:b/>
          <w:spacing w:val="10"/>
          <w:sz w:val="48"/>
          <w:szCs w:val="48"/>
        </w:rPr>
      </w:pPr>
    </w:p>
    <w:p w14:paraId="56789407">
      <w:pPr>
        <w:spacing w:before="120" w:after="120"/>
        <w:ind w:firstLine="980"/>
        <w:jc w:val="center"/>
        <w:rPr>
          <w:rFonts w:asciiTheme="majorEastAsia" w:hAnsiTheme="majorEastAsia" w:eastAsiaTheme="majorEastAsia" w:cstheme="majorEastAsia"/>
          <w:b/>
          <w:spacing w:val="10"/>
          <w:sz w:val="48"/>
          <w:szCs w:val="48"/>
        </w:rPr>
      </w:pPr>
    </w:p>
    <w:p w14:paraId="1C01F75D">
      <w:pPr>
        <w:spacing w:before="120" w:after="120"/>
        <w:ind w:firstLine="980"/>
        <w:jc w:val="center"/>
        <w:rPr>
          <w:rFonts w:asciiTheme="majorEastAsia" w:hAnsiTheme="majorEastAsia" w:eastAsiaTheme="majorEastAsia" w:cstheme="majorEastAsia"/>
          <w:b/>
          <w:spacing w:val="10"/>
          <w:sz w:val="48"/>
          <w:szCs w:val="48"/>
        </w:rPr>
      </w:pPr>
    </w:p>
    <w:p w14:paraId="67DD0072">
      <w:pPr>
        <w:ind w:firstLine="582"/>
        <w:jc w:val="center"/>
        <w:rPr>
          <w:rFonts w:ascii="Arial" w:hAnsi="Arial"/>
          <w:b/>
          <w:bCs/>
          <w:spacing w:val="10"/>
          <w:sz w:val="28"/>
          <w:szCs w:val="28"/>
        </w:rPr>
      </w:pPr>
      <w:r>
        <w:rPr>
          <w:rFonts w:hint="eastAsia" w:ascii="Arial" w:hAnsi="Arial"/>
          <w:b/>
          <w:bCs/>
          <w:spacing w:val="10"/>
          <w:sz w:val="28"/>
          <w:szCs w:val="28"/>
        </w:rPr>
        <w:t>202</w:t>
      </w:r>
      <w:r>
        <w:rPr>
          <w:rFonts w:ascii="Arial" w:hAnsi="Arial"/>
          <w:b/>
          <w:bCs/>
          <w:spacing w:val="10"/>
          <w:sz w:val="28"/>
          <w:szCs w:val="28"/>
        </w:rPr>
        <w:t>2</w:t>
      </w:r>
      <w:r>
        <w:rPr>
          <w:rFonts w:hint="eastAsia" w:ascii="Arial" w:hAnsi="Arial"/>
          <w:b/>
          <w:bCs/>
          <w:spacing w:val="10"/>
          <w:sz w:val="28"/>
          <w:szCs w:val="28"/>
        </w:rPr>
        <w:t>年0</w:t>
      </w:r>
      <w:r>
        <w:rPr>
          <w:rFonts w:ascii="Arial" w:hAnsi="Arial"/>
          <w:b/>
          <w:bCs/>
          <w:spacing w:val="10"/>
          <w:sz w:val="28"/>
          <w:szCs w:val="28"/>
        </w:rPr>
        <w:t>5</w:t>
      </w:r>
      <w:r>
        <w:rPr>
          <w:rFonts w:hint="eastAsia" w:ascii="Arial" w:hAnsi="Arial"/>
          <w:b/>
          <w:bCs/>
          <w:spacing w:val="10"/>
          <w:sz w:val="28"/>
          <w:szCs w:val="28"/>
        </w:rPr>
        <w:t>月</w:t>
      </w:r>
    </w:p>
    <w:p w14:paraId="5DFB4C58">
      <w:pPr>
        <w:widowControl/>
        <w:spacing w:line="240" w:lineRule="auto"/>
        <w:ind w:firstLine="582"/>
        <w:jc w:val="left"/>
        <w:rPr>
          <w:rFonts w:ascii="Arial" w:hAnsi="Arial"/>
          <w:b/>
          <w:bCs/>
          <w:spacing w:val="10"/>
          <w:sz w:val="28"/>
          <w:szCs w:val="28"/>
        </w:rPr>
      </w:pPr>
      <w:r>
        <w:rPr>
          <w:rFonts w:ascii="Arial" w:hAnsi="Arial"/>
          <w:b/>
          <w:bCs/>
          <w:spacing w:val="10"/>
          <w:sz w:val="28"/>
          <w:szCs w:val="28"/>
        </w:rPr>
        <w:br w:type="page"/>
      </w:r>
    </w:p>
    <w:sdt>
      <w:sdtPr>
        <w:rPr>
          <w:rFonts w:ascii="Times New Roman" w:hAnsi="Times New Roman" w:eastAsia="宋体" w:cstheme="minorBidi"/>
          <w:color w:val="auto"/>
          <w:kern w:val="2"/>
          <w:sz w:val="24"/>
          <w:szCs w:val="21"/>
          <w:lang w:val="zh-CN"/>
        </w:rPr>
        <w:id w:val="278304044"/>
        <w:docPartObj>
          <w:docPartGallery w:val="Table of Contents"/>
          <w:docPartUnique/>
        </w:docPartObj>
      </w:sdtPr>
      <w:sdtEndPr>
        <w:rPr>
          <w:rFonts w:ascii="Times New Roman" w:hAnsi="Times New Roman" w:eastAsia="宋体" w:cstheme="minorBidi"/>
          <w:b/>
          <w:bCs/>
          <w:color w:val="auto"/>
          <w:kern w:val="2"/>
          <w:sz w:val="24"/>
          <w:szCs w:val="21"/>
          <w:lang w:val="zh-CN"/>
        </w:rPr>
      </w:sdtEndPr>
      <w:sdtContent>
        <w:p w14:paraId="1F1AE931">
          <w:pPr>
            <w:pStyle w:val="45"/>
            <w:ind w:firstLine="480"/>
            <w:jc w:val="center"/>
            <w:rPr>
              <w:b/>
              <w:color w:val="auto"/>
              <w:sz w:val="44"/>
            </w:rPr>
          </w:pPr>
          <w:r>
            <w:rPr>
              <w:b/>
              <w:color w:val="auto"/>
              <w:sz w:val="44"/>
              <w:lang w:val="zh-CN"/>
            </w:rPr>
            <w:t>目录</w:t>
          </w:r>
        </w:p>
        <w:p w14:paraId="02209F25">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TOC \o "1-3" \h \z \u </w:instrText>
          </w:r>
          <w:r>
            <w:fldChar w:fldCharType="separate"/>
          </w:r>
          <w:r>
            <w:fldChar w:fldCharType="begin"/>
          </w:r>
          <w:r>
            <w:instrText xml:space="preserve"> HYPERLINK \l "_Toc130226959" </w:instrText>
          </w:r>
          <w:r>
            <w:fldChar w:fldCharType="separate"/>
          </w:r>
          <w:r>
            <w:rPr>
              <w:rStyle w:val="29"/>
            </w:rPr>
            <w:t>1.</w:t>
          </w:r>
          <w:r>
            <w:rPr>
              <w:rFonts w:hAnsiTheme="minorHAnsi" w:eastAsiaTheme="minorEastAsia"/>
              <w:b w:val="0"/>
              <w:bCs w:val="0"/>
              <w:caps w:val="0"/>
              <w:sz w:val="21"/>
              <w:szCs w:val="22"/>
            </w:rPr>
            <w:tab/>
          </w:r>
          <w:r>
            <w:rPr>
              <w:rStyle w:val="29"/>
            </w:rPr>
            <w:t>项目背景</w:t>
          </w:r>
          <w:r>
            <w:tab/>
          </w:r>
          <w:r>
            <w:fldChar w:fldCharType="begin"/>
          </w:r>
          <w:r>
            <w:instrText xml:space="preserve"> PAGEREF _Toc130226959 \h </w:instrText>
          </w:r>
          <w:r>
            <w:fldChar w:fldCharType="separate"/>
          </w:r>
          <w:r>
            <w:t>1</w:t>
          </w:r>
          <w:r>
            <w:fldChar w:fldCharType="end"/>
          </w:r>
          <w:r>
            <w:fldChar w:fldCharType="end"/>
          </w:r>
        </w:p>
        <w:p w14:paraId="269FF063">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"_Toc130226960" </w:instrText>
          </w:r>
          <w:r>
            <w:fldChar w:fldCharType="separate"/>
          </w:r>
          <w:r>
            <w:rPr>
              <w:rStyle w:val="29"/>
            </w:rPr>
            <w:t>1.1.</w:t>
          </w:r>
          <w:r>
            <w:rPr>
              <w:rFonts w:hAnsiTheme="minorHAnsi" w:eastAsiaTheme="minorEastAsia"/>
              <w:smallCaps w:val="0"/>
              <w:sz w:val="21"/>
              <w:szCs w:val="22"/>
            </w:rPr>
            <w:tab/>
          </w:r>
          <w:r>
            <w:rPr>
              <w:rStyle w:val="29"/>
            </w:rPr>
            <w:t>落实国家信息安全建设</w:t>
          </w:r>
          <w:r>
            <w:tab/>
          </w:r>
          <w:r>
            <w:fldChar w:fldCharType="begin"/>
          </w:r>
          <w:r>
            <w:instrText xml:space="preserve"> PAGEREF _Toc130226960 \h </w:instrText>
          </w:r>
          <w:r>
            <w:fldChar w:fldCharType="separate"/>
          </w:r>
          <w:r>
            <w:t>2</w:t>
          </w:r>
          <w:r>
            <w:fldChar w:fldCharType="end"/>
          </w:r>
          <w:r>
            <w:fldChar w:fldCharType="end"/>
          </w:r>
        </w:p>
        <w:p w14:paraId="7BF7E602">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"_Toc130226961" </w:instrText>
          </w:r>
          <w:r>
            <w:fldChar w:fldCharType="separate"/>
          </w:r>
          <w:r>
            <w:rPr>
              <w:rStyle w:val="29"/>
            </w:rPr>
            <w:t>1.2.</w:t>
          </w:r>
          <w:r>
            <w:rPr>
              <w:rFonts w:hAnsiTheme="minorHAnsi" w:eastAsiaTheme="minorEastAsia"/>
              <w:smallCaps w:val="0"/>
              <w:sz w:val="21"/>
              <w:szCs w:val="22"/>
            </w:rPr>
            <w:tab/>
          </w:r>
          <w:r>
            <w:rPr>
              <w:rStyle w:val="29"/>
            </w:rPr>
            <w:t>提升网络安全综合管理能力</w:t>
          </w:r>
          <w:r>
            <w:tab/>
          </w:r>
          <w:r>
            <w:fldChar w:fldCharType="begin"/>
          </w:r>
          <w:r>
            <w:instrText xml:space="preserve"> PAGEREF _Toc130226961 \h </w:instrText>
          </w:r>
          <w:r>
            <w:fldChar w:fldCharType="separate"/>
          </w:r>
          <w:r>
            <w:t>2</w:t>
          </w:r>
          <w:r>
            <w:fldChar w:fldCharType="end"/>
          </w:r>
          <w:r>
            <w:fldChar w:fldCharType="end"/>
          </w:r>
        </w:p>
        <w:p w14:paraId="1D3A0D65">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"_Toc130226962" </w:instrText>
          </w:r>
          <w:r>
            <w:fldChar w:fldCharType="separate"/>
          </w:r>
          <w:r>
            <w:rPr>
              <w:rStyle w:val="29"/>
            </w:rPr>
            <w:t>1.3.</w:t>
          </w:r>
          <w:r>
            <w:rPr>
              <w:rFonts w:hAnsiTheme="minorHAnsi" w:eastAsiaTheme="minorEastAsia"/>
              <w:smallCaps w:val="0"/>
              <w:sz w:val="21"/>
              <w:szCs w:val="22"/>
            </w:rPr>
            <w:tab/>
          </w:r>
          <w:r>
            <w:rPr>
              <w:rStyle w:val="29"/>
            </w:rPr>
            <w:t>提升XXX省/市安全综合治理水平</w:t>
          </w:r>
          <w:r>
            <w:tab/>
          </w:r>
          <w:r>
            <w:fldChar w:fldCharType="begin"/>
          </w:r>
          <w:r>
            <w:instrText xml:space="preserve"> PAGEREF _Toc130226962 \h </w:instrText>
          </w:r>
          <w:r>
            <w:fldChar w:fldCharType="separate"/>
          </w:r>
          <w:r>
            <w:t>3</w:t>
          </w:r>
          <w:r>
            <w:fldChar w:fldCharType="end"/>
          </w:r>
          <w:r>
            <w:fldChar w:fldCharType="end"/>
          </w:r>
        </w:p>
        <w:p w14:paraId="18D71252">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"_Toc130226963" </w:instrText>
          </w:r>
          <w:r>
            <w:fldChar w:fldCharType="separate"/>
          </w:r>
          <w:r>
            <w:rPr>
              <w:rStyle w:val="29"/>
            </w:rPr>
            <w:t>1.4.</w:t>
          </w:r>
          <w:r>
            <w:rPr>
              <w:rFonts w:hAnsiTheme="minorHAnsi" w:eastAsiaTheme="minorEastAsia"/>
              <w:smallCaps w:val="0"/>
              <w:sz w:val="21"/>
              <w:szCs w:val="22"/>
            </w:rPr>
            <w:tab/>
          </w:r>
          <w:r>
            <w:rPr>
              <w:rStyle w:val="29"/>
            </w:rPr>
            <w:t>提高XXX省/市网络安全建设成效</w:t>
          </w:r>
          <w:r>
            <w:tab/>
          </w:r>
          <w:r>
            <w:fldChar w:fldCharType="begin"/>
          </w:r>
          <w:r>
            <w:instrText xml:space="preserve"> PAGEREF _Toc130226963 \h </w:instrText>
          </w:r>
          <w:r>
            <w:fldChar w:fldCharType="separate"/>
          </w:r>
          <w:r>
            <w:t>3</w:t>
          </w:r>
          <w:r>
            <w:fldChar w:fldCharType="end"/>
          </w:r>
          <w:r>
            <w:fldChar w:fldCharType="end"/>
          </w:r>
        </w:p>
        <w:p w14:paraId="2C7A3283">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"_Toc130226964" </w:instrText>
          </w:r>
          <w:r>
            <w:fldChar w:fldCharType="separate"/>
          </w:r>
          <w:r>
            <w:rPr>
              <w:rStyle w:val="29"/>
            </w:rPr>
            <w:t>2.</w:t>
          </w:r>
          <w:r>
            <w:rPr>
              <w:rFonts w:hAnsiTheme="minorHAnsi" w:eastAsiaTheme="minorEastAsia"/>
              <w:b w:val="0"/>
              <w:bCs w:val="0"/>
              <w:caps w:val="0"/>
              <w:sz w:val="21"/>
              <w:szCs w:val="22"/>
            </w:rPr>
            <w:tab/>
          </w:r>
          <w:r>
            <w:rPr>
              <w:rStyle w:val="29"/>
            </w:rPr>
            <w:t>项目意义</w:t>
          </w:r>
          <w:r>
            <w:tab/>
          </w:r>
          <w:r>
            <w:fldChar w:fldCharType="begin"/>
          </w:r>
          <w:r>
            <w:instrText xml:space="preserve"> PAGEREF _Toc130226964 \h </w:instrText>
          </w:r>
          <w:r>
            <w:fldChar w:fldCharType="separate"/>
          </w:r>
          <w:r>
            <w:t>4</w:t>
          </w:r>
          <w:r>
            <w:fldChar w:fldCharType="end"/>
          </w:r>
          <w:r>
            <w:fldChar w:fldCharType="end"/>
          </w:r>
        </w:p>
        <w:p w14:paraId="6FAE2CD2">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"_Toc130226965" </w:instrText>
          </w:r>
          <w:r>
            <w:fldChar w:fldCharType="separate"/>
          </w:r>
          <w:r>
            <w:rPr>
              <w:rStyle w:val="29"/>
            </w:rPr>
            <w:t>3.</w:t>
          </w:r>
          <w:r>
            <w:rPr>
              <w:rFonts w:hAnsiTheme="minorHAnsi" w:eastAsiaTheme="minorEastAsia"/>
              <w:b w:val="0"/>
              <w:bCs w:val="0"/>
              <w:caps w:val="0"/>
              <w:sz w:val="21"/>
              <w:szCs w:val="22"/>
            </w:rPr>
            <w:tab/>
          </w:r>
          <w:r>
            <w:rPr>
              <w:rStyle w:val="29"/>
            </w:rPr>
            <w:t>项目的需求及目标</w:t>
          </w:r>
          <w:r>
            <w:tab/>
          </w:r>
          <w:r>
            <w:fldChar w:fldCharType="begin"/>
          </w:r>
          <w:r>
            <w:instrText xml:space="preserve"> PAGEREF _Toc130226965 \h </w:instrText>
          </w:r>
          <w:r>
            <w:fldChar w:fldCharType="separate"/>
          </w:r>
          <w:r>
            <w:t>5</w:t>
          </w:r>
          <w:r>
            <w:fldChar w:fldCharType="end"/>
          </w:r>
          <w:r>
            <w:fldChar w:fldCharType="end"/>
          </w:r>
        </w:p>
        <w:p w14:paraId="37589F57">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"_Toc130226966" </w:instrText>
          </w:r>
          <w:r>
            <w:fldChar w:fldCharType="separate"/>
          </w:r>
          <w:r>
            <w:rPr>
              <w:rStyle w:val="29"/>
            </w:rPr>
            <w:t>3.1.</w:t>
          </w:r>
          <w:r>
            <w:rPr>
              <w:rFonts w:hAnsiTheme="minorHAnsi" w:eastAsiaTheme="minorEastAsia"/>
              <w:smallCaps w:val="0"/>
              <w:sz w:val="21"/>
              <w:szCs w:val="22"/>
            </w:rPr>
            <w:tab/>
          </w:r>
          <w:r>
            <w:rPr>
              <w:rStyle w:val="29"/>
            </w:rPr>
            <w:t>网信职能职责和业务理解</w:t>
          </w:r>
          <w:r>
            <w:tab/>
          </w:r>
          <w:r>
            <w:fldChar w:fldCharType="begin"/>
          </w:r>
          <w:r>
            <w:instrText xml:space="preserve"> PAGEREF _Toc130226966 \h </w:instrText>
          </w:r>
          <w:r>
            <w:fldChar w:fldCharType="separate"/>
          </w:r>
          <w:r>
            <w:t>5</w:t>
          </w:r>
          <w:r>
            <w:fldChar w:fldCharType="end"/>
          </w:r>
          <w:r>
            <w:fldChar w:fldCharType="end"/>
          </w:r>
        </w:p>
        <w:p w14:paraId="50DF3BEE">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"_Toc130226967" </w:instrText>
          </w:r>
          <w:r>
            <w:fldChar w:fldCharType="separate"/>
          </w:r>
          <w:r>
            <w:rPr>
              <w:rStyle w:val="29"/>
            </w:rPr>
            <w:t>3.2.</w:t>
          </w:r>
          <w:r>
            <w:rPr>
              <w:rFonts w:hAnsiTheme="minorHAnsi" w:eastAsiaTheme="minorEastAsia"/>
              <w:smallCaps w:val="0"/>
              <w:sz w:val="21"/>
              <w:szCs w:val="22"/>
            </w:rPr>
            <w:tab/>
          </w:r>
          <w:r>
            <w:rPr>
              <w:rStyle w:val="29"/>
            </w:rPr>
            <w:t>网络安全态势监控建设需求</w:t>
          </w:r>
          <w:r>
            <w:tab/>
          </w:r>
          <w:r>
            <w:fldChar w:fldCharType="begin"/>
          </w:r>
          <w:r>
            <w:instrText xml:space="preserve"> PAGEREF _Toc130226967 \h </w:instrText>
          </w:r>
          <w:r>
            <w:fldChar w:fldCharType="separate"/>
          </w:r>
          <w:r>
            <w:t>7</w:t>
          </w:r>
          <w:r>
            <w:fldChar w:fldCharType="end"/>
          </w:r>
          <w:r>
            <w:fldChar w:fldCharType="end"/>
          </w:r>
        </w:p>
        <w:p w14:paraId="57B52F50">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"_Toc130226968" </w:instrText>
          </w:r>
          <w:r>
            <w:fldChar w:fldCharType="separate"/>
          </w:r>
          <w:r>
            <w:rPr>
              <w:rStyle w:val="29"/>
              <w:rFonts w:ascii="仿宋" w:hAnsi="仿宋" w:eastAsia="仿宋"/>
            </w:rPr>
            <w:t>3.2.1.</w:t>
          </w:r>
          <w:r>
            <w:rPr>
              <w:rFonts w:hAnsiTheme="minorHAnsi" w:eastAsiaTheme="minorEastAsia"/>
              <w:i w:val="0"/>
              <w:iCs w:val="0"/>
              <w:sz w:val="21"/>
              <w:szCs w:val="22"/>
            </w:rPr>
            <w:tab/>
          </w:r>
          <w:r>
            <w:rPr>
              <w:rStyle w:val="29"/>
            </w:rPr>
            <w:t>通用能力建设需求</w:t>
          </w:r>
          <w:r>
            <w:tab/>
          </w:r>
          <w:r>
            <w:fldChar w:fldCharType="begin"/>
          </w:r>
          <w:r>
            <w:instrText xml:space="preserve"> PAGEREF _Toc130226968 \h </w:instrText>
          </w:r>
          <w:r>
            <w:fldChar w:fldCharType="separate"/>
          </w:r>
          <w:r>
            <w:t>7</w:t>
          </w:r>
          <w:r>
            <w:fldChar w:fldCharType="end"/>
          </w:r>
          <w:r>
            <w:fldChar w:fldCharType="end"/>
          </w:r>
        </w:p>
        <w:p w14:paraId="05F5F3EE">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"_Toc130226969" </w:instrText>
          </w:r>
          <w:r>
            <w:fldChar w:fldCharType="separate"/>
          </w:r>
          <w:r>
            <w:rPr>
              <w:rStyle w:val="29"/>
              <w:rFonts w:ascii="仿宋" w:hAnsi="仿宋" w:eastAsia="仿宋"/>
            </w:rPr>
            <w:t>3.2.2.</w:t>
          </w:r>
          <w:r>
            <w:rPr>
              <w:rFonts w:hAnsiTheme="minorHAnsi" w:eastAsiaTheme="minorEastAsia"/>
              <w:i w:val="0"/>
              <w:iCs w:val="0"/>
              <w:sz w:val="21"/>
              <w:szCs w:val="22"/>
            </w:rPr>
            <w:tab/>
          </w:r>
          <w:r>
            <w:rPr>
              <w:rStyle w:val="29"/>
            </w:rPr>
            <w:t>威胁溯源分析需求</w:t>
          </w:r>
          <w:r>
            <w:tab/>
          </w:r>
          <w:r>
            <w:fldChar w:fldCharType="begin"/>
          </w:r>
          <w:r>
            <w:instrText xml:space="preserve"> PAGEREF _Toc130226969 \h </w:instrText>
          </w:r>
          <w:r>
            <w:fldChar w:fldCharType="separate"/>
          </w:r>
          <w:r>
            <w:t>8</w:t>
          </w:r>
          <w:r>
            <w:fldChar w:fldCharType="end"/>
          </w:r>
          <w:r>
            <w:fldChar w:fldCharType="end"/>
          </w:r>
        </w:p>
        <w:p w14:paraId="7D947F1E">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"_Toc130226970" </w:instrText>
          </w:r>
          <w:r>
            <w:fldChar w:fldCharType="separate"/>
          </w:r>
          <w:r>
            <w:rPr>
              <w:rStyle w:val="29"/>
              <w:rFonts w:ascii="仿宋" w:hAnsi="仿宋" w:eastAsia="仿宋"/>
            </w:rPr>
            <w:t>3.2.3.</w:t>
          </w:r>
          <w:r>
            <w:rPr>
              <w:rFonts w:hAnsiTheme="minorHAnsi" w:eastAsiaTheme="minorEastAsia"/>
              <w:i w:val="0"/>
              <w:iCs w:val="0"/>
              <w:sz w:val="21"/>
              <w:szCs w:val="22"/>
            </w:rPr>
            <w:tab/>
          </w:r>
          <w:r>
            <w:rPr>
              <w:rStyle w:val="29"/>
            </w:rPr>
            <w:t>融合建模分析能力需求</w:t>
          </w:r>
          <w:r>
            <w:tab/>
          </w:r>
          <w:r>
            <w:fldChar w:fldCharType="begin"/>
          </w:r>
          <w:r>
            <w:instrText xml:space="preserve"> PAGEREF _Toc130226970 \h </w:instrText>
          </w:r>
          <w:r>
            <w:fldChar w:fldCharType="separate"/>
          </w:r>
          <w:r>
            <w:t>8</w:t>
          </w:r>
          <w:r>
            <w:fldChar w:fldCharType="end"/>
          </w:r>
          <w:r>
            <w:fldChar w:fldCharType="end"/>
          </w:r>
        </w:p>
        <w:p w14:paraId="2F6210D4">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"_Toc130226971" </w:instrText>
          </w:r>
          <w:r>
            <w:fldChar w:fldCharType="separate"/>
          </w:r>
          <w:r>
            <w:rPr>
              <w:rStyle w:val="29"/>
              <w:rFonts w:ascii="仿宋" w:hAnsi="仿宋" w:eastAsia="仿宋"/>
            </w:rPr>
            <w:t>3.2.4.</w:t>
          </w:r>
          <w:r>
            <w:rPr>
              <w:rFonts w:hAnsiTheme="minorHAnsi" w:eastAsiaTheme="minorEastAsia"/>
              <w:i w:val="0"/>
              <w:iCs w:val="0"/>
              <w:sz w:val="21"/>
              <w:szCs w:val="22"/>
            </w:rPr>
            <w:tab/>
          </w:r>
          <w:r>
            <w:rPr>
              <w:rStyle w:val="29"/>
            </w:rPr>
            <w:t>态势可视化展示需求</w:t>
          </w:r>
          <w:r>
            <w:tab/>
          </w:r>
          <w:r>
            <w:fldChar w:fldCharType="begin"/>
          </w:r>
          <w:r>
            <w:instrText xml:space="preserve"> PAGEREF _Toc130226971 \h </w:instrText>
          </w:r>
          <w:r>
            <w:fldChar w:fldCharType="separate"/>
          </w:r>
          <w:r>
            <w:t>8</w:t>
          </w:r>
          <w:r>
            <w:fldChar w:fldCharType="end"/>
          </w:r>
          <w:r>
            <w:fldChar w:fldCharType="end"/>
          </w:r>
        </w:p>
        <w:p w14:paraId="3B4E77E4">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"_Toc130226972" </w:instrText>
          </w:r>
          <w:r>
            <w:fldChar w:fldCharType="separate"/>
          </w:r>
          <w:r>
            <w:rPr>
              <w:rStyle w:val="29"/>
            </w:rPr>
            <w:t>3.3.</w:t>
          </w:r>
          <w:r>
            <w:rPr>
              <w:rFonts w:hAnsiTheme="minorHAnsi" w:eastAsiaTheme="minorEastAsia"/>
              <w:smallCaps w:val="0"/>
              <w:sz w:val="21"/>
              <w:szCs w:val="22"/>
            </w:rPr>
            <w:tab/>
          </w:r>
          <w:r>
            <w:rPr>
              <w:rStyle w:val="29"/>
            </w:rPr>
            <w:t>网络安全预警及事件处理需求</w:t>
          </w:r>
          <w:r>
            <w:tab/>
          </w:r>
          <w:r>
            <w:fldChar w:fldCharType="begin"/>
          </w:r>
          <w:r>
            <w:instrText xml:space="preserve"> PAGEREF _Toc130226972 \h </w:instrText>
          </w:r>
          <w:r>
            <w:fldChar w:fldCharType="separate"/>
          </w:r>
          <w:r>
            <w:t>9</w:t>
          </w:r>
          <w:r>
            <w:fldChar w:fldCharType="end"/>
          </w:r>
          <w:r>
            <w:fldChar w:fldCharType="end"/>
          </w:r>
        </w:p>
        <w:p w14:paraId="3EBB396B">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"_Toc130226973" </w:instrText>
          </w:r>
          <w:r>
            <w:fldChar w:fldCharType="separate"/>
          </w:r>
          <w:r>
            <w:rPr>
              <w:rStyle w:val="29"/>
              <w:rFonts w:ascii="仿宋" w:hAnsi="仿宋" w:eastAsia="仿宋"/>
            </w:rPr>
            <w:t>3.3.1.</w:t>
          </w:r>
          <w:r>
            <w:rPr>
              <w:rFonts w:hAnsiTheme="minorHAnsi" w:eastAsiaTheme="minorEastAsia"/>
              <w:i w:val="0"/>
              <w:iCs w:val="0"/>
              <w:sz w:val="21"/>
              <w:szCs w:val="22"/>
            </w:rPr>
            <w:tab/>
          </w:r>
          <w:r>
            <w:rPr>
              <w:rStyle w:val="29"/>
            </w:rPr>
            <w:t>汇集协调建设需求</w:t>
          </w:r>
          <w:r>
            <w:tab/>
          </w:r>
          <w:r>
            <w:fldChar w:fldCharType="begin"/>
          </w:r>
          <w:r>
            <w:instrText xml:space="preserve"> PAGEREF _Toc130226973 \h </w:instrText>
          </w:r>
          <w:r>
            <w:fldChar w:fldCharType="separate"/>
          </w:r>
          <w:r>
            <w:t>9</w:t>
          </w:r>
          <w:r>
            <w:fldChar w:fldCharType="end"/>
          </w:r>
          <w:r>
            <w:fldChar w:fldCharType="end"/>
          </w:r>
        </w:p>
        <w:p w14:paraId="5D77006A">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"_Toc130226974" </w:instrText>
          </w:r>
          <w:r>
            <w:fldChar w:fldCharType="separate"/>
          </w:r>
          <w:r>
            <w:rPr>
              <w:rStyle w:val="29"/>
              <w:rFonts w:ascii="仿宋" w:hAnsi="仿宋" w:eastAsia="仿宋"/>
            </w:rPr>
            <w:t>3.3.2.</w:t>
          </w:r>
          <w:r>
            <w:rPr>
              <w:rFonts w:hAnsiTheme="minorHAnsi" w:eastAsiaTheme="minorEastAsia"/>
              <w:i w:val="0"/>
              <w:iCs w:val="0"/>
              <w:sz w:val="21"/>
              <w:szCs w:val="22"/>
            </w:rPr>
            <w:tab/>
          </w:r>
          <w:r>
            <w:rPr>
              <w:rStyle w:val="29"/>
            </w:rPr>
            <w:t>综合分析建设需求</w:t>
          </w:r>
          <w:r>
            <w:tab/>
          </w:r>
          <w:r>
            <w:fldChar w:fldCharType="begin"/>
          </w:r>
          <w:r>
            <w:instrText xml:space="preserve"> PAGEREF _Toc130226974 \h </w:instrText>
          </w:r>
          <w:r>
            <w:fldChar w:fldCharType="separate"/>
          </w:r>
          <w:r>
            <w:t>10</w:t>
          </w:r>
          <w:r>
            <w:fldChar w:fldCharType="end"/>
          </w:r>
          <w:r>
            <w:fldChar w:fldCharType="end"/>
          </w:r>
        </w:p>
        <w:p w14:paraId="5ED99200">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"_Toc130226975" </w:instrText>
          </w:r>
          <w:r>
            <w:fldChar w:fldCharType="separate"/>
          </w:r>
          <w:r>
            <w:rPr>
              <w:rStyle w:val="29"/>
            </w:rPr>
            <w:t>3.4.</w:t>
          </w:r>
          <w:r>
            <w:rPr>
              <w:rFonts w:hAnsiTheme="minorHAnsi" w:eastAsiaTheme="minorEastAsia"/>
              <w:smallCaps w:val="0"/>
              <w:sz w:val="21"/>
              <w:szCs w:val="22"/>
            </w:rPr>
            <w:tab/>
          </w:r>
          <w:r>
            <w:rPr>
              <w:rStyle w:val="29"/>
            </w:rPr>
            <w:t>网络安全综合协同建设需求</w:t>
          </w:r>
          <w:r>
            <w:tab/>
          </w:r>
          <w:r>
            <w:fldChar w:fldCharType="begin"/>
          </w:r>
          <w:r>
            <w:instrText xml:space="preserve"> PAGEREF _Toc130226975 \h </w:instrText>
          </w:r>
          <w:r>
            <w:fldChar w:fldCharType="separate"/>
          </w:r>
          <w:r>
            <w:t>10</w:t>
          </w:r>
          <w:r>
            <w:fldChar w:fldCharType="end"/>
          </w:r>
          <w:r>
            <w:fldChar w:fldCharType="end"/>
          </w:r>
        </w:p>
        <w:p w14:paraId="0C38F89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"_Toc130226976" </w:instrText>
          </w:r>
          <w:r>
            <w:fldChar w:fldCharType="separate"/>
          </w:r>
          <w:r>
            <w:rPr>
              <w:rStyle w:val="29"/>
              <w:rFonts w:ascii="仿宋" w:hAnsi="仿宋" w:eastAsia="仿宋"/>
            </w:rPr>
            <w:t>3.4.1.</w:t>
          </w:r>
          <w:r>
            <w:rPr>
              <w:rFonts w:hAnsiTheme="minorHAnsi" w:eastAsiaTheme="minorEastAsia"/>
              <w:i w:val="0"/>
              <w:iCs w:val="0"/>
              <w:sz w:val="21"/>
              <w:szCs w:val="22"/>
            </w:rPr>
            <w:tab/>
          </w:r>
          <w:r>
            <w:rPr>
              <w:rStyle w:val="29"/>
            </w:rPr>
            <w:t>网络安全工作统筹协调</w:t>
          </w:r>
          <w:r>
            <w:tab/>
          </w:r>
          <w:r>
            <w:fldChar w:fldCharType="begin"/>
          </w:r>
          <w:r>
            <w:instrText xml:space="preserve"> PAGEREF _Toc130226976 \h </w:instrText>
          </w:r>
          <w:r>
            <w:fldChar w:fldCharType="separate"/>
          </w:r>
          <w:r>
            <w:t>10</w:t>
          </w:r>
          <w:r>
            <w:fldChar w:fldCharType="end"/>
          </w:r>
          <w:r>
            <w:fldChar w:fldCharType="end"/>
          </w:r>
        </w:p>
        <w:p w14:paraId="2227F49F">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"_Toc130226977" </w:instrText>
          </w:r>
          <w:r>
            <w:fldChar w:fldCharType="separate"/>
          </w:r>
          <w:r>
            <w:rPr>
              <w:rStyle w:val="29"/>
              <w:rFonts w:ascii="仿宋" w:hAnsi="仿宋" w:eastAsia="仿宋"/>
            </w:rPr>
            <w:t>3.4.2.</w:t>
          </w:r>
          <w:r>
            <w:rPr>
              <w:rFonts w:hAnsiTheme="minorHAnsi" w:eastAsiaTheme="minorEastAsia"/>
              <w:i w:val="0"/>
              <w:iCs w:val="0"/>
              <w:sz w:val="21"/>
              <w:szCs w:val="22"/>
            </w:rPr>
            <w:tab/>
          </w:r>
          <w:r>
            <w:rPr>
              <w:rStyle w:val="29"/>
            </w:rPr>
            <w:t>网络安全决策数据支持</w:t>
          </w:r>
          <w:r>
            <w:tab/>
          </w:r>
          <w:r>
            <w:fldChar w:fldCharType="begin"/>
          </w:r>
          <w:r>
            <w:instrText xml:space="preserve"> PAGEREF _Toc130226977 \h </w:instrText>
          </w:r>
          <w:r>
            <w:fldChar w:fldCharType="separate"/>
          </w:r>
          <w:r>
            <w:t>11</w:t>
          </w:r>
          <w:r>
            <w:fldChar w:fldCharType="end"/>
          </w:r>
          <w:r>
            <w:fldChar w:fldCharType="end"/>
          </w:r>
        </w:p>
        <w:p w14:paraId="078E55D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"_Toc130226978" </w:instrText>
          </w:r>
          <w:r>
            <w:fldChar w:fldCharType="separate"/>
          </w:r>
          <w:r>
            <w:rPr>
              <w:rStyle w:val="29"/>
              <w:rFonts w:ascii="仿宋" w:hAnsi="仿宋" w:eastAsia="仿宋"/>
            </w:rPr>
            <w:t>3.4.3.</w:t>
          </w:r>
          <w:r>
            <w:rPr>
              <w:rFonts w:hAnsiTheme="minorHAnsi" w:eastAsiaTheme="minorEastAsia"/>
              <w:i w:val="0"/>
              <w:iCs w:val="0"/>
              <w:sz w:val="21"/>
              <w:szCs w:val="22"/>
            </w:rPr>
            <w:tab/>
          </w:r>
          <w:r>
            <w:rPr>
              <w:rStyle w:val="29"/>
            </w:rPr>
            <w:t>网络安全工作协同支撑需要</w:t>
          </w:r>
          <w:r>
            <w:tab/>
          </w:r>
          <w:r>
            <w:fldChar w:fldCharType="begin"/>
          </w:r>
          <w:r>
            <w:instrText xml:space="preserve"> PAGEREF _Toc130226978 \h </w:instrText>
          </w:r>
          <w:r>
            <w:fldChar w:fldCharType="separate"/>
          </w:r>
          <w:r>
            <w:t>11</w:t>
          </w:r>
          <w:r>
            <w:fldChar w:fldCharType="end"/>
          </w:r>
          <w:r>
            <w:fldChar w:fldCharType="end"/>
          </w:r>
        </w:p>
        <w:p w14:paraId="15966320">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"_Toc130226979" </w:instrText>
          </w:r>
          <w:r>
            <w:fldChar w:fldCharType="separate"/>
          </w:r>
          <w:r>
            <w:rPr>
              <w:rStyle w:val="29"/>
              <w:rFonts w:ascii="仿宋" w:hAnsi="仿宋" w:eastAsia="仿宋"/>
            </w:rPr>
            <w:t>3.4.4.</w:t>
          </w:r>
          <w:r>
            <w:rPr>
              <w:rFonts w:hAnsiTheme="minorHAnsi" w:eastAsiaTheme="minorEastAsia"/>
              <w:i w:val="0"/>
              <w:iCs w:val="0"/>
              <w:sz w:val="21"/>
              <w:szCs w:val="22"/>
            </w:rPr>
            <w:tab/>
          </w:r>
          <w:r>
            <w:rPr>
              <w:rStyle w:val="29"/>
            </w:rPr>
            <w:t>网络安全检查工作需要</w:t>
          </w:r>
          <w:r>
            <w:tab/>
          </w:r>
          <w:r>
            <w:fldChar w:fldCharType="begin"/>
          </w:r>
          <w:r>
            <w:instrText xml:space="preserve"> PAGEREF _Toc130226979 \h </w:instrText>
          </w:r>
          <w:r>
            <w:fldChar w:fldCharType="separate"/>
          </w:r>
          <w:r>
            <w:t>12</w:t>
          </w:r>
          <w:r>
            <w:fldChar w:fldCharType="end"/>
          </w:r>
          <w:r>
            <w:fldChar w:fldCharType="end"/>
          </w:r>
        </w:p>
        <w:p w14:paraId="46288475">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"_Toc130226980" </w:instrText>
          </w:r>
          <w:r>
            <w:fldChar w:fldCharType="separate"/>
          </w:r>
          <w:r>
            <w:rPr>
              <w:rStyle w:val="29"/>
              <w:rFonts w:ascii="仿宋" w:hAnsi="仿宋" w:eastAsia="仿宋"/>
            </w:rPr>
            <w:t>3.4.5.</w:t>
          </w:r>
          <w:r>
            <w:rPr>
              <w:rFonts w:hAnsiTheme="minorHAnsi" w:eastAsiaTheme="minorEastAsia"/>
              <w:i w:val="0"/>
              <w:iCs w:val="0"/>
              <w:sz w:val="21"/>
              <w:szCs w:val="22"/>
            </w:rPr>
            <w:tab/>
          </w:r>
          <w:r>
            <w:rPr>
              <w:rStyle w:val="29"/>
            </w:rPr>
            <w:t>网络资产信息管理需要</w:t>
          </w:r>
          <w:r>
            <w:tab/>
          </w:r>
          <w:r>
            <w:fldChar w:fldCharType="begin"/>
          </w:r>
          <w:r>
            <w:instrText xml:space="preserve"> PAGEREF _Toc130226980 \h </w:instrText>
          </w:r>
          <w:r>
            <w:fldChar w:fldCharType="separate"/>
          </w:r>
          <w:r>
            <w:t>13</w:t>
          </w:r>
          <w:r>
            <w:fldChar w:fldCharType="end"/>
          </w:r>
          <w:r>
            <w:fldChar w:fldCharType="end"/>
          </w:r>
        </w:p>
        <w:p w14:paraId="41CF5626">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"_Toc130226981" </w:instrText>
          </w:r>
          <w:r>
            <w:fldChar w:fldCharType="separate"/>
          </w:r>
          <w:r>
            <w:rPr>
              <w:rStyle w:val="29"/>
            </w:rPr>
            <w:t>4.</w:t>
          </w:r>
          <w:r>
            <w:rPr>
              <w:rFonts w:hAnsiTheme="minorHAnsi" w:eastAsiaTheme="minorEastAsia"/>
              <w:b w:val="0"/>
              <w:bCs w:val="0"/>
              <w:caps w:val="0"/>
              <w:sz w:val="21"/>
              <w:szCs w:val="22"/>
            </w:rPr>
            <w:tab/>
          </w:r>
          <w:r>
            <w:rPr>
              <w:rStyle w:val="29"/>
            </w:rPr>
            <w:t>建设思路</w:t>
          </w:r>
          <w:r>
            <w:tab/>
          </w:r>
          <w:r>
            <w:fldChar w:fldCharType="begin"/>
          </w:r>
          <w:r>
            <w:instrText xml:space="preserve"> PAGEREF _Toc130226981 \h </w:instrText>
          </w:r>
          <w:r>
            <w:fldChar w:fldCharType="separate"/>
          </w:r>
          <w:r>
            <w:t>14</w:t>
          </w:r>
          <w:r>
            <w:fldChar w:fldCharType="end"/>
          </w:r>
          <w:r>
            <w:fldChar w:fldCharType="end"/>
          </w:r>
        </w:p>
        <w:p w14:paraId="442D5117">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"_Toc130226982" </w:instrText>
          </w:r>
          <w:r>
            <w:fldChar w:fldCharType="separate"/>
          </w:r>
          <w:r>
            <w:rPr>
              <w:rStyle w:val="29"/>
            </w:rPr>
            <w:t>4.1.</w:t>
          </w:r>
          <w:r>
            <w:rPr>
              <w:rFonts w:hAnsiTheme="minorHAnsi" w:eastAsiaTheme="minorEastAsia"/>
              <w:smallCaps w:val="0"/>
              <w:sz w:val="21"/>
              <w:szCs w:val="22"/>
            </w:rPr>
            <w:tab/>
          </w:r>
          <w:r>
            <w:rPr>
              <w:rStyle w:val="29"/>
            </w:rPr>
            <w:t>统筹推进</w:t>
          </w:r>
          <w:r>
            <w:tab/>
          </w:r>
          <w:r>
            <w:fldChar w:fldCharType="begin"/>
          </w:r>
          <w:r>
            <w:instrText xml:space="preserve"> PAGEREF _Toc130226982 \h </w:instrText>
          </w:r>
          <w:r>
            <w:fldChar w:fldCharType="separate"/>
          </w:r>
          <w:r>
            <w:t>14</w:t>
          </w:r>
          <w:r>
            <w:fldChar w:fldCharType="end"/>
          </w:r>
          <w:r>
            <w:fldChar w:fldCharType="end"/>
          </w:r>
        </w:p>
        <w:p w14:paraId="5325697D">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"_Toc130226983" </w:instrText>
          </w:r>
          <w:r>
            <w:fldChar w:fldCharType="separate"/>
          </w:r>
          <w:r>
            <w:rPr>
              <w:rStyle w:val="29"/>
            </w:rPr>
            <w:t>4.2.</w:t>
          </w:r>
          <w:r>
            <w:rPr>
              <w:rFonts w:hAnsiTheme="minorHAnsi" w:eastAsiaTheme="minorEastAsia"/>
              <w:smallCaps w:val="0"/>
              <w:sz w:val="21"/>
              <w:szCs w:val="22"/>
            </w:rPr>
            <w:tab/>
          </w:r>
          <w:r>
            <w:rPr>
              <w:rStyle w:val="29"/>
            </w:rPr>
            <w:t>共建共筑</w:t>
          </w:r>
          <w:r>
            <w:tab/>
          </w:r>
          <w:r>
            <w:fldChar w:fldCharType="begin"/>
          </w:r>
          <w:r>
            <w:instrText xml:space="preserve"> PAGEREF _Toc130226983 \h </w:instrText>
          </w:r>
          <w:r>
            <w:fldChar w:fldCharType="separate"/>
          </w:r>
          <w:r>
            <w:t>14</w:t>
          </w:r>
          <w:r>
            <w:fldChar w:fldCharType="end"/>
          </w:r>
          <w:r>
            <w:fldChar w:fldCharType="end"/>
          </w:r>
        </w:p>
        <w:p w14:paraId="1A573687">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"_Toc130226984" </w:instrText>
          </w:r>
          <w:r>
            <w:fldChar w:fldCharType="separate"/>
          </w:r>
          <w:r>
            <w:rPr>
              <w:rStyle w:val="29"/>
            </w:rPr>
            <w:t>4.3.</w:t>
          </w:r>
          <w:r>
            <w:rPr>
              <w:rFonts w:hAnsiTheme="minorHAnsi" w:eastAsiaTheme="minorEastAsia"/>
              <w:smallCaps w:val="0"/>
              <w:sz w:val="21"/>
              <w:szCs w:val="22"/>
            </w:rPr>
            <w:tab/>
          </w:r>
          <w:r>
            <w:rPr>
              <w:rStyle w:val="29"/>
            </w:rPr>
            <w:t>开放共享</w:t>
          </w:r>
          <w:r>
            <w:tab/>
          </w:r>
          <w:r>
            <w:fldChar w:fldCharType="begin"/>
          </w:r>
          <w:r>
            <w:instrText xml:space="preserve"> PAGEREF _Toc130226984 \h </w:instrText>
          </w:r>
          <w:r>
            <w:fldChar w:fldCharType="separate"/>
          </w:r>
          <w:r>
            <w:t>14</w:t>
          </w:r>
          <w:r>
            <w:fldChar w:fldCharType="end"/>
          </w:r>
          <w:r>
            <w:fldChar w:fldCharType="end"/>
          </w:r>
        </w:p>
        <w:p w14:paraId="431A9CA8">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"_Toc130226985" </w:instrText>
          </w:r>
          <w:r>
            <w:fldChar w:fldCharType="separate"/>
          </w:r>
          <w:r>
            <w:rPr>
              <w:rStyle w:val="29"/>
            </w:rPr>
            <w:t>4.4.</w:t>
          </w:r>
          <w:r>
            <w:rPr>
              <w:rFonts w:hAnsiTheme="minorHAnsi" w:eastAsiaTheme="minorEastAsia"/>
              <w:smallCaps w:val="0"/>
              <w:sz w:val="21"/>
              <w:szCs w:val="22"/>
            </w:rPr>
            <w:tab/>
          </w:r>
          <w:r>
            <w:rPr>
              <w:rStyle w:val="29"/>
            </w:rPr>
            <w:t>协调创新</w:t>
          </w:r>
          <w:r>
            <w:tab/>
          </w:r>
          <w:r>
            <w:fldChar w:fldCharType="begin"/>
          </w:r>
          <w:r>
            <w:instrText xml:space="preserve"> PAGEREF _Toc130226985 \h </w:instrText>
          </w:r>
          <w:r>
            <w:fldChar w:fldCharType="separate"/>
          </w:r>
          <w:r>
            <w:t>15</w:t>
          </w:r>
          <w:r>
            <w:fldChar w:fldCharType="end"/>
          </w:r>
          <w:r>
            <w:fldChar w:fldCharType="end"/>
          </w:r>
        </w:p>
        <w:p w14:paraId="2C66D5E0">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"_Toc130226986" </w:instrText>
          </w:r>
          <w:r>
            <w:fldChar w:fldCharType="separate"/>
          </w:r>
          <w:r>
            <w:rPr>
              <w:rStyle w:val="29"/>
            </w:rPr>
            <w:t>4.5.</w:t>
          </w:r>
          <w:r>
            <w:rPr>
              <w:rFonts w:hAnsiTheme="minorHAnsi" w:eastAsiaTheme="minorEastAsia"/>
              <w:smallCaps w:val="0"/>
              <w:sz w:val="21"/>
              <w:szCs w:val="22"/>
            </w:rPr>
            <w:tab/>
          </w:r>
          <w:r>
            <w:rPr>
              <w:rStyle w:val="29"/>
            </w:rPr>
            <w:t>定制和引领</w:t>
          </w:r>
          <w:r>
            <w:tab/>
          </w:r>
          <w:r>
            <w:fldChar w:fldCharType="begin"/>
          </w:r>
          <w:r>
            <w:instrText xml:space="preserve"> PAGEREF _Toc130226986 \h </w:instrText>
          </w:r>
          <w:r>
            <w:fldChar w:fldCharType="separate"/>
          </w:r>
          <w:r>
            <w:t>15</w:t>
          </w:r>
          <w:r>
            <w:fldChar w:fldCharType="end"/>
          </w:r>
          <w:r>
            <w:fldChar w:fldCharType="end"/>
          </w:r>
        </w:p>
        <w:p w14:paraId="398C111D">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"_Toc130226987" </w:instrText>
          </w:r>
          <w:r>
            <w:fldChar w:fldCharType="separate"/>
          </w:r>
          <w:r>
            <w:rPr>
              <w:rStyle w:val="29"/>
            </w:rPr>
            <w:t>5.</w:t>
          </w:r>
          <w:r>
            <w:rPr>
              <w:rFonts w:hAnsiTheme="minorHAnsi" w:eastAsiaTheme="minorEastAsia"/>
              <w:b w:val="0"/>
              <w:bCs w:val="0"/>
              <w:caps w:val="0"/>
              <w:sz w:val="21"/>
              <w:szCs w:val="22"/>
            </w:rPr>
            <w:tab/>
          </w:r>
          <w:r>
            <w:rPr>
              <w:rStyle w:val="29"/>
            </w:rPr>
            <w:t>建设目标</w:t>
          </w:r>
          <w:r>
            <w:tab/>
          </w:r>
          <w:r>
            <w:fldChar w:fldCharType="begin"/>
          </w:r>
          <w:r>
            <w:instrText xml:space="preserve"> PAGEREF _Toc130226987 \h </w:instrText>
          </w:r>
          <w:r>
            <w:fldChar w:fldCharType="separate"/>
          </w:r>
          <w:r>
            <w:t>16</w:t>
          </w:r>
          <w:r>
            <w:fldChar w:fldCharType="end"/>
          </w:r>
          <w:r>
            <w:fldChar w:fldCharType="end"/>
          </w:r>
        </w:p>
        <w:p w14:paraId="487B8F0A">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"_Toc130226988" </w:instrText>
          </w:r>
          <w:r>
            <w:fldChar w:fldCharType="separate"/>
          </w:r>
          <w:r>
            <w:rPr>
              <w:rStyle w:val="29"/>
            </w:rPr>
            <w:t>5.1.</w:t>
          </w:r>
          <w:r>
            <w:rPr>
              <w:rFonts w:hAnsiTheme="minorHAnsi" w:eastAsiaTheme="minorEastAsia"/>
              <w:smallCaps w:val="0"/>
              <w:sz w:val="21"/>
              <w:szCs w:val="22"/>
            </w:rPr>
            <w:tab/>
          </w:r>
          <w:r>
            <w:rPr>
              <w:rStyle w:val="29"/>
            </w:rPr>
            <w:t>建立网络安全态势感知分析能力</w:t>
          </w:r>
          <w:r>
            <w:tab/>
          </w:r>
          <w:r>
            <w:fldChar w:fldCharType="begin"/>
          </w:r>
          <w:r>
            <w:instrText xml:space="preserve"> PAGEREF _Toc130226988 \h </w:instrText>
          </w:r>
          <w:r>
            <w:fldChar w:fldCharType="separate"/>
          </w:r>
          <w:r>
            <w:t>16</w:t>
          </w:r>
          <w:r>
            <w:fldChar w:fldCharType="end"/>
          </w:r>
          <w:r>
            <w:fldChar w:fldCharType="end"/>
          </w:r>
        </w:p>
        <w:p w14:paraId="009D18B7">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"_Toc130226989" </w:instrText>
          </w:r>
          <w:r>
            <w:fldChar w:fldCharType="separate"/>
          </w:r>
          <w:r>
            <w:rPr>
              <w:rStyle w:val="29"/>
            </w:rPr>
            <w:t>5.2.</w:t>
          </w:r>
          <w:r>
            <w:rPr>
              <w:rFonts w:hAnsiTheme="minorHAnsi" w:eastAsiaTheme="minorEastAsia"/>
              <w:smallCaps w:val="0"/>
              <w:sz w:val="21"/>
              <w:szCs w:val="22"/>
            </w:rPr>
            <w:tab/>
          </w:r>
          <w:r>
            <w:rPr>
              <w:rStyle w:val="29"/>
            </w:rPr>
            <w:t>建立网络安全预警和事件处置支撑</w:t>
          </w:r>
          <w:r>
            <w:tab/>
          </w:r>
          <w:r>
            <w:fldChar w:fldCharType="begin"/>
          </w:r>
          <w:r>
            <w:instrText xml:space="preserve"> PAGEREF _Toc130226989 \h </w:instrText>
          </w:r>
          <w:r>
            <w:fldChar w:fldCharType="separate"/>
          </w:r>
          <w:r>
            <w:t>17</w:t>
          </w:r>
          <w:r>
            <w:fldChar w:fldCharType="end"/>
          </w:r>
          <w:r>
            <w:fldChar w:fldCharType="end"/>
          </w:r>
        </w:p>
        <w:p w14:paraId="4B316BEB">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"_Toc130226990" </w:instrText>
          </w:r>
          <w:r>
            <w:fldChar w:fldCharType="separate"/>
          </w:r>
          <w:r>
            <w:rPr>
              <w:rStyle w:val="29"/>
            </w:rPr>
            <w:t>5.3.</w:t>
          </w:r>
          <w:r>
            <w:rPr>
              <w:rFonts w:hAnsiTheme="minorHAnsi" w:eastAsiaTheme="minorEastAsia"/>
              <w:smallCaps w:val="0"/>
              <w:sz w:val="21"/>
              <w:szCs w:val="22"/>
            </w:rPr>
            <w:tab/>
          </w:r>
          <w:r>
            <w:rPr>
              <w:rStyle w:val="29"/>
            </w:rPr>
            <w:t>建立网络安全工作协同工作机制及支撑</w:t>
          </w:r>
          <w:r>
            <w:tab/>
          </w:r>
          <w:r>
            <w:fldChar w:fldCharType="begin"/>
          </w:r>
          <w:r>
            <w:instrText xml:space="preserve"> PAGEREF _Toc130226990 \h </w:instrText>
          </w:r>
          <w:r>
            <w:fldChar w:fldCharType="separate"/>
          </w:r>
          <w:r>
            <w:t>17</w:t>
          </w:r>
          <w:r>
            <w:fldChar w:fldCharType="end"/>
          </w:r>
          <w:r>
            <w:fldChar w:fldCharType="end"/>
          </w:r>
        </w:p>
        <w:p w14:paraId="2A22B588">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"_Toc130226991" </w:instrText>
          </w:r>
          <w:r>
            <w:fldChar w:fldCharType="separate"/>
          </w:r>
          <w:r>
            <w:rPr>
              <w:rStyle w:val="29"/>
            </w:rPr>
            <w:t>6.</w:t>
          </w:r>
          <w:r>
            <w:rPr>
              <w:rFonts w:hAnsiTheme="minorHAnsi" w:eastAsiaTheme="minorEastAsia"/>
              <w:smallCaps w:val="0"/>
              <w:sz w:val="21"/>
              <w:szCs w:val="22"/>
            </w:rPr>
            <w:tab/>
          </w:r>
          <w:r>
            <w:rPr>
              <w:rStyle w:val="29"/>
            </w:rPr>
            <w:t>建设内容</w:t>
          </w:r>
          <w:r>
            <w:tab/>
          </w:r>
          <w:r>
            <w:fldChar w:fldCharType="begin"/>
          </w:r>
          <w:r>
            <w:instrText xml:space="preserve"> PAGEREF _Toc130226991 \h </w:instrText>
          </w:r>
          <w:r>
            <w:fldChar w:fldCharType="separate"/>
          </w:r>
          <w:r>
            <w:t>17</w:t>
          </w:r>
          <w:r>
            <w:fldChar w:fldCharType="end"/>
          </w:r>
          <w:r>
            <w:fldChar w:fldCharType="end"/>
          </w:r>
        </w:p>
        <w:p w14:paraId="7213BA93">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"_Toc130226992" </w:instrText>
          </w:r>
          <w:r>
            <w:fldChar w:fldCharType="separate"/>
          </w:r>
          <w:r>
            <w:rPr>
              <w:rStyle w:val="29"/>
            </w:rPr>
            <w:t>6.1.</w:t>
          </w:r>
          <w:r>
            <w:rPr>
              <w:rFonts w:hAnsiTheme="minorHAnsi" w:eastAsiaTheme="minorEastAsia"/>
              <w:smallCaps w:val="0"/>
              <w:sz w:val="21"/>
              <w:szCs w:val="22"/>
            </w:rPr>
            <w:tab/>
          </w:r>
          <w:r>
            <w:rPr>
              <w:rStyle w:val="29"/>
            </w:rPr>
            <w:t>应用系统建设</w:t>
          </w:r>
          <w:r>
            <w:tab/>
          </w:r>
          <w:r>
            <w:fldChar w:fldCharType="begin"/>
          </w:r>
          <w:r>
            <w:instrText xml:space="preserve"> PAGEREF _Toc130226992 \h </w:instrText>
          </w:r>
          <w:r>
            <w:fldChar w:fldCharType="separate"/>
          </w:r>
          <w:r>
            <w:t>18</w:t>
          </w:r>
          <w:r>
            <w:fldChar w:fldCharType="end"/>
          </w:r>
          <w:r>
            <w:fldChar w:fldCharType="end"/>
          </w:r>
        </w:p>
        <w:p w14:paraId="632518D0">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"_Toc130226993" </w:instrText>
          </w:r>
          <w:r>
            <w:fldChar w:fldCharType="separate"/>
          </w:r>
          <w:r>
            <w:rPr>
              <w:rStyle w:val="29"/>
              <w:rFonts w:ascii="仿宋" w:hAnsi="仿宋" w:eastAsia="仿宋"/>
            </w:rPr>
            <w:t>6.1.1.</w:t>
          </w:r>
          <w:r>
            <w:rPr>
              <w:rFonts w:hAnsiTheme="minorHAnsi" w:eastAsiaTheme="minorEastAsia"/>
              <w:i w:val="0"/>
              <w:iCs w:val="0"/>
              <w:sz w:val="21"/>
              <w:szCs w:val="22"/>
            </w:rPr>
            <w:tab/>
          </w:r>
          <w:r>
            <w:rPr>
              <w:rStyle w:val="29"/>
            </w:rPr>
            <w:t>建立网络安全资产信息管理</w:t>
          </w:r>
          <w:r>
            <w:tab/>
          </w:r>
          <w:r>
            <w:fldChar w:fldCharType="begin"/>
          </w:r>
          <w:r>
            <w:instrText xml:space="preserve"> PAGEREF _Toc130226993 \h </w:instrText>
          </w:r>
          <w:r>
            <w:fldChar w:fldCharType="separate"/>
          </w:r>
          <w:r>
            <w:t>18</w:t>
          </w:r>
          <w:r>
            <w:fldChar w:fldCharType="end"/>
          </w:r>
          <w:r>
            <w:fldChar w:fldCharType="end"/>
          </w:r>
        </w:p>
        <w:p w14:paraId="2E21DCB3">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"_Toc130226994" </w:instrText>
          </w:r>
          <w:r>
            <w:fldChar w:fldCharType="separate"/>
          </w:r>
          <w:r>
            <w:rPr>
              <w:rStyle w:val="29"/>
              <w:rFonts w:ascii="仿宋" w:hAnsi="仿宋" w:eastAsia="仿宋"/>
            </w:rPr>
            <w:t>6.1.2.</w:t>
          </w:r>
          <w:r>
            <w:rPr>
              <w:rFonts w:hAnsiTheme="minorHAnsi" w:eastAsiaTheme="minorEastAsia"/>
              <w:i w:val="0"/>
              <w:iCs w:val="0"/>
              <w:sz w:val="21"/>
              <w:szCs w:val="22"/>
            </w:rPr>
            <w:tab/>
          </w:r>
          <w:r>
            <w:rPr>
              <w:rStyle w:val="29"/>
            </w:rPr>
            <w:t>网络安全态势分析子系统</w:t>
          </w:r>
          <w:r>
            <w:tab/>
          </w:r>
          <w:r>
            <w:fldChar w:fldCharType="begin"/>
          </w:r>
          <w:r>
            <w:instrText xml:space="preserve"> PAGEREF _Toc130226994 \h </w:instrText>
          </w:r>
          <w:r>
            <w:fldChar w:fldCharType="separate"/>
          </w:r>
          <w:r>
            <w:t>18</w:t>
          </w:r>
          <w:r>
            <w:fldChar w:fldCharType="end"/>
          </w:r>
          <w:r>
            <w:fldChar w:fldCharType="end"/>
          </w:r>
        </w:p>
        <w:p w14:paraId="6A60F7DC">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"_Toc130226995" </w:instrText>
          </w:r>
          <w:r>
            <w:fldChar w:fldCharType="separate"/>
          </w:r>
          <w:r>
            <w:rPr>
              <w:rStyle w:val="29"/>
              <w:rFonts w:ascii="仿宋" w:hAnsi="仿宋" w:eastAsia="仿宋"/>
            </w:rPr>
            <w:t>6.1.3.</w:t>
          </w:r>
          <w:r>
            <w:rPr>
              <w:rFonts w:hAnsiTheme="minorHAnsi" w:eastAsiaTheme="minorEastAsia"/>
              <w:i w:val="0"/>
              <w:iCs w:val="0"/>
              <w:sz w:val="21"/>
              <w:szCs w:val="22"/>
            </w:rPr>
            <w:tab/>
          </w:r>
          <w:r>
            <w:rPr>
              <w:rStyle w:val="29"/>
            </w:rPr>
            <w:t>网络安全预警及事件处置子系统</w:t>
          </w:r>
          <w:r>
            <w:tab/>
          </w:r>
          <w:r>
            <w:fldChar w:fldCharType="begin"/>
          </w:r>
          <w:r>
            <w:instrText xml:space="preserve"> PAGEREF _Toc130226995 \h </w:instrText>
          </w:r>
          <w:r>
            <w:fldChar w:fldCharType="separate"/>
          </w:r>
          <w:r>
            <w:t>19</w:t>
          </w:r>
          <w:r>
            <w:fldChar w:fldCharType="end"/>
          </w:r>
          <w:r>
            <w:fldChar w:fldCharType="end"/>
          </w:r>
        </w:p>
        <w:p w14:paraId="05AC5370">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"_Toc130226996" </w:instrText>
          </w:r>
          <w:r>
            <w:fldChar w:fldCharType="separate"/>
          </w:r>
          <w:r>
            <w:rPr>
              <w:rStyle w:val="29"/>
              <w:rFonts w:ascii="仿宋" w:hAnsi="仿宋" w:eastAsia="仿宋"/>
            </w:rPr>
            <w:t>6.1.4.</w:t>
          </w:r>
          <w:r>
            <w:rPr>
              <w:rFonts w:hAnsiTheme="minorHAnsi" w:eastAsiaTheme="minorEastAsia"/>
              <w:i w:val="0"/>
              <w:iCs w:val="0"/>
              <w:sz w:val="21"/>
              <w:szCs w:val="22"/>
            </w:rPr>
            <w:tab/>
          </w:r>
          <w:r>
            <w:rPr>
              <w:rStyle w:val="29"/>
            </w:rPr>
            <w:t>网络安全协同指挥子系统</w:t>
          </w:r>
          <w:r>
            <w:tab/>
          </w:r>
          <w:r>
            <w:fldChar w:fldCharType="begin"/>
          </w:r>
          <w:r>
            <w:instrText xml:space="preserve"> PAGEREF _Toc130226996 \h </w:instrText>
          </w:r>
          <w:r>
            <w:fldChar w:fldCharType="separate"/>
          </w:r>
          <w:r>
            <w:t>20</w:t>
          </w:r>
          <w:r>
            <w:fldChar w:fldCharType="end"/>
          </w:r>
          <w:r>
            <w:fldChar w:fldCharType="end"/>
          </w:r>
        </w:p>
        <w:p w14:paraId="2C79C533">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"_Toc130226997" </w:instrText>
          </w:r>
          <w:r>
            <w:fldChar w:fldCharType="separate"/>
          </w:r>
          <w:r>
            <w:rPr>
              <w:rStyle w:val="29"/>
            </w:rPr>
            <w:t>7.</w:t>
          </w:r>
          <w:r>
            <w:rPr>
              <w:rFonts w:hAnsiTheme="minorHAnsi" w:eastAsiaTheme="minorEastAsia"/>
              <w:b w:val="0"/>
              <w:bCs w:val="0"/>
              <w:caps w:val="0"/>
              <w:sz w:val="21"/>
              <w:szCs w:val="22"/>
            </w:rPr>
            <w:tab/>
          </w:r>
          <w:r>
            <w:rPr>
              <w:rStyle w:val="29"/>
            </w:rPr>
            <w:t>建设依据</w:t>
          </w:r>
          <w:r>
            <w:tab/>
          </w:r>
          <w:r>
            <w:fldChar w:fldCharType="begin"/>
          </w:r>
          <w:r>
            <w:instrText xml:space="preserve"> PAGEREF _Toc130226997 \h </w:instrText>
          </w:r>
          <w:r>
            <w:fldChar w:fldCharType="separate"/>
          </w:r>
          <w:r>
            <w:t>22</w:t>
          </w:r>
          <w:r>
            <w:fldChar w:fldCharType="end"/>
          </w:r>
          <w:r>
            <w:fldChar w:fldCharType="end"/>
          </w:r>
        </w:p>
        <w:p w14:paraId="68875B42">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"_Toc130226998" </w:instrText>
          </w:r>
          <w:r>
            <w:fldChar w:fldCharType="separate"/>
          </w:r>
          <w:r>
            <w:rPr>
              <w:rStyle w:val="29"/>
            </w:rPr>
            <w:t>7.1.</w:t>
          </w:r>
          <w:r>
            <w:rPr>
              <w:rFonts w:hAnsiTheme="minorHAnsi" w:eastAsiaTheme="minorEastAsia"/>
              <w:smallCaps w:val="0"/>
              <w:sz w:val="21"/>
              <w:szCs w:val="22"/>
            </w:rPr>
            <w:tab/>
          </w:r>
          <w:r>
            <w:rPr>
              <w:rStyle w:val="29"/>
            </w:rPr>
            <w:t>国家、部委及省法律法规及政策文件</w:t>
          </w:r>
          <w:r>
            <w:tab/>
          </w:r>
          <w:r>
            <w:fldChar w:fldCharType="begin"/>
          </w:r>
          <w:r>
            <w:instrText xml:space="preserve"> PAGEREF _Toc130226998 \h </w:instrText>
          </w:r>
          <w:r>
            <w:fldChar w:fldCharType="separate"/>
          </w:r>
          <w:r>
            <w:t>22</w:t>
          </w:r>
          <w:r>
            <w:fldChar w:fldCharType="end"/>
          </w:r>
          <w:r>
            <w:fldChar w:fldCharType="end"/>
          </w:r>
        </w:p>
        <w:p w14:paraId="5727CEAA">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"_Toc130226999" </w:instrText>
          </w:r>
          <w:r>
            <w:fldChar w:fldCharType="separate"/>
          </w:r>
          <w:r>
            <w:rPr>
              <w:rStyle w:val="29"/>
            </w:rPr>
            <w:t>7.2.</w:t>
          </w:r>
          <w:r>
            <w:rPr>
              <w:rFonts w:hAnsiTheme="minorHAnsi" w:eastAsiaTheme="minorEastAsia"/>
              <w:smallCaps w:val="0"/>
              <w:sz w:val="21"/>
              <w:szCs w:val="22"/>
            </w:rPr>
            <w:tab/>
          </w:r>
          <w:r>
            <w:rPr>
              <w:rStyle w:val="29"/>
            </w:rPr>
            <w:t>国家标准类相关技术标准</w:t>
          </w:r>
          <w:r>
            <w:tab/>
          </w:r>
          <w:r>
            <w:fldChar w:fldCharType="begin"/>
          </w:r>
          <w:r>
            <w:instrText xml:space="preserve"> PAGEREF _Toc130226999 \h </w:instrText>
          </w:r>
          <w:r>
            <w:fldChar w:fldCharType="separate"/>
          </w:r>
          <w:r>
            <w:t>23</w:t>
          </w:r>
          <w:r>
            <w:fldChar w:fldCharType="end"/>
          </w:r>
          <w:r>
            <w:fldChar w:fldCharType="end"/>
          </w:r>
        </w:p>
        <w:p w14:paraId="04B8FFC3">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"_Toc130227000" </w:instrText>
          </w:r>
          <w:r>
            <w:fldChar w:fldCharType="separate"/>
          </w:r>
          <w:r>
            <w:rPr>
              <w:rStyle w:val="29"/>
            </w:rPr>
            <w:t>7.3.</w:t>
          </w:r>
          <w:r>
            <w:rPr>
              <w:rFonts w:hAnsiTheme="minorHAnsi" w:eastAsiaTheme="minorEastAsia"/>
              <w:smallCaps w:val="0"/>
              <w:sz w:val="21"/>
              <w:szCs w:val="22"/>
            </w:rPr>
            <w:tab/>
          </w:r>
          <w:r>
            <w:rPr>
              <w:rStyle w:val="29"/>
            </w:rPr>
            <w:t>平台标准及对接规范</w:t>
          </w:r>
          <w:r>
            <w:tab/>
          </w:r>
          <w:r>
            <w:fldChar w:fldCharType="begin"/>
          </w:r>
          <w:r>
            <w:instrText xml:space="preserve"> PAGEREF _Toc130227000 \h </w:instrText>
          </w:r>
          <w:r>
            <w:fldChar w:fldCharType="separate"/>
          </w:r>
          <w:r>
            <w:t>24</w:t>
          </w:r>
          <w:r>
            <w:fldChar w:fldCharType="end"/>
          </w:r>
          <w:r>
            <w:fldChar w:fldCharType="end"/>
          </w:r>
        </w:p>
        <w:p w14:paraId="3D6363FC">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"_Toc130227001" </w:instrText>
          </w:r>
          <w:r>
            <w:fldChar w:fldCharType="separate"/>
          </w:r>
          <w:r>
            <w:rPr>
              <w:rStyle w:val="29"/>
            </w:rPr>
            <w:t>8.</w:t>
          </w:r>
          <w:r>
            <w:rPr>
              <w:rFonts w:hAnsiTheme="minorHAnsi" w:eastAsiaTheme="minorEastAsia"/>
              <w:b w:val="0"/>
              <w:bCs w:val="0"/>
              <w:caps w:val="0"/>
              <w:sz w:val="21"/>
              <w:szCs w:val="22"/>
            </w:rPr>
            <w:tab/>
          </w:r>
          <w:r>
            <w:rPr>
              <w:rStyle w:val="29"/>
            </w:rPr>
            <w:t>技术架构设计</w:t>
          </w:r>
          <w:r>
            <w:tab/>
          </w:r>
          <w:r>
            <w:fldChar w:fldCharType="begin"/>
          </w:r>
          <w:r>
            <w:instrText xml:space="preserve"> PAGEREF _Toc130227001 \h </w:instrText>
          </w:r>
          <w:r>
            <w:fldChar w:fldCharType="separate"/>
          </w:r>
          <w:r>
            <w:t>25</w:t>
          </w:r>
          <w:r>
            <w:fldChar w:fldCharType="end"/>
          </w:r>
          <w:r>
            <w:fldChar w:fldCharType="end"/>
          </w:r>
        </w:p>
        <w:p w14:paraId="55364C7F">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"_Toc130227002" </w:instrText>
          </w:r>
          <w:r>
            <w:fldChar w:fldCharType="separate"/>
          </w:r>
          <w:r>
            <w:rPr>
              <w:rStyle w:val="29"/>
            </w:rPr>
            <w:t>8.1.</w:t>
          </w:r>
          <w:r>
            <w:rPr>
              <w:rFonts w:hAnsiTheme="minorHAnsi" w:eastAsiaTheme="minorEastAsia"/>
              <w:smallCaps w:val="0"/>
              <w:sz w:val="21"/>
              <w:szCs w:val="22"/>
            </w:rPr>
            <w:tab/>
          </w:r>
          <w:r>
            <w:rPr>
              <w:rStyle w:val="29"/>
            </w:rPr>
            <w:t>总体设计原则</w:t>
          </w:r>
          <w:r>
            <w:tab/>
          </w:r>
          <w:r>
            <w:fldChar w:fldCharType="begin"/>
          </w:r>
          <w:r>
            <w:instrText xml:space="preserve"> PAGEREF _Toc130227002 \h </w:instrText>
          </w:r>
          <w:r>
            <w:fldChar w:fldCharType="separate"/>
          </w:r>
          <w:r>
            <w:t>25</w:t>
          </w:r>
          <w:r>
            <w:fldChar w:fldCharType="end"/>
          </w:r>
          <w:r>
            <w:fldChar w:fldCharType="end"/>
          </w:r>
        </w:p>
        <w:p w14:paraId="3A814038">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"_Toc130227003" </w:instrText>
          </w:r>
          <w:r>
            <w:fldChar w:fldCharType="separate"/>
          </w:r>
          <w:r>
            <w:rPr>
              <w:rStyle w:val="29"/>
              <w:rFonts w:ascii="仿宋" w:hAnsi="仿宋" w:eastAsia="仿宋"/>
            </w:rPr>
            <w:t>8.1.1.</w:t>
          </w:r>
          <w:r>
            <w:rPr>
              <w:rFonts w:hAnsiTheme="minorHAnsi" w:eastAsiaTheme="minorEastAsia"/>
              <w:i w:val="0"/>
              <w:iCs w:val="0"/>
              <w:sz w:val="21"/>
              <w:szCs w:val="22"/>
            </w:rPr>
            <w:tab/>
          </w:r>
          <w:r>
            <w:rPr>
              <w:rStyle w:val="29"/>
            </w:rPr>
            <w:t>统筹规划、确保合规</w:t>
          </w:r>
          <w:r>
            <w:tab/>
          </w:r>
          <w:r>
            <w:fldChar w:fldCharType="begin"/>
          </w:r>
          <w:r>
            <w:instrText xml:space="preserve"> PAGEREF _Toc130227003 \h </w:instrText>
          </w:r>
          <w:r>
            <w:fldChar w:fldCharType="separate"/>
          </w:r>
          <w:r>
            <w:t>25</w:t>
          </w:r>
          <w:r>
            <w:fldChar w:fldCharType="end"/>
          </w:r>
          <w:r>
            <w:fldChar w:fldCharType="end"/>
          </w:r>
        </w:p>
        <w:p w14:paraId="1E58473A">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"_Toc130227004" </w:instrText>
          </w:r>
          <w:r>
            <w:fldChar w:fldCharType="separate"/>
          </w:r>
          <w:r>
            <w:rPr>
              <w:rStyle w:val="29"/>
              <w:rFonts w:ascii="仿宋" w:hAnsi="仿宋" w:eastAsia="仿宋"/>
            </w:rPr>
            <w:t>8.1.2.</w:t>
          </w:r>
          <w:r>
            <w:rPr>
              <w:rFonts w:hAnsiTheme="minorHAnsi" w:eastAsiaTheme="minorEastAsia"/>
              <w:i w:val="0"/>
              <w:iCs w:val="0"/>
              <w:sz w:val="21"/>
              <w:szCs w:val="22"/>
            </w:rPr>
            <w:tab/>
          </w:r>
          <w:r>
            <w:rPr>
              <w:rStyle w:val="29"/>
            </w:rPr>
            <w:t>融合安全、立体防御</w:t>
          </w:r>
          <w:r>
            <w:tab/>
          </w:r>
          <w:r>
            <w:fldChar w:fldCharType="begin"/>
          </w:r>
          <w:r>
            <w:instrText xml:space="preserve"> PAGEREF _Toc130227004 \h </w:instrText>
          </w:r>
          <w:r>
            <w:fldChar w:fldCharType="separate"/>
          </w:r>
          <w:r>
            <w:t>25</w:t>
          </w:r>
          <w:r>
            <w:fldChar w:fldCharType="end"/>
          </w:r>
          <w:r>
            <w:fldChar w:fldCharType="end"/>
          </w:r>
        </w:p>
        <w:p w14:paraId="7C14FF2B">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"_Toc130227005" </w:instrText>
          </w:r>
          <w:r>
            <w:fldChar w:fldCharType="separate"/>
          </w:r>
          <w:r>
            <w:rPr>
              <w:rStyle w:val="29"/>
              <w:rFonts w:ascii="仿宋" w:hAnsi="仿宋" w:eastAsia="仿宋"/>
            </w:rPr>
            <w:t>8.1.3.</w:t>
          </w:r>
          <w:r>
            <w:rPr>
              <w:rFonts w:hAnsiTheme="minorHAnsi" w:eastAsiaTheme="minorEastAsia"/>
              <w:i w:val="0"/>
              <w:iCs w:val="0"/>
              <w:sz w:val="21"/>
              <w:szCs w:val="22"/>
            </w:rPr>
            <w:tab/>
          </w:r>
          <w:r>
            <w:rPr>
              <w:rStyle w:val="29"/>
            </w:rPr>
            <w:t>人机共智、主动防御</w:t>
          </w:r>
          <w:r>
            <w:tab/>
          </w:r>
          <w:r>
            <w:fldChar w:fldCharType="begin"/>
          </w:r>
          <w:r>
            <w:instrText xml:space="preserve"> PAGEREF _Toc130227005 \h </w:instrText>
          </w:r>
          <w:r>
            <w:fldChar w:fldCharType="separate"/>
          </w:r>
          <w:r>
            <w:t>25</w:t>
          </w:r>
          <w:r>
            <w:fldChar w:fldCharType="end"/>
          </w:r>
          <w:r>
            <w:fldChar w:fldCharType="end"/>
          </w:r>
        </w:p>
        <w:p w14:paraId="0B94FF1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"_Toc130227006" </w:instrText>
          </w:r>
          <w:r>
            <w:fldChar w:fldCharType="separate"/>
          </w:r>
          <w:r>
            <w:rPr>
              <w:rStyle w:val="29"/>
              <w:rFonts w:ascii="仿宋" w:hAnsi="仿宋" w:eastAsia="仿宋"/>
            </w:rPr>
            <w:t>8.1.4.</w:t>
          </w:r>
          <w:r>
            <w:rPr>
              <w:rFonts w:hAnsiTheme="minorHAnsi" w:eastAsiaTheme="minorEastAsia"/>
              <w:i w:val="0"/>
              <w:iCs w:val="0"/>
              <w:sz w:val="21"/>
              <w:szCs w:val="22"/>
            </w:rPr>
            <w:tab/>
          </w:r>
          <w:r>
            <w:rPr>
              <w:rStyle w:val="29"/>
            </w:rPr>
            <w:t>创新引领、协同发展</w:t>
          </w:r>
          <w:r>
            <w:tab/>
          </w:r>
          <w:r>
            <w:fldChar w:fldCharType="begin"/>
          </w:r>
          <w:r>
            <w:instrText xml:space="preserve"> PAGEREF _Toc130227006 \h </w:instrText>
          </w:r>
          <w:r>
            <w:fldChar w:fldCharType="separate"/>
          </w:r>
          <w:r>
            <w:t>25</w:t>
          </w:r>
          <w:r>
            <w:fldChar w:fldCharType="end"/>
          </w:r>
          <w:r>
            <w:fldChar w:fldCharType="end"/>
          </w:r>
        </w:p>
        <w:p w14:paraId="4FA8E7AE">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"_Toc130227007" </w:instrText>
          </w:r>
          <w:r>
            <w:fldChar w:fldCharType="separate"/>
          </w:r>
          <w:r>
            <w:rPr>
              <w:rStyle w:val="29"/>
              <w:rFonts w:ascii="仿宋" w:hAnsi="仿宋" w:eastAsia="仿宋"/>
            </w:rPr>
            <w:t>8.1.5.</w:t>
          </w:r>
          <w:r>
            <w:rPr>
              <w:rFonts w:hAnsiTheme="minorHAnsi" w:eastAsiaTheme="minorEastAsia"/>
              <w:i w:val="0"/>
              <w:iCs w:val="0"/>
              <w:sz w:val="21"/>
              <w:szCs w:val="22"/>
            </w:rPr>
            <w:tab/>
          </w:r>
          <w:r>
            <w:rPr>
              <w:rStyle w:val="29"/>
            </w:rPr>
            <w:t>科学经济、有效保护</w:t>
          </w:r>
          <w:r>
            <w:tab/>
          </w:r>
          <w:r>
            <w:fldChar w:fldCharType="begin"/>
          </w:r>
          <w:r>
            <w:instrText xml:space="preserve"> PAGEREF _Toc130227007 \h </w:instrText>
          </w:r>
          <w:r>
            <w:fldChar w:fldCharType="separate"/>
          </w:r>
          <w:r>
            <w:t>25</w:t>
          </w:r>
          <w:r>
            <w:fldChar w:fldCharType="end"/>
          </w:r>
          <w:r>
            <w:fldChar w:fldCharType="end"/>
          </w:r>
        </w:p>
        <w:p w14:paraId="4AE93809">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"_Toc130227008" </w:instrText>
          </w:r>
          <w:r>
            <w:fldChar w:fldCharType="separate"/>
          </w:r>
          <w:r>
            <w:rPr>
              <w:rStyle w:val="29"/>
            </w:rPr>
            <w:t>8.2.</w:t>
          </w:r>
          <w:r>
            <w:rPr>
              <w:rFonts w:hAnsiTheme="minorHAnsi" w:eastAsiaTheme="minorEastAsia"/>
              <w:smallCaps w:val="0"/>
              <w:sz w:val="21"/>
              <w:szCs w:val="22"/>
            </w:rPr>
            <w:tab/>
          </w:r>
          <w:r>
            <w:rPr>
              <w:rStyle w:val="29"/>
            </w:rPr>
            <w:t>总体设计思路</w:t>
          </w:r>
          <w:r>
            <w:tab/>
          </w:r>
          <w:r>
            <w:fldChar w:fldCharType="begin"/>
          </w:r>
          <w:r>
            <w:instrText xml:space="preserve"> PAGEREF _Toc130227008 \h </w:instrText>
          </w:r>
          <w:r>
            <w:fldChar w:fldCharType="separate"/>
          </w:r>
          <w:r>
            <w:t>26</w:t>
          </w:r>
          <w:r>
            <w:fldChar w:fldCharType="end"/>
          </w:r>
          <w:r>
            <w:fldChar w:fldCharType="end"/>
          </w:r>
        </w:p>
        <w:p w14:paraId="358D35D7">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"_Toc130227009" </w:instrText>
          </w:r>
          <w:r>
            <w:fldChar w:fldCharType="separate"/>
          </w:r>
          <w:r>
            <w:rPr>
              <w:rStyle w:val="29"/>
              <w:rFonts w:ascii="仿宋" w:hAnsi="仿宋" w:eastAsia="仿宋"/>
            </w:rPr>
            <w:t>8.2.1.</w:t>
          </w:r>
          <w:r>
            <w:rPr>
              <w:rFonts w:hAnsiTheme="minorHAnsi" w:eastAsiaTheme="minorEastAsia"/>
              <w:i w:val="0"/>
              <w:iCs w:val="0"/>
              <w:sz w:val="21"/>
              <w:szCs w:val="22"/>
            </w:rPr>
            <w:tab/>
          </w:r>
          <w:r>
            <w:rPr>
              <w:rStyle w:val="29"/>
            </w:rPr>
            <w:t>安全风险管理实施思路</w:t>
          </w:r>
          <w:r>
            <w:tab/>
          </w:r>
          <w:r>
            <w:fldChar w:fldCharType="begin"/>
          </w:r>
          <w:r>
            <w:instrText xml:space="preserve"> PAGEREF _Toc130227009 \h </w:instrText>
          </w:r>
          <w:r>
            <w:fldChar w:fldCharType="separate"/>
          </w:r>
          <w:r>
            <w:t>26</w:t>
          </w:r>
          <w:r>
            <w:fldChar w:fldCharType="end"/>
          </w:r>
          <w:r>
            <w:fldChar w:fldCharType="end"/>
          </w:r>
        </w:p>
        <w:p w14:paraId="71FB6E26">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"_Toc130227010" </w:instrText>
          </w:r>
          <w:r>
            <w:fldChar w:fldCharType="separate"/>
          </w:r>
          <w:r>
            <w:rPr>
              <w:rStyle w:val="29"/>
              <w:rFonts w:ascii="仿宋" w:hAnsi="仿宋" w:eastAsia="仿宋"/>
            </w:rPr>
            <w:t>8.2.2.</w:t>
          </w:r>
          <w:r>
            <w:rPr>
              <w:rFonts w:hAnsiTheme="minorHAnsi" w:eastAsiaTheme="minorEastAsia"/>
              <w:i w:val="0"/>
              <w:iCs w:val="0"/>
              <w:sz w:val="21"/>
              <w:szCs w:val="22"/>
            </w:rPr>
            <w:tab/>
          </w:r>
          <w:r>
            <w:rPr>
              <w:rStyle w:val="29"/>
            </w:rPr>
            <w:t>安全合规性建设实施思路</w:t>
          </w:r>
          <w:r>
            <w:tab/>
          </w:r>
          <w:r>
            <w:fldChar w:fldCharType="begin"/>
          </w:r>
          <w:r>
            <w:instrText xml:space="preserve"> PAGEREF _Toc130227010 \h </w:instrText>
          </w:r>
          <w:r>
            <w:fldChar w:fldCharType="separate"/>
          </w:r>
          <w:r>
            <w:t>26</w:t>
          </w:r>
          <w:r>
            <w:fldChar w:fldCharType="end"/>
          </w:r>
          <w:r>
            <w:fldChar w:fldCharType="end"/>
          </w:r>
        </w:p>
        <w:p w14:paraId="096FDEBC">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"_Toc130227011" </w:instrText>
          </w:r>
          <w:r>
            <w:fldChar w:fldCharType="separate"/>
          </w:r>
          <w:r>
            <w:rPr>
              <w:rStyle w:val="29"/>
              <w:rFonts w:ascii="仿宋" w:hAnsi="仿宋" w:eastAsia="仿宋"/>
            </w:rPr>
            <w:t>8.2.3.</w:t>
          </w:r>
          <w:r>
            <w:rPr>
              <w:rFonts w:hAnsiTheme="minorHAnsi" w:eastAsiaTheme="minorEastAsia"/>
              <w:i w:val="0"/>
              <w:iCs w:val="0"/>
              <w:sz w:val="21"/>
              <w:szCs w:val="22"/>
            </w:rPr>
            <w:tab/>
          </w:r>
          <w:r>
            <w:rPr>
              <w:rStyle w:val="29"/>
            </w:rPr>
            <w:t>动态发展和可扩展的实施思路</w:t>
          </w:r>
          <w:r>
            <w:tab/>
          </w:r>
          <w:r>
            <w:fldChar w:fldCharType="begin"/>
          </w:r>
          <w:r>
            <w:instrText xml:space="preserve"> PAGEREF _Toc130227011 \h </w:instrText>
          </w:r>
          <w:r>
            <w:fldChar w:fldCharType="separate"/>
          </w:r>
          <w:r>
            <w:t>26</w:t>
          </w:r>
          <w:r>
            <w:fldChar w:fldCharType="end"/>
          </w:r>
          <w:r>
            <w:fldChar w:fldCharType="end"/>
          </w:r>
        </w:p>
        <w:p w14:paraId="4133605E">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"_Toc130227012" </w:instrText>
          </w:r>
          <w:r>
            <w:fldChar w:fldCharType="separate"/>
          </w:r>
          <w:r>
            <w:rPr>
              <w:rStyle w:val="29"/>
              <w:rFonts w:ascii="仿宋" w:hAnsi="仿宋" w:eastAsia="仿宋"/>
            </w:rPr>
            <w:t>8.2.4.</w:t>
          </w:r>
          <w:r>
            <w:rPr>
              <w:rFonts w:hAnsiTheme="minorHAnsi" w:eastAsiaTheme="minorEastAsia"/>
              <w:i w:val="0"/>
              <w:iCs w:val="0"/>
              <w:sz w:val="21"/>
              <w:szCs w:val="22"/>
            </w:rPr>
            <w:tab/>
          </w:r>
          <w:r>
            <w:rPr>
              <w:rStyle w:val="29"/>
            </w:rPr>
            <w:t>前瞻性技术理念落地思路</w:t>
          </w:r>
          <w:r>
            <w:tab/>
          </w:r>
          <w:r>
            <w:fldChar w:fldCharType="begin"/>
          </w:r>
          <w:r>
            <w:instrText xml:space="preserve"> PAGEREF _Toc130227012 \h </w:instrText>
          </w:r>
          <w:r>
            <w:fldChar w:fldCharType="separate"/>
          </w:r>
          <w:r>
            <w:t>26</w:t>
          </w:r>
          <w:r>
            <w:fldChar w:fldCharType="end"/>
          </w:r>
          <w:r>
            <w:fldChar w:fldCharType="end"/>
          </w:r>
        </w:p>
        <w:p w14:paraId="14BC6743">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"_Toc130227013" </w:instrText>
          </w:r>
          <w:r>
            <w:fldChar w:fldCharType="separate"/>
          </w:r>
          <w:r>
            <w:rPr>
              <w:rStyle w:val="29"/>
            </w:rPr>
            <w:t>8.3.</w:t>
          </w:r>
          <w:r>
            <w:rPr>
              <w:rFonts w:hAnsiTheme="minorHAnsi" w:eastAsiaTheme="minorEastAsia"/>
              <w:smallCaps w:val="0"/>
              <w:sz w:val="21"/>
              <w:szCs w:val="22"/>
            </w:rPr>
            <w:tab/>
          </w:r>
          <w:r>
            <w:rPr>
              <w:rStyle w:val="29"/>
            </w:rPr>
            <w:t>系统总体组成架构</w:t>
          </w:r>
          <w:r>
            <w:tab/>
          </w:r>
          <w:r>
            <w:fldChar w:fldCharType="begin"/>
          </w:r>
          <w:r>
            <w:instrText xml:space="preserve"> PAGEREF _Toc130227013 \h </w:instrText>
          </w:r>
          <w:r>
            <w:fldChar w:fldCharType="separate"/>
          </w:r>
          <w:r>
            <w:t>27</w:t>
          </w:r>
          <w:r>
            <w:fldChar w:fldCharType="end"/>
          </w:r>
          <w:r>
            <w:fldChar w:fldCharType="end"/>
          </w:r>
        </w:p>
        <w:p w14:paraId="718171C0">
          <w:pPr>
            <w:pStyle w:val="19"/>
            <w:tabs>
              <w:tab w:val="left" w:pos="960"/>
              <w:tab w:val="right" w:leader="dot" w:pos="8296"/>
            </w:tabs>
            <w:ind w:firstLine="400"/>
            <w:rPr>
              <w:rFonts w:hAnsiTheme="minorHAnsi" w:eastAsiaTheme="minorEastAsia"/>
              <w:b w:val="0"/>
              <w:bCs w:val="0"/>
              <w:caps w:val="0"/>
              <w:sz w:val="21"/>
              <w:szCs w:val="22"/>
            </w:rPr>
          </w:pPr>
          <w:r>
            <w:fldChar w:fldCharType="begin"/>
          </w:r>
          <w:r>
            <w:instrText xml:space="preserve"> HYPERLINK \l "_Toc130227014" </w:instrText>
          </w:r>
          <w:r>
            <w:fldChar w:fldCharType="separate"/>
          </w:r>
          <w:r>
            <w:rPr>
              <w:rStyle w:val="29"/>
            </w:rPr>
            <w:t>9.</w:t>
          </w:r>
          <w:r>
            <w:rPr>
              <w:rFonts w:hAnsiTheme="minorHAnsi" w:eastAsiaTheme="minorEastAsia"/>
              <w:b w:val="0"/>
              <w:bCs w:val="0"/>
              <w:caps w:val="0"/>
              <w:sz w:val="21"/>
              <w:szCs w:val="22"/>
            </w:rPr>
            <w:tab/>
          </w:r>
          <w:r>
            <w:rPr>
              <w:rStyle w:val="29"/>
            </w:rPr>
            <w:t>系统建设方案</w:t>
          </w:r>
          <w:r>
            <w:tab/>
          </w:r>
          <w:r>
            <w:fldChar w:fldCharType="begin"/>
          </w:r>
          <w:r>
            <w:instrText xml:space="preserve"> PAGEREF _Toc130227014 \h </w:instrText>
          </w:r>
          <w:r>
            <w:fldChar w:fldCharType="separate"/>
          </w:r>
          <w:r>
            <w:t>28</w:t>
          </w:r>
          <w:r>
            <w:fldChar w:fldCharType="end"/>
          </w:r>
          <w:r>
            <w:fldChar w:fldCharType="end"/>
          </w:r>
        </w:p>
        <w:p w14:paraId="71B96AED">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"_Toc130227015" </w:instrText>
          </w:r>
          <w:r>
            <w:fldChar w:fldCharType="separate"/>
          </w:r>
          <w:r>
            <w:rPr>
              <w:rStyle w:val="29"/>
            </w:rPr>
            <w:t>9.1.</w:t>
          </w:r>
          <w:r>
            <w:rPr>
              <w:rFonts w:hAnsiTheme="minorHAnsi" w:eastAsiaTheme="minorEastAsia"/>
              <w:smallCaps w:val="0"/>
              <w:sz w:val="21"/>
              <w:szCs w:val="22"/>
            </w:rPr>
            <w:tab/>
          </w:r>
          <w:r>
            <w:rPr>
              <w:rStyle w:val="29"/>
            </w:rPr>
            <w:t>网络资产信息管理</w:t>
          </w:r>
          <w:r>
            <w:tab/>
          </w:r>
          <w:r>
            <w:fldChar w:fldCharType="begin"/>
          </w:r>
          <w:r>
            <w:instrText xml:space="preserve"> PAGEREF _Toc130227015 \h </w:instrText>
          </w:r>
          <w:r>
            <w:fldChar w:fldCharType="separate"/>
          </w:r>
          <w:r>
            <w:t>31</w:t>
          </w:r>
          <w:r>
            <w:fldChar w:fldCharType="end"/>
          </w:r>
          <w:r>
            <w:fldChar w:fldCharType="end"/>
          </w:r>
        </w:p>
        <w:p w14:paraId="285FCB5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"_Toc130227016" </w:instrText>
          </w:r>
          <w:r>
            <w:fldChar w:fldCharType="separate"/>
          </w:r>
          <w:r>
            <w:rPr>
              <w:rStyle w:val="29"/>
              <w:rFonts w:ascii="仿宋" w:hAnsi="仿宋" w:eastAsia="仿宋"/>
            </w:rPr>
            <w:t>9.1.1.</w:t>
          </w:r>
          <w:r>
            <w:rPr>
              <w:rFonts w:hAnsiTheme="minorHAnsi" w:eastAsiaTheme="minorEastAsia"/>
              <w:i w:val="0"/>
              <w:iCs w:val="0"/>
              <w:sz w:val="21"/>
              <w:szCs w:val="22"/>
            </w:rPr>
            <w:tab/>
          </w:r>
          <w:r>
            <w:rPr>
              <w:rStyle w:val="29"/>
            </w:rPr>
            <w:t>资产信息维护</w:t>
          </w:r>
          <w:r>
            <w:tab/>
          </w:r>
          <w:r>
            <w:fldChar w:fldCharType="begin"/>
          </w:r>
          <w:r>
            <w:instrText xml:space="preserve"> PAGEREF _Toc130227016 \h </w:instrText>
          </w:r>
          <w:r>
            <w:fldChar w:fldCharType="separate"/>
          </w:r>
          <w:r>
            <w:t>34</w:t>
          </w:r>
          <w:r>
            <w:fldChar w:fldCharType="end"/>
          </w:r>
          <w:r>
            <w:fldChar w:fldCharType="end"/>
          </w:r>
        </w:p>
        <w:p w14:paraId="42BE7E5B">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"_Toc130227017" </w:instrText>
          </w:r>
          <w:r>
            <w:fldChar w:fldCharType="separate"/>
          </w:r>
          <w:r>
            <w:rPr>
              <w:rStyle w:val="29"/>
              <w:rFonts w:ascii="仿宋" w:hAnsi="仿宋" w:eastAsia="仿宋"/>
            </w:rPr>
            <w:t>9.1.2.</w:t>
          </w:r>
          <w:r>
            <w:rPr>
              <w:rFonts w:hAnsiTheme="minorHAnsi" w:eastAsiaTheme="minorEastAsia"/>
              <w:i w:val="0"/>
              <w:iCs w:val="0"/>
              <w:sz w:val="21"/>
              <w:szCs w:val="22"/>
            </w:rPr>
            <w:tab/>
          </w:r>
          <w:r>
            <w:rPr>
              <w:rStyle w:val="29"/>
            </w:rPr>
            <w:t>资产统计分析</w:t>
          </w:r>
          <w:r>
            <w:tab/>
          </w:r>
          <w:r>
            <w:fldChar w:fldCharType="begin"/>
          </w:r>
          <w:r>
            <w:instrText xml:space="preserve"> PAGEREF _Toc130227017 \h </w:instrText>
          </w:r>
          <w:r>
            <w:fldChar w:fldCharType="separate"/>
          </w:r>
          <w:r>
            <w:t>36</w:t>
          </w:r>
          <w:r>
            <w:fldChar w:fldCharType="end"/>
          </w:r>
          <w:r>
            <w:fldChar w:fldCharType="end"/>
          </w:r>
        </w:p>
        <w:p w14:paraId="7D206958">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"_Toc130227018" </w:instrText>
          </w:r>
          <w:r>
            <w:fldChar w:fldCharType="separate"/>
          </w:r>
          <w:r>
            <w:rPr>
              <w:rStyle w:val="29"/>
              <w:rFonts w:ascii="仿宋" w:hAnsi="仿宋" w:eastAsia="仿宋"/>
            </w:rPr>
            <w:t>9.1.3.</w:t>
          </w:r>
          <w:r>
            <w:rPr>
              <w:rFonts w:hAnsiTheme="minorHAnsi" w:eastAsiaTheme="minorEastAsia"/>
              <w:i w:val="0"/>
              <w:iCs w:val="0"/>
              <w:sz w:val="21"/>
              <w:szCs w:val="22"/>
            </w:rPr>
            <w:tab/>
          </w:r>
          <w:r>
            <w:rPr>
              <w:rStyle w:val="29"/>
            </w:rPr>
            <w:t>资产信息融合</w:t>
          </w:r>
          <w:r>
            <w:tab/>
          </w:r>
          <w:r>
            <w:fldChar w:fldCharType="begin"/>
          </w:r>
          <w:r>
            <w:instrText xml:space="preserve"> PAGEREF _Toc130227018 \h </w:instrText>
          </w:r>
          <w:r>
            <w:fldChar w:fldCharType="separate"/>
          </w:r>
          <w:r>
            <w:t>38</w:t>
          </w:r>
          <w:r>
            <w:fldChar w:fldCharType="end"/>
          </w:r>
          <w:r>
            <w:fldChar w:fldCharType="end"/>
          </w:r>
        </w:p>
        <w:p w14:paraId="1733528C">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"_Toc130227019" </w:instrText>
          </w:r>
          <w:r>
            <w:fldChar w:fldCharType="separate"/>
          </w:r>
          <w:r>
            <w:rPr>
              <w:rStyle w:val="29"/>
              <w:rFonts w:ascii="仿宋" w:hAnsi="仿宋" w:eastAsia="仿宋"/>
            </w:rPr>
            <w:t>9.1.4.</w:t>
          </w:r>
          <w:r>
            <w:rPr>
              <w:rFonts w:hAnsiTheme="minorHAnsi" w:eastAsiaTheme="minorEastAsia"/>
              <w:i w:val="0"/>
              <w:iCs w:val="0"/>
              <w:sz w:val="21"/>
              <w:szCs w:val="22"/>
            </w:rPr>
            <w:tab/>
          </w:r>
          <w:r>
            <w:rPr>
              <w:rStyle w:val="29"/>
            </w:rPr>
            <w:t>资产配置管理</w:t>
          </w:r>
          <w:r>
            <w:tab/>
          </w:r>
          <w:r>
            <w:fldChar w:fldCharType="begin"/>
          </w:r>
          <w:r>
            <w:instrText xml:space="preserve"> PAGEREF _Toc130227019 \h </w:instrText>
          </w:r>
          <w:r>
            <w:fldChar w:fldCharType="separate"/>
          </w:r>
          <w:r>
            <w:t>38</w:t>
          </w:r>
          <w:r>
            <w:fldChar w:fldCharType="end"/>
          </w:r>
          <w:r>
            <w:fldChar w:fldCharType="end"/>
          </w:r>
        </w:p>
        <w:p w14:paraId="2E743F88">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"_Toc130227020" </w:instrText>
          </w:r>
          <w:r>
            <w:fldChar w:fldCharType="separate"/>
          </w:r>
          <w:r>
            <w:rPr>
              <w:rStyle w:val="29"/>
            </w:rPr>
            <w:t>9.2.</w:t>
          </w:r>
          <w:r>
            <w:rPr>
              <w:rFonts w:hAnsiTheme="minorHAnsi" w:eastAsiaTheme="minorEastAsia"/>
              <w:smallCaps w:val="0"/>
              <w:sz w:val="21"/>
              <w:szCs w:val="22"/>
            </w:rPr>
            <w:tab/>
          </w:r>
          <w:r>
            <w:rPr>
              <w:rStyle w:val="29"/>
            </w:rPr>
            <w:t>风险预警及事件通报</w:t>
          </w:r>
          <w:r>
            <w:tab/>
          </w:r>
          <w:r>
            <w:fldChar w:fldCharType="begin"/>
          </w:r>
          <w:r>
            <w:instrText xml:space="preserve"> PAGEREF _Toc130227020 \h </w:instrText>
          </w:r>
          <w:r>
            <w:fldChar w:fldCharType="separate"/>
          </w:r>
          <w:r>
            <w:t>39</w:t>
          </w:r>
          <w:r>
            <w:fldChar w:fldCharType="end"/>
          </w:r>
          <w:r>
            <w:fldChar w:fldCharType="end"/>
          </w:r>
        </w:p>
        <w:p w14:paraId="553072D4">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"_Toc130227021" </w:instrText>
          </w:r>
          <w:r>
            <w:fldChar w:fldCharType="separate"/>
          </w:r>
          <w:r>
            <w:rPr>
              <w:rStyle w:val="29"/>
              <w:rFonts w:ascii="仿宋" w:hAnsi="仿宋" w:eastAsia="仿宋"/>
            </w:rPr>
            <w:t>9.2.1.</w:t>
          </w:r>
          <w:r>
            <w:rPr>
              <w:rFonts w:hAnsiTheme="minorHAnsi" w:eastAsiaTheme="minorEastAsia"/>
              <w:i w:val="0"/>
              <w:iCs w:val="0"/>
              <w:sz w:val="21"/>
              <w:szCs w:val="22"/>
            </w:rPr>
            <w:tab/>
          </w:r>
          <w:r>
            <w:rPr>
              <w:rStyle w:val="29"/>
            </w:rPr>
            <w:t>预警发布</w:t>
          </w:r>
          <w:r>
            <w:tab/>
          </w:r>
          <w:r>
            <w:fldChar w:fldCharType="begin"/>
          </w:r>
          <w:r>
            <w:instrText xml:space="preserve"> PAGEREF _Toc130227021 \h </w:instrText>
          </w:r>
          <w:r>
            <w:fldChar w:fldCharType="separate"/>
          </w:r>
          <w:r>
            <w:t>40</w:t>
          </w:r>
          <w:r>
            <w:fldChar w:fldCharType="end"/>
          </w:r>
          <w:r>
            <w:fldChar w:fldCharType="end"/>
          </w:r>
        </w:p>
        <w:p w14:paraId="10BABC3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"_Toc130227022" </w:instrText>
          </w:r>
          <w:r>
            <w:fldChar w:fldCharType="separate"/>
          </w:r>
          <w:r>
            <w:rPr>
              <w:rStyle w:val="29"/>
              <w:rFonts w:ascii="仿宋" w:hAnsi="仿宋" w:eastAsia="仿宋"/>
            </w:rPr>
            <w:t>9.2.2.</w:t>
          </w:r>
          <w:r>
            <w:rPr>
              <w:rFonts w:hAnsiTheme="minorHAnsi" w:eastAsiaTheme="minorEastAsia"/>
              <w:i w:val="0"/>
              <w:iCs w:val="0"/>
              <w:sz w:val="21"/>
              <w:szCs w:val="22"/>
            </w:rPr>
            <w:tab/>
          </w:r>
          <w:r>
            <w:rPr>
              <w:rStyle w:val="29"/>
            </w:rPr>
            <w:t>待办预警</w:t>
          </w:r>
          <w:r>
            <w:tab/>
          </w:r>
          <w:r>
            <w:fldChar w:fldCharType="begin"/>
          </w:r>
          <w:r>
            <w:instrText xml:space="preserve"> PAGEREF _Toc130227022 \h </w:instrText>
          </w:r>
          <w:r>
            <w:fldChar w:fldCharType="separate"/>
          </w:r>
          <w:r>
            <w:t>40</w:t>
          </w:r>
          <w:r>
            <w:fldChar w:fldCharType="end"/>
          </w:r>
          <w:r>
            <w:fldChar w:fldCharType="end"/>
          </w:r>
        </w:p>
        <w:p w14:paraId="206A18E8">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"_Toc130227023" </w:instrText>
          </w:r>
          <w:r>
            <w:fldChar w:fldCharType="separate"/>
          </w:r>
          <w:r>
            <w:rPr>
              <w:rStyle w:val="29"/>
              <w:rFonts w:ascii="仿宋" w:hAnsi="仿宋" w:eastAsia="仿宋"/>
            </w:rPr>
            <w:t>9.2.3.</w:t>
          </w:r>
          <w:r>
            <w:rPr>
              <w:rFonts w:hAnsiTheme="minorHAnsi" w:eastAsiaTheme="minorEastAsia"/>
              <w:i w:val="0"/>
              <w:iCs w:val="0"/>
              <w:sz w:val="21"/>
              <w:szCs w:val="22"/>
            </w:rPr>
            <w:tab/>
          </w:r>
          <w:r>
            <w:rPr>
              <w:rStyle w:val="29"/>
            </w:rPr>
            <w:t>已办预警</w:t>
          </w:r>
          <w:r>
            <w:tab/>
          </w:r>
          <w:r>
            <w:fldChar w:fldCharType="begin"/>
          </w:r>
          <w:r>
            <w:instrText xml:space="preserve"> PAGEREF _Toc130227023 \h </w:instrText>
          </w:r>
          <w:r>
            <w:fldChar w:fldCharType="separate"/>
          </w:r>
          <w:r>
            <w:t>40</w:t>
          </w:r>
          <w:r>
            <w:fldChar w:fldCharType="end"/>
          </w:r>
          <w:r>
            <w:fldChar w:fldCharType="end"/>
          </w:r>
        </w:p>
        <w:p w14:paraId="59C66026">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"_Toc130227024" </w:instrText>
          </w:r>
          <w:r>
            <w:fldChar w:fldCharType="separate"/>
          </w:r>
          <w:r>
            <w:rPr>
              <w:rStyle w:val="29"/>
              <w:rFonts w:ascii="仿宋" w:hAnsi="仿宋" w:eastAsia="仿宋"/>
            </w:rPr>
            <w:t>9.2.4.</w:t>
          </w:r>
          <w:r>
            <w:rPr>
              <w:rFonts w:hAnsiTheme="minorHAnsi" w:eastAsiaTheme="minorEastAsia"/>
              <w:i w:val="0"/>
              <w:iCs w:val="0"/>
              <w:sz w:val="21"/>
              <w:szCs w:val="22"/>
            </w:rPr>
            <w:tab/>
          </w:r>
          <w:r>
            <w:rPr>
              <w:rStyle w:val="29"/>
            </w:rPr>
            <w:t>所有预警</w:t>
          </w:r>
          <w:r>
            <w:tab/>
          </w:r>
          <w:r>
            <w:fldChar w:fldCharType="begin"/>
          </w:r>
          <w:r>
            <w:instrText xml:space="preserve"> PAGEREF _Toc130227024 \h </w:instrText>
          </w:r>
          <w:r>
            <w:fldChar w:fldCharType="separate"/>
          </w:r>
          <w:r>
            <w:t>41</w:t>
          </w:r>
          <w:r>
            <w:fldChar w:fldCharType="end"/>
          </w:r>
          <w:r>
            <w:fldChar w:fldCharType="end"/>
          </w:r>
        </w:p>
        <w:p w14:paraId="26DD71DF">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"_Toc130227025" </w:instrText>
          </w:r>
          <w:r>
            <w:fldChar w:fldCharType="separate"/>
          </w:r>
          <w:r>
            <w:rPr>
              <w:rStyle w:val="29"/>
              <w:rFonts w:ascii="仿宋" w:hAnsi="仿宋" w:eastAsia="仿宋"/>
            </w:rPr>
            <w:t>9.2.5.</w:t>
          </w:r>
          <w:r>
            <w:rPr>
              <w:rFonts w:hAnsiTheme="minorHAnsi" w:eastAsiaTheme="minorEastAsia"/>
              <w:i w:val="0"/>
              <w:iCs w:val="0"/>
              <w:sz w:val="21"/>
              <w:szCs w:val="22"/>
            </w:rPr>
            <w:tab/>
          </w:r>
          <w:r>
            <w:rPr>
              <w:rStyle w:val="29"/>
            </w:rPr>
            <w:t>预警配置</w:t>
          </w:r>
          <w:r>
            <w:tab/>
          </w:r>
          <w:r>
            <w:fldChar w:fldCharType="begin"/>
          </w:r>
          <w:r>
            <w:instrText xml:space="preserve"> PAGEREF _Toc130227025 \h </w:instrText>
          </w:r>
          <w:r>
            <w:fldChar w:fldCharType="separate"/>
          </w:r>
          <w:r>
            <w:t>41</w:t>
          </w:r>
          <w:r>
            <w:fldChar w:fldCharType="end"/>
          </w:r>
          <w:r>
            <w:fldChar w:fldCharType="end"/>
          </w:r>
        </w:p>
        <w:p w14:paraId="3B32AC94">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"_Toc130227026" </w:instrText>
          </w:r>
          <w:r>
            <w:fldChar w:fldCharType="separate"/>
          </w:r>
          <w:r>
            <w:rPr>
              <w:rStyle w:val="29"/>
              <w:rFonts w:ascii="仿宋" w:hAnsi="仿宋" w:eastAsia="仿宋"/>
            </w:rPr>
            <w:t>9.2.6.</w:t>
          </w:r>
          <w:r>
            <w:rPr>
              <w:rFonts w:hAnsiTheme="minorHAnsi" w:eastAsiaTheme="minorEastAsia"/>
              <w:i w:val="0"/>
              <w:iCs w:val="0"/>
              <w:sz w:val="21"/>
              <w:szCs w:val="22"/>
            </w:rPr>
            <w:tab/>
          </w:r>
          <w:r>
            <w:rPr>
              <w:rStyle w:val="29"/>
            </w:rPr>
            <w:t>功能示意图</w:t>
          </w:r>
          <w:r>
            <w:tab/>
          </w:r>
          <w:r>
            <w:fldChar w:fldCharType="begin"/>
          </w:r>
          <w:r>
            <w:instrText xml:space="preserve"> PAGEREF _Toc130227026 \h </w:instrText>
          </w:r>
          <w:r>
            <w:fldChar w:fldCharType="separate"/>
          </w:r>
          <w:r>
            <w:t>41</w:t>
          </w:r>
          <w:r>
            <w:fldChar w:fldCharType="end"/>
          </w:r>
          <w:r>
            <w:fldChar w:fldCharType="end"/>
          </w:r>
        </w:p>
        <w:p w14:paraId="3C45B2F5">
          <w:pPr>
            <w:pStyle w:val="23"/>
            <w:tabs>
              <w:tab w:val="left" w:pos="1200"/>
              <w:tab w:val="right" w:leader="dot" w:pos="8296"/>
            </w:tabs>
            <w:ind w:firstLine="400"/>
            <w:rPr>
              <w:rFonts w:hAnsiTheme="minorHAnsi" w:eastAsiaTheme="minorEastAsia"/>
              <w:smallCaps w:val="0"/>
              <w:sz w:val="21"/>
              <w:szCs w:val="22"/>
            </w:rPr>
          </w:pPr>
          <w:r>
            <w:fldChar w:fldCharType="begin"/>
          </w:r>
          <w:r>
            <w:instrText xml:space="preserve"> HYPERLINK \l "_Toc130227027" </w:instrText>
          </w:r>
          <w:r>
            <w:fldChar w:fldCharType="separate"/>
          </w:r>
          <w:r>
            <w:rPr>
              <w:rStyle w:val="29"/>
            </w:rPr>
            <w:t>9.3.</w:t>
          </w:r>
          <w:r>
            <w:rPr>
              <w:rFonts w:hAnsiTheme="minorHAnsi" w:eastAsiaTheme="minorEastAsia"/>
              <w:smallCaps w:val="0"/>
              <w:sz w:val="21"/>
              <w:szCs w:val="22"/>
            </w:rPr>
            <w:tab/>
          </w:r>
          <w:r>
            <w:rPr>
              <w:rStyle w:val="29"/>
            </w:rPr>
            <w:t>网络安全事件协同处置</w:t>
          </w:r>
          <w:r>
            <w:tab/>
          </w:r>
          <w:r>
            <w:fldChar w:fldCharType="begin"/>
          </w:r>
          <w:r>
            <w:instrText xml:space="preserve"> PAGEREF _Toc130227027 \h </w:instrText>
          </w:r>
          <w:r>
            <w:fldChar w:fldCharType="separate"/>
          </w:r>
          <w:r>
            <w:t>42</w:t>
          </w:r>
          <w:r>
            <w:fldChar w:fldCharType="end"/>
          </w:r>
          <w:r>
            <w:fldChar w:fldCharType="end"/>
          </w:r>
        </w:p>
        <w:p w14:paraId="2154FFFE">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"_Toc130227028" </w:instrText>
          </w:r>
          <w:r>
            <w:fldChar w:fldCharType="separate"/>
          </w:r>
          <w:r>
            <w:rPr>
              <w:rStyle w:val="29"/>
              <w:rFonts w:ascii="仿宋" w:hAnsi="仿宋" w:eastAsia="仿宋"/>
            </w:rPr>
            <w:t>9.3.1.</w:t>
          </w:r>
          <w:r>
            <w:rPr>
              <w:rFonts w:hAnsiTheme="minorHAnsi" w:eastAsiaTheme="minorEastAsia"/>
              <w:i w:val="0"/>
              <w:iCs w:val="0"/>
              <w:sz w:val="21"/>
              <w:szCs w:val="22"/>
            </w:rPr>
            <w:tab/>
          </w:r>
          <w:r>
            <w:rPr>
              <w:rStyle w:val="29"/>
            </w:rPr>
            <w:t>事件通报</w:t>
          </w:r>
          <w:r>
            <w:tab/>
          </w:r>
          <w:r>
            <w:fldChar w:fldCharType="begin"/>
          </w:r>
          <w:r>
            <w:instrText xml:space="preserve"> PAGEREF _Toc130227028 \h </w:instrText>
          </w:r>
          <w:r>
            <w:fldChar w:fldCharType="separate"/>
          </w:r>
          <w:r>
            <w:t>42</w:t>
          </w:r>
          <w:r>
            <w:fldChar w:fldCharType="end"/>
          </w:r>
          <w:r>
            <w:fldChar w:fldCharType="end"/>
          </w:r>
        </w:p>
        <w:p w14:paraId="194F1AF5">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"_Toc130227029" </w:instrText>
          </w:r>
          <w:r>
            <w:fldChar w:fldCharType="separate"/>
          </w:r>
          <w:r>
            <w:rPr>
              <w:rStyle w:val="29"/>
              <w:rFonts w:ascii="仿宋" w:hAnsi="仿宋" w:eastAsia="仿宋"/>
            </w:rPr>
            <w:t>9.3.2.</w:t>
          </w:r>
          <w:r>
            <w:rPr>
              <w:rFonts w:hAnsiTheme="minorHAnsi" w:eastAsiaTheme="minorEastAsia"/>
              <w:i w:val="0"/>
              <w:iCs w:val="0"/>
              <w:sz w:val="21"/>
              <w:szCs w:val="22"/>
            </w:rPr>
            <w:tab/>
          </w:r>
          <w:r>
            <w:rPr>
              <w:rStyle w:val="29"/>
            </w:rPr>
            <w:t>信息上报</w:t>
          </w:r>
          <w:r>
            <w:tab/>
          </w:r>
          <w:r>
            <w:fldChar w:fldCharType="begin"/>
          </w:r>
          <w:r>
            <w:instrText xml:space="preserve"> PAGEREF _Toc130227029 \h </w:instrText>
          </w:r>
          <w:r>
            <w:fldChar w:fldCharType="separate"/>
          </w:r>
          <w:r>
            <w:t>43</w:t>
          </w:r>
          <w:r>
            <w:fldChar w:fldCharType="end"/>
          </w:r>
          <w:r>
            <w:fldChar w:fldCharType="end"/>
          </w:r>
        </w:p>
        <w:p w14:paraId="40383509">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"_Toc130227030" </w:instrText>
          </w:r>
          <w:r>
            <w:fldChar w:fldCharType="separate"/>
          </w:r>
          <w:r>
            <w:rPr>
              <w:rStyle w:val="29"/>
              <w:rFonts w:ascii="仿宋" w:hAnsi="仿宋" w:eastAsia="仿宋"/>
            </w:rPr>
            <w:t>9.3.3.</w:t>
          </w:r>
          <w:r>
            <w:rPr>
              <w:rFonts w:hAnsiTheme="minorHAnsi" w:eastAsiaTheme="minorEastAsia"/>
              <w:i w:val="0"/>
              <w:iCs w:val="0"/>
              <w:sz w:val="21"/>
              <w:szCs w:val="22"/>
            </w:rPr>
            <w:tab/>
          </w:r>
          <w:r>
            <w:rPr>
              <w:rStyle w:val="29"/>
            </w:rPr>
            <w:t>事件处置反馈</w:t>
          </w:r>
          <w:r>
            <w:tab/>
          </w:r>
          <w:r>
            <w:fldChar w:fldCharType="begin"/>
          </w:r>
          <w:r>
            <w:instrText xml:space="preserve"> PAGEREF _Toc130227030 \h </w:instrText>
          </w:r>
          <w:r>
            <w:fldChar w:fldCharType="separate"/>
          </w:r>
          <w:r>
            <w:t>43</w:t>
          </w:r>
          <w:r>
            <w:fldChar w:fldCharType="end"/>
          </w:r>
          <w:r>
            <w:fldChar w:fldCharType="end"/>
          </w:r>
        </w:p>
        <w:p w14:paraId="67C554D2">
          <w:pPr>
            <w:pStyle w:val="23"/>
            <w:tabs>
              <w:tab w:val="left" w:pos="1440"/>
              <w:tab w:val="right" w:leader="dot" w:pos="8296"/>
            </w:tabs>
            <w:ind w:firstLine="400"/>
            <w:rPr>
              <w:rFonts w:hAnsiTheme="minorHAnsi" w:eastAsiaTheme="minorEastAsia"/>
              <w:smallCaps w:val="0"/>
              <w:sz w:val="21"/>
              <w:szCs w:val="22"/>
            </w:rPr>
          </w:pPr>
          <w:r>
            <w:fldChar w:fldCharType="begin"/>
          </w:r>
          <w:r>
            <w:instrText xml:space="preserve"> HYPERLINK \l "_Toc130227031" </w:instrText>
          </w:r>
          <w:r>
            <w:fldChar w:fldCharType="separate"/>
          </w:r>
          <w:r>
            <w:rPr>
              <w:rStyle w:val="29"/>
              <w:rFonts w:ascii="宋体" w:hAnsi="宋体" w:eastAsia="宋体"/>
            </w:rPr>
            <w:t>9.4.</w:t>
          </w:r>
          <w:r>
            <w:rPr>
              <w:rFonts w:hAnsiTheme="minorHAnsi" w:eastAsiaTheme="minorEastAsia"/>
              <w:smallCaps w:val="0"/>
              <w:sz w:val="21"/>
              <w:szCs w:val="22"/>
            </w:rPr>
            <w:tab/>
          </w:r>
          <w:r>
            <w:rPr>
              <w:rStyle w:val="29"/>
              <w:rFonts w:ascii="宋体" w:hAnsi="宋体" w:eastAsia="宋体"/>
            </w:rPr>
            <w:t>网络安全协调指挥</w:t>
          </w:r>
          <w:r>
            <w:tab/>
          </w:r>
          <w:r>
            <w:fldChar w:fldCharType="begin"/>
          </w:r>
          <w:r>
            <w:instrText xml:space="preserve"> PAGEREF _Toc130227031 \h </w:instrText>
          </w:r>
          <w:r>
            <w:fldChar w:fldCharType="separate"/>
          </w:r>
          <w:r>
            <w:t>43</w:t>
          </w:r>
          <w:r>
            <w:fldChar w:fldCharType="end"/>
          </w:r>
          <w:r>
            <w:fldChar w:fldCharType="end"/>
          </w:r>
        </w:p>
        <w:p w14:paraId="47495D98">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"_Toc130227032" </w:instrText>
          </w:r>
          <w:r>
            <w:fldChar w:fldCharType="separate"/>
          </w:r>
          <w:r>
            <w:rPr>
              <w:rStyle w:val="29"/>
              <w:rFonts w:ascii="仿宋" w:hAnsi="仿宋" w:eastAsia="仿宋"/>
            </w:rPr>
            <w:t>9.4.1.</w:t>
          </w:r>
          <w:r>
            <w:rPr>
              <w:rFonts w:hAnsiTheme="minorHAnsi" w:eastAsiaTheme="minorEastAsia"/>
              <w:i w:val="0"/>
              <w:iCs w:val="0"/>
              <w:sz w:val="21"/>
              <w:szCs w:val="22"/>
            </w:rPr>
            <w:tab/>
          </w:r>
          <w:r>
            <w:rPr>
              <w:rStyle w:val="29"/>
            </w:rPr>
            <w:t>网络安全统筹管理</w:t>
          </w:r>
          <w:r>
            <w:tab/>
          </w:r>
          <w:r>
            <w:fldChar w:fldCharType="begin"/>
          </w:r>
          <w:r>
            <w:instrText xml:space="preserve"> PAGEREF _Toc130227032 \h </w:instrText>
          </w:r>
          <w:r>
            <w:fldChar w:fldCharType="separate"/>
          </w:r>
          <w:r>
            <w:t>44</w:t>
          </w:r>
          <w:r>
            <w:fldChar w:fldCharType="end"/>
          </w:r>
          <w:r>
            <w:fldChar w:fldCharType="end"/>
          </w:r>
        </w:p>
        <w:p w14:paraId="72878C8C">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"_Toc130227033" </w:instrText>
          </w:r>
          <w:r>
            <w:fldChar w:fldCharType="separate"/>
          </w:r>
          <w:r>
            <w:rPr>
              <w:rStyle w:val="29"/>
              <w:rFonts w:ascii="仿宋" w:hAnsi="仿宋" w:eastAsia="仿宋"/>
            </w:rPr>
            <w:t>9.4.2.</w:t>
          </w:r>
          <w:r>
            <w:rPr>
              <w:rFonts w:hAnsiTheme="minorHAnsi" w:eastAsiaTheme="minorEastAsia"/>
              <w:i w:val="0"/>
              <w:iCs w:val="0"/>
              <w:sz w:val="21"/>
              <w:szCs w:val="22"/>
            </w:rPr>
            <w:tab/>
          </w:r>
          <w:r>
            <w:rPr>
              <w:rStyle w:val="29"/>
            </w:rPr>
            <w:t>协调指挥数据交互设计</w:t>
          </w:r>
          <w:r>
            <w:tab/>
          </w:r>
          <w:r>
            <w:fldChar w:fldCharType="begin"/>
          </w:r>
          <w:r>
            <w:instrText xml:space="preserve"> PAGEREF _Toc130227033 \h </w:instrText>
          </w:r>
          <w:r>
            <w:fldChar w:fldCharType="separate"/>
          </w:r>
          <w:r>
            <w:t>51</w:t>
          </w:r>
          <w:r>
            <w:fldChar w:fldCharType="end"/>
          </w:r>
          <w:r>
            <w:fldChar w:fldCharType="end"/>
          </w:r>
        </w:p>
        <w:p w14:paraId="659FBFCA">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"_Toc130227034" </w:instrText>
          </w:r>
          <w:r>
            <w:fldChar w:fldCharType="separate"/>
          </w:r>
          <w:r>
            <w:rPr>
              <w:rStyle w:val="29"/>
              <w:rFonts w:ascii="仿宋" w:hAnsi="仿宋" w:eastAsia="仿宋"/>
            </w:rPr>
            <w:t>9.4.3.</w:t>
          </w:r>
          <w:r>
            <w:rPr>
              <w:rFonts w:hAnsiTheme="minorHAnsi" w:eastAsiaTheme="minorEastAsia"/>
              <w:i w:val="0"/>
              <w:iCs w:val="0"/>
              <w:sz w:val="21"/>
              <w:szCs w:val="22"/>
            </w:rPr>
            <w:tab/>
          </w:r>
          <w:r>
            <w:rPr>
              <w:rStyle w:val="29"/>
            </w:rPr>
            <w:t>网络安全检查协同管理</w:t>
          </w:r>
          <w:r>
            <w:tab/>
          </w:r>
          <w:r>
            <w:fldChar w:fldCharType="begin"/>
          </w:r>
          <w:r>
            <w:instrText xml:space="preserve"> PAGEREF _Toc130227034 \h </w:instrText>
          </w:r>
          <w:r>
            <w:fldChar w:fldCharType="separate"/>
          </w:r>
          <w:r>
            <w:t>72</w:t>
          </w:r>
          <w:r>
            <w:fldChar w:fldCharType="end"/>
          </w:r>
          <w:r>
            <w:fldChar w:fldCharType="end"/>
          </w:r>
        </w:p>
        <w:p w14:paraId="7588A138">
          <w:pPr>
            <w:pStyle w:val="14"/>
            <w:tabs>
              <w:tab w:val="left" w:pos="1920"/>
              <w:tab w:val="right" w:leader="dot" w:pos="8296"/>
            </w:tabs>
            <w:ind w:firstLine="400"/>
            <w:rPr>
              <w:rFonts w:hAnsiTheme="minorHAnsi" w:eastAsiaTheme="minorEastAsia"/>
              <w:i w:val="0"/>
              <w:iCs w:val="0"/>
              <w:sz w:val="21"/>
              <w:szCs w:val="22"/>
            </w:rPr>
          </w:pPr>
          <w:r>
            <w:fldChar w:fldCharType="begin"/>
          </w:r>
          <w:r>
            <w:instrText xml:space="preserve"> HYPERLINK \l "_Toc130227035" </w:instrText>
          </w:r>
          <w:r>
            <w:fldChar w:fldCharType="separate"/>
          </w:r>
          <w:r>
            <w:rPr>
              <w:rStyle w:val="29"/>
              <w:rFonts w:ascii="仿宋" w:hAnsi="仿宋" w:eastAsia="仿宋"/>
            </w:rPr>
            <w:t>9.4.4.</w:t>
          </w:r>
          <w:r>
            <w:rPr>
              <w:rFonts w:hAnsiTheme="minorHAnsi" w:eastAsiaTheme="minorEastAsia"/>
              <w:i w:val="0"/>
              <w:iCs w:val="0"/>
              <w:sz w:val="21"/>
              <w:szCs w:val="22"/>
            </w:rPr>
            <w:tab/>
          </w:r>
          <w:r>
            <w:rPr>
              <w:rStyle w:val="29"/>
            </w:rPr>
            <w:t>指标配置管理</w:t>
          </w:r>
          <w:r>
            <w:tab/>
          </w:r>
          <w:r>
            <w:fldChar w:fldCharType="begin"/>
          </w:r>
          <w:r>
            <w:instrText xml:space="preserve"> PAGEREF _Toc130227035 \h </w:instrText>
          </w:r>
          <w:r>
            <w:fldChar w:fldCharType="separate"/>
          </w:r>
          <w:r>
            <w:t>78</w:t>
          </w:r>
          <w:r>
            <w:fldChar w:fldCharType="end"/>
          </w:r>
          <w:r>
            <w:fldChar w:fldCharType="end"/>
          </w:r>
        </w:p>
        <w:p w14:paraId="2574A42C">
          <w:pPr>
            <w:ind w:firstLine="482"/>
          </w:pPr>
          <w:r>
            <w:rPr>
              <w:b/>
              <w:bCs/>
              <w:lang w:val="zh-CN"/>
            </w:rPr>
            <w:fldChar w:fldCharType="end"/>
          </w:r>
        </w:p>
      </w:sdtContent>
    </w:sdt>
    <w:p w14:paraId="30B8DDAC">
      <w:pPr>
        <w:pStyle w:val="2"/>
        <w:numPr>
          <w:ilvl w:val="0"/>
          <w:numId w:val="2"/>
        </w:numPr>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0" w:name="_Toc104633430"/>
    </w:p>
    <w:p w14:paraId="540F3301">
      <w:pPr>
        <w:pStyle w:val="2"/>
        <w:numPr>
          <w:ilvl w:val="0"/>
          <w:numId w:val="2"/>
        </w:numPr>
        <w:jc w:val="left"/>
      </w:pPr>
      <w:bookmarkStart w:id="1" w:name="_Toc130226959"/>
      <w:r>
        <w:rPr>
          <w:rFonts w:hint="eastAsia"/>
        </w:rPr>
        <w:t>项目背景</w:t>
      </w:r>
      <w:bookmarkEnd w:id="0"/>
      <w:bookmarkEnd w:id="1"/>
    </w:p>
    <w:p w14:paraId="7D54EE8F">
      <w:pPr>
        <w:ind w:firstLine="480"/>
      </w:pPr>
      <w:r>
        <w:rPr>
          <w:rFonts w:hint="eastAsia"/>
        </w:rPr>
        <w:t>党的十八大以来，我国确立了网络强国战略，加快数字中国建设，信息经济蓬勃发展，互联网成为国家发展的重要驱动力。</w:t>
      </w:r>
      <w:r>
        <w:t>2014年，国家“中央网络安全和信息化领导小组”宣告成立，习近平总书记亲自担任信息化领导小组组长，并指出“没有</w:t>
      </w:r>
      <w:r>
        <w:rPr>
          <w:rFonts w:hint="eastAsia"/>
        </w:rPr>
        <w:t>网络</w:t>
      </w:r>
      <w:r>
        <w:t>安全就没有国家安全”，将网络与信息安全上升到国家安全战略高度。</w:t>
      </w:r>
    </w:p>
    <w:p w14:paraId="0882DB93">
      <w:pPr>
        <w:ind w:firstLine="480"/>
      </w:pPr>
      <w:r>
        <w:rPr>
          <w:rFonts w:hint="eastAsia"/>
        </w:rPr>
        <w:t>2016年4月19日习近平总书记在网信工作座谈会上的讲话中提到“全天候全方位感知网络安全态势”“增强网络安全防御能力和威慑能力”。要建立统一高效的网络安全风险报告机制、情报共享机制、研判处置机制，准确把握网络安全风险发生的规律、动向、趋势。以综合运用各方面掌握的数据资源，加强大数据挖掘分析，更好感知网络安全态势，做好风险防范。</w:t>
      </w:r>
    </w:p>
    <w:p w14:paraId="4EC59C4F">
      <w:pPr>
        <w:ind w:firstLine="480"/>
      </w:pPr>
      <w:r>
        <w:t>2017年6月1日，《中华人民共和国网络安全法》正式实施，标志着我国网</w:t>
      </w:r>
      <w:r>
        <w:rPr>
          <w:rFonts w:hint="eastAsia"/>
        </w:rPr>
        <w:t>络安全管理迈入法治新阶段，网络空间法治体系建设加速开展。本法规定国家网信部门应当</w:t>
      </w:r>
      <w:r>
        <w:t>统筹协调有关部门加强网络安全信息收集、分析和通报工作，按照规定统一发布网络安全监测预警信息</w:t>
      </w:r>
      <w:r>
        <w:rPr>
          <w:rFonts w:hint="eastAsia"/>
        </w:rPr>
        <w:t>并统筹协调有关部门对关键信息基础设施的安全保护。</w:t>
      </w:r>
    </w:p>
    <w:p w14:paraId="09D7EA03">
      <w:pPr>
        <w:ind w:firstLine="480"/>
      </w:pPr>
      <w:r>
        <w:t>2018年4月20日，网络安全和信息化工作会议上习近平总书记</w:t>
      </w:r>
      <w:r>
        <w:rPr>
          <w:rFonts w:hint="eastAsia"/>
        </w:rPr>
        <w:t>再次</w:t>
      </w:r>
      <w:r>
        <w:t>强调，没有网络安全就没有国家安全，就没有经济社会稳定运行，广大人民群众利益也难以得到保障。要树立正确的网络安全观，加强信息基础设施网络安全防护，加强网络安全信息统筹机制、手段、平台建设，加强网络安全事件应急指挥能力建设，积极发展网络安全产业，做到关口前移，防患于未然。</w:t>
      </w:r>
    </w:p>
    <w:p w14:paraId="2C26EAD5">
      <w:pPr>
        <w:ind w:firstLine="480"/>
        <w:rPr>
          <w:color w:val="000000" w:themeColor="text1"/>
          <w14:textFill>
            <w14:solidFill>
              <w14:schemeClr w14:val="tx1"/>
            </w14:solidFill>
          </w14:textFill>
        </w:rPr>
      </w:pPr>
      <w:r>
        <w:rPr>
          <w:color w:val="000000" w:themeColor="text1"/>
          <w14:textFill>
            <w14:solidFill>
              <w14:schemeClr w14:val="tx1"/>
            </w14:solidFill>
          </w14:textFill>
        </w:rPr>
        <w:t>2021年8月4日，</w:t>
      </w:r>
      <w:r>
        <w:rPr>
          <w:rFonts w:hint="eastAsia"/>
          <w:color w:val="000000" w:themeColor="text1"/>
          <w14:textFill>
            <w14:solidFill>
              <w14:schemeClr w14:val="tx1"/>
            </w14:solidFill>
          </w14:textFill>
        </w:rPr>
        <w:t>中共中央印发《党委（党组）网络安全工作责任制实施办法》（厅字〔</w:t>
      </w:r>
      <w:r>
        <w:rPr>
          <w:color w:val="000000" w:themeColor="text1"/>
          <w14:textFill>
            <w14:solidFill>
              <w14:schemeClr w14:val="tx1"/>
            </w14:solidFill>
          </w14:textFill>
        </w:rPr>
        <w:t>2017〕32号）文件的公开，</w:t>
      </w:r>
      <w:r>
        <w:rPr>
          <w:rFonts w:hint="eastAsia"/>
          <w:color w:val="000000" w:themeColor="text1"/>
          <w14:textFill>
            <w14:solidFill>
              <w14:schemeClr w14:val="tx1"/>
            </w14:solidFill>
          </w14:textFill>
        </w:rPr>
        <w:t>它明确和落实党委（党组）领导班子、领导干部网络安全责任。各级党委（党组）要严格落实网络意识形态工作责任制和网络安全工作责任制，完善网信工作体系，持续巩固网信工作“一盘棋”格局。</w:t>
      </w:r>
    </w:p>
    <w:p w14:paraId="1BA005A6">
      <w:pPr>
        <w:ind w:firstLine="480"/>
      </w:pPr>
      <w:r>
        <w:rPr>
          <w:rFonts w:hint="eastAsia"/>
        </w:rPr>
        <w:t>2</w:t>
      </w:r>
      <w:r>
        <w:t>021</w:t>
      </w:r>
      <w:r>
        <w:rPr>
          <w:rFonts w:hint="eastAsia"/>
        </w:rPr>
        <w:t>年9月1日正式实施《关键信息基础设施安全保护条例》，其中第四章第二十三条规定：国家网信部门统筹协调有关部门建立网络安全</w:t>
      </w:r>
      <w:r>
        <w:t>信息共享机制，及时汇总、研判、共享、发布网络安全威胁、漏洞、事件等信息，促进有关部门、保护工作部门、运营者以及网络安全服务机构等之间的网络安全信息共享。</w:t>
      </w:r>
    </w:p>
    <w:p w14:paraId="2790FC59">
      <w:pPr>
        <w:ind w:firstLine="480"/>
      </w:pPr>
      <w:r>
        <w:t>中央网络安全和信息化领导小组办公室牵头</w:t>
      </w:r>
      <w:r>
        <w:rPr>
          <w:rFonts w:hint="eastAsia"/>
        </w:rPr>
        <w:t>组织了</w:t>
      </w:r>
      <w:r>
        <w:t>全国范围内的关键信息基础设施网络安全检查，以“摸清家底，认清风险，找出漏洞，通报结果，督促整改”为目标，为初步掌握全国关键信息基础设施安全状况提供了基本的数据支撑。</w:t>
      </w:r>
    </w:p>
    <w:p w14:paraId="32F2B0F4">
      <w:pPr>
        <w:pStyle w:val="3"/>
        <w:numPr>
          <w:ilvl w:val="1"/>
          <w:numId w:val="2"/>
        </w:numPr>
        <w:jc w:val="left"/>
      </w:pPr>
      <w:bookmarkStart w:id="2" w:name="_Toc130226960"/>
      <w:bookmarkStart w:id="3" w:name="_Toc104633431"/>
      <w:r>
        <w:rPr>
          <w:rFonts w:hint="eastAsia"/>
        </w:rPr>
        <w:t>落实国家信息安全建设</w:t>
      </w:r>
      <w:bookmarkEnd w:id="2"/>
      <w:bookmarkEnd w:id="3"/>
    </w:p>
    <w:p w14:paraId="2C4A4C5B">
      <w:pPr>
        <w:ind w:firstLine="480"/>
      </w:pPr>
      <w:r>
        <w:rPr>
          <w:rFonts w:hint="eastAsia"/>
        </w:rPr>
        <w:t>《中华人民共和国国民经济和社会发展第十三个五年(2016-2020年)规划纲要》第二十八章“强化信息安全保障”：加强关键信息基础设施核心技术装备威胁感知和持续防御能力建设。并明确指出“十三五”时期，我国将持续将强健全网络与信息安全法律法规，完善信息安全标准体系和认证认可体系，实施信息安全等级保护、风险评估等制度。本项目建设是落实国家网络安全建设要求的重要举措，通过制度建设、安全基础设施建设，不断丰富制度与体系内涵，由原有的网络被动防御向主动防御转变。</w:t>
      </w:r>
    </w:p>
    <w:p w14:paraId="13FC1485">
      <w:pPr>
        <w:ind w:firstLine="480"/>
      </w:pPr>
      <w:r>
        <w:rPr>
          <w:rFonts w:hint="eastAsia"/>
        </w:rPr>
        <w:t>《中共中央关于制定国民经济和社会发展第十四个五年规划和二〇三五年远景目标的建议》第49条提出“加强国家安全体系和能力建设，完善集中统一、高效权威的国家安全领导体制，健全国家安全法治体系、战略体系、政策体系、人才体系和运行机制，完善重要领域国家安全立法、制度、政策。健全国家安全审查和监管制度，加强国家安全执法。加强国家安全宣传教育，增强全民国家安全意识，巩固国家安全人民防线。坚定维护国家政权安全、制度安全、意识形态安全，全面加强网络安全保障体系和能力建设。严密防范和严厉打击敌对势力渗透、破坏、颠覆、分裂活动。”</w:t>
      </w:r>
    </w:p>
    <w:p w14:paraId="7044A43E">
      <w:pPr>
        <w:pStyle w:val="3"/>
        <w:numPr>
          <w:ilvl w:val="1"/>
          <w:numId w:val="2"/>
        </w:numPr>
        <w:jc w:val="left"/>
      </w:pPr>
      <w:bookmarkStart w:id="4" w:name="_Toc104633432"/>
      <w:bookmarkStart w:id="5" w:name="_Toc130226961"/>
      <w:r>
        <w:rPr>
          <w:rFonts w:hint="eastAsia"/>
        </w:rPr>
        <w:t>提升网络安全综合管理能力</w:t>
      </w:r>
      <w:bookmarkEnd w:id="4"/>
      <w:bookmarkEnd w:id="5"/>
    </w:p>
    <w:p w14:paraId="7B310D61">
      <w:pPr>
        <w:ind w:firstLine="480"/>
      </w:pPr>
      <w:r>
        <w:rPr>
          <w:rFonts w:hint="eastAsia"/>
        </w:rPr>
        <w:t>习近平总书记“4·19”讲话指出“维护网络安全，首先要知道风险在哪里，是什么样的风险，什么时候发生风险，正所谓“聪者听于无声，明者见于未形”。建立有序网络安全统筹推动落实机制是最基本、最基础的工作。”掌握网络安全基础信息及网络安全保障重要基础，构建有序的统筹协同推动体系是网络安全保障体系构建的保障。</w:t>
      </w:r>
    </w:p>
    <w:p w14:paraId="4E4E131C">
      <w:pPr>
        <w:pStyle w:val="3"/>
        <w:numPr>
          <w:ilvl w:val="1"/>
          <w:numId w:val="2"/>
        </w:numPr>
        <w:jc w:val="left"/>
      </w:pPr>
      <w:bookmarkStart w:id="6" w:name="_Toc104633433"/>
      <w:bookmarkStart w:id="7" w:name="_Toc130226962"/>
      <w:r>
        <w:rPr>
          <w:rFonts w:hint="eastAsia"/>
        </w:rPr>
        <w:t>提升XXX省/市安全综合治理水平</w:t>
      </w:r>
      <w:bookmarkEnd w:id="6"/>
      <w:bookmarkEnd w:id="7"/>
    </w:p>
    <w:p w14:paraId="2847A02B">
      <w:pPr>
        <w:ind w:firstLine="480"/>
      </w:pPr>
      <w:r>
        <w:rPr>
          <w:rFonts w:hint="eastAsia"/>
        </w:rPr>
        <w:t>XXX省/市网络空间治理协调指挥平台建设项目符合《中华人民共和国网络安全法》和《关键信息基础设施安全保护条例》等国家相关标准规范和政策文件要求，符合XXX省/市委网信办实际业务工作需求，各方面的建设条件成熟。项目建成后将大大提高XXX省/市委网信办对省（市）网络安全现状威胁感知能力、预判能力及协同处置能力，全面提升安全综合管理治理水平，预防发生危及社会稳定和公共利益的网络安全事件。因此，该项目建设满足业务开展需要，技术可行，经济预算合理，社会效益显著，建议尽快组织实施。</w:t>
      </w:r>
    </w:p>
    <w:p w14:paraId="72A02BA9">
      <w:pPr>
        <w:pStyle w:val="3"/>
        <w:numPr>
          <w:ilvl w:val="1"/>
          <w:numId w:val="2"/>
        </w:numPr>
        <w:jc w:val="left"/>
      </w:pPr>
      <w:bookmarkStart w:id="8" w:name="_Toc104633434"/>
      <w:bookmarkStart w:id="9" w:name="_Toc130226963"/>
      <w:r>
        <w:rPr>
          <w:rFonts w:hint="eastAsia"/>
        </w:rPr>
        <w:t>提高XXX省/市网络安全建设成效</w:t>
      </w:r>
      <w:bookmarkEnd w:id="8"/>
      <w:bookmarkEnd w:id="9"/>
    </w:p>
    <w:p w14:paraId="0E080CD5">
      <w:pPr>
        <w:ind w:firstLine="480"/>
      </w:pPr>
      <w:r>
        <w:rPr>
          <w:rFonts w:hint="eastAsia"/>
        </w:rPr>
        <w:t>XXX省/市通过对网络空间治理协调指挥平台的建设，可以优化现行的信息化安全的管理方式。通过实时掌握网络信息的动态，分析网络运行环境，掌握应用系统安全情况，开展有针对性的管理，可以做到有的放矢，以减少信息化安全管理的盲目性和随意性。从而减少网络安全管理人员的工作强度，使信息化安全管理工作更严密、更规范，作为一种有效的监管手段为实现政府信息化长效、先进、集约的安全管理打下良好的基础。提升对党政机关单位网络安全工作的工具支撑能力，实现集约化建设，通过异构网络安全检测资源，提升安全隐患的发现能力。</w:t>
      </w:r>
    </w:p>
    <w:p w14:paraId="2958E113">
      <w:pPr>
        <w:pStyle w:val="2"/>
        <w:numPr>
          <w:ilvl w:val="0"/>
          <w:numId w:val="2"/>
        </w:numPr>
        <w:jc w:val="left"/>
      </w:pPr>
      <w:bookmarkStart w:id="10" w:name="_Toc130226964"/>
      <w:bookmarkStart w:id="11" w:name="_Toc104633435"/>
      <w:bookmarkStart w:id="12" w:name="_Toc90120720"/>
      <w:r>
        <w:rPr>
          <w:rFonts w:hint="eastAsia"/>
        </w:rPr>
        <w:t>项目意义</w:t>
      </w:r>
      <w:bookmarkEnd w:id="10"/>
      <w:bookmarkEnd w:id="11"/>
    </w:p>
    <w:p w14:paraId="4A653FA8">
      <w:pPr>
        <w:ind w:firstLine="480"/>
      </w:pPr>
      <w:r>
        <w:rPr>
          <w:rFonts w:hint="eastAsia"/>
        </w:rPr>
        <w:t>为加快推动建设省级网络安全协调指挥平台，建立和健全网络安全事件处置协调指挥机制，加强大规模网络安全事件发现和预警能力，加强重大活动网络安全联合保障能力，尽快补齐我省网络安全防护能力短板，健全完善网络安全综合协同工作体系，对于网络安全风险和事件“早发现、早预判、早通报，早处置、早响应、早恢复”，持续提高党委（党组）网络安全工作责任制指导督促落实效能，及时掌握准确预测网络安全威胁态势和发展趋势，提升网络安全综合协同管理和事件处置协调指挥的能力，有效防范应对网络安全攻击威胁、风险隐患，加快形成省（市）网络安全工作“一张网、一盘棋、一体化”工作格局，不断加强网络安全保障体系和能力建设，加快构建我省网络安全防御体系都具有重大意义和重要的作用。</w:t>
      </w:r>
    </w:p>
    <w:p w14:paraId="7733AEB6">
      <w:pPr>
        <w:ind w:firstLine="480"/>
      </w:pPr>
      <w:r>
        <w:rPr>
          <w:rFonts w:hint="eastAsia"/>
        </w:rPr>
        <w:t>XXX省/市网络安全协调指挥平台建设目标是，建成联通省级党政机关、事业单位和重点企业，集信息汇聚、态势感知、预警通报、协同处置、协调指挥以及网络安全综合协同等功能为一体的省级网络安全协调指挥平台，为实现国家、省、地（市）上中下三级纵向联动，发挥出省级平台承上启下的作用。通过汇聚、接入、整合、接收和共享、交换等方式，汇集省、地（市）党政机关、事业单位、重点企业和属地重要行业等的网络资产信息、网络安全信息、互联网流量数据、技术系统数据资源以及有关安全监测结果的数据和第三方技术机构的网络安全威胁情报信息等，将网络安全信息和数据收集起来、融合起来、使用起来，运用数据挖掘分析、规则匹配关联、算法模型融合等技术手段，准确掌握安全态势，及时发现存在问题，为做好网络安全监测预警、感知预测、影响评估和信息通报、应急处置以及增强网信部门的网络安全统筹协调、监督管理和综合协同工作提供科学、有力、有效的数据决策和技术支撑。</w:t>
      </w:r>
    </w:p>
    <w:p w14:paraId="4F936A52">
      <w:pPr>
        <w:pStyle w:val="2"/>
        <w:numPr>
          <w:ilvl w:val="0"/>
          <w:numId w:val="2"/>
        </w:numPr>
        <w:jc w:val="left"/>
      </w:pPr>
      <w:bookmarkStart w:id="13" w:name="_Toc130226965"/>
      <w:bookmarkStart w:id="14" w:name="_Toc104633436"/>
      <w:r>
        <w:rPr>
          <w:rFonts w:hint="eastAsia"/>
        </w:rPr>
        <w:t>项目的需求及目标</w:t>
      </w:r>
      <w:bookmarkEnd w:id="13"/>
      <w:bookmarkEnd w:id="14"/>
    </w:p>
    <w:p w14:paraId="7F51DCD7">
      <w:pPr>
        <w:ind w:firstLine="480"/>
      </w:pPr>
      <w:r>
        <w:t>XXX省/市长期以来由于信息安全工作安全规划、建设、监督等过程缺乏统一的安全顶层设计，缺少有效的态势感知、监测预警、应急响应等技术手段，</w:t>
      </w:r>
      <w:r>
        <w:rPr>
          <w:rFonts w:hint="eastAsia"/>
        </w:rPr>
        <w:t>随着网络空间领域的延伸，木马僵尸网络、钓鱼网站等非传统网络安全威胁有增无减，分布式拒绝服务（</w:t>
      </w:r>
      <w:r>
        <w:t>DDoS攻击）、高级持续威胁（APT攻击）等网络攻击愈演愈烈。因此，在保障</w:t>
      </w:r>
      <w:r>
        <w:rPr>
          <w:rFonts w:hint="eastAsia"/>
        </w:rPr>
        <w:t>XXX省/市</w:t>
      </w:r>
      <w:r>
        <w:t>关键信息基础设施正常运行和不受侵害等现实问题面前存在一定的短板，容易被一小部分别有用心的不法分子利用，对党政机关和重保单位的网站进行攻击破坏、信息窃取、仿冒篡改等违法活动，破坏企事业正常运行。这些网络违法犯罪活</w:t>
      </w:r>
      <w:r>
        <w:rPr>
          <w:rFonts w:hint="eastAsia"/>
        </w:rPr>
        <w:t>动，在互联网时代下呈现出网络化组织的特征，境内、境外的违法活动沟通更加频繁，严重影响到省（市）政治、经济和社会稳定。</w:t>
      </w:r>
    </w:p>
    <w:p w14:paraId="177CC5FF">
      <w:pPr>
        <w:pStyle w:val="3"/>
        <w:numPr>
          <w:ilvl w:val="1"/>
          <w:numId w:val="2"/>
        </w:numPr>
        <w:jc w:val="left"/>
      </w:pPr>
      <w:bookmarkStart w:id="15" w:name="_Toc104633437"/>
      <w:bookmarkStart w:id="16" w:name="_Toc130226966"/>
      <w:r>
        <w:rPr>
          <w:rFonts w:hint="eastAsia"/>
        </w:rPr>
        <w:t>网信职能职责和业务理解</w:t>
      </w:r>
      <w:bookmarkEnd w:id="15"/>
      <w:bookmarkEnd w:id="16"/>
    </w:p>
    <w:p w14:paraId="78C355C5">
      <w:pPr>
        <w:ind w:firstLine="480"/>
      </w:pPr>
      <w:r>
        <w:rPr>
          <w:rFonts w:hint="eastAsia"/>
        </w:rPr>
        <w:t>本次工程建设单位为XXX省/市委网络安全与信息化委员会办公室（以下简称“省委网信办”）。该单位为中共XXX省/市委网络安全和信息化委员会（以下简称“省委网信委”）办事机构，为正局级，列省委工作机关序列。对外加挂XXX省/市互联网信息办公室（以下简称“省网信办”）牌子，具有政府行政管理职能。</w:t>
      </w:r>
    </w:p>
    <w:p w14:paraId="6881D44B">
      <w:pPr>
        <w:ind w:firstLine="480"/>
      </w:pPr>
      <w:r>
        <w:rPr>
          <w:rFonts w:hint="eastAsia"/>
        </w:rPr>
        <w:t>省委网信办的主要职责如下：</w:t>
      </w:r>
    </w:p>
    <w:p w14:paraId="69F17528">
      <w:pPr>
        <w:ind w:firstLine="480"/>
      </w:pPr>
      <w:r>
        <w:rPr>
          <w:rFonts w:hint="eastAsia"/>
        </w:rPr>
        <w:t>（一）负责处理省委网信委日常事务工作，协调督促有关方面落实省委网信委的决定事项、工作部署和要求；组织开展对涉及省（市）政治、经济、文化、社会等各个领域的网络安全和信息化重大问题研究，向省委网信委提出工作建议。</w:t>
      </w:r>
    </w:p>
    <w:p w14:paraId="132F6CCB">
      <w:pPr>
        <w:ind w:firstLine="480"/>
      </w:pPr>
      <w:r>
        <w:rPr>
          <w:rFonts w:hint="eastAsia"/>
        </w:rPr>
        <w:t>（二）组织研究起草省（市）网络安全和信息化发展战略、宏观规划和重大政策；统筹推动省（市）网络安全和信息化法治、标准建设，根据职责权限负责相关法律、法规、规章等的实施和监督检查，起草省委党内法规、地方性法规、政府规章草案；监督网络安全和信息化领域国家标准和与信息化相关的统计调查制度在省（市）的实施。</w:t>
      </w:r>
    </w:p>
    <w:p w14:paraId="58719069">
      <w:pPr>
        <w:ind w:firstLine="480"/>
      </w:pPr>
      <w:r>
        <w:rPr>
          <w:rFonts w:hint="eastAsia"/>
        </w:rPr>
        <w:t>（三）统筹协调省（市）网络安全保障体系和可信体系建设，牵头协调有关部门拟订省（市）相关行业网络安全规划及保障评价指标体系，协调信息安全保护工作；指导推进省（市）党政部门、重点行业网络安全保障和信息化工作，协调推动省（市）网络安全和信息化核心技术、关键设备等重大科技攻关，统筹推进省（市）网络安全和信息化军民融合深度发展；推进网络强市有关工程建设，协调推动省（市）公共服务和社会治理信息化；指导省（市）网络安全信息共享和通报。</w:t>
      </w:r>
    </w:p>
    <w:p w14:paraId="1B3C662D">
      <w:pPr>
        <w:ind w:firstLine="480"/>
      </w:pPr>
      <w:r>
        <w:rPr>
          <w:rFonts w:hint="eastAsia"/>
        </w:rPr>
        <w:t>（四）督促落实省（市）涉及政治、经济、文化、社会等各个领域网络安全和信息化重大事项；负责协调处理省（市）网络安全和信息化重大突发事件与有关应急工作；负责省（市）重大决策网络舆情风险评估审查工作。</w:t>
      </w:r>
    </w:p>
    <w:p w14:paraId="1CFDC86C">
      <w:pPr>
        <w:ind w:firstLine="480"/>
      </w:pPr>
      <w:r>
        <w:rPr>
          <w:rFonts w:hint="eastAsia"/>
        </w:rPr>
        <w:t>（五）负责省（市）互联网信息内容管理，统筹协调组织省（市）互联网宣传管理和與论引导工作，督促落实党委（党组）网络意识形态工作责任制，维护网络意识形态安全；研究拟订省（市）互联网新闻信息传播政策；负责省（市）互联网信息内容监督管理执法，组织开展网络舆论生态治理，处置和封堵网上有害信息，依照相关法律和规定查处有关违法违规行为和网站。</w:t>
      </w:r>
    </w:p>
    <w:p w14:paraId="289D8E2A">
      <w:pPr>
        <w:ind w:firstLine="480"/>
      </w:pPr>
      <w:r>
        <w:rPr>
          <w:rFonts w:hint="eastAsia"/>
        </w:rPr>
        <w:t>（六）负责指导协调省（市）网络舆情信息工作，组织开展网络舆情信息收集分析研判工作，跟踪了解和掌握网络與情动态；依法规范省（市）互联网舆情服务市场。</w:t>
      </w:r>
    </w:p>
    <w:p w14:paraId="7AD02CB3">
      <w:pPr>
        <w:ind w:firstLine="480"/>
      </w:pPr>
      <w:r>
        <w:rPr>
          <w:rFonts w:hint="eastAsia"/>
        </w:rPr>
        <w:t>（七）推动网络阵地建设，负责省（市）重点新闻网站规划建设，指导协调省（市）网络游戏、网络视听、网络出版等相关业务，推动省（市）移动互联网发展，会同有关部门推动传统媒体与新兴媒体融合发展；负责省（市）网站转载新闻稿源的管理。</w:t>
      </w:r>
    </w:p>
    <w:p w14:paraId="247A6636">
      <w:pPr>
        <w:ind w:firstLine="480"/>
      </w:pPr>
      <w:r>
        <w:rPr>
          <w:rFonts w:hint="eastAsia"/>
        </w:rPr>
        <w:t>（八）推动省（市）网络社会工作和网络文化、网络文明建设；发展、联系、服务互联网相关社会组织，指导互联网行业自律，推进互联网企业党建、团建和青年工作。</w:t>
      </w:r>
    </w:p>
    <w:p w14:paraId="1B685459">
      <w:pPr>
        <w:ind w:firstLine="480"/>
      </w:pPr>
      <w:r>
        <w:rPr>
          <w:rFonts w:hint="eastAsia"/>
        </w:rPr>
        <w:t>（九）落实互联网信息服务资本准入和信息网络行业安全审查有关政策；依法负责省（市）网络新闻业务和论坛、博客、搜索引擎等具有新闻舆论及社会动员功能业务的审批及日常监管；指导有关部门督促电信运营企业、接入服务企业、域名注册管理和服务机构等做好域名注册、互联网地址（IP地址）分配、网站登记备案、接入以及网络行为主体身份信息核对等基础管理工作；指导推进新技术新应用安全评估，统筹协调省（市）移动互联网管理。</w:t>
      </w:r>
    </w:p>
    <w:p w14:paraId="1074CD12">
      <w:pPr>
        <w:ind w:firstLine="480"/>
      </w:pPr>
      <w:r>
        <w:rPr>
          <w:rFonts w:hint="eastAsia"/>
        </w:rPr>
        <w:t>（十）协调拟订扶持省（市）信息网络行业自主创新和发展的政策体系，开展互联网经济和发展杰势研究，推动建立健全省（市）（市）信息网络行业投融资支持服务体系、技术创新服务体系，统筹协调省（市）重要信息资源的开发利用与共享。</w:t>
      </w:r>
    </w:p>
    <w:p w14:paraId="331D7510">
      <w:pPr>
        <w:ind w:firstLine="480"/>
      </w:pPr>
      <w:r>
        <w:rPr>
          <w:rFonts w:hint="eastAsia"/>
        </w:rPr>
        <w:t>（十一）规划指导省（市）金融信息服务业务；组织开展金融信息服务市场监管；协调金融监管部门建立网络金融信息发布、传播监管制度及工作机制。</w:t>
      </w:r>
    </w:p>
    <w:p w14:paraId="1872E163">
      <w:pPr>
        <w:ind w:firstLine="480"/>
      </w:pPr>
      <w:r>
        <w:rPr>
          <w:rFonts w:hint="eastAsia"/>
        </w:rPr>
        <w:t>（十二）组织拟订省（市）网络安全和信息化干部人才队伍发展规划，组织开展省（市）网络安全和信息化于部教育培训人オ队伍建设，规划指导省（市）互联网新闻信息服务从业人员教育培训和考评工作，组织开展网络媒介素养教育；负责对市县党委网信办主任的双重管理工作。</w:t>
      </w:r>
    </w:p>
    <w:p w14:paraId="6A70F145">
      <w:pPr>
        <w:ind w:firstLine="480"/>
      </w:pPr>
      <w:r>
        <w:rPr>
          <w:rFonts w:hint="eastAsia"/>
        </w:rPr>
        <w:t>（十三）组织开展省（市）网络安全和信息化领域对外交流与合作。</w:t>
      </w:r>
    </w:p>
    <w:p w14:paraId="00DBC269">
      <w:pPr>
        <w:ind w:firstLine="480"/>
      </w:pPr>
      <w:r>
        <w:rPr>
          <w:rFonts w:hint="eastAsia"/>
        </w:rPr>
        <w:t>（十四）指导、检查、推动各市县、有关部门网络安全和信息化工作。</w:t>
      </w:r>
    </w:p>
    <w:p w14:paraId="0C493EA0">
      <w:pPr>
        <w:ind w:firstLine="480"/>
      </w:pPr>
      <w:r>
        <w:rPr>
          <w:rFonts w:hint="eastAsia"/>
        </w:rPr>
        <w:t>（十五）负责机关、直属单位和所主管的社会组织党建工作。</w:t>
      </w:r>
    </w:p>
    <w:p w14:paraId="7A6CB1EF">
      <w:pPr>
        <w:ind w:firstLine="480"/>
      </w:pPr>
      <w:r>
        <w:rPr>
          <w:rFonts w:hint="eastAsia"/>
        </w:rPr>
        <w:t>（十六）完成省委、省政府和省委网信委交办的其他任务。</w:t>
      </w:r>
    </w:p>
    <w:p w14:paraId="1FBB6D5E">
      <w:pPr>
        <w:pStyle w:val="3"/>
        <w:numPr>
          <w:ilvl w:val="1"/>
          <w:numId w:val="2"/>
        </w:numPr>
        <w:jc w:val="left"/>
      </w:pPr>
      <w:bookmarkStart w:id="17" w:name="_Toc130226967"/>
      <w:bookmarkStart w:id="18" w:name="_Toc104633438"/>
      <w:r>
        <w:rPr>
          <w:rFonts w:hint="eastAsia"/>
        </w:rPr>
        <w:t>网络安全态势监控建设需求</w:t>
      </w:r>
      <w:bookmarkEnd w:id="17"/>
      <w:bookmarkEnd w:id="18"/>
    </w:p>
    <w:p w14:paraId="5CD056E1">
      <w:pPr>
        <w:ind w:firstLine="480"/>
      </w:pPr>
      <w:r>
        <w:rPr>
          <w:rFonts w:hint="eastAsia"/>
        </w:rPr>
        <w:t>XXX省/市网信办需要开展对国家级监管单位、协同单位、关键信息基础设施、重点单位、重要监管行业、支持单位以及第三方安全威胁情报数据、自建平台数据的采集、存储、分析等工作。为了开展此项工作，需要对这些单位的各类安全日志、流量日志以及重要网站的监测日志进行采集和汇总，并为后续的态势感知各类分析场景进行支撑，达到融合建模对各类数据的使用效果。</w:t>
      </w:r>
    </w:p>
    <w:p w14:paraId="72E81F2E">
      <w:pPr>
        <w:ind w:firstLine="480"/>
      </w:pPr>
      <w:r>
        <w:rPr>
          <w:rFonts w:hint="eastAsia"/>
        </w:rPr>
        <w:t>基于此种需求，需要建设网络安全态势感知分析子系统，实现对各类安全事件数据的采集和汇总，对监测到的各类信息数据进行分析建模，以实现对特定场景的态势分析和展示。分析结果同步告警、展示和输出，最后实现安全态势分析和可视化展现。</w:t>
      </w:r>
    </w:p>
    <w:p w14:paraId="1969CB80">
      <w:pPr>
        <w:pStyle w:val="4"/>
        <w:numPr>
          <w:ilvl w:val="2"/>
          <w:numId w:val="2"/>
        </w:numPr>
      </w:pPr>
      <w:bookmarkStart w:id="19" w:name="_Toc130226968"/>
      <w:bookmarkStart w:id="20" w:name="_Toc104633439"/>
      <w:r>
        <w:rPr>
          <w:rFonts w:hint="eastAsia"/>
        </w:rPr>
        <w:t>通用能力建设需求</w:t>
      </w:r>
      <w:bookmarkEnd w:id="19"/>
      <w:bookmarkEnd w:id="20"/>
    </w:p>
    <w:p w14:paraId="767FFCEC">
      <w:pPr>
        <w:ind w:firstLine="480"/>
      </w:pPr>
      <w:r>
        <w:rPr>
          <w:rFonts w:hint="eastAsia"/>
        </w:rPr>
        <w:t>为了开展网络安全态势监控这项工作，需要对采集到的各类数据资源进行关联分析和融合建模，以达到从不同维度对资产、攻击行为、安全隐患、安全事件、事件通报进行态势分析和可视化展现的效果，基于此，平台需要集成通用安全能力，包括安全模型、安全规则、以及可以实现自定义安全场景，使用机器学习进行数据深度分析，及时发现安全威胁。</w:t>
      </w:r>
    </w:p>
    <w:p w14:paraId="68B04BC7">
      <w:pPr>
        <w:pStyle w:val="4"/>
        <w:numPr>
          <w:ilvl w:val="2"/>
          <w:numId w:val="2"/>
        </w:numPr>
      </w:pPr>
      <w:bookmarkStart w:id="21" w:name="_Toc130226969"/>
      <w:bookmarkStart w:id="22" w:name="_Toc104633440"/>
      <w:r>
        <w:rPr>
          <w:rFonts w:hint="eastAsia"/>
        </w:rPr>
        <w:t>威胁溯源分析需求</w:t>
      </w:r>
      <w:bookmarkEnd w:id="21"/>
      <w:bookmarkEnd w:id="22"/>
    </w:p>
    <w:p w14:paraId="6D244099">
      <w:pPr>
        <w:overflowPunct w:val="0"/>
        <w:ind w:firstLine="480"/>
        <w:rPr>
          <w:rFonts w:ascii="宋体" w:hAnsi="宋体" w:cs="宋体"/>
        </w:rPr>
      </w:pPr>
      <w:r>
        <w:rPr>
          <w:rFonts w:hint="eastAsia" w:ascii="宋体" w:hAnsi="宋体" w:cs="宋体"/>
        </w:rPr>
        <w:t>网络安全态势监控建设，需要定期收集获取有关技术机构的最新恶意IOC信息、将本地发现和通报处理的网络安全事件的恶意IP、域名、文件、钓鱼网站、E-MAIL等事件转化为威胁情报信息，以及通过查询和爬取的方式获取公开威胁情报等方式持续建设完善本地化威胁情报库。通过国家级网络安全技术机构和利用互联网省级出入口流量分析能力，以及公开威胁情报、共享威胁情报和商业威胁情报服务，进行威胁特征匹配完成攻击溯源。</w:t>
      </w:r>
    </w:p>
    <w:p w14:paraId="1B80CB33">
      <w:pPr>
        <w:pStyle w:val="4"/>
        <w:numPr>
          <w:ilvl w:val="2"/>
          <w:numId w:val="2"/>
        </w:numPr>
      </w:pPr>
      <w:bookmarkStart w:id="23" w:name="_Toc130226970"/>
      <w:bookmarkStart w:id="24" w:name="_Toc104633441"/>
      <w:r>
        <w:rPr>
          <w:rFonts w:hint="eastAsia"/>
        </w:rPr>
        <w:t>融合建模分析能力需求</w:t>
      </w:r>
      <w:bookmarkEnd w:id="23"/>
      <w:bookmarkEnd w:id="24"/>
    </w:p>
    <w:p w14:paraId="2A6977B2">
      <w:pPr>
        <w:ind w:firstLine="480"/>
      </w:pPr>
      <w:r>
        <w:rPr>
          <w:rFonts w:hint="eastAsia"/>
        </w:rPr>
        <w:t>基于传统规则类防护安全分析手段已经失效，基于场景类的融合分析建模弥补了规则类的防护手段的缺陷，网络安全分析模式由手动化向自动化转变。深度融合分析建模是一个为用户提供自主数据挖掘分析建模的全面平台，它是基于大数据技术的产品，是集合了大量统计分析功能、灵活配置规则、丰富而全面的数据分析方法的综合分析建模平台。</w:t>
      </w:r>
    </w:p>
    <w:p w14:paraId="1F25545D">
      <w:pPr>
        <w:ind w:firstLine="480"/>
      </w:pPr>
      <w:r>
        <w:rPr>
          <w:rFonts w:hint="eastAsia"/>
        </w:rPr>
        <w:t>通过融合建模，用户可以根据自身实际业务等方面的情况，有针对性的去自主定义挖掘分析目标、探索数据、主动地去统计分析、自定义配置符合自身业务需求的规则、挖掘出数据中存在的巨大价值，为用户在场景建模、安全风险管控、业务分析、管理等方面，提供更加直观，更加有效的，更加迅速的建模分析能力。</w:t>
      </w:r>
      <w:r>
        <w:rPr>
          <w:rFonts w:hint="eastAsia" w:cs="宋体"/>
        </w:rPr>
        <w:t>通过使用机器学习进行数据深度分析，及时发现安全威胁，分析结果同步告警、展示和输出处置。</w:t>
      </w:r>
    </w:p>
    <w:p w14:paraId="6FBA2CC0">
      <w:pPr>
        <w:pStyle w:val="4"/>
        <w:numPr>
          <w:ilvl w:val="2"/>
          <w:numId w:val="2"/>
        </w:numPr>
      </w:pPr>
      <w:bookmarkStart w:id="25" w:name="_Toc104633442"/>
      <w:bookmarkStart w:id="26" w:name="_Toc130226971"/>
      <w:r>
        <w:rPr>
          <w:rFonts w:hint="eastAsia"/>
        </w:rPr>
        <w:t>态势可视化展示需求</w:t>
      </w:r>
      <w:bookmarkEnd w:id="25"/>
      <w:bookmarkEnd w:id="26"/>
    </w:p>
    <w:p w14:paraId="4C85BCFF">
      <w:pPr>
        <w:ind w:firstLine="480"/>
      </w:pPr>
      <w:r>
        <w:rPr>
          <w:rFonts w:hint="eastAsia" w:cs="宋体"/>
        </w:rPr>
        <w:t>XXX省/市网络安全监控建设应立足面向南亚东南亚辐射中心，为整体了解把握网络安全工作态势提供必要的支撑。</w:t>
      </w:r>
      <w:r>
        <w:rPr>
          <w:rFonts w:hint="eastAsia"/>
        </w:rPr>
        <w:t>通过建设安全态势可视化感知能力，以直观的图形化界面对威胁的种类、范围、发生时间、影响范围等进行展示，为安全管理员提供清晰直观的安全威胁预警能力。助力系统管理人员做出精准的安全决策。</w:t>
      </w:r>
    </w:p>
    <w:p w14:paraId="60936F9F">
      <w:pPr>
        <w:ind w:firstLine="480"/>
      </w:pPr>
      <w:r>
        <w:rPr>
          <w:rFonts w:hint="eastAsia" w:cs="宋体"/>
        </w:rPr>
        <w:t>态势分析及可视化应包括综合态势、资产态势、漏洞风险态势、网络资源态势、网络行为态势、运行态势、安全事件态势、网络攻击态势、安全通报态势和态势报告等。</w:t>
      </w:r>
    </w:p>
    <w:p w14:paraId="4E49AF5C">
      <w:pPr>
        <w:pStyle w:val="3"/>
        <w:numPr>
          <w:ilvl w:val="1"/>
          <w:numId w:val="2"/>
        </w:numPr>
        <w:jc w:val="left"/>
      </w:pPr>
      <w:bookmarkStart w:id="27" w:name="_Toc104633443"/>
      <w:bookmarkStart w:id="28" w:name="_Toc130226972"/>
      <w:r>
        <w:rPr>
          <w:rFonts w:hint="eastAsia"/>
        </w:rPr>
        <w:t>网络安全预警及事件处理需求</w:t>
      </w:r>
      <w:bookmarkEnd w:id="27"/>
      <w:bookmarkEnd w:id="28"/>
    </w:p>
    <w:p w14:paraId="5CCEAB12">
      <w:pPr>
        <w:ind w:firstLine="480"/>
        <w:rPr>
          <w:rFonts w:ascii="宋体" w:hAnsi="宋体" w:cs="宋体"/>
          <w:szCs w:val="28"/>
        </w:rPr>
      </w:pPr>
      <w:r>
        <w:rPr>
          <w:rFonts w:hint="eastAsia" w:ascii="宋体" w:hAnsi="宋体" w:cs="宋体"/>
        </w:rPr>
        <w:t>根据全国网信系统网络安全协调指挥平台建设有关要求，依据《网络安全法》《数据安全法》和《关键信息基础设施安全保护条例》等法律法规中，有关网络安全的监测预警、事件处置和信息共享，协调省级网络安全职能部门建立健全网络安全事件处置工作机制。</w:t>
      </w:r>
      <w:r>
        <w:rPr>
          <w:rFonts w:hint="eastAsia"/>
        </w:rPr>
        <w:t>在信息数据采集和态势分析的基础上，开展事件处置协调和联动处置相关工作。为了开展这项工作，需要提供信息通讯联络和事件处置业务流程处理的能力，当统筹协调有关部门加强网络安全信息收集、分析和通报工作，按照规定统一发布网络安全监测预警信息。”网络安全主管单位需要信息化平台支撑，来建立本省/市关键信息基础设施的安全监测预警及信息通报工作，形成安全监测-预警通报-整改反馈的闭环工作处置机制。</w:t>
      </w:r>
      <w:r>
        <w:t>具体</w:t>
      </w:r>
      <w:r>
        <w:rPr>
          <w:rFonts w:hint="eastAsia" w:ascii="宋体" w:hAnsi="宋体" w:cs="宋体"/>
          <w:szCs w:val="28"/>
        </w:rPr>
        <w:t>包括如下几方面：</w:t>
      </w:r>
    </w:p>
    <w:p w14:paraId="2CB196F2">
      <w:pPr>
        <w:ind w:firstLine="480"/>
        <w:rPr>
          <w:rFonts w:ascii="宋体" w:hAnsi="宋体" w:cs="宋体"/>
        </w:rPr>
      </w:pPr>
      <w:r>
        <w:rPr>
          <w:rFonts w:hint="eastAsia" w:ascii="宋体" w:hAnsi="宋体" w:cs="宋体"/>
        </w:rPr>
        <w:t>（1）对关键信息基础设施和相关威胁信息进行统一管理，负责协调各相关单位（XXX省/市网络安全主管部门、行业网络安全主管部门、网络安全研究机构/企业、关键基础设施运营单位）建立起事件处置联动的工作通道，发现威胁事件可快速将协调联动指挥指令下发至相关的关键信息运营单位，同时可对各单位的处置情况进行跟踪和提醒。</w:t>
      </w:r>
    </w:p>
    <w:p w14:paraId="73CA9EE9">
      <w:pPr>
        <w:ind w:firstLine="480"/>
        <w:rPr>
          <w:rFonts w:ascii="宋体" w:hAnsi="宋体" w:cs="宋体"/>
        </w:rPr>
      </w:pPr>
      <w:r>
        <w:rPr>
          <w:rFonts w:hint="eastAsia" w:ascii="宋体" w:hAnsi="宋体" w:cs="宋体"/>
        </w:rPr>
        <w:t>（</w:t>
      </w:r>
      <w:r>
        <w:rPr>
          <w:rFonts w:ascii="宋体" w:hAnsi="宋体" w:cs="宋体"/>
        </w:rPr>
        <w:t>2</w:t>
      </w:r>
      <w:r>
        <w:rPr>
          <w:rFonts w:hint="eastAsia" w:ascii="宋体" w:hAnsi="宋体" w:cs="宋体"/>
        </w:rPr>
        <w:t>）能够提供数据可视化展现功能，实现对信息、事件、预警的统计、分析及展现。</w:t>
      </w:r>
    </w:p>
    <w:p w14:paraId="1F377039">
      <w:pPr>
        <w:pStyle w:val="4"/>
        <w:numPr>
          <w:ilvl w:val="2"/>
          <w:numId w:val="2"/>
        </w:numPr>
      </w:pPr>
      <w:bookmarkStart w:id="29" w:name="_Toc130226973"/>
      <w:bookmarkStart w:id="30" w:name="_Toc104633444"/>
      <w:r>
        <w:rPr>
          <w:rFonts w:hint="eastAsia"/>
        </w:rPr>
        <w:t>汇集协调建设需求</w:t>
      </w:r>
      <w:bookmarkEnd w:id="29"/>
      <w:bookmarkEnd w:id="30"/>
    </w:p>
    <w:p w14:paraId="67911CA7">
      <w:pPr>
        <w:ind w:firstLine="480"/>
        <w:rPr>
          <w:rFonts w:ascii="宋体" w:hAnsi="宋体" w:cs="宋体"/>
          <w:szCs w:val="28"/>
        </w:rPr>
      </w:pPr>
      <w:r>
        <w:rPr>
          <w:rFonts w:hint="eastAsia" w:ascii="宋体" w:hAnsi="宋体" w:cs="宋体"/>
          <w:szCs w:val="28"/>
        </w:rPr>
        <w:t>汇集协调主要功能包括信息管理、安全动态、风险管理、事件管理、综合查询、资产管理。需支持为中央网络安全主管部门、地方网络安全主管部门、行业网络安全主管部门、网络安全研究机构及企业、关键信息基础设施运营单位等的事件处置联络人分配账号，如地方网络安全主管单位或部门有需求，可利用该系统搭建面向本地区本部门的子系统。具体需求如下：</w:t>
      </w:r>
    </w:p>
    <w:p w14:paraId="298A43FA">
      <w:pPr>
        <w:pStyle w:val="43"/>
        <w:numPr>
          <w:ilvl w:val="0"/>
          <w:numId w:val="3"/>
        </w:numPr>
        <w:ind w:firstLineChars="0"/>
      </w:pPr>
      <w:r>
        <w:rPr>
          <w:rFonts w:hint="eastAsia"/>
        </w:rPr>
        <w:t>支持威胁信息的报送、采集、处置与管理；</w:t>
      </w:r>
    </w:p>
    <w:p w14:paraId="65F5B4E2">
      <w:pPr>
        <w:pStyle w:val="43"/>
        <w:numPr>
          <w:ilvl w:val="0"/>
          <w:numId w:val="3"/>
        </w:numPr>
        <w:ind w:firstLineChars="0"/>
      </w:pPr>
      <w:r>
        <w:rPr>
          <w:rFonts w:hint="eastAsia"/>
        </w:rPr>
        <w:t>支持相关单位部门、研究机构、企业信息与人员信息的管理；</w:t>
      </w:r>
    </w:p>
    <w:p w14:paraId="07DD7D21">
      <w:pPr>
        <w:pStyle w:val="43"/>
        <w:numPr>
          <w:ilvl w:val="0"/>
          <w:numId w:val="3"/>
        </w:numPr>
        <w:ind w:firstLineChars="0"/>
      </w:pPr>
      <w:r>
        <w:rPr>
          <w:rFonts w:hint="eastAsia"/>
        </w:rPr>
        <w:t>支持事件的上报、审批、事件通知发布、处置反馈等全流程管理。</w:t>
      </w:r>
    </w:p>
    <w:p w14:paraId="3F5F090D">
      <w:pPr>
        <w:pStyle w:val="43"/>
        <w:numPr>
          <w:ilvl w:val="0"/>
          <w:numId w:val="3"/>
        </w:numPr>
        <w:ind w:firstLineChars="0"/>
      </w:pPr>
      <w:r>
        <w:rPr>
          <w:rFonts w:hint="eastAsia"/>
        </w:rPr>
        <w:t>支持对各类上报信息的综合查询。</w:t>
      </w:r>
    </w:p>
    <w:p w14:paraId="167161D0">
      <w:pPr>
        <w:pStyle w:val="43"/>
        <w:numPr>
          <w:ilvl w:val="0"/>
          <w:numId w:val="3"/>
        </w:numPr>
        <w:ind w:firstLineChars="0"/>
      </w:pPr>
      <w:r>
        <w:rPr>
          <w:rFonts w:hint="eastAsia"/>
        </w:rPr>
        <w:t>支持对各角色功能模块的权限控制。</w:t>
      </w:r>
    </w:p>
    <w:p w14:paraId="23EAC6CA">
      <w:pPr>
        <w:pStyle w:val="4"/>
        <w:numPr>
          <w:ilvl w:val="2"/>
          <w:numId w:val="2"/>
        </w:numPr>
      </w:pPr>
      <w:bookmarkStart w:id="31" w:name="_Toc130226974"/>
      <w:bookmarkStart w:id="32" w:name="_Toc104633445"/>
      <w:r>
        <w:rPr>
          <w:rFonts w:hint="eastAsia"/>
        </w:rPr>
        <w:t>综合分析建设需求</w:t>
      </w:r>
      <w:bookmarkEnd w:id="31"/>
      <w:bookmarkEnd w:id="32"/>
    </w:p>
    <w:p w14:paraId="42DAC059">
      <w:pPr>
        <w:pStyle w:val="43"/>
        <w:numPr>
          <w:ilvl w:val="0"/>
          <w:numId w:val="4"/>
        </w:numPr>
        <w:ind w:firstLineChars="0"/>
      </w:pPr>
      <w:r>
        <w:rPr>
          <w:rFonts w:hint="eastAsia"/>
        </w:rPr>
        <w:t>提供自动切换实时滚动显示事件，风险，预警四类数据。</w:t>
      </w:r>
    </w:p>
    <w:p w14:paraId="609433F2">
      <w:pPr>
        <w:pStyle w:val="43"/>
        <w:numPr>
          <w:ilvl w:val="0"/>
          <w:numId w:val="4"/>
        </w:numPr>
        <w:ind w:firstLineChars="0"/>
      </w:pPr>
      <w:r>
        <w:rPr>
          <w:rFonts w:hint="eastAsia"/>
        </w:rPr>
        <w:t>提供自动切换实时显示信息、事件、预警统计数据。</w:t>
      </w:r>
    </w:p>
    <w:p w14:paraId="7570D80E">
      <w:pPr>
        <w:pStyle w:val="43"/>
        <w:numPr>
          <w:ilvl w:val="0"/>
          <w:numId w:val="4"/>
        </w:numPr>
        <w:ind w:firstLineChars="0"/>
      </w:pPr>
      <w:r>
        <w:rPr>
          <w:rFonts w:hint="eastAsia"/>
        </w:rPr>
        <w:t>信息上报分析展示</w:t>
      </w:r>
    </w:p>
    <w:p w14:paraId="56523572">
      <w:pPr>
        <w:pStyle w:val="43"/>
        <w:numPr>
          <w:ilvl w:val="0"/>
          <w:numId w:val="4"/>
        </w:numPr>
        <w:ind w:firstLineChars="0"/>
      </w:pPr>
      <w:r>
        <w:rPr>
          <w:rFonts w:hint="eastAsia"/>
        </w:rPr>
        <w:t>事件处置分析展示</w:t>
      </w:r>
    </w:p>
    <w:p w14:paraId="3F316A0F">
      <w:pPr>
        <w:pStyle w:val="43"/>
        <w:numPr>
          <w:ilvl w:val="0"/>
          <w:numId w:val="4"/>
        </w:numPr>
        <w:ind w:firstLineChars="0"/>
      </w:pPr>
      <w:r>
        <w:rPr>
          <w:rFonts w:hint="eastAsia"/>
        </w:rPr>
        <w:t>预警发布分析展示</w:t>
      </w:r>
    </w:p>
    <w:p w14:paraId="71F36C67">
      <w:pPr>
        <w:pStyle w:val="3"/>
        <w:numPr>
          <w:ilvl w:val="1"/>
          <w:numId w:val="2"/>
        </w:numPr>
        <w:jc w:val="left"/>
      </w:pPr>
      <w:bookmarkStart w:id="33" w:name="_Toc104633446"/>
      <w:bookmarkStart w:id="34" w:name="_Toc130226975"/>
      <w:r>
        <w:rPr>
          <w:rFonts w:hint="eastAsia"/>
        </w:rPr>
        <w:t>网络安全综合协同建设需求</w:t>
      </w:r>
      <w:bookmarkEnd w:id="33"/>
      <w:bookmarkEnd w:id="34"/>
    </w:p>
    <w:p w14:paraId="00C384D6">
      <w:pPr>
        <w:ind w:firstLine="480"/>
      </w:pPr>
      <w:r>
        <w:rPr>
          <w:rFonts w:hint="eastAsia"/>
        </w:rPr>
        <w:t>网络安全工作涉及面广，包括网络安全主管部门、行业主管部门以及众多的关键信息基础设施运营单位，需要各方协同工作，才能够保障安全工作的有效进行，具体主要涉及网络安全检查、预警通报、关键信息基础设施识别管理等安全保护支撑工作，能够通过以上工作形成各方之间的联动机制，保障网络安全工作要求能够有效落实。</w:t>
      </w:r>
    </w:p>
    <w:p w14:paraId="23EDE62B">
      <w:pPr>
        <w:ind w:firstLine="480"/>
      </w:pPr>
      <w:r>
        <w:rPr>
          <w:rFonts w:hint="eastAsia"/>
        </w:rPr>
        <w:t>提升网络安全检查能力，网络安全检查是网络安全主管单位开展关键信息基础设施安全保护的重要抓手，一方面通过安全检查把安全工作要求下发给运营单位，另一方面通过安全检查督促关键信息基础设施运营单位落实安全工作要求，还能够通过安全检查的数据掌握关键信息基础设施运营单位的总体安全建设情况，包括安全责任制落实、安全制度、安全防护、安全运维、安全教育培训、安全投入等方面，结合安全监测及态势感知，能够更加全面、客观的反映网络安全现状。</w:t>
      </w:r>
    </w:p>
    <w:p w14:paraId="2E175379">
      <w:pPr>
        <w:pStyle w:val="4"/>
        <w:numPr>
          <w:ilvl w:val="2"/>
          <w:numId w:val="2"/>
        </w:numPr>
      </w:pPr>
      <w:bookmarkStart w:id="35" w:name="_Toc104633447"/>
      <w:bookmarkStart w:id="36" w:name="_Toc130226976"/>
      <w:r>
        <w:rPr>
          <w:rFonts w:hint="eastAsia"/>
        </w:rPr>
        <w:t>网络安全工作统筹协调</w:t>
      </w:r>
      <w:bookmarkEnd w:id="35"/>
      <w:bookmarkEnd w:id="36"/>
    </w:p>
    <w:p w14:paraId="6D9EB024">
      <w:pPr>
        <w:ind w:firstLine="480"/>
      </w:pPr>
      <w:r>
        <w:t>2017</w:t>
      </w:r>
      <w:r>
        <w:rPr>
          <w:rFonts w:hint="eastAsia"/>
        </w:rPr>
        <w:t>年</w:t>
      </w:r>
      <w:r>
        <w:t>6</w:t>
      </w:r>
      <w:r>
        <w:rPr>
          <w:rFonts w:hint="eastAsia"/>
        </w:rPr>
        <w:t>月</w:t>
      </w:r>
      <w:r>
        <w:t>1</w:t>
      </w:r>
      <w:r>
        <w:rPr>
          <w:rFonts w:hint="eastAsia"/>
        </w:rPr>
        <w:t>日正式实施的《中华人民共和国网络安全法》第八条明确规定“国家网信部门负责统筹协调网络安全工作和相关监督管理工作。国务院电信主管部门、公安部门和其他有关机关依照本法和有关法律、行政法规的规定，在各自职责范围内负责网络安全保护和监督管理工作。”</w:t>
      </w:r>
    </w:p>
    <w:p w14:paraId="3F43EDAE">
      <w:pPr>
        <w:ind w:firstLine="480"/>
      </w:pPr>
      <w:r>
        <w:rPr>
          <w:rFonts w:hint="eastAsia" w:ascii="宋体" w:hAnsi="宋体" w:cs="Calibri"/>
          <w:color w:val="000000"/>
          <w:szCs w:val="24"/>
        </w:rPr>
        <w:t>2</w:t>
      </w:r>
      <w:r>
        <w:rPr>
          <w:rFonts w:ascii="宋体" w:hAnsi="宋体" w:cs="Calibri"/>
          <w:color w:val="000000"/>
          <w:szCs w:val="24"/>
        </w:rPr>
        <w:t>021</w:t>
      </w:r>
      <w:r>
        <w:rPr>
          <w:rFonts w:hint="eastAsia" w:ascii="宋体" w:hAnsi="宋体" w:cs="Calibri"/>
          <w:color w:val="000000"/>
          <w:szCs w:val="24"/>
        </w:rPr>
        <w:t>年9月1日正式实施《关键信息基础设施安全保护条例》</w:t>
      </w:r>
      <w:r>
        <w:rPr>
          <w:rFonts w:hint="eastAsia"/>
        </w:rPr>
        <w:t>，第三条明确规定“</w:t>
      </w:r>
      <w:r>
        <w:rPr>
          <w:rFonts w:hint="eastAsia"/>
          <w:color w:val="333333"/>
          <w:shd w:val="clear" w:color="auto" w:fill="FFFFFF"/>
        </w:rPr>
        <w:t>在国家网信部门统筹协调下，国务院公安部门负责指导监督关键信息基础设施安全保护工作。国务院电信主管部门和其他有关部门依照本条例和有关法律、行政法规的规定，在各自职责范围内负责关键信息基础设施安全保护和监督管理工作。</w:t>
      </w:r>
      <w:r>
        <w:rPr>
          <w:rFonts w:hint="eastAsia"/>
        </w:rPr>
        <w:t>”</w:t>
      </w:r>
    </w:p>
    <w:p w14:paraId="4B741F5B">
      <w:pPr>
        <w:ind w:firstLine="480"/>
      </w:pPr>
      <w:r>
        <w:rPr>
          <w:rFonts w:hint="eastAsia"/>
        </w:rPr>
        <w:t>为了进一步加强省（市）关键信息基础设施安全保障工作，网络安全主管部门需要建立和逐步健全关键信息基础设施安全保护工作统筹协调机制，厘清各职能部门的监管责任、各行业主管部门的主管责任、各行业主体的主体责任以及明确划分相关企业和社会组织应该承担的权益、责任和义务。通过协同工作系统的支撑，建立工作协同机制，共同开展XXX省/市关键信息基础设施安全保护工作。</w:t>
      </w:r>
    </w:p>
    <w:p w14:paraId="27FE3908">
      <w:pPr>
        <w:pStyle w:val="4"/>
        <w:numPr>
          <w:ilvl w:val="2"/>
          <w:numId w:val="2"/>
        </w:numPr>
      </w:pPr>
      <w:bookmarkStart w:id="37" w:name="_Toc104633448"/>
      <w:bookmarkStart w:id="38" w:name="_Toc130226977"/>
      <w:r>
        <w:rPr>
          <w:rFonts w:hint="eastAsia"/>
        </w:rPr>
        <w:t>网络安全决策数据支持</w:t>
      </w:r>
      <w:bookmarkEnd w:id="37"/>
      <w:bookmarkEnd w:id="38"/>
    </w:p>
    <w:p w14:paraId="7869C9E5">
      <w:pPr>
        <w:ind w:firstLine="480"/>
      </w:pPr>
      <w:r>
        <w:rPr>
          <w:rFonts w:hint="eastAsia"/>
        </w:rPr>
        <w:t>网络安全主管单位开展关键信息基础设施安全保障工作，首先要掌握安全现状，要有客观数据的支持。网络安全协同工作系统通过收集关键信息基础设施运营单位数据、网络安全自查抽查数据、对接其他安全监测、安全预警等数据，形成大数据基础库。通过大数据分析技术，针对不同角色展示相关安全现状、安全问题，为网络安全主管单位开展关键信息基础设施保障工作提供数据决策支持。</w:t>
      </w:r>
    </w:p>
    <w:p w14:paraId="6B16D496">
      <w:pPr>
        <w:pStyle w:val="4"/>
        <w:numPr>
          <w:ilvl w:val="2"/>
          <w:numId w:val="2"/>
        </w:numPr>
      </w:pPr>
      <w:bookmarkStart w:id="39" w:name="_Toc104633449"/>
      <w:bookmarkStart w:id="40" w:name="_Toc130226978"/>
      <w:r>
        <w:rPr>
          <w:rFonts w:hint="eastAsia"/>
        </w:rPr>
        <w:t>网络安全工作协同支撑需要</w:t>
      </w:r>
      <w:bookmarkEnd w:id="39"/>
      <w:bookmarkEnd w:id="40"/>
    </w:p>
    <w:p w14:paraId="3DA3F108">
      <w:pPr>
        <w:ind w:firstLine="480"/>
      </w:pPr>
      <w:r>
        <w:rPr>
          <w:rFonts w:hint="eastAsia"/>
        </w:rPr>
        <w:t>网络安全工作涉及面广，包括网络安全主管部门、行业主管部门以及众多的关键信息基础设施运营单位，需要各方协同工作，才能够保障安全工作的有效进行，具体主要涉及网络安全检查、预警通报、关键信息基础设施识别管理等安全保护支撑工作，能够通过以上工作形成各方之间的联动机制，保障网络安全工作要求能够有效落实。</w:t>
      </w:r>
    </w:p>
    <w:p w14:paraId="79230DB9">
      <w:pPr>
        <w:pStyle w:val="4"/>
        <w:numPr>
          <w:ilvl w:val="2"/>
          <w:numId w:val="2"/>
        </w:numPr>
      </w:pPr>
      <w:bookmarkStart w:id="41" w:name="_Toc130226979"/>
      <w:bookmarkStart w:id="42" w:name="_Toc104633450"/>
      <w:r>
        <w:rPr>
          <w:rFonts w:hint="eastAsia"/>
        </w:rPr>
        <w:t>网络安全检查工作需要</w:t>
      </w:r>
      <w:bookmarkEnd w:id="41"/>
      <w:bookmarkEnd w:id="42"/>
    </w:p>
    <w:p w14:paraId="2B01F59D">
      <w:pPr>
        <w:ind w:firstLine="480"/>
      </w:pPr>
      <w:r>
        <w:t>2016年4月19日</w:t>
      </w:r>
      <w:r>
        <w:rPr>
          <w:rFonts w:hint="eastAsia"/>
        </w:rPr>
        <w:t>，</w:t>
      </w:r>
      <w:r>
        <w:t>习近平总书记</w:t>
      </w:r>
      <w:r>
        <w:rPr>
          <w:rFonts w:hint="eastAsia"/>
        </w:rPr>
        <w:t>在网络安全和信息化工作座谈会上指出要“全面加强网络安全检查，摸清家底，认清风险，找出漏洞，通报结果，督促整改”。网络安全检查是网络安全主管单位开展关键信息基础设施安全保护的重要抓手，一方面通过安全检查把安全工作要求下发给运营单位，另一方面通过安全检查督促关键信息基础设施运营单位落实安全工作要求，还能够通过安全检查的数据掌握关键信息基础设施运营单位的总体安全建设情况，包括安全责任制落实、安全制度、安全防护、安全运维、安全教育培训、安全投入等方面，结合安全监测及态势感知，能够更加全面、客观的反映网络安全现状。我国各行业、领域主管部门已经开展了多年的网络安全检查工作，取得了明显的成效，一定程度上提高了单位关键信息基础设施安全防护水平，但在安全检查的工作开展过程中也存在以下问题：</w:t>
      </w:r>
    </w:p>
    <w:p w14:paraId="7A236B80">
      <w:pPr>
        <w:ind w:firstLine="480"/>
      </w:pPr>
      <w:r>
        <w:t>1、安全检查工作效率低</w:t>
      </w:r>
    </w:p>
    <w:p w14:paraId="4508EB1D">
      <w:pPr>
        <w:ind w:firstLine="480"/>
      </w:pPr>
      <w:r>
        <w:rPr>
          <w:rFonts w:hint="eastAsia"/>
        </w:rPr>
        <w:t>主管单位开展网络安全自查及网络安全抽查工作，需根据年度安全检查要求，对单位网络安全建设工作资料进行整理，填写自查指标，编写自查报告，准备安全抽查资料，由于缺乏必要的技术支撑工具，导致工作重复利用率不足，工作量大、工作效率低。</w:t>
      </w:r>
    </w:p>
    <w:p w14:paraId="7F30BF75">
      <w:pPr>
        <w:ind w:firstLine="480"/>
      </w:pPr>
      <w:r>
        <w:t>2、安全检查工作成效差</w:t>
      </w:r>
    </w:p>
    <w:p w14:paraId="0E60A855">
      <w:pPr>
        <w:ind w:firstLine="480"/>
      </w:pPr>
      <w:r>
        <w:rPr>
          <w:rFonts w:hint="eastAsia"/>
        </w:rPr>
        <w:t>安全检查组织工作主要依托于传统人工检查的模式，无法在检查组织的工作中客观真实的了解各关键信息基础设施运营单位网络安全工作开展进展情况，自查工作质量及安全检查成效，也就无法有针对性的对检查工作的开展进行有效的监督指导，存在部分运营单位安全检查工作开展流于形式的情况。同时，针对自查及检查发现的问题，缺乏跟进整改的手段，导致检查效果落实不足。</w:t>
      </w:r>
    </w:p>
    <w:p w14:paraId="650486AA">
      <w:pPr>
        <w:ind w:firstLine="480"/>
      </w:pPr>
      <w:r>
        <w:t>3、安全建设工作持续性差</w:t>
      </w:r>
    </w:p>
    <w:p w14:paraId="439E518A">
      <w:pPr>
        <w:ind w:firstLine="480"/>
      </w:pPr>
      <w:r>
        <w:rPr>
          <w:rFonts w:hint="eastAsia"/>
        </w:rPr>
        <w:t>各单位通过逐步开展网络安全自查及检查工作，逐步完善本单位网络安全建设工作，由于目前基本通过人工的方式进行整理，安全建设工作无法进行有效的记录和跟踪以及信息共享，无法形成有效的工作经验积累，各运营单位主管网络安全人员一旦发生变化，导致需重新整理相关网络安全工作资料，网络安全建设工作延续性差。</w:t>
      </w:r>
    </w:p>
    <w:p w14:paraId="73E4775B">
      <w:pPr>
        <w:ind w:firstLine="480"/>
      </w:pPr>
      <w:r>
        <w:rPr>
          <w:rFonts w:hint="eastAsia"/>
        </w:rPr>
        <w:t>（四）</w:t>
      </w:r>
      <w:r>
        <w:tab/>
      </w:r>
      <w:r>
        <w:t>缺乏宏观统计分析，无法形成有效的指导</w:t>
      </w:r>
    </w:p>
    <w:p w14:paraId="38E90F9A">
      <w:pPr>
        <w:ind w:firstLine="480"/>
      </w:pPr>
      <w:r>
        <w:rPr>
          <w:rFonts w:hint="eastAsia"/>
        </w:rPr>
        <w:t>网络安全建设工作是一项系统化工程，需要分阶段、分步骤逐步建设完成。但由于缺乏信息化支撑工具，无法对网络安全检查结果进行有效的分析、了解省（市）</w:t>
      </w:r>
      <w:r>
        <w:t>\市党政机关单位安全建设水平，掌握目前网络安全工作存在的薄弱环节，有针对性的调整年度网络安全工作重点，以形成对</w:t>
      </w:r>
      <w:r>
        <w:rPr>
          <w:rFonts w:hint="eastAsia"/>
        </w:rPr>
        <w:t>运营</w:t>
      </w:r>
      <w:r>
        <w:t>单位网络安全建设有效的指引，使</w:t>
      </w:r>
      <w:r>
        <w:rPr>
          <w:rFonts w:hint="eastAsia"/>
        </w:rPr>
        <w:t>运营</w:t>
      </w:r>
      <w:r>
        <w:t>单位网络安全工作在有序的指引下逐步完善。</w:t>
      </w:r>
    </w:p>
    <w:p w14:paraId="2B42C89F">
      <w:pPr>
        <w:pStyle w:val="4"/>
        <w:numPr>
          <w:ilvl w:val="2"/>
          <w:numId w:val="2"/>
        </w:numPr>
      </w:pPr>
      <w:bookmarkStart w:id="43" w:name="_Toc130226980"/>
      <w:bookmarkStart w:id="44" w:name="_Toc104633451"/>
      <w:r>
        <w:rPr>
          <w:rFonts w:hint="eastAsia"/>
        </w:rPr>
        <w:t>网络资产信息管理需要</w:t>
      </w:r>
      <w:bookmarkEnd w:id="43"/>
      <w:bookmarkEnd w:id="44"/>
    </w:p>
    <w:p w14:paraId="2333AA9F">
      <w:pPr>
        <w:ind w:firstLine="480"/>
      </w:pPr>
      <w:r>
        <w:rPr>
          <w:rFonts w:hint="eastAsia"/>
        </w:rPr>
        <w:t>网络资产作为网络安全保护的核心对象，需要从资产识别、上报审核、信息更新、退出等进行全生命周期管理，以全面掌握网络资产的基本状况。</w:t>
      </w:r>
    </w:p>
    <w:p w14:paraId="3FFD59A9">
      <w:pPr>
        <w:pStyle w:val="2"/>
        <w:numPr>
          <w:ilvl w:val="0"/>
          <w:numId w:val="2"/>
        </w:numPr>
        <w:jc w:val="left"/>
      </w:pPr>
      <w:bookmarkStart w:id="45" w:name="_Toc104633452"/>
      <w:bookmarkStart w:id="46" w:name="_Toc130226981"/>
      <w:r>
        <w:rPr>
          <w:rFonts w:hint="eastAsia"/>
        </w:rPr>
        <w:t>建设思路</w:t>
      </w:r>
      <w:bookmarkEnd w:id="45"/>
      <w:bookmarkEnd w:id="46"/>
    </w:p>
    <w:p w14:paraId="72FE4D03">
      <w:pPr>
        <w:pStyle w:val="3"/>
        <w:numPr>
          <w:ilvl w:val="1"/>
          <w:numId w:val="2"/>
        </w:numPr>
        <w:jc w:val="left"/>
      </w:pPr>
      <w:bookmarkStart w:id="47" w:name="_Toc104633453"/>
      <w:bookmarkStart w:id="48" w:name="_Toc130226982"/>
      <w:r>
        <w:rPr>
          <w:rFonts w:hint="eastAsia"/>
        </w:rPr>
        <w:t>统筹推进</w:t>
      </w:r>
      <w:bookmarkEnd w:id="47"/>
      <w:bookmarkEnd w:id="48"/>
    </w:p>
    <w:p w14:paraId="59C85E54">
      <w:pPr>
        <w:ind w:firstLine="480"/>
      </w:pPr>
      <w:r>
        <w:rPr>
          <w:rFonts w:hint="eastAsia"/>
        </w:rPr>
        <w:t>一是建立健全网信部门，各网络安全职能部门，各行业主管部门的关键信息基础设施安全保护工作协调机制；二是促进完善属地、行业以及责任主体之间协同配合的工作模式；三是按照《网络安全法》有关要求和制定出台的配套条例、办法，发挥好网信部门统筹协调网络安全工作的职能职责。研究统筹好关键信息基础设施安全保护和等保、分保等网络安全工作技术资源的具体办法，形成立体多样、分层分块的安全检查整体工作机制。通过充分履行统筹协调网络安全工作和相关监督管理工作的职责，积极发挥好有关部门职能。从部门协调、条块配合、执行整合等方面，保障试点工作的顺利开展。</w:t>
      </w:r>
    </w:p>
    <w:p w14:paraId="63B23F37">
      <w:pPr>
        <w:pStyle w:val="3"/>
        <w:numPr>
          <w:ilvl w:val="1"/>
          <w:numId w:val="2"/>
        </w:numPr>
        <w:jc w:val="left"/>
      </w:pPr>
      <w:bookmarkStart w:id="49" w:name="_Toc130226983"/>
      <w:bookmarkStart w:id="50" w:name="_Toc104633454"/>
      <w:r>
        <w:rPr>
          <w:rFonts w:hint="eastAsia"/>
        </w:rPr>
        <w:t>共建共筑</w:t>
      </w:r>
      <w:bookmarkEnd w:id="49"/>
      <w:bookmarkEnd w:id="50"/>
    </w:p>
    <w:p w14:paraId="656188C8">
      <w:pPr>
        <w:ind w:firstLine="480"/>
      </w:pPr>
      <w:r>
        <w:rPr>
          <w:rFonts w:hint="eastAsia"/>
        </w:rPr>
        <w:t>一是研究制定关键信息基础设施安全保护专家推荐、考评、审核、聘用、维持、公示等制度，成立由党政机关、重要行业从事网络安全工作的专家，网络安全专业机构专家，以及具有统计和经济背景的专家组成的关键信息基础设施安全保护专家委员会；二是研究制定关键信息基础设施安全保护专业支撑队伍人员征集、推荐、考评、审核、聘用、维持、替换等制度，组建由党政机关、重要行业、网络安全专业机构从事网络安全规划、建设、管理、运维、应急等工作的人员，以及网络安全业界领域知名专业人士组成的关键信息基础设施安全保护专业支撑队伍；三是共建共筑由政府、企业、社会组织、广大网民等组成的关键信息基础设施安全防线，研究制定日常沟通、异常举报、应急联动制度，共同履行关键信息基础设施安全保护的共同责任。</w:t>
      </w:r>
    </w:p>
    <w:p w14:paraId="134DAB75">
      <w:pPr>
        <w:pStyle w:val="3"/>
        <w:numPr>
          <w:ilvl w:val="1"/>
          <w:numId w:val="2"/>
        </w:numPr>
        <w:jc w:val="left"/>
      </w:pPr>
      <w:bookmarkStart w:id="51" w:name="_Toc130226984"/>
      <w:bookmarkStart w:id="52" w:name="_Toc104633455"/>
      <w:r>
        <w:rPr>
          <w:rFonts w:hint="eastAsia"/>
        </w:rPr>
        <w:t>开放共享</w:t>
      </w:r>
      <w:bookmarkEnd w:id="51"/>
      <w:bookmarkEnd w:id="52"/>
    </w:p>
    <w:p w14:paraId="3AFE085B">
      <w:pPr>
        <w:ind w:firstLine="480"/>
      </w:pPr>
      <w:r>
        <w:rPr>
          <w:rFonts w:hint="eastAsia"/>
        </w:rPr>
        <w:t>在关键信息基础设施安全保护工作协调机制的基础上研究制定有关数据开放和信息共享的可行办法，把网信、公安、工信、通管等网络安全各职能部门该统和能统的网络安全工作信息数据资源统起来，综合运用，提升风险防范能力和水平，为开展大数据挖掘和建设网络安全态势感知大平台打好基础。</w:t>
      </w:r>
    </w:p>
    <w:p w14:paraId="325A039F">
      <w:pPr>
        <w:pStyle w:val="3"/>
        <w:numPr>
          <w:ilvl w:val="1"/>
          <w:numId w:val="2"/>
        </w:numPr>
        <w:jc w:val="left"/>
      </w:pPr>
      <w:bookmarkStart w:id="53" w:name="_Toc104633456"/>
      <w:bookmarkStart w:id="54" w:name="_Toc130226985"/>
      <w:r>
        <w:rPr>
          <w:rFonts w:hint="eastAsia"/>
        </w:rPr>
        <w:t>协调创新</w:t>
      </w:r>
      <w:bookmarkEnd w:id="53"/>
      <w:bookmarkEnd w:id="54"/>
    </w:p>
    <w:p w14:paraId="5967B72F">
      <w:pPr>
        <w:ind w:firstLine="480"/>
      </w:pPr>
      <w:r>
        <w:rPr>
          <w:rFonts w:hint="eastAsia"/>
        </w:rPr>
        <w:t>一是深入研究做好网络安全工作统筹协调和相关监督管理工作的方式方法，把握好时、度、效，在一定范围内实践，积极改进，逐步推行。二是以安全检查、安全审查、安全应急等工作为抓手，加强统筹、增进沟通，创新关键信息基础设施安全保护工作具体模式和方法，研究关键信息基础设施安全保护工作协调促进各网络安全职能部门、各行业主管部门自身网络安全工作发展的机制，推动关键信息基础设施安全保障体系不断发展。</w:t>
      </w:r>
    </w:p>
    <w:p w14:paraId="3C2647E1">
      <w:pPr>
        <w:pStyle w:val="3"/>
        <w:numPr>
          <w:ilvl w:val="1"/>
          <w:numId w:val="2"/>
        </w:numPr>
        <w:jc w:val="left"/>
      </w:pPr>
      <w:bookmarkStart w:id="55" w:name="_Toc130226986"/>
      <w:bookmarkStart w:id="56" w:name="_Toc104633457"/>
      <w:r>
        <w:rPr>
          <w:rFonts w:hint="eastAsia"/>
        </w:rPr>
        <w:t>定制和引领</w:t>
      </w:r>
      <w:bookmarkEnd w:id="55"/>
      <w:bookmarkEnd w:id="56"/>
    </w:p>
    <w:p w14:paraId="4A0F3BEA">
      <w:pPr>
        <w:ind w:firstLine="480"/>
      </w:pPr>
      <w:r>
        <w:rPr>
          <w:rFonts w:hint="eastAsia"/>
        </w:rPr>
        <w:t>一是立足业务，在安全大数据、态势感知分析溯源等技术基础上，开展定制化的研发规划，做到立足以XXX省/市网信核心业务为引导，充分借鉴技术，开展定制化设计。二是依托独特的区位和资源优势，文化多样性、信息基础设施多样性等，丰富网信事件处置办法，基于样本多样性、行业覆盖多样性、标准合理性和数据通用性为网络协调指挥平台建设提供有力引领保障，为国家网络安全协调指挥平台建设积累经验丰富应急处置办法</w:t>
      </w:r>
    </w:p>
    <w:p w14:paraId="31816DA4">
      <w:pPr>
        <w:pStyle w:val="2"/>
        <w:numPr>
          <w:ilvl w:val="0"/>
          <w:numId w:val="2"/>
        </w:numPr>
        <w:jc w:val="left"/>
      </w:pPr>
      <w:bookmarkStart w:id="57" w:name="_Toc104633458"/>
      <w:bookmarkStart w:id="58" w:name="_Toc130226987"/>
      <w:r>
        <w:rPr>
          <w:rFonts w:hint="eastAsia"/>
        </w:rPr>
        <w:t>建设目标</w:t>
      </w:r>
      <w:bookmarkEnd w:id="57"/>
      <w:bookmarkEnd w:id="58"/>
    </w:p>
    <w:p w14:paraId="51F2E556">
      <w:pPr>
        <w:ind w:firstLine="480"/>
      </w:pPr>
      <w:r>
        <w:t>XXX省/市网络安全协调指挥平台建设目标是，建成联通省级党政机关、事业单位和重点企业，集</w:t>
      </w:r>
      <w:r>
        <w:rPr>
          <w:rFonts w:hint="eastAsia"/>
        </w:rPr>
        <w:t>信息汇聚</w:t>
      </w:r>
      <w:r>
        <w:t>、</w:t>
      </w:r>
      <w:r>
        <w:rPr>
          <w:rFonts w:hint="eastAsia"/>
        </w:rPr>
        <w:t>态势感知</w:t>
      </w:r>
      <w:r>
        <w:t>、</w:t>
      </w:r>
      <w:r>
        <w:rPr>
          <w:rFonts w:hint="eastAsia"/>
        </w:rPr>
        <w:t>预警通报</w:t>
      </w:r>
      <w:r>
        <w:t>、</w:t>
      </w:r>
      <w:r>
        <w:rPr>
          <w:rFonts w:hint="eastAsia"/>
        </w:rPr>
        <w:t>协同处置</w:t>
      </w:r>
      <w:r>
        <w:t>、</w:t>
      </w:r>
      <w:r>
        <w:rPr>
          <w:rFonts w:hint="eastAsia"/>
        </w:rPr>
        <w:t>协调指挥、信息上报</w:t>
      </w:r>
      <w:r>
        <w:t>以及</w:t>
      </w:r>
      <w:r>
        <w:rPr>
          <w:rFonts w:hint="eastAsia"/>
        </w:rPr>
        <w:t>综合协同</w:t>
      </w:r>
      <w:r>
        <w:t>等功能为一体的省级网络安全协调指挥平台，为实现国家、省、地（市）上中下三级纵向联动，发挥出省级平台承上启下的作用。通过汇聚、接入、整合、接收和共享、交换等方式，汇集省、地（市）党政机关、事业单位、重点企业和属地重要行业等的网络资产信息、网络安全信息、互联网流量数据、技术系统数据资源以及有关安全监测结果的数据和第三方技术机构的网络安全威胁情报信息等，将网络安全信</w:t>
      </w:r>
      <w:r>
        <w:rPr>
          <w:rFonts w:hint="eastAsia"/>
        </w:rPr>
        <w:t>息和数据收集起来、融合起来、使用起来，运用数据挖掘分析、规则匹配关联等技术手段，准确掌握安全态势，及时发现存在问题，为做好网络安全监测预警、感知预测、影响评估和信息通报、应急处置以及增强网信部门的网络安全统筹协调、监督管理和综合协同工作提供科学、有力、有效的数据决策和技术支撑。</w:t>
      </w:r>
    </w:p>
    <w:p w14:paraId="29150A70">
      <w:pPr>
        <w:pStyle w:val="3"/>
        <w:numPr>
          <w:ilvl w:val="1"/>
          <w:numId w:val="2"/>
        </w:numPr>
        <w:jc w:val="left"/>
      </w:pPr>
      <w:bookmarkStart w:id="59" w:name="_Toc130226988"/>
      <w:bookmarkStart w:id="60" w:name="_Toc104633459"/>
      <w:r>
        <w:rPr>
          <w:rFonts w:hint="eastAsia"/>
        </w:rPr>
        <w:t>建立网络安全态势感知分析能力</w:t>
      </w:r>
      <w:bookmarkEnd w:id="59"/>
      <w:bookmarkEnd w:id="60"/>
    </w:p>
    <w:p w14:paraId="67F2B010">
      <w:pPr>
        <w:ind w:firstLine="480"/>
        <w:rPr>
          <w:rFonts w:ascii="宋体" w:hAnsi="宋体" w:cs="Calibri"/>
          <w:color w:val="000000"/>
          <w:szCs w:val="24"/>
        </w:rPr>
      </w:pPr>
      <w:r>
        <w:rPr>
          <w:rFonts w:hint="eastAsia" w:ascii="宋体" w:hAnsi="宋体" w:cs="Calibri"/>
          <w:color w:val="000000"/>
          <w:szCs w:val="24"/>
        </w:rPr>
        <w:t>为了更好的</w:t>
      </w:r>
      <w:r>
        <w:rPr>
          <w:rFonts w:ascii="宋体" w:hAnsi="宋体" w:cs="Calibri"/>
          <w:color w:val="000000"/>
          <w:szCs w:val="24"/>
        </w:rPr>
        <w:t>实时掌握省（市）关键信息基础设施的网络安全态势，及时了解省（市）重要网站或系统、重点单位、核心网络节点和违规在线工控系统的网络安全威胁、风险和隐患，监测其安全漏洞、僵木蠕毒传播和网络攻击情况</w:t>
      </w:r>
      <w:r>
        <w:rPr>
          <w:rFonts w:hint="eastAsia" w:ascii="宋体" w:hAnsi="宋体" w:cs="Calibri"/>
          <w:color w:val="000000"/>
          <w:szCs w:val="24"/>
        </w:rPr>
        <w:t>，需要建立综合网络安全态势感知分析体系，从宏观的角度实时评估网络空间安全态势，对安全形势的发展趋势进行预测，从微观角度指导网络空间监管</w:t>
      </w:r>
      <w:r>
        <w:rPr>
          <w:rFonts w:ascii="宋体" w:hAnsi="宋体" w:cs="Calibri"/>
          <w:color w:val="000000"/>
          <w:szCs w:val="24"/>
        </w:rPr>
        <w:t>层面的安全支撑</w:t>
      </w:r>
      <w:r>
        <w:rPr>
          <w:rFonts w:hint="eastAsia" w:ascii="宋体" w:hAnsi="宋体" w:cs="Calibri"/>
          <w:color w:val="000000"/>
          <w:szCs w:val="24"/>
        </w:rPr>
        <w:t>，为XXX省/市</w:t>
      </w:r>
      <w:r>
        <w:rPr>
          <w:rFonts w:ascii="宋体" w:hAnsi="宋体" w:cs="Calibri"/>
          <w:color w:val="000000"/>
          <w:szCs w:val="24"/>
        </w:rPr>
        <w:t>委网信办网络安全监管工作提供有效技术支撑，从而推动网络安全监管协调工作向深层次发展，提升省（市）网络安全防护水平，保障省（市）政治、经济、文化和社会安全稳定。</w:t>
      </w:r>
    </w:p>
    <w:p w14:paraId="0F1C412F">
      <w:pPr>
        <w:overflowPunct w:val="0"/>
        <w:ind w:firstLine="480"/>
        <w:rPr>
          <w:rFonts w:cs="Times New Roman" w:asciiTheme="minorEastAsia" w:hAnsiTheme="minorEastAsia" w:eastAsiaTheme="minorEastAsia"/>
          <w:szCs w:val="28"/>
        </w:rPr>
      </w:pPr>
      <w:r>
        <w:rPr>
          <w:rFonts w:hint="eastAsia" w:cs="Times New Roman" w:asciiTheme="minorEastAsia" w:hAnsiTheme="minorEastAsia" w:eastAsiaTheme="minorEastAsia"/>
          <w:szCs w:val="28"/>
        </w:rPr>
        <w:t>网络安全大数据平台以网络安全模型分析为基础，</w:t>
      </w:r>
      <w:r>
        <w:rPr>
          <w:rFonts w:hint="eastAsia" w:ascii="宋体" w:hAnsi="宋体" w:cs="宋体"/>
          <w:szCs w:val="24"/>
        </w:rPr>
        <w:t>通过持续采集、接入、接收、识别等方法，汇聚网络流量、资产信息、日志数据、漏洞信息、用户行为、威胁信息、事件信息以及相关技术分析结果等信息数据，基于网络资产信息以及网络安全防护场景化，动态监测和分析网络安全的状态，运用信息融合、数据碰撞和大数据挖掘分析等技术手段，挖掘分析网络行为、用户行为等因素构成的网络安全状态和变化趋势，获取、识别、理解、回溯、推送、显示能够引起网络态势变化的安全要素，预测、预估、预警网络安全风险态势及网络安全事件发展趋势，及时发现网络安全事件，识别网络安全漏洞隐患及攻击威胁，掌握省内关键信息基础设施和重要信息系统的网络安全态势。</w:t>
      </w:r>
    </w:p>
    <w:p w14:paraId="4F8438E0">
      <w:pPr>
        <w:pStyle w:val="3"/>
        <w:numPr>
          <w:ilvl w:val="1"/>
          <w:numId w:val="2"/>
        </w:numPr>
        <w:jc w:val="left"/>
      </w:pPr>
      <w:bookmarkStart w:id="61" w:name="_Toc104633460"/>
      <w:bookmarkStart w:id="62" w:name="_Toc130226989"/>
      <w:r>
        <w:rPr>
          <w:rFonts w:hint="eastAsia"/>
        </w:rPr>
        <w:t>建立网络安全预警和事件处置支撑</w:t>
      </w:r>
      <w:bookmarkEnd w:id="61"/>
      <w:bookmarkEnd w:id="62"/>
    </w:p>
    <w:p w14:paraId="2B56C02E">
      <w:pPr>
        <w:ind w:firstLine="480"/>
      </w:pPr>
      <w:r>
        <w:rPr>
          <w:rFonts w:hint="eastAsia"/>
        </w:rPr>
        <w:t>为了更好的</w:t>
      </w:r>
      <w:r>
        <w:t>实现网信部门统筹协调网络安全信息的收集、分析和通报，统一发布网络安全监测预警信息，协同处置网络安全事件、多级联动纵向指挥的机制，协调省级网络安全职能部门建立健全网络安全</w:t>
      </w:r>
      <w:r>
        <w:rPr>
          <w:rFonts w:hint="eastAsia"/>
        </w:rPr>
        <w:t>事件处置</w:t>
      </w:r>
      <w:r>
        <w:t>工作机制</w:t>
      </w:r>
      <w:r>
        <w:rPr>
          <w:rFonts w:hint="eastAsia"/>
        </w:rPr>
        <w:t>。</w:t>
      </w:r>
    </w:p>
    <w:p w14:paraId="6AEFCD6D">
      <w:pPr>
        <w:ind w:firstLine="480"/>
      </w:pPr>
      <w:r>
        <w:rPr>
          <w:rFonts w:hint="eastAsia"/>
        </w:rPr>
        <w:t>通过建设网络安全预警和事件处置系统</w:t>
      </w:r>
      <w:r>
        <w:t>在最短的时间调动多个部门、单位相互协调、共同实施，</w:t>
      </w:r>
      <w:r>
        <w:rPr>
          <w:rFonts w:hint="eastAsia"/>
        </w:rPr>
        <w:t>有效解决突发公共事件，需要对各种信息与资源的整合，只有信息与资源整合了，各部门、单位之间才能高效协同。通过网络网络安全预警和事件处置建设，实现各级各部门间的安全预警通报、协同任务管理、运营人员调度，指导事件处置工作的快速、高效开展。</w:t>
      </w:r>
    </w:p>
    <w:p w14:paraId="74FF3577">
      <w:pPr>
        <w:pStyle w:val="3"/>
        <w:numPr>
          <w:ilvl w:val="1"/>
          <w:numId w:val="2"/>
        </w:numPr>
        <w:jc w:val="left"/>
      </w:pPr>
      <w:bookmarkStart w:id="63" w:name="_Toc104633461"/>
      <w:bookmarkStart w:id="64" w:name="_Toc130226990"/>
      <w:r>
        <w:rPr>
          <w:rFonts w:hint="eastAsia"/>
        </w:rPr>
        <w:t>建立网络安全工作协同工作机制及支撑</w:t>
      </w:r>
      <w:bookmarkEnd w:id="63"/>
      <w:bookmarkEnd w:id="64"/>
    </w:p>
    <w:p w14:paraId="425971D8">
      <w:pPr>
        <w:ind w:firstLine="480"/>
      </w:pPr>
      <w:r>
        <w:rPr>
          <w:rFonts w:hint="eastAsia"/>
        </w:rPr>
        <w:t>为更好支撑网络安全主管单位开展网络安全治理工作，协助网络安全主管领导建立网络安全协调指挥平台，有序建立省（市）网络安全保障体系。通过建立网络安全综合协同子系统实现网络安全工作统筹、安全态势分析、工作指导驱动、监督落实整改、持续提升的闭环工作机制及平台支撑，实现网络安全工作的统一规划、统一要求、分步指导，有序指引，逐步构建XXX省/市网络安全保障体系，提升网络安全防护水平。</w:t>
      </w:r>
    </w:p>
    <w:p w14:paraId="43FB9727">
      <w:pPr>
        <w:pStyle w:val="3"/>
        <w:numPr>
          <w:ilvl w:val="0"/>
          <w:numId w:val="2"/>
        </w:numPr>
        <w:jc w:val="left"/>
      </w:pPr>
      <w:bookmarkStart w:id="65" w:name="_Toc130226991"/>
      <w:bookmarkStart w:id="66" w:name="_Toc104633462"/>
      <w:r>
        <w:rPr>
          <w:rFonts w:hint="eastAsia"/>
        </w:rPr>
        <w:t>建设内容</w:t>
      </w:r>
      <w:bookmarkEnd w:id="65"/>
      <w:bookmarkEnd w:id="66"/>
    </w:p>
    <w:p w14:paraId="14F58934">
      <w:pPr>
        <w:ind w:firstLine="480"/>
      </w:pPr>
      <w:r>
        <w:rPr>
          <w:rFonts w:hint="eastAsia"/>
        </w:rPr>
        <w:t>按照统一规划，分步实施的原则，</w:t>
      </w:r>
      <w:r>
        <w:t>在技术措施方面</w:t>
      </w:r>
      <w:r>
        <w:rPr>
          <w:rFonts w:hint="eastAsia"/>
        </w:rPr>
        <w:t>，</w:t>
      </w:r>
      <w:r>
        <w:t>基于大数据分析技术，对省（市）关键信息基础设施</w:t>
      </w:r>
      <w:r>
        <w:rPr>
          <w:rFonts w:hint="eastAsia"/>
        </w:rPr>
        <w:t>进行</w:t>
      </w:r>
      <w:r>
        <w:t>全天候全方位</w:t>
      </w:r>
      <w:r>
        <w:rPr>
          <w:rFonts w:hint="eastAsia"/>
        </w:rPr>
        <w:t>的安全监测</w:t>
      </w:r>
      <w:r>
        <w:t>，最终实现全网网络安全态势可见、风险威胁可知、信息通报统一、</w:t>
      </w:r>
      <w:r>
        <w:rPr>
          <w:rFonts w:hint="eastAsia"/>
        </w:rPr>
        <w:t>事件</w:t>
      </w:r>
      <w:r>
        <w:t>处置高效。在管理流程方面，建立常态化网络安全工作机制</w:t>
      </w:r>
      <w:r>
        <w:rPr>
          <w:rFonts w:hint="eastAsia"/>
        </w:rPr>
        <w:t>，</w:t>
      </w:r>
      <w:r>
        <w:t>以技术平台为依托，</w:t>
      </w:r>
      <w:r>
        <w:rPr>
          <w:rFonts w:hint="eastAsia"/>
        </w:rPr>
        <w:t>建立网络安全数据采集共享、网络安全信息同步/预警/通报、网络安全事件处置、重大活动网络安全保障、网络安全联合检查及工作考核激励、人才培养和业务培训等多项机制，构建社会各方参与的网络安全综合防控体系。</w:t>
      </w:r>
    </w:p>
    <w:p w14:paraId="615709FB">
      <w:pPr>
        <w:pStyle w:val="3"/>
        <w:numPr>
          <w:ilvl w:val="1"/>
          <w:numId w:val="2"/>
        </w:numPr>
        <w:jc w:val="left"/>
      </w:pPr>
      <w:bookmarkStart w:id="67" w:name="_Toc104633463"/>
      <w:bookmarkStart w:id="68" w:name="_Toc130226992"/>
      <w:r>
        <w:rPr>
          <w:rFonts w:hint="eastAsia"/>
        </w:rPr>
        <w:t>应用系统建设</w:t>
      </w:r>
      <w:bookmarkEnd w:id="67"/>
      <w:bookmarkEnd w:id="68"/>
    </w:p>
    <w:p w14:paraId="02A1E8F2">
      <w:pPr>
        <w:pStyle w:val="4"/>
        <w:numPr>
          <w:ilvl w:val="2"/>
          <w:numId w:val="2"/>
        </w:numPr>
      </w:pPr>
      <w:bookmarkStart w:id="69" w:name="_Toc104633464"/>
      <w:bookmarkStart w:id="70" w:name="_Toc130226993"/>
      <w:r>
        <w:t>建立网络安全资产信息管理</w:t>
      </w:r>
      <w:bookmarkEnd w:id="69"/>
      <w:bookmarkEnd w:id="70"/>
    </w:p>
    <w:p w14:paraId="52992491">
      <w:pPr>
        <w:ind w:firstLine="480"/>
      </w:pPr>
      <w:r>
        <w:t>依据国家相关标准要求，结合XXX省/市网信办对网络安全信息资产管理的需要，确定XXX省/市网络安全信息资产管理属性标准，通过自主填报，对接主动探测、被动识别、及第三方资产管理数据导入等方式，建立XXX省/市网络安全信息资产库。建立省、市&amp;行业、各级党政机关单位网络安全资产自我更新管理机制，实现XXX省/市网络安全信息资产库的动态更新。</w:t>
      </w:r>
      <w:r>
        <w:rPr>
          <w:rFonts w:hint="eastAsia"/>
        </w:rPr>
        <w:t>为精准监测，有效防护及开展相关网络安全保障工作业务提供有力数据支撑</w:t>
      </w:r>
      <w:r>
        <w:t>，为</w:t>
      </w:r>
      <w:r>
        <w:rPr>
          <w:rFonts w:hint="eastAsia"/>
        </w:rPr>
        <w:t>网络安全综合协同工作打下基础。</w:t>
      </w:r>
    </w:p>
    <w:p w14:paraId="726FF65A">
      <w:pPr>
        <w:pStyle w:val="4"/>
        <w:numPr>
          <w:ilvl w:val="2"/>
          <w:numId w:val="2"/>
        </w:numPr>
      </w:pPr>
      <w:bookmarkStart w:id="71" w:name="_Toc104633465"/>
      <w:bookmarkStart w:id="72" w:name="_Toc130226994"/>
      <w:r>
        <w:rPr>
          <w:rFonts w:hint="eastAsia"/>
        </w:rPr>
        <w:t>网络安全态势分析子系统</w:t>
      </w:r>
      <w:bookmarkEnd w:id="71"/>
      <w:bookmarkEnd w:id="72"/>
    </w:p>
    <w:p w14:paraId="1A8FCCB5">
      <w:pPr>
        <w:ind w:firstLine="480"/>
      </w:pPr>
      <w:r>
        <w:rPr>
          <w:rFonts w:hint="eastAsia"/>
        </w:rPr>
        <w:t>建设网络安全态势分析子系统，通过持续采集、接入、接收、识别等方法，汇聚网络流量、资产信息、日志数据、漏洞信息、用户行为、威胁信息、事件信息以及相关技术分析结果等信息数据，挖掘网络安全状态和变化趋势，预测、预估、预警网络安全风险态势及网络安全事件发展趋势，及时发现网络安全事件，识别网络安全漏洞隐患及攻击威胁，掌握省内关键信息基础设施和重要信息系统的网络安全态势。主要建设内容如下：</w:t>
      </w:r>
    </w:p>
    <w:p w14:paraId="04BFC2AD">
      <w:pPr>
        <w:pStyle w:val="43"/>
        <w:numPr>
          <w:ilvl w:val="0"/>
          <w:numId w:val="5"/>
        </w:numPr>
        <w:ind w:firstLineChars="0"/>
      </w:pPr>
      <w:r>
        <w:rPr>
          <w:rFonts w:hint="eastAsia"/>
        </w:rPr>
        <w:t>建设通用能力支撑体系，依据顶层应用建设需求，内置的安全场景、事件模型以及分析规则等通用安全能力。其中内置的安全场景涵盖典型的业务场景、内置的事件模型3</w:t>
      </w:r>
      <w:r>
        <w:t>00</w:t>
      </w:r>
      <w:r>
        <w:rPr>
          <w:rFonts w:hint="eastAsia"/>
        </w:rPr>
        <w:t>余种、内置的关联规则1</w:t>
      </w:r>
      <w:r>
        <w:t>600</w:t>
      </w:r>
      <w:r>
        <w:rPr>
          <w:rFonts w:hint="eastAsia"/>
        </w:rPr>
        <w:t>余种。此外所涉及的场景、模型、规则和算子等的内容分类规范，符合中央网信办印发的关于网络安全协调指挥平台技术建设指南要求，积极贯彻国家网络安全领域有关标准规范。</w:t>
      </w:r>
    </w:p>
    <w:p w14:paraId="6B5424AE">
      <w:pPr>
        <w:pStyle w:val="43"/>
        <w:numPr>
          <w:ilvl w:val="0"/>
          <w:numId w:val="5"/>
        </w:numPr>
        <w:ind w:firstLineChars="0"/>
      </w:pPr>
      <w:r>
        <w:rPr>
          <w:rFonts w:hint="eastAsia"/>
        </w:rPr>
        <w:t>建设融合建模分析体系，深度融合分析建模是提供自主数据挖掘分析建模的全面平台，它是基于大数据技术的产品，是集合了大量统计分析功能、灵活配置规则、丰富而全面的数据分析方法的综合分析建模平台。通过融合建模，用户可以根据自身实际业务等方面的情况，有针对性的去自主定义挖掘分析目标、探索数据、主动地去统计分析、自定义配置符合自身业务需求的规则、挖掘出数据中存在的巨大价值，为用户在场景建模、安全风险管控、业务分析、管理等方面，提供更加直观，更加有效的，更加迅速的建模分析能力。</w:t>
      </w:r>
    </w:p>
    <w:p w14:paraId="07B0A49C">
      <w:pPr>
        <w:pStyle w:val="43"/>
        <w:numPr>
          <w:ilvl w:val="0"/>
          <w:numId w:val="5"/>
        </w:numPr>
        <w:ind w:firstLineChars="0"/>
      </w:pPr>
      <w:r>
        <w:rPr>
          <w:rFonts w:hint="eastAsia"/>
        </w:rPr>
        <w:t>建设溯源分析体系，通过分析流量中的行为，利用流量日志、</w:t>
      </w:r>
      <w:r>
        <w:t>PCAP包等信息，结合开源威胁情报以及网络攻防知识库，基于本体论的思想，从网络空间人、地、物、事、组织的角度，提取关键实体，构建实体之间的关系网络，通过攻击者同源、IP通联、虚实映射等分析方法，结合布控等手段，找出重点网络安全事件后面隐藏的真实攻击者，定位其位置、身份、意图，形成攻击者\组织。</w:t>
      </w:r>
    </w:p>
    <w:p w14:paraId="1BD9AD14">
      <w:pPr>
        <w:pStyle w:val="43"/>
        <w:numPr>
          <w:ilvl w:val="0"/>
          <w:numId w:val="5"/>
        </w:numPr>
        <w:ind w:firstLineChars="0"/>
      </w:pPr>
      <w:r>
        <w:rPr>
          <w:rFonts w:hint="eastAsia"/>
        </w:rPr>
        <w:t>建设态势分析及可视化，基于平台获取的各类监测数据及日常业务流转产生的业务数据，以网络安全事件、网络攻击、业务系统安全隐患为驱动，对网络空间安全相关监测信息、资产信息、通报信息等进行汇聚融合。在以中国竖版地图为参照基准，立足面向南亚、东南亚辐射中心，结合展示相关地理信息图形背景，通过安装显示设备，将网络安全协调指挥平台经过数据采集、数据加工、数据关联、数据分析生成的各类网络安全态势数据以可视化方式呈现出来，为整体了解把握网络安全工作态势提供必要的支撑。</w:t>
      </w:r>
    </w:p>
    <w:p w14:paraId="658A8CCD">
      <w:pPr>
        <w:pStyle w:val="43"/>
        <w:numPr>
          <w:ilvl w:val="0"/>
          <w:numId w:val="5"/>
        </w:numPr>
        <w:ind w:firstLineChars="0"/>
      </w:pPr>
      <w:r>
        <w:rPr>
          <w:rFonts w:hint="eastAsia"/>
        </w:rPr>
        <w:t>建设</w:t>
      </w:r>
      <w:r>
        <w:t>指挥中心信息系统安全信息和事件管理</w:t>
      </w:r>
      <w:r>
        <w:rPr>
          <w:rFonts w:hint="eastAsia"/>
        </w:rPr>
        <w:t>（SIEM），实现对经过各种方式采集到的来自省网络安全和信息化指挥中心信息系统的路由器、交换机、网闸、网络防火墙、入侵检测系统、统一用户管理系统、虚拟专用网和防病毒软件等网络设备和安全设备以日志告警形式记录的大量可疑活动在某些阶段或者某些方面的部分信息数据，通过关联技术进行分析，从中找出已经或者将要产生实质危害的网络攻击行为，在安全事件发生时，迅速察觉，准确定位，在造成实际损失前实现预警、及时响应。</w:t>
      </w:r>
    </w:p>
    <w:p w14:paraId="268CBB2D">
      <w:pPr>
        <w:pStyle w:val="4"/>
        <w:numPr>
          <w:ilvl w:val="2"/>
          <w:numId w:val="2"/>
        </w:numPr>
      </w:pPr>
      <w:bookmarkStart w:id="73" w:name="_Toc130226995"/>
      <w:bookmarkStart w:id="74" w:name="_Toc104633466"/>
      <w:r>
        <w:rPr>
          <w:rFonts w:hint="eastAsia"/>
        </w:rPr>
        <w:t>网络安全预警及事件处置子系统</w:t>
      </w:r>
      <w:bookmarkEnd w:id="73"/>
      <w:bookmarkEnd w:id="74"/>
    </w:p>
    <w:p w14:paraId="1D23E825">
      <w:pPr>
        <w:ind w:firstLine="480"/>
      </w:pPr>
      <w:r>
        <w:rPr>
          <w:rFonts w:hint="eastAsia"/>
        </w:rPr>
        <w:t>建设网络网络安全预警和事件处置，实现网信部门统筹协调网络安全信息的收集、分析和通报，统一发布网络安全监测预警信息，协同处置网络安全事件、多级联动纵向指挥的机制，协调省级网络安全职能部门建立健全网络安全事件处置工作机制。主要建设内容如下：</w:t>
      </w:r>
    </w:p>
    <w:p w14:paraId="1B8C7FDE">
      <w:pPr>
        <w:pStyle w:val="43"/>
        <w:numPr>
          <w:ilvl w:val="0"/>
          <w:numId w:val="6"/>
        </w:numPr>
        <w:ind w:firstLineChars="0"/>
      </w:pPr>
      <w:r>
        <w:rPr>
          <w:rFonts w:hint="eastAsia"/>
        </w:rPr>
        <w:t>建设预警通报，实现对网络安全态势分析子系统分析输出网络安全风险、网络安全事件、网络安全攻击威胁的提示、通报和预警。发出整改任务，督促开展整改工作和按时反馈处置结果。支持风险预警和事件通报，经过研判核验以及领导审批后进行发布和通报。事件通报和风险预警发布给各地各部门单位进行核查处置、整改、反馈，也可以发布给技术机构、安全厂商等应急技术支撑队伍协助配合处置。</w:t>
      </w:r>
    </w:p>
    <w:p w14:paraId="59779F20">
      <w:pPr>
        <w:pStyle w:val="43"/>
        <w:numPr>
          <w:ilvl w:val="0"/>
          <w:numId w:val="6"/>
        </w:numPr>
        <w:ind w:firstLineChars="0"/>
      </w:pPr>
      <w:r>
        <w:rPr>
          <w:rFonts w:hint="eastAsia"/>
        </w:rPr>
        <w:t>建设协调处置机制，准确掌握事件整体发展态势。针对性开展事件处置工作，并快速准确的部署事件处置工作。实现与省级党政机关、事业单位、相关重点企业、技术机构等协同处置网络安全事件。通过省级网络安全协调指挥平台向相关单位发送协同处置指令。要求其开展攻击溯源、取证分析、网络服务关停等处置工作，并及时反馈处置结果。</w:t>
      </w:r>
    </w:p>
    <w:p w14:paraId="18D40BB0">
      <w:pPr>
        <w:pStyle w:val="43"/>
        <w:numPr>
          <w:ilvl w:val="0"/>
          <w:numId w:val="6"/>
        </w:numPr>
        <w:ind w:firstLineChars="0"/>
      </w:pPr>
      <w:r>
        <w:rPr>
          <w:rFonts w:hint="eastAsia"/>
        </w:rPr>
        <w:t>建设协调指挥，实现网络安全纵向指挥。省级、地（市）级网络安全协调指挥平台接收上级平台关于网络安全风险预警、事件通报和事件处置的指挥指令，协调属地相关部门和机构的力量共同处理，通过省级平台跟踪事态发展变化情况、本地区受波及影响情况和处置进展情况，实现纵向指挥。接收上级关于风险预警、事件通报和事件处置的任务，协调属地共同处理、跟踪发展变化情况、影响范围及导致后果，及时报送情况至上级。</w:t>
      </w:r>
    </w:p>
    <w:p w14:paraId="55540E18">
      <w:pPr>
        <w:pStyle w:val="43"/>
        <w:numPr>
          <w:ilvl w:val="0"/>
          <w:numId w:val="6"/>
        </w:numPr>
        <w:ind w:firstLineChars="0"/>
      </w:pPr>
      <w:r>
        <w:rPr>
          <w:rFonts w:hint="eastAsia"/>
        </w:rPr>
        <w:t>建设信息上报，支持使用网络安全协调指挥平台，上报涉及本地区、本部门、本系统、本行业相关网络安全漏洞隐患、攻击威胁、风险事件以及网络安全工作资讯动态的信息，并支持隐藏用户名匿名上报。上报的信息经预审核后，推送至人工研判以及后续环节。统计各地各部门报送信息数量、报送信息趋势、报送信息统计、总体处置情况统计、报送信息数量排名、行业领域和地（市）响应、处置和反馈的时效排名等。</w:t>
      </w:r>
    </w:p>
    <w:p w14:paraId="1664675F">
      <w:pPr>
        <w:pStyle w:val="4"/>
        <w:numPr>
          <w:ilvl w:val="2"/>
          <w:numId w:val="2"/>
        </w:numPr>
      </w:pPr>
      <w:bookmarkStart w:id="75" w:name="_Toc130226996"/>
      <w:bookmarkStart w:id="76" w:name="_Toc104633467"/>
      <w:r>
        <w:rPr>
          <w:rFonts w:hint="eastAsia"/>
        </w:rPr>
        <w:t>网络安全协同指挥子系统</w:t>
      </w:r>
      <w:bookmarkEnd w:id="75"/>
      <w:bookmarkEnd w:id="76"/>
    </w:p>
    <w:p w14:paraId="0B510EF3">
      <w:pPr>
        <w:ind w:firstLine="480"/>
      </w:pPr>
      <w:r>
        <w:rPr>
          <w:rFonts w:hint="eastAsia"/>
        </w:rPr>
        <w:t>网络安全综合协同子系统以网络安全检查工作为基础，建立网络安全法律法规库，行业主管及监管基础信息库，完善网络资产信息，以此为基础通过规范网络安全监管及行业主管单位网络安全安全检查工作，初步实现省（市）关键信息基础设施保障统筹工作一盘棋，主要建设内容如下：</w:t>
      </w:r>
    </w:p>
    <w:p w14:paraId="382341EB">
      <w:pPr>
        <w:pStyle w:val="43"/>
        <w:numPr>
          <w:ilvl w:val="0"/>
          <w:numId w:val="7"/>
        </w:numPr>
        <w:ind w:firstLineChars="0"/>
      </w:pPr>
      <w:r>
        <w:rPr>
          <w:rFonts w:hint="eastAsia"/>
        </w:rPr>
        <w:t>建立网络安全综合分析，依据XXX省/市网信工作要求，基于网络安全风险数据、资产数据、安全管理数据等，结合网信业务工作开展需要进行深入分析及展示，为网信部门统筹协调各地各部门协同开展网络安全工作提供支撑，并为网信部门和省级网络安全监督管理有关职能部门提供数据决策支撑。</w:t>
      </w:r>
    </w:p>
    <w:p w14:paraId="27D8B8AE">
      <w:pPr>
        <w:pStyle w:val="43"/>
        <w:numPr>
          <w:ilvl w:val="0"/>
          <w:numId w:val="7"/>
        </w:numPr>
        <w:ind w:firstLineChars="0"/>
      </w:pPr>
      <w:r>
        <w:rPr>
          <w:rFonts w:hint="eastAsia"/>
        </w:rPr>
        <w:t>网络安全检查评估管理，支撑XXX省/市网络安全监管单位及行业主管单位网络安全检查工作的统一部署及协调管理，督促落实省（市）关键信息基础设施检查工作得到有效的落实。</w:t>
      </w:r>
    </w:p>
    <w:p w14:paraId="2351FB08">
      <w:pPr>
        <w:pStyle w:val="43"/>
        <w:numPr>
          <w:ilvl w:val="0"/>
          <w:numId w:val="7"/>
        </w:numPr>
        <w:ind w:firstLineChars="0"/>
      </w:pPr>
      <w:r>
        <w:rPr>
          <w:rFonts w:hint="eastAsia"/>
        </w:rPr>
        <w:t>法规标准库管理，对网络安全法律法规、政策文件、行业标准、规范指标进行梳理、条目表建立法规基础库，为网络安全统筹协同工作提供基础支撑。</w:t>
      </w:r>
    </w:p>
    <w:p w14:paraId="486185EE">
      <w:pPr>
        <w:pStyle w:val="43"/>
        <w:numPr>
          <w:ilvl w:val="0"/>
          <w:numId w:val="7"/>
        </w:numPr>
        <w:ind w:firstLineChars="0"/>
      </w:pPr>
      <w:r>
        <w:rPr>
          <w:rFonts w:hint="eastAsia"/>
        </w:rPr>
        <w:t>指标配置管理，提供网络安全主管单位按照已经建立的安全体系创建安全检查模板、并可以对模板进行配置、更新等操作，支撑网络安全统筹分析工作的有效开展。</w:t>
      </w:r>
    </w:p>
    <w:p w14:paraId="0D906A87">
      <w:pPr>
        <w:pStyle w:val="43"/>
        <w:numPr>
          <w:ilvl w:val="0"/>
          <w:numId w:val="7"/>
        </w:numPr>
        <w:ind w:firstLineChars="0"/>
      </w:pPr>
      <w:r>
        <w:rPr>
          <w:rFonts w:hint="eastAsia"/>
        </w:rPr>
        <w:t>专项工作管理，支撑XXX省/市网络安全监管单位及行业主管单位开展网络安全专项工作，包括信息摸底、信息调研和上级工作等，同时可以为安全综合分析提供数据支撑。</w:t>
      </w:r>
    </w:p>
    <w:p w14:paraId="733A1DEB">
      <w:pPr>
        <w:pStyle w:val="2"/>
        <w:numPr>
          <w:ilvl w:val="0"/>
          <w:numId w:val="2"/>
        </w:numPr>
        <w:jc w:val="left"/>
      </w:pPr>
      <w:bookmarkStart w:id="77" w:name="_Toc130226997"/>
      <w:bookmarkStart w:id="78" w:name="_Toc104633468"/>
      <w:r>
        <w:rPr>
          <w:rFonts w:hint="eastAsia"/>
        </w:rPr>
        <w:t>建设依据</w:t>
      </w:r>
      <w:bookmarkEnd w:id="77"/>
      <w:bookmarkEnd w:id="78"/>
    </w:p>
    <w:p w14:paraId="0D4FA95C">
      <w:pPr>
        <w:pStyle w:val="3"/>
        <w:numPr>
          <w:ilvl w:val="1"/>
          <w:numId w:val="2"/>
        </w:numPr>
        <w:jc w:val="left"/>
      </w:pPr>
      <w:bookmarkStart w:id="79" w:name="_Toc130226998"/>
      <w:bookmarkStart w:id="80" w:name="_Toc104633469"/>
      <w:r>
        <w:rPr>
          <w:rFonts w:hint="eastAsia"/>
        </w:rPr>
        <w:t>国家、部委及省法律法规及政策文件</w:t>
      </w:r>
      <w:bookmarkEnd w:id="79"/>
      <w:bookmarkEnd w:id="80"/>
    </w:p>
    <w:p w14:paraId="43B9C16A">
      <w:pPr>
        <w:pStyle w:val="43"/>
        <w:numPr>
          <w:ilvl w:val="0"/>
          <w:numId w:val="8"/>
        </w:numPr>
        <w:ind w:firstLineChars="0"/>
      </w:pPr>
      <w:r>
        <w:rPr>
          <w:rFonts w:hint="eastAsia"/>
        </w:rPr>
        <w:t>《电子政务标准化指南（征求意见稿）》（国家标准化管理委员会、国务院信息化工作办公室2003年1月印发）</w:t>
      </w:r>
    </w:p>
    <w:p w14:paraId="483B47CB">
      <w:pPr>
        <w:pStyle w:val="43"/>
        <w:numPr>
          <w:ilvl w:val="0"/>
          <w:numId w:val="8"/>
        </w:numPr>
        <w:ind w:firstLineChars="0"/>
      </w:pPr>
      <w:r>
        <w:rPr>
          <w:rFonts w:hint="eastAsia"/>
        </w:rPr>
        <w:t>《国务院关于大力推进信息化发展和切实保障信息安全的若干意见》(国发﹝2012﹞23号)</w:t>
      </w:r>
    </w:p>
    <w:p w14:paraId="2D602920">
      <w:pPr>
        <w:pStyle w:val="43"/>
        <w:numPr>
          <w:ilvl w:val="0"/>
          <w:numId w:val="8"/>
        </w:numPr>
        <w:ind w:firstLineChars="0"/>
      </w:pPr>
      <w:r>
        <w:rPr>
          <w:rFonts w:hint="eastAsia"/>
        </w:rPr>
        <w:t>《国家发展改革委关于印发“十二五”国家政务信息化工程建设规划的通知》（发改高技[2012]1202号）</w:t>
      </w:r>
    </w:p>
    <w:p w14:paraId="02D2EDC6">
      <w:pPr>
        <w:pStyle w:val="43"/>
        <w:numPr>
          <w:ilvl w:val="0"/>
          <w:numId w:val="8"/>
        </w:numPr>
        <w:ind w:firstLineChars="0"/>
      </w:pPr>
      <w:r>
        <w:rPr>
          <w:rFonts w:hint="eastAsia"/>
        </w:rPr>
        <w:t>《关于加强国家电子政务工程建设项目信息安全风险评估工作的通知》（发改高技[2008]2071号）</w:t>
      </w:r>
    </w:p>
    <w:p w14:paraId="697372E8">
      <w:pPr>
        <w:pStyle w:val="43"/>
        <w:numPr>
          <w:ilvl w:val="0"/>
          <w:numId w:val="8"/>
        </w:numPr>
        <w:ind w:firstLineChars="0"/>
      </w:pPr>
      <w:r>
        <w:rPr>
          <w:rFonts w:hint="eastAsia"/>
        </w:rPr>
        <w:t>《国家电子政务工程建设项目档案管理暂行办法》(档发[2008]3号)</w:t>
      </w:r>
    </w:p>
    <w:p w14:paraId="71C3E4BE">
      <w:pPr>
        <w:pStyle w:val="43"/>
        <w:numPr>
          <w:ilvl w:val="0"/>
          <w:numId w:val="8"/>
        </w:numPr>
        <w:ind w:firstLineChars="0"/>
      </w:pPr>
      <w:r>
        <w:rPr>
          <w:rFonts w:hint="eastAsia"/>
        </w:rPr>
        <w:t>《国务院办公厅关于开展重点领域网络与信息安全检查行动的通知》（国办函〔2012〕102号）</w:t>
      </w:r>
    </w:p>
    <w:p w14:paraId="007A28D5">
      <w:pPr>
        <w:pStyle w:val="43"/>
        <w:numPr>
          <w:ilvl w:val="0"/>
          <w:numId w:val="8"/>
        </w:numPr>
        <w:ind w:firstLineChars="0"/>
      </w:pPr>
      <w:r>
        <w:rPr>
          <w:rFonts w:hint="eastAsia"/>
        </w:rPr>
        <w:t>《工业和信息化部关于印发&lt;2013年重点领域信息安全检查工作方案&gt;的函》（工信部协函〔2013〕259号）</w:t>
      </w:r>
    </w:p>
    <w:p w14:paraId="38A44768">
      <w:pPr>
        <w:pStyle w:val="43"/>
        <w:numPr>
          <w:ilvl w:val="0"/>
          <w:numId w:val="8"/>
        </w:numPr>
        <w:ind w:firstLineChars="0"/>
      </w:pPr>
      <w:r>
        <w:rPr>
          <w:rFonts w:hint="eastAsia"/>
        </w:rPr>
        <w:t>《中央网络安全和信息化领导小组办公室关于加强党政机关网站安全管理的通知》（中网办发文〔2014〕1号）</w:t>
      </w:r>
    </w:p>
    <w:p w14:paraId="521772F0">
      <w:pPr>
        <w:pStyle w:val="43"/>
        <w:numPr>
          <w:ilvl w:val="0"/>
          <w:numId w:val="8"/>
        </w:numPr>
        <w:ind w:firstLineChars="0"/>
      </w:pPr>
      <w:r>
        <w:rPr>
          <w:rFonts w:hint="eastAsia"/>
        </w:rPr>
        <w:t>《关于统筹规范督查检查考核工作的通知》（中办发[2019]56号文）</w:t>
      </w:r>
    </w:p>
    <w:p w14:paraId="1AFCEF4C">
      <w:pPr>
        <w:pStyle w:val="43"/>
        <w:numPr>
          <w:ilvl w:val="0"/>
          <w:numId w:val="8"/>
        </w:numPr>
        <w:ind w:firstLineChars="0"/>
      </w:pPr>
      <w:r>
        <w:rPr>
          <w:rFonts w:hint="eastAsia"/>
        </w:rPr>
        <w:t>中央网络安全和信息化领导小组办公室、公安部、国家发展与改革委员会、工业和信息化部《关于加强智慧城市网络安全管理工作的若干意见》（中网办发文[2015]9号）</w:t>
      </w:r>
    </w:p>
    <w:p w14:paraId="6B9041CE">
      <w:pPr>
        <w:pStyle w:val="43"/>
        <w:numPr>
          <w:ilvl w:val="0"/>
          <w:numId w:val="8"/>
        </w:numPr>
        <w:ind w:firstLineChars="0"/>
      </w:pPr>
      <w:r>
        <w:rPr>
          <w:rFonts w:hint="eastAsia"/>
        </w:rPr>
        <w:t>《中华人民共和国网络安全法》</w:t>
      </w:r>
    </w:p>
    <w:p w14:paraId="0DE5E66B">
      <w:pPr>
        <w:pStyle w:val="43"/>
        <w:numPr>
          <w:ilvl w:val="0"/>
          <w:numId w:val="8"/>
        </w:numPr>
        <w:ind w:firstLineChars="0"/>
      </w:pPr>
      <w:r>
        <w:rPr>
          <w:rFonts w:hint="eastAsia"/>
        </w:rPr>
        <w:t>《关键信息基础设施安全保护条例》</w:t>
      </w:r>
    </w:p>
    <w:p w14:paraId="2B751153">
      <w:pPr>
        <w:pStyle w:val="43"/>
        <w:numPr>
          <w:ilvl w:val="0"/>
          <w:numId w:val="8"/>
        </w:numPr>
        <w:ind w:firstLineChars="0"/>
      </w:pPr>
      <w:r>
        <w:rPr>
          <w:rFonts w:hint="eastAsia"/>
        </w:rPr>
        <w:t>《习近平在网络安全和信息化工作座谈会上的讲话》（2016、2018）</w:t>
      </w:r>
    </w:p>
    <w:p w14:paraId="09C3F4E4">
      <w:pPr>
        <w:pStyle w:val="43"/>
        <w:numPr>
          <w:ilvl w:val="0"/>
          <w:numId w:val="8"/>
        </w:numPr>
        <w:ind w:firstLineChars="0"/>
      </w:pPr>
      <w:r>
        <w:rPr>
          <w:rFonts w:hint="eastAsia"/>
        </w:rPr>
        <w:t>《国家网络空间安全战略》</w:t>
      </w:r>
    </w:p>
    <w:p w14:paraId="789B6AB2">
      <w:pPr>
        <w:pStyle w:val="43"/>
        <w:numPr>
          <w:ilvl w:val="0"/>
          <w:numId w:val="8"/>
        </w:numPr>
        <w:ind w:firstLineChars="0"/>
      </w:pPr>
      <w:r>
        <w:rPr>
          <w:rFonts w:hint="eastAsia"/>
        </w:rPr>
        <w:t>《关于统筹规范督查检查考核工作的通知》（中办发〔2018〕56号）</w:t>
      </w:r>
    </w:p>
    <w:p w14:paraId="7ACAA7F6">
      <w:pPr>
        <w:pStyle w:val="43"/>
        <w:numPr>
          <w:ilvl w:val="0"/>
          <w:numId w:val="8"/>
        </w:numPr>
        <w:ind w:firstLineChars="0"/>
      </w:pPr>
      <w:r>
        <w:rPr>
          <w:rFonts w:hint="eastAsia"/>
        </w:rPr>
        <w:t>中央网信办发《关于进一步统筹规范网络安全检查工作的通知》</w:t>
      </w:r>
    </w:p>
    <w:p w14:paraId="53442ECD">
      <w:pPr>
        <w:pStyle w:val="43"/>
        <w:numPr>
          <w:ilvl w:val="0"/>
          <w:numId w:val="8"/>
        </w:numPr>
        <w:ind w:firstLineChars="0"/>
      </w:pPr>
      <w:r>
        <w:rPr>
          <w:rFonts w:hint="eastAsia"/>
        </w:rPr>
        <w:t>国家网络安全事件应急预案》 （中网办发文〔2017〕4号）</w:t>
      </w:r>
    </w:p>
    <w:p w14:paraId="40E1B552">
      <w:pPr>
        <w:pStyle w:val="43"/>
        <w:numPr>
          <w:ilvl w:val="0"/>
          <w:numId w:val="8"/>
        </w:numPr>
        <w:ind w:firstLineChars="0"/>
        <w:rPr>
          <w:rFonts w:cs="宋体"/>
          <w:szCs w:val="28"/>
        </w:rPr>
      </w:pPr>
      <w:r>
        <w:rPr>
          <w:rFonts w:hint="eastAsia" w:cs="宋体"/>
          <w:szCs w:val="28"/>
        </w:rPr>
        <w:t>《公共互联网网络安全威胁监测与处置办法》（工信部网安[2017]202号）</w:t>
      </w:r>
    </w:p>
    <w:p w14:paraId="5F00BEF6">
      <w:pPr>
        <w:pStyle w:val="43"/>
        <w:numPr>
          <w:ilvl w:val="0"/>
          <w:numId w:val="8"/>
        </w:numPr>
        <w:ind w:firstLineChars="0"/>
        <w:rPr>
          <w:rFonts w:cs="宋体"/>
          <w:szCs w:val="28"/>
        </w:rPr>
      </w:pPr>
      <w:r>
        <w:rPr>
          <w:rFonts w:hint="eastAsia" w:cs="宋体"/>
          <w:szCs w:val="28"/>
        </w:rPr>
        <w:t>《国家通信保障应急预案》</w:t>
      </w:r>
    </w:p>
    <w:p w14:paraId="2543F764">
      <w:pPr>
        <w:pStyle w:val="43"/>
        <w:numPr>
          <w:ilvl w:val="0"/>
          <w:numId w:val="8"/>
        </w:numPr>
        <w:ind w:firstLineChars="0"/>
        <w:rPr>
          <w:rFonts w:cs="宋体"/>
          <w:szCs w:val="28"/>
        </w:rPr>
      </w:pPr>
      <w:r>
        <w:rPr>
          <w:rFonts w:cs="宋体"/>
          <w:szCs w:val="28"/>
        </w:rPr>
        <w:t>《</w:t>
      </w:r>
      <w:r>
        <w:rPr>
          <w:rFonts w:hint="eastAsia" w:cs="宋体"/>
          <w:szCs w:val="28"/>
        </w:rPr>
        <w:t>中华人民共和国计算机信息系统安全保护条例</w:t>
      </w:r>
      <w:r>
        <w:rPr>
          <w:rFonts w:cs="宋体"/>
          <w:szCs w:val="28"/>
        </w:rPr>
        <w:t>》</w:t>
      </w:r>
    </w:p>
    <w:p w14:paraId="71F54619">
      <w:pPr>
        <w:pStyle w:val="43"/>
        <w:numPr>
          <w:ilvl w:val="0"/>
          <w:numId w:val="8"/>
        </w:numPr>
        <w:ind w:firstLineChars="0"/>
      </w:pPr>
      <w:r>
        <w:rPr>
          <w:rFonts w:hint="eastAsia"/>
        </w:rPr>
        <w:t>中共XXX省/市委办公厅印发的《关于进一步统筹规范督查检查考核工作的通知》</w:t>
      </w:r>
    </w:p>
    <w:p w14:paraId="0B87A8DF">
      <w:pPr>
        <w:pStyle w:val="3"/>
        <w:numPr>
          <w:ilvl w:val="1"/>
          <w:numId w:val="2"/>
        </w:numPr>
        <w:jc w:val="left"/>
      </w:pPr>
      <w:bookmarkStart w:id="81" w:name="_Toc104633470"/>
      <w:bookmarkStart w:id="82" w:name="_Toc130226999"/>
      <w:r>
        <w:t>国家标准</w:t>
      </w:r>
      <w:r>
        <w:rPr>
          <w:rFonts w:hint="eastAsia"/>
        </w:rPr>
        <w:t>类相关技术标准</w:t>
      </w:r>
      <w:bookmarkEnd w:id="81"/>
      <w:bookmarkEnd w:id="82"/>
    </w:p>
    <w:p w14:paraId="0A0C1C64">
      <w:pPr>
        <w:pStyle w:val="43"/>
        <w:numPr>
          <w:ilvl w:val="0"/>
          <w:numId w:val="9"/>
        </w:numPr>
        <w:ind w:left="0" w:firstLine="0" w:firstLineChars="0"/>
        <w:jc w:val="left"/>
      </w:pPr>
      <w:r>
        <w:rPr>
          <w:rFonts w:hint="eastAsia"/>
        </w:rPr>
        <w:t>《信息安全技术</w:t>
      </w:r>
      <w:r>
        <w:t xml:space="preserve"> </w:t>
      </w:r>
      <w:r>
        <w:rPr>
          <w:rFonts w:hint="eastAsia"/>
        </w:rPr>
        <w:t>网络安全威胁信息格式规范》</w:t>
      </w:r>
      <w:r>
        <w:t>GB/T 36643-2018</w:t>
      </w:r>
    </w:p>
    <w:p w14:paraId="1EF75786">
      <w:pPr>
        <w:pStyle w:val="43"/>
        <w:numPr>
          <w:ilvl w:val="0"/>
          <w:numId w:val="9"/>
        </w:numPr>
        <w:ind w:left="0" w:firstLine="0" w:firstLineChars="0"/>
        <w:jc w:val="left"/>
      </w:pPr>
      <w:r>
        <w:rPr>
          <w:rFonts w:hint="eastAsia"/>
        </w:rPr>
        <w:t>《信息安全技术</w:t>
      </w:r>
      <w:r>
        <w:t xml:space="preserve"> </w:t>
      </w:r>
      <w:r>
        <w:rPr>
          <w:rFonts w:hint="eastAsia"/>
        </w:rPr>
        <w:t>网络攻击定义及描述规范》</w:t>
      </w:r>
      <w:r>
        <w:t>GB/T 37027-2018</w:t>
      </w:r>
    </w:p>
    <w:p w14:paraId="18487118">
      <w:pPr>
        <w:pStyle w:val="43"/>
        <w:numPr>
          <w:ilvl w:val="0"/>
          <w:numId w:val="9"/>
        </w:numPr>
        <w:ind w:left="0" w:firstLine="0" w:firstLineChars="0"/>
        <w:jc w:val="left"/>
      </w:pPr>
      <w:r>
        <w:rPr>
          <w:rFonts w:hint="eastAsia"/>
        </w:rPr>
        <w:t>《信息安全技术</w:t>
      </w:r>
      <w:r>
        <w:t xml:space="preserve"> </w:t>
      </w:r>
      <w:r>
        <w:rPr>
          <w:rFonts w:hint="eastAsia"/>
        </w:rPr>
        <w:t>网络安全漏洞标识与描述规范》</w:t>
      </w:r>
      <w:r>
        <w:t>GB/T 28458-2020</w:t>
      </w:r>
    </w:p>
    <w:p w14:paraId="7BB20C47">
      <w:pPr>
        <w:pStyle w:val="43"/>
        <w:numPr>
          <w:ilvl w:val="0"/>
          <w:numId w:val="9"/>
        </w:numPr>
        <w:ind w:left="0" w:firstLine="0" w:firstLineChars="0"/>
        <w:jc w:val="left"/>
      </w:pPr>
      <w:r>
        <w:rPr>
          <w:rFonts w:hint="eastAsia"/>
        </w:rPr>
        <w:t>《信息安全技术</w:t>
      </w:r>
      <w:r>
        <w:t xml:space="preserve"> </w:t>
      </w:r>
      <w:r>
        <w:rPr>
          <w:rFonts w:hint="eastAsia"/>
        </w:rPr>
        <w:t>网络安全漏洞分类分级指南》</w:t>
      </w:r>
      <w:r>
        <w:t>GB/T 30279-2020</w:t>
      </w:r>
    </w:p>
    <w:p w14:paraId="1EE55B17">
      <w:pPr>
        <w:pStyle w:val="43"/>
        <w:numPr>
          <w:ilvl w:val="0"/>
          <w:numId w:val="9"/>
        </w:numPr>
        <w:ind w:left="0" w:firstLine="0" w:firstLineChars="0"/>
        <w:jc w:val="left"/>
      </w:pPr>
      <w:r>
        <w:rPr>
          <w:rFonts w:hint="eastAsia"/>
        </w:rPr>
        <w:t>《信息安全技术</w:t>
      </w:r>
      <w:r>
        <w:t xml:space="preserve"> </w:t>
      </w:r>
      <w:r>
        <w:rPr>
          <w:rFonts w:hint="eastAsia"/>
        </w:rPr>
        <w:t>网络安全漏洞管理规范》</w:t>
      </w:r>
      <w:r>
        <w:t>GB/T 30276-2020</w:t>
      </w:r>
    </w:p>
    <w:p w14:paraId="6C790E8B">
      <w:pPr>
        <w:pStyle w:val="43"/>
        <w:numPr>
          <w:ilvl w:val="0"/>
          <w:numId w:val="9"/>
        </w:numPr>
        <w:ind w:left="0" w:firstLine="0" w:firstLineChars="0"/>
        <w:jc w:val="left"/>
      </w:pPr>
      <w:r>
        <w:rPr>
          <w:rFonts w:hint="eastAsia"/>
        </w:rPr>
        <w:t>《信息安全技术</w:t>
      </w:r>
      <w:r>
        <w:t xml:space="preserve"> </w:t>
      </w:r>
      <w:r>
        <w:rPr>
          <w:rFonts w:hint="eastAsia"/>
        </w:rPr>
        <w:t>网络安全预警指南》</w:t>
      </w:r>
      <w:r>
        <w:t>GB/T 32924-2016</w:t>
      </w:r>
    </w:p>
    <w:p w14:paraId="5E8A9AF5">
      <w:pPr>
        <w:pStyle w:val="43"/>
        <w:numPr>
          <w:ilvl w:val="0"/>
          <w:numId w:val="9"/>
        </w:numPr>
        <w:ind w:left="0" w:firstLine="0" w:firstLineChars="0"/>
        <w:jc w:val="left"/>
      </w:pPr>
      <w:r>
        <w:rPr>
          <w:rFonts w:hint="eastAsia"/>
        </w:rPr>
        <w:t>《信息安全技术</w:t>
      </w:r>
      <w:r>
        <w:t xml:space="preserve"> </w:t>
      </w:r>
      <w:r>
        <w:rPr>
          <w:rFonts w:hint="eastAsia"/>
        </w:rPr>
        <w:t>网络安全事件应急演练指南》</w:t>
      </w:r>
      <w:r>
        <w:t>GB/T 38645-2020</w:t>
      </w:r>
    </w:p>
    <w:p w14:paraId="74163B0A">
      <w:pPr>
        <w:pStyle w:val="43"/>
        <w:numPr>
          <w:ilvl w:val="0"/>
          <w:numId w:val="9"/>
        </w:numPr>
        <w:ind w:left="0" w:firstLine="0" w:firstLineChars="0"/>
        <w:jc w:val="left"/>
      </w:pPr>
      <w:r>
        <w:rPr>
          <w:rFonts w:hint="eastAsia"/>
        </w:rPr>
        <w:t>《信息安全技术</w:t>
      </w:r>
      <w:r>
        <w:t xml:space="preserve"> </w:t>
      </w:r>
      <w:r>
        <w:rPr>
          <w:rFonts w:hint="eastAsia"/>
        </w:rPr>
        <w:t>应用软件安全编程指南》</w:t>
      </w:r>
      <w:r>
        <w:t>GB/T 38674-2020</w:t>
      </w:r>
    </w:p>
    <w:p w14:paraId="50390933">
      <w:pPr>
        <w:pStyle w:val="43"/>
        <w:numPr>
          <w:ilvl w:val="0"/>
          <w:numId w:val="9"/>
        </w:numPr>
        <w:ind w:left="0" w:firstLine="0" w:firstLineChars="0"/>
        <w:jc w:val="left"/>
      </w:pPr>
      <w:r>
        <w:rPr>
          <w:rFonts w:hint="eastAsia"/>
        </w:rPr>
        <w:t>《信息安全技术</w:t>
      </w:r>
      <w:r>
        <w:t xml:space="preserve"> </w:t>
      </w:r>
      <w:r>
        <w:rPr>
          <w:rFonts w:hint="eastAsia"/>
        </w:rPr>
        <w:t>网络安全管理支撑系统技术要求》</w:t>
      </w:r>
      <w:r>
        <w:t>GB/T 38561-2020</w:t>
      </w:r>
    </w:p>
    <w:p w14:paraId="30BEEFE8">
      <w:pPr>
        <w:pStyle w:val="43"/>
        <w:numPr>
          <w:ilvl w:val="0"/>
          <w:numId w:val="9"/>
        </w:numPr>
        <w:ind w:left="0" w:firstLine="0" w:firstLineChars="0"/>
        <w:jc w:val="left"/>
      </w:pPr>
      <w:r>
        <w:rPr>
          <w:rFonts w:hint="eastAsia"/>
        </w:rPr>
        <w:t>《信息安全技术</w:t>
      </w:r>
      <w:r>
        <w:t xml:space="preserve"> </w:t>
      </w:r>
      <w:r>
        <w:rPr>
          <w:rFonts w:hint="eastAsia"/>
        </w:rPr>
        <w:t>信息系统安全运维管理指南》</w:t>
      </w:r>
      <w:r>
        <w:t>GB/T 36626-2018</w:t>
      </w:r>
    </w:p>
    <w:p w14:paraId="701BC7D5">
      <w:pPr>
        <w:pStyle w:val="43"/>
        <w:numPr>
          <w:ilvl w:val="0"/>
          <w:numId w:val="9"/>
        </w:numPr>
        <w:ind w:left="0" w:firstLine="0" w:firstLineChars="0"/>
        <w:jc w:val="left"/>
      </w:pPr>
      <w:r>
        <w:rPr>
          <w:rFonts w:hint="eastAsia"/>
        </w:rPr>
        <w:t>《信息安全技术</w:t>
      </w:r>
      <w:r>
        <w:t xml:space="preserve"> </w:t>
      </w:r>
      <w:r>
        <w:rPr>
          <w:rFonts w:hint="eastAsia"/>
        </w:rPr>
        <w:t>网络安全等级保护基本要求》</w:t>
      </w:r>
      <w:r>
        <w:t>GB/T 22239-2019</w:t>
      </w:r>
    </w:p>
    <w:p w14:paraId="11AAF1C1">
      <w:pPr>
        <w:pStyle w:val="43"/>
        <w:numPr>
          <w:ilvl w:val="0"/>
          <w:numId w:val="9"/>
        </w:numPr>
        <w:ind w:left="0" w:firstLine="0" w:firstLineChars="0"/>
        <w:jc w:val="left"/>
      </w:pPr>
      <w:r>
        <w:rPr>
          <w:rFonts w:hint="eastAsia"/>
        </w:rPr>
        <w:t>《信息安全技术</w:t>
      </w:r>
      <w:r>
        <w:t xml:space="preserve"> </w:t>
      </w:r>
      <w:r>
        <w:rPr>
          <w:rFonts w:hint="eastAsia"/>
        </w:rPr>
        <w:t>信息系统密码应用基本要求》</w:t>
      </w:r>
      <w:r>
        <w:t>GB/T 39786-2021</w:t>
      </w:r>
    </w:p>
    <w:p w14:paraId="03DA3737">
      <w:pPr>
        <w:pStyle w:val="43"/>
        <w:numPr>
          <w:ilvl w:val="0"/>
          <w:numId w:val="9"/>
        </w:numPr>
        <w:ind w:left="0" w:firstLine="0" w:firstLineChars="0"/>
        <w:jc w:val="left"/>
      </w:pPr>
      <w:r>
        <w:rPr>
          <w:rFonts w:hint="eastAsia"/>
        </w:rPr>
        <w:t>《信息安全技术信息安全事件分类分级指南》（GB/Z 20986-2007）</w:t>
      </w:r>
    </w:p>
    <w:p w14:paraId="24F047C8">
      <w:pPr>
        <w:pStyle w:val="43"/>
        <w:numPr>
          <w:ilvl w:val="0"/>
          <w:numId w:val="9"/>
        </w:numPr>
        <w:ind w:left="0" w:firstLine="0" w:firstLineChars="0"/>
        <w:jc w:val="left"/>
      </w:pPr>
      <w:r>
        <w:rPr>
          <w:rFonts w:hint="eastAsia"/>
        </w:rPr>
        <w:t>《信息技术 安全技术 信息安全应急响应计划规范》</w:t>
      </w:r>
    </w:p>
    <w:p w14:paraId="32FB48F3">
      <w:pPr>
        <w:pStyle w:val="43"/>
        <w:numPr>
          <w:ilvl w:val="0"/>
          <w:numId w:val="9"/>
        </w:numPr>
        <w:ind w:left="0" w:firstLine="0" w:firstLineChars="0"/>
        <w:jc w:val="left"/>
      </w:pPr>
      <w:r>
        <w:rPr>
          <w:rFonts w:hint="eastAsia"/>
        </w:rPr>
        <w:t>《信息安全技术</w:t>
      </w:r>
      <w:r>
        <w:t xml:space="preserve"> </w:t>
      </w:r>
      <w:r>
        <w:rPr>
          <w:rFonts w:hint="eastAsia"/>
        </w:rPr>
        <w:t>个人信息安全规范》</w:t>
      </w:r>
    </w:p>
    <w:p w14:paraId="4B6B2F08">
      <w:pPr>
        <w:pStyle w:val="43"/>
        <w:numPr>
          <w:ilvl w:val="0"/>
          <w:numId w:val="9"/>
        </w:numPr>
        <w:ind w:left="0" w:firstLine="0" w:firstLineChars="0"/>
        <w:jc w:val="left"/>
      </w:pPr>
      <w:r>
        <w:rPr>
          <w:rFonts w:hint="eastAsia"/>
        </w:rPr>
        <w:t>《国家电子政务外网信息安全标准体系框架》</w:t>
      </w:r>
    </w:p>
    <w:p w14:paraId="13373476">
      <w:pPr>
        <w:pStyle w:val="43"/>
        <w:numPr>
          <w:ilvl w:val="0"/>
          <w:numId w:val="9"/>
        </w:numPr>
        <w:ind w:left="0" w:firstLine="0" w:firstLineChars="0"/>
        <w:jc w:val="left"/>
      </w:pPr>
      <w:r>
        <w:rPr>
          <w:rFonts w:hint="eastAsia"/>
        </w:rPr>
        <w:t>《国家电子政务外网信息安全标准化工作规范》</w:t>
      </w:r>
    </w:p>
    <w:p w14:paraId="7329CF30">
      <w:pPr>
        <w:pStyle w:val="43"/>
        <w:numPr>
          <w:ilvl w:val="0"/>
          <w:numId w:val="9"/>
        </w:numPr>
        <w:ind w:left="0" w:firstLine="0" w:firstLineChars="0"/>
        <w:jc w:val="left"/>
      </w:pPr>
      <w:r>
        <w:rPr>
          <w:rFonts w:hint="eastAsia"/>
        </w:rPr>
        <w:t>《国家电子政务外网安全接入平台技术规范》</w:t>
      </w:r>
    </w:p>
    <w:p w14:paraId="3CFC7C4E">
      <w:pPr>
        <w:pStyle w:val="43"/>
        <w:numPr>
          <w:ilvl w:val="0"/>
          <w:numId w:val="9"/>
        </w:numPr>
        <w:ind w:left="0" w:firstLine="0" w:firstLineChars="0"/>
        <w:jc w:val="left"/>
      </w:pPr>
      <w:r>
        <w:rPr>
          <w:rFonts w:hint="eastAsia"/>
        </w:rPr>
        <w:t>《国家电子政务外网安全监测体系技术规范与实施指南》</w:t>
      </w:r>
    </w:p>
    <w:p w14:paraId="3B241598">
      <w:pPr>
        <w:pStyle w:val="43"/>
        <w:numPr>
          <w:ilvl w:val="0"/>
          <w:numId w:val="9"/>
        </w:numPr>
        <w:ind w:left="0" w:firstLine="0" w:firstLineChars="0"/>
        <w:jc w:val="left"/>
      </w:pPr>
      <w:r>
        <w:rPr>
          <w:rFonts w:hint="eastAsia"/>
        </w:rPr>
        <w:t>《国家电子政务外网安全管理系统功能技术要求与接口规范》</w:t>
      </w:r>
    </w:p>
    <w:p w14:paraId="5F9551CB">
      <w:pPr>
        <w:pStyle w:val="43"/>
        <w:numPr>
          <w:ilvl w:val="0"/>
          <w:numId w:val="9"/>
        </w:numPr>
        <w:ind w:left="0" w:firstLine="0" w:firstLineChars="0"/>
        <w:jc w:val="left"/>
      </w:pPr>
      <w:r>
        <w:rPr>
          <w:rFonts w:hint="eastAsia"/>
        </w:rPr>
        <w:t>《国家电子政务外网跨网数据安全交换技术要求与实施指南》</w:t>
      </w:r>
    </w:p>
    <w:p w14:paraId="6A44C5F8">
      <w:pPr>
        <w:pStyle w:val="43"/>
        <w:numPr>
          <w:ilvl w:val="0"/>
          <w:numId w:val="9"/>
        </w:numPr>
        <w:ind w:left="0" w:firstLine="0" w:firstLineChars="0"/>
        <w:jc w:val="left"/>
      </w:pPr>
      <w:r>
        <w:rPr>
          <w:rFonts w:hint="eastAsia"/>
        </w:rPr>
        <w:t>《接入政务外网的局域网安全技术规范》</w:t>
      </w:r>
    </w:p>
    <w:p w14:paraId="7AE80E84">
      <w:pPr>
        <w:pStyle w:val="43"/>
        <w:numPr>
          <w:ilvl w:val="0"/>
          <w:numId w:val="9"/>
        </w:numPr>
        <w:ind w:left="0" w:firstLine="0" w:firstLineChars="0"/>
        <w:jc w:val="left"/>
      </w:pPr>
      <w:r>
        <w:rPr>
          <w:rFonts w:hint="eastAsia"/>
        </w:rPr>
        <w:t>《国家电子政务外网安全等级保护基本要求》</w:t>
      </w:r>
    </w:p>
    <w:p w14:paraId="70BFC595">
      <w:pPr>
        <w:pStyle w:val="43"/>
        <w:numPr>
          <w:ilvl w:val="0"/>
          <w:numId w:val="9"/>
        </w:numPr>
        <w:ind w:left="0" w:firstLine="0" w:firstLineChars="0"/>
        <w:jc w:val="left"/>
      </w:pPr>
      <w:r>
        <w:rPr>
          <w:rFonts w:hint="eastAsia"/>
        </w:rPr>
        <w:t>《国家电子政务外网安全等级保护实施指南》</w:t>
      </w:r>
    </w:p>
    <w:p w14:paraId="706A370A">
      <w:pPr>
        <w:pStyle w:val="3"/>
        <w:numPr>
          <w:ilvl w:val="1"/>
          <w:numId w:val="2"/>
        </w:numPr>
        <w:jc w:val="left"/>
      </w:pPr>
      <w:bookmarkStart w:id="83" w:name="_Toc104633471"/>
      <w:bookmarkStart w:id="84" w:name="_Toc130227000"/>
      <w:r>
        <w:t>平台标准</w:t>
      </w:r>
      <w:r>
        <w:rPr>
          <w:rFonts w:hint="eastAsia"/>
        </w:rPr>
        <w:t>及对接规范</w:t>
      </w:r>
      <w:bookmarkEnd w:id="83"/>
      <w:bookmarkEnd w:id="84"/>
    </w:p>
    <w:p w14:paraId="0D439285">
      <w:pPr>
        <w:pStyle w:val="43"/>
        <w:numPr>
          <w:ilvl w:val="0"/>
          <w:numId w:val="10"/>
        </w:numPr>
        <w:ind w:firstLineChars="0"/>
        <w:jc w:val="left"/>
      </w:pPr>
      <w:r>
        <w:rPr>
          <w:rFonts w:hint="eastAsia"/>
        </w:rPr>
        <w:t>《网络资产信息报送内容和格式规范（试行）》</w:t>
      </w:r>
    </w:p>
    <w:p w14:paraId="01FBDAD7">
      <w:pPr>
        <w:pStyle w:val="43"/>
        <w:numPr>
          <w:ilvl w:val="0"/>
          <w:numId w:val="10"/>
        </w:numPr>
        <w:ind w:firstLineChars="0"/>
        <w:jc w:val="left"/>
      </w:pPr>
      <w:r>
        <w:rPr>
          <w:rFonts w:hint="eastAsia"/>
        </w:rPr>
        <w:t>《网络安全事件信息报送内容和格式规范（试行）》</w:t>
      </w:r>
    </w:p>
    <w:p w14:paraId="5712C371">
      <w:pPr>
        <w:pStyle w:val="43"/>
        <w:numPr>
          <w:ilvl w:val="0"/>
          <w:numId w:val="10"/>
        </w:numPr>
        <w:ind w:firstLineChars="0"/>
        <w:jc w:val="left"/>
      </w:pPr>
      <w:r>
        <w:rPr>
          <w:rFonts w:hint="eastAsia"/>
        </w:rPr>
        <w:t>《网络安全态势感知通用技术要求》（征求意见稿）</w:t>
      </w:r>
    </w:p>
    <w:p w14:paraId="1F83F8AF">
      <w:pPr>
        <w:pStyle w:val="43"/>
        <w:numPr>
          <w:ilvl w:val="0"/>
          <w:numId w:val="10"/>
        </w:numPr>
        <w:ind w:firstLineChars="0"/>
        <w:jc w:val="left"/>
      </w:pPr>
      <w:r>
        <w:rPr>
          <w:rFonts w:hint="eastAsia"/>
        </w:rPr>
        <w:t>《信息安全技术</w:t>
      </w:r>
      <w:r>
        <w:t xml:space="preserve"> </w:t>
      </w:r>
      <w:r>
        <w:rPr>
          <w:rFonts w:hint="eastAsia"/>
        </w:rPr>
        <w:t>网络安全信息共享指南》（草拟稿）</w:t>
      </w:r>
    </w:p>
    <w:p w14:paraId="2C33151E">
      <w:pPr>
        <w:pStyle w:val="43"/>
        <w:numPr>
          <w:ilvl w:val="0"/>
          <w:numId w:val="10"/>
        </w:numPr>
        <w:ind w:firstLineChars="0"/>
        <w:jc w:val="left"/>
      </w:pPr>
      <w:r>
        <w:rPr>
          <w:rFonts w:hint="eastAsia"/>
        </w:rPr>
        <w:t>《网络安全信息通报规范（试行）》</w:t>
      </w:r>
    </w:p>
    <w:p w14:paraId="154477F2">
      <w:pPr>
        <w:pStyle w:val="43"/>
        <w:numPr>
          <w:ilvl w:val="0"/>
          <w:numId w:val="10"/>
        </w:numPr>
        <w:ind w:firstLineChars="0"/>
        <w:jc w:val="left"/>
      </w:pPr>
      <w:r>
        <w:t>网络安全通报信息</w:t>
      </w:r>
    </w:p>
    <w:p w14:paraId="5CB726F8">
      <w:pPr>
        <w:pStyle w:val="43"/>
        <w:numPr>
          <w:ilvl w:val="0"/>
          <w:numId w:val="10"/>
        </w:numPr>
        <w:ind w:firstLineChars="0"/>
        <w:jc w:val="left"/>
      </w:pPr>
      <w:r>
        <w:t>网络安全预警信息</w:t>
      </w:r>
    </w:p>
    <w:p w14:paraId="0BD27490">
      <w:pPr>
        <w:pStyle w:val="43"/>
        <w:numPr>
          <w:ilvl w:val="0"/>
          <w:numId w:val="10"/>
        </w:numPr>
        <w:ind w:firstLineChars="0"/>
        <w:jc w:val="left"/>
      </w:pPr>
      <w:r>
        <w:t>网络安全应急指挥联络信息</w:t>
      </w:r>
    </w:p>
    <w:p w14:paraId="1DD4961E">
      <w:pPr>
        <w:pStyle w:val="43"/>
        <w:numPr>
          <w:ilvl w:val="0"/>
          <w:numId w:val="10"/>
        </w:numPr>
        <w:ind w:firstLineChars="0"/>
        <w:jc w:val="left"/>
      </w:pPr>
      <w:r>
        <w:t>网络安全信息发布信息</w:t>
      </w:r>
    </w:p>
    <w:p w14:paraId="0921855D">
      <w:pPr>
        <w:pStyle w:val="43"/>
        <w:numPr>
          <w:ilvl w:val="0"/>
          <w:numId w:val="10"/>
        </w:numPr>
        <w:ind w:firstLineChars="0"/>
        <w:jc w:val="left"/>
      </w:pPr>
      <w:r>
        <w:t>网络安全信息共享信息</w:t>
      </w:r>
    </w:p>
    <w:p w14:paraId="3BA6C018">
      <w:pPr>
        <w:pStyle w:val="2"/>
        <w:numPr>
          <w:ilvl w:val="0"/>
          <w:numId w:val="2"/>
        </w:numPr>
        <w:jc w:val="left"/>
      </w:pPr>
      <w:bookmarkStart w:id="85" w:name="_Toc130227001"/>
      <w:bookmarkStart w:id="86" w:name="_Toc104633472"/>
      <w:r>
        <w:rPr>
          <w:rFonts w:hint="eastAsia"/>
        </w:rPr>
        <w:t>技术架构设计</w:t>
      </w:r>
      <w:bookmarkEnd w:id="12"/>
      <w:bookmarkEnd w:id="85"/>
      <w:bookmarkEnd w:id="86"/>
    </w:p>
    <w:p w14:paraId="56C48A19">
      <w:pPr>
        <w:pStyle w:val="3"/>
        <w:numPr>
          <w:ilvl w:val="1"/>
          <w:numId w:val="2"/>
        </w:numPr>
        <w:jc w:val="left"/>
      </w:pPr>
      <w:bookmarkStart w:id="87" w:name="_Toc130227002"/>
      <w:bookmarkStart w:id="88" w:name="_Toc104633473"/>
      <w:r>
        <w:rPr>
          <w:rFonts w:hint="eastAsia"/>
        </w:rPr>
        <w:t>总体设计原则</w:t>
      </w:r>
      <w:bookmarkEnd w:id="87"/>
      <w:bookmarkEnd w:id="88"/>
    </w:p>
    <w:p w14:paraId="1E674C2D">
      <w:pPr>
        <w:ind w:firstLine="480"/>
      </w:pPr>
      <w:r>
        <w:rPr>
          <w:rFonts w:hint="eastAsia"/>
        </w:rPr>
        <w:t>XXX省/市网信办网络安全协调指挥平台项目作为省（市）全局信息化、智能化、精准化服务管理水平的重要项目，其网络安全保障体系应当本着以下原则进行建设。</w:t>
      </w:r>
    </w:p>
    <w:p w14:paraId="10C7FC5D">
      <w:pPr>
        <w:pStyle w:val="4"/>
        <w:numPr>
          <w:ilvl w:val="2"/>
          <w:numId w:val="2"/>
        </w:numPr>
      </w:pPr>
      <w:bookmarkStart w:id="89" w:name="_Toc104633474"/>
      <w:bookmarkStart w:id="90" w:name="_Toc130227003"/>
      <w:r>
        <w:rPr>
          <w:rFonts w:hint="eastAsia"/>
        </w:rPr>
        <w:t>统筹规划、确保合规</w:t>
      </w:r>
      <w:bookmarkEnd w:id="89"/>
      <w:bookmarkEnd w:id="90"/>
    </w:p>
    <w:p w14:paraId="0AF5AE5C">
      <w:pPr>
        <w:ind w:firstLine="480"/>
      </w:pPr>
      <w:r>
        <w:rPr>
          <w:rFonts w:hint="eastAsia"/>
        </w:rPr>
        <w:t>依据网络安全相关法律法规和国家有关要求，科学统筹网络安全建设，有效支撑和保障网络安全协调统筹指挥事业发展，统一部署、统一推进，突出重点、确保合规，积极稳妥推动规划落实。</w:t>
      </w:r>
    </w:p>
    <w:p w14:paraId="091A0B03">
      <w:pPr>
        <w:pStyle w:val="4"/>
        <w:numPr>
          <w:ilvl w:val="2"/>
          <w:numId w:val="2"/>
        </w:numPr>
      </w:pPr>
      <w:bookmarkStart w:id="91" w:name="_Toc130227004"/>
      <w:bookmarkStart w:id="92" w:name="_Toc104633475"/>
      <w:r>
        <w:rPr>
          <w:rFonts w:hint="eastAsia"/>
        </w:rPr>
        <w:t>融合安全、立体防御</w:t>
      </w:r>
      <w:bookmarkEnd w:id="91"/>
      <w:bookmarkEnd w:id="92"/>
    </w:p>
    <w:p w14:paraId="386BC0A8">
      <w:pPr>
        <w:ind w:firstLine="480"/>
      </w:pPr>
      <w:r>
        <w:rPr>
          <w:rFonts w:hint="eastAsia"/>
        </w:rPr>
        <w:t>建立融合安全的基础设施平台，在数据中心、网络、终端层面全面提升网络安全防御能力，重点针对关键业务应用、敏感数据，建立全方位立体防御体系，有效降低系统整体安全风险。</w:t>
      </w:r>
    </w:p>
    <w:p w14:paraId="13FE12DC">
      <w:pPr>
        <w:pStyle w:val="4"/>
        <w:numPr>
          <w:ilvl w:val="2"/>
          <w:numId w:val="2"/>
        </w:numPr>
      </w:pPr>
      <w:bookmarkStart w:id="93" w:name="_Toc130227005"/>
      <w:bookmarkStart w:id="94" w:name="_Toc104633476"/>
      <w:r>
        <w:rPr>
          <w:rFonts w:hint="eastAsia"/>
        </w:rPr>
        <w:t>人机共智、主动防御</w:t>
      </w:r>
      <w:bookmarkEnd w:id="93"/>
      <w:bookmarkEnd w:id="94"/>
    </w:p>
    <w:p w14:paraId="1EB4F9B9">
      <w:pPr>
        <w:ind w:firstLine="480"/>
      </w:pPr>
      <w:r>
        <w:rPr>
          <w:rFonts w:hint="eastAsia"/>
        </w:rPr>
        <w:t>强化安全运营管理，积极利用人工智能、机器学习等技术，主动探测、提前预警、及时响应、快速处置，实现智能化安全运营。</w:t>
      </w:r>
    </w:p>
    <w:p w14:paraId="409DA3E5">
      <w:pPr>
        <w:pStyle w:val="4"/>
        <w:numPr>
          <w:ilvl w:val="2"/>
          <w:numId w:val="2"/>
        </w:numPr>
      </w:pPr>
      <w:bookmarkStart w:id="95" w:name="_Toc130227006"/>
      <w:bookmarkStart w:id="96" w:name="_Toc104633477"/>
      <w:r>
        <w:rPr>
          <w:rFonts w:hint="eastAsia"/>
        </w:rPr>
        <w:t>创新引领、协同发展</w:t>
      </w:r>
      <w:bookmarkEnd w:id="95"/>
      <w:bookmarkEnd w:id="96"/>
    </w:p>
    <w:p w14:paraId="77D1EB38">
      <w:pPr>
        <w:ind w:firstLine="480"/>
      </w:pPr>
      <w:r>
        <w:rPr>
          <w:rFonts w:hint="eastAsia"/>
        </w:rPr>
        <w:t>积极推动网络安全制度创新、管理创新和技术创新，积极探索与创新，建立协同防御和通报预警机制，推动XXX省/市整体安全保障水平不断提升。</w:t>
      </w:r>
    </w:p>
    <w:p w14:paraId="2F38BAD4">
      <w:pPr>
        <w:pStyle w:val="4"/>
        <w:numPr>
          <w:ilvl w:val="2"/>
          <w:numId w:val="2"/>
        </w:numPr>
      </w:pPr>
      <w:bookmarkStart w:id="97" w:name="_Toc130227007"/>
      <w:bookmarkStart w:id="98" w:name="_Toc104633478"/>
      <w:r>
        <w:rPr>
          <w:rFonts w:hint="eastAsia"/>
        </w:rPr>
        <w:t>科学经济、有效保护</w:t>
      </w:r>
      <w:bookmarkEnd w:id="97"/>
      <w:bookmarkEnd w:id="98"/>
    </w:p>
    <w:p w14:paraId="12BE9C72">
      <w:pPr>
        <w:ind w:firstLine="480"/>
      </w:pPr>
      <w:r>
        <w:rPr>
          <w:rFonts w:hint="eastAsia"/>
        </w:rPr>
        <w:t>科学合理进行网络安全保障体系设计与规划，对必要的关键资产进行全面有效保护。编写预算遵照经济性原则，确保既能达到预期的安全防护目标，又能够严格控制建设成本，尽可能减少投资。</w:t>
      </w:r>
    </w:p>
    <w:p w14:paraId="4C2B27B1">
      <w:pPr>
        <w:pStyle w:val="3"/>
        <w:numPr>
          <w:ilvl w:val="1"/>
          <w:numId w:val="2"/>
        </w:numPr>
        <w:jc w:val="left"/>
      </w:pPr>
      <w:bookmarkStart w:id="99" w:name="_Toc130227008"/>
      <w:bookmarkStart w:id="100" w:name="_Toc104633479"/>
      <w:r>
        <w:rPr>
          <w:rFonts w:hint="eastAsia"/>
        </w:rPr>
        <w:t>总体设计思路</w:t>
      </w:r>
      <w:bookmarkEnd w:id="99"/>
      <w:bookmarkEnd w:id="100"/>
    </w:p>
    <w:p w14:paraId="66165455">
      <w:pPr>
        <w:ind w:firstLine="480"/>
      </w:pPr>
      <w:r>
        <w:rPr>
          <w:rFonts w:hint="eastAsia"/>
        </w:rPr>
        <w:t>本项目在进行网络安全方案设计过程中，将根据国家网络安全等级保护相关要求，通过分析省网信办已建和待建系统的实际安全需求，结合其业务信息的实际特性，并依据及参照相关政策标准，建立网络安全保障体系框架，设计安全保障体系实施方案，提升各个业务系统整体的安全保障能力和防护水平，确保信息业务系统的安全稳定地运行。具体设计将遵循以下思路开展。</w:t>
      </w:r>
    </w:p>
    <w:p w14:paraId="3A00B80E">
      <w:pPr>
        <w:pStyle w:val="4"/>
        <w:numPr>
          <w:ilvl w:val="2"/>
          <w:numId w:val="2"/>
        </w:numPr>
      </w:pPr>
      <w:bookmarkStart w:id="101" w:name="_Toc104633480"/>
      <w:bookmarkStart w:id="102" w:name="_Toc130227009"/>
      <w:r>
        <w:rPr>
          <w:rFonts w:hint="eastAsia"/>
        </w:rPr>
        <w:t>安全风险管理实施思路</w:t>
      </w:r>
      <w:bookmarkEnd w:id="101"/>
      <w:bookmarkEnd w:id="102"/>
    </w:p>
    <w:p w14:paraId="4FA4BE36">
      <w:pPr>
        <w:ind w:firstLine="480"/>
      </w:pPr>
      <w:r>
        <w:rPr>
          <w:rFonts w:hint="eastAsia"/>
        </w:rPr>
        <w:t>通过对现状进行实际调研，利用差距分析的方法与《信息安全技术 网络安全等级保护基本要求》的控制项进行符合度比对分析，掌握系统防护现状与等级等级保护2.0要求间的实际差距，发现基于业务的安全风险问题。将差距分析结果与实际访谈调研要点进行充分结合与提炼，综合形成能够符合等级保护建设要求并充分保障业务安全的建设需求。</w:t>
      </w:r>
    </w:p>
    <w:p w14:paraId="45A8ACA2">
      <w:pPr>
        <w:pStyle w:val="4"/>
        <w:numPr>
          <w:ilvl w:val="2"/>
          <w:numId w:val="2"/>
        </w:numPr>
      </w:pPr>
      <w:bookmarkStart w:id="103" w:name="_Toc130227010"/>
      <w:bookmarkStart w:id="104" w:name="_Toc104633481"/>
      <w:r>
        <w:rPr>
          <w:rFonts w:hint="eastAsia"/>
        </w:rPr>
        <w:t>安全合规性建设实施思路</w:t>
      </w:r>
      <w:bookmarkEnd w:id="103"/>
      <w:bookmarkEnd w:id="104"/>
    </w:p>
    <w:p w14:paraId="0785BC3B">
      <w:pPr>
        <w:ind w:firstLine="480"/>
      </w:pPr>
      <w:r>
        <w:rPr>
          <w:rFonts w:hint="eastAsia"/>
        </w:rPr>
        <w:t>按照国家《网络安全法》和网络安全等级保护制度等法律法规的要求，采用国产自主可控密码技术、可信计算、零信任等技术，建立健省（市）网络安全保障体系，全面保护业务安全、应用安全和终端安全。依据国家安全政策、法律法规，制订完善全局安全标准与制度，指导安全技术有效落地。</w:t>
      </w:r>
    </w:p>
    <w:p w14:paraId="024E9FED">
      <w:pPr>
        <w:pStyle w:val="4"/>
        <w:numPr>
          <w:ilvl w:val="2"/>
          <w:numId w:val="2"/>
        </w:numPr>
      </w:pPr>
      <w:bookmarkStart w:id="105" w:name="_Toc104633482"/>
      <w:bookmarkStart w:id="106" w:name="_Toc130227011"/>
      <w:r>
        <w:rPr>
          <w:rFonts w:hint="eastAsia"/>
        </w:rPr>
        <w:t>动态发展和可扩展的实施思路</w:t>
      </w:r>
      <w:bookmarkEnd w:id="105"/>
      <w:bookmarkEnd w:id="106"/>
    </w:p>
    <w:p w14:paraId="4AACAF48">
      <w:pPr>
        <w:ind w:firstLine="480"/>
      </w:pPr>
      <w:r>
        <w:rPr>
          <w:rFonts w:hint="eastAsia"/>
        </w:rPr>
        <w:t>随着网络攻防技术的不断发展，安全需求也会不断变化，再加上环境、条件、时间的限制，要求安全防护一步到位，一劳永逸地解决网络安全问题是不现实的。因此，在考虑网络安全等级保护建设时，应首先在现有技术条件下满足当前的安全需要，并在此基础上有良好的可扩展性，以满足今后新的应用和网络安全技术所产生的新的安全需求。</w:t>
      </w:r>
    </w:p>
    <w:p w14:paraId="716411AD">
      <w:pPr>
        <w:pStyle w:val="4"/>
        <w:numPr>
          <w:ilvl w:val="2"/>
          <w:numId w:val="2"/>
        </w:numPr>
      </w:pPr>
      <w:bookmarkStart w:id="107" w:name="_Toc104633483"/>
      <w:bookmarkStart w:id="108" w:name="_Toc130227012"/>
      <w:r>
        <w:rPr>
          <w:rFonts w:hint="eastAsia"/>
        </w:rPr>
        <w:t>前瞻性技术理念落地思路</w:t>
      </w:r>
      <w:bookmarkEnd w:id="107"/>
      <w:bookmarkEnd w:id="108"/>
    </w:p>
    <w:p w14:paraId="4412AD8D">
      <w:pPr>
        <w:ind w:firstLine="480"/>
      </w:pPr>
      <w:r>
        <w:rPr>
          <w:rFonts w:hint="eastAsia"/>
        </w:rPr>
        <w:t>传统的安全理念是以安全边界防护为核心，以“物理安全、主机安全、应用安全、网络安全”为主的平面防护，缺乏以整体业务链视角的端到端的整体动态防护的思路；二以本地规则库为核心，无法动态有效检测已知威胁；三是没有智能化的大数据分析能力，无法感知未知威胁和新型攻击行为；四是全网安全设备之间的数据不能共享，更做不到智能联动、协同防御。省网信办的网络安全保障应在保留传统安全理念精华的基础上，将基于零信任体系、数据安全、安全运营等新方法、新手段，按照“业务驱动安全”的理念，采用全网安全可视、动态感知、闭环联动等建立业务生命周期的安全体系。</w:t>
      </w:r>
    </w:p>
    <w:p w14:paraId="679C9448">
      <w:pPr>
        <w:pStyle w:val="3"/>
        <w:numPr>
          <w:ilvl w:val="1"/>
          <w:numId w:val="2"/>
        </w:numPr>
        <w:jc w:val="left"/>
      </w:pPr>
      <w:bookmarkStart w:id="109" w:name="_Toc104633484"/>
      <w:bookmarkStart w:id="110" w:name="_Toc130227013"/>
      <w:r>
        <w:rPr>
          <w:rFonts w:hint="eastAsia"/>
        </w:rPr>
        <w:t>系统总体组成架构</w:t>
      </w:r>
      <w:bookmarkEnd w:id="109"/>
      <w:bookmarkEnd w:id="110"/>
    </w:p>
    <w:p w14:paraId="150D25CC">
      <w:pPr>
        <w:overflowPunct w:val="0"/>
        <w:ind w:firstLine="480"/>
        <w:jc w:val="left"/>
        <w:rPr>
          <w:rFonts w:ascii="宋体" w:cs="宋体"/>
        </w:rPr>
      </w:pPr>
      <w:r>
        <w:rPr>
          <w:rFonts w:hint="eastAsia" w:ascii="宋体" w:cs="宋体"/>
        </w:rPr>
        <w:t>依据中央网信办关于网络安全协调指挥平台建设技术体系的要求和有关工作指南指导，遵循国家网络安全标准规范，结合我省网络安全工作发展实际，以网络安全综合协调业务需求出发，从依法管网治网和技术管网治网两个维度，将省级网络安全协调指挥平台本期建设内容划分为网络安全大数据平台、网络安全态势分析子系统，网络网络安全预警和事件处置以及网络安全综合协同子系统，系统组成总体框架设计如下图：</w:t>
      </w:r>
    </w:p>
    <w:p w14:paraId="6E52122E">
      <w:pPr>
        <w:overflowPunct w:val="0"/>
        <w:ind w:firstLine="0" w:firstLineChars="0"/>
        <w:jc w:val="center"/>
        <w:rPr>
          <w:rFonts w:ascii="宋体" w:cs="宋体"/>
        </w:rPr>
      </w:pPr>
      <w:r>
        <w:rPr>
          <w:rFonts w:ascii="宋体" w:cs="宋体"/>
        </w:rPr>
        <w:drawing>
          <wp:inline distT="0" distB="0" distL="0" distR="0">
            <wp:extent cx="5274310" cy="2535555"/>
            <wp:effectExtent l="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74310" cy="2535555"/>
                    </a:xfrm>
                    <a:prstGeom prst="rect">
                      <a:avLst/>
                    </a:prstGeom>
                  </pic:spPr>
                </pic:pic>
              </a:graphicData>
            </a:graphic>
          </wp:inline>
        </w:drawing>
      </w:r>
    </w:p>
    <w:p w14:paraId="2AF5CAC0">
      <w:pPr>
        <w:tabs>
          <w:tab w:val="left" w:pos="0"/>
        </w:tabs>
        <w:overflowPunct w:val="0"/>
        <w:spacing w:line="240" w:lineRule="auto"/>
        <w:ind w:left="40" w:firstLine="480"/>
        <w:jc w:val="center"/>
        <w:rPr>
          <w:rFonts w:ascii="宋体" w:hAnsi="宋体" w:cs="宋体"/>
        </w:rPr>
      </w:pPr>
      <w:r>
        <w:rPr>
          <w:rFonts w:hint="eastAsia" w:ascii="宋体" w:hAnsi="宋体" w:cs="宋体"/>
        </w:rPr>
        <w:t>图 省级网络安全协调指挥平台系统组成</w:t>
      </w:r>
    </w:p>
    <w:p w14:paraId="1A6EC30D">
      <w:pPr>
        <w:tabs>
          <w:tab w:val="left" w:pos="0"/>
        </w:tabs>
        <w:overflowPunct w:val="0"/>
        <w:spacing w:line="240" w:lineRule="auto"/>
        <w:ind w:left="40" w:firstLine="480"/>
        <w:jc w:val="center"/>
        <w:rPr>
          <w:rFonts w:ascii="宋体" w:hAnsi="宋体" w:cs="宋体"/>
        </w:rPr>
      </w:pPr>
    </w:p>
    <w:p w14:paraId="395726CF">
      <w:pPr>
        <w:pStyle w:val="2"/>
        <w:numPr>
          <w:ilvl w:val="0"/>
          <w:numId w:val="2"/>
        </w:numPr>
        <w:jc w:val="left"/>
      </w:pPr>
      <w:bookmarkStart w:id="111" w:name="_Toc130227014"/>
      <w:bookmarkStart w:id="112" w:name="_Toc104633485"/>
      <w:r>
        <w:rPr>
          <w:rFonts w:hint="eastAsia"/>
        </w:rPr>
        <w:t>系统建设方案</w:t>
      </w:r>
      <w:bookmarkEnd w:id="111"/>
      <w:bookmarkEnd w:id="112"/>
    </w:p>
    <w:p w14:paraId="2989ADFB">
      <w:pPr>
        <w:ind w:firstLine="480"/>
      </w:pPr>
      <w:r>
        <w:rPr>
          <w:rFonts w:hint="eastAsia"/>
        </w:rPr>
        <w:t>为支撑网络安全主管单位开展网络安全治理工作，协助网络安全主管领导建立网络安全协调指挥平台，有序建立全省（市）网络安全保障体系。通过建立网络安全综合协同子系统实现网络安全工作统筹、安全态势分析、工作指导驱动、监督落实整改、持续提升的闭环工作机制及平台支撑，实现网络安全工作的统一规划、统一要求、分步指导，有序指引，逐步构建网络安全保障体系，提升网络安全防护水平。</w:t>
      </w:r>
    </w:p>
    <w:p w14:paraId="5A628375">
      <w:pPr>
        <w:ind w:firstLine="480"/>
      </w:pPr>
      <w:r>
        <w:rPr>
          <w:rFonts w:hint="eastAsia"/>
        </w:rPr>
        <w:t>通过建立网络安全协调指挥平台，支撑省网信部门、网络安全监管部门、行业主管部门及关键信息基础设施运营单位的协同联动，强化网络安全数据汇总、关联分析能力，对网络运营单位面临的网络安全风险心中有数，为网络安全工作提供决策支持。</w:t>
      </w:r>
    </w:p>
    <w:p w14:paraId="2D22BE0E">
      <w:pPr>
        <w:ind w:firstLine="480"/>
        <w:rPr>
          <w:rFonts w:ascii="仿宋" w:hAnsi="仿宋" w:eastAsia="仿宋" w:cs="Times New Roman"/>
          <w:sz w:val="32"/>
          <w:szCs w:val="32"/>
        </w:rPr>
      </w:pPr>
      <w:r>
        <w:rPr>
          <w:rFonts w:hint="eastAsia"/>
        </w:rPr>
        <w:t>网络安全协调指挥平台以网络信息资产为基础、网络安全态势感知能力为支撑，网络安全检查工作为协同，建立网络安全法律法规库，以此为基础通过规范网络安全监管及行业主管单位网络安全安全检查工作，初步实现全省（市）关键信息基础设施保障统筹工作一盘棋。</w:t>
      </w:r>
    </w:p>
    <w:p w14:paraId="6233FDD6">
      <w:pPr>
        <w:ind w:firstLine="643"/>
        <w:rPr>
          <w:rFonts w:ascii="仿宋" w:hAnsi="仿宋" w:eastAsia="仿宋" w:cs="Times New Roman"/>
          <w:b/>
          <w:bCs/>
          <w:vanish/>
          <w:sz w:val="32"/>
          <w:szCs w:val="32"/>
        </w:rPr>
      </w:pPr>
      <w:bookmarkStart w:id="113" w:name="_Toc104570595"/>
      <w:bookmarkEnd w:id="113"/>
      <w:bookmarkStart w:id="114" w:name="_Toc104571582"/>
      <w:bookmarkEnd w:id="114"/>
      <w:bookmarkStart w:id="115" w:name="_Toc104569529"/>
      <w:bookmarkEnd w:id="115"/>
      <w:bookmarkStart w:id="116" w:name="_Toc77254987"/>
      <w:bookmarkStart w:id="117" w:name="_Toc66114735"/>
      <w:bookmarkStart w:id="118" w:name="_Toc10021286"/>
      <w:bookmarkStart w:id="119" w:name="_Toc9931325"/>
    </w:p>
    <w:p w14:paraId="6545B97B">
      <w:pPr>
        <w:ind w:firstLine="643"/>
        <w:rPr>
          <w:rFonts w:ascii="仿宋" w:hAnsi="仿宋" w:eastAsia="仿宋" w:cs="Times New Roman"/>
          <w:b/>
          <w:bCs/>
          <w:vanish/>
          <w:sz w:val="32"/>
          <w:szCs w:val="32"/>
        </w:rPr>
      </w:pPr>
      <w:bookmarkStart w:id="120" w:name="_Toc104570596"/>
      <w:bookmarkEnd w:id="120"/>
      <w:bookmarkStart w:id="121" w:name="_Toc104569530"/>
      <w:bookmarkEnd w:id="121"/>
      <w:bookmarkStart w:id="122" w:name="_Toc104571583"/>
      <w:bookmarkEnd w:id="122"/>
    </w:p>
    <w:bookmarkEnd w:id="116"/>
    <w:bookmarkEnd w:id="117"/>
    <w:bookmarkEnd w:id="118"/>
    <w:bookmarkEnd w:id="119"/>
    <w:p w14:paraId="298D0E82">
      <w:pPr>
        <w:ind w:firstLine="480"/>
      </w:pPr>
      <w:r>
        <w:t>网络安全统筹协同管理平台依据《网络安全法》、《关键信息基础设保护条例》、《党委（党组）网络安全工作责任制实施办法》、《关于统筹规范督查检查考核工作的通知》（中办发[2019]56号文）等政策法规的要求，网信部门统筹协同网络安全监管部门及行业主管部门共同推动网络运营单位开展网络安全保障体系建设工作，依据开展统筹网络安全工作的需求，关键业务分析框架如下图：</w:t>
      </w:r>
    </w:p>
    <w:p w14:paraId="0CB6E6A9">
      <w:pPr>
        <w:ind w:firstLine="0" w:firstLineChars="0"/>
        <w:rPr>
          <w:rFonts w:ascii="仿宋" w:hAnsi="仿宋" w:eastAsia="仿宋" w:cs="Times New Roman"/>
          <w:sz w:val="28"/>
          <w:szCs w:val="32"/>
        </w:rPr>
      </w:pPr>
      <w:r>
        <w:rPr>
          <w:rFonts w:ascii="仿宋" w:hAnsi="仿宋" w:eastAsia="仿宋" w:cs="Times New Roman"/>
          <w:sz w:val="28"/>
          <w:szCs w:val="32"/>
        </w:rPr>
        <w:drawing>
          <wp:inline distT="0" distB="0" distL="0" distR="0">
            <wp:extent cx="5274310" cy="2953385"/>
            <wp:effectExtent l="0" t="0" r="254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5274310" cy="2953385"/>
                    </a:xfrm>
                    <a:prstGeom prst="rect">
                      <a:avLst/>
                    </a:prstGeom>
                  </pic:spPr>
                </pic:pic>
              </a:graphicData>
            </a:graphic>
          </wp:inline>
        </w:drawing>
      </w:r>
    </w:p>
    <w:p w14:paraId="3C1E76B2">
      <w:pPr>
        <w:overflowPunct w:val="0"/>
        <w:ind w:firstLine="480"/>
        <w:rPr>
          <w:rFonts w:ascii="宋体" w:hAnsi="宋体"/>
          <w:szCs w:val="24"/>
        </w:rPr>
      </w:pPr>
      <w:r>
        <w:rPr>
          <w:rFonts w:hint="eastAsia" w:ascii="宋体" w:hAnsi="宋体"/>
          <w:szCs w:val="24"/>
        </w:rPr>
        <w:t>依据《网络安全法》等相关法律法规有要求，网信积极履行统筹协调网络安全工作和关键信息基础设施安全保护工作的职责，贯彻落实国家网络空间安全战略，落实保护关键信息基础设施的战略任务，为更好服务国家关键信息基础设施安全保障体系的构建工作，核心关键业务包含以下四个部分。</w:t>
      </w:r>
    </w:p>
    <w:p w14:paraId="4F5DAC7E">
      <w:pPr>
        <w:pStyle w:val="43"/>
        <w:numPr>
          <w:ilvl w:val="0"/>
          <w:numId w:val="11"/>
        </w:numPr>
        <w:ind w:left="0" w:firstLine="420" w:firstLineChars="0"/>
      </w:pPr>
      <w:r>
        <w:rPr>
          <w:rFonts w:hint="eastAsia"/>
        </w:rPr>
        <w:t>开展网络资产信息收集整理工作。全面准确掌握网络信息资产是网络安全综合协同工作的基于，只有明确对象，才能更有序可开展安全防护工作落实、实现精准网络安全预警监测、为网络安全协同保障工作统筹提供基础信息支撑。</w:t>
      </w:r>
    </w:p>
    <w:p w14:paraId="2E02BA69">
      <w:pPr>
        <w:pStyle w:val="43"/>
        <w:numPr>
          <w:ilvl w:val="0"/>
          <w:numId w:val="11"/>
        </w:numPr>
        <w:ind w:left="0" w:firstLine="420" w:firstLineChars="0"/>
      </w:pPr>
      <w:r>
        <w:rPr>
          <w:rFonts w:hint="eastAsia"/>
        </w:rPr>
        <w:t>开展网络安全统筹协同工作的准则及依据建立工作。为更有序统筹各网络安全监管单位及行业主管部门有序开展网络安全协同工作，需要逐步构建网络安全建设工作的标准及评价体系，以此为基础评估各行业网络安全工作建设现状及推动落实情况。为网信办更有针对性统筹指导网络安全工作开展提供依据。</w:t>
      </w:r>
    </w:p>
    <w:p w14:paraId="5A55F8C6">
      <w:pPr>
        <w:pStyle w:val="43"/>
        <w:numPr>
          <w:ilvl w:val="0"/>
          <w:numId w:val="11"/>
        </w:numPr>
        <w:ind w:left="0" w:firstLine="420" w:firstLineChars="0"/>
      </w:pPr>
      <w:r>
        <w:rPr>
          <w:rFonts w:hint="eastAsia"/>
        </w:rPr>
        <w:t>完善网络安全统筹协调机制健全工作。按照《网络安全法》和《关键信息基础设施安全保护条例》，建立健全关键信息基础设施安全保护工作统筹协调机制，逐步完善检查办、审查办、应急办等相关工作支撑机构，厘清网络安全各职能部门的监管责任、各行业主管部门的主管责任、各运营单位的主体责任，明确相关企业、社会组织等必须承担的权益、责任和义务，研究鼓励关键信息基础设施以外的网络运营者主动、自愿参与关键信息基础设施保护体系建设的办法。</w:t>
      </w:r>
    </w:p>
    <w:p w14:paraId="65344B94">
      <w:pPr>
        <w:pStyle w:val="43"/>
        <w:numPr>
          <w:ilvl w:val="0"/>
          <w:numId w:val="11"/>
        </w:numPr>
        <w:ind w:left="0" w:firstLine="420" w:firstLineChars="0"/>
      </w:pPr>
      <w:r>
        <w:rPr>
          <w:rFonts w:hint="eastAsia"/>
        </w:rPr>
        <w:t>有计划分步骤地统筹推进网络安全保障体系建设工作。依据网络信息资产、网络安全建设依据及协同机制有计划分步骤地统筹推进网络安全保障体系建设工作，充分调动发挥各网络安全职能部门、行业主管部门、重点企业的积极性和职能职责，结合工作进度的统筹协调和工作任务的分解细化及督查，大力推动各关键信息基础设施运营单位加快构建自身的关键信息基础设施安全保障体系，不断推进各行业关键信息基础设施安全保障体系建设，逐步完成全省（市）关键信息基础设施安全保障体系的构建。</w:t>
      </w:r>
    </w:p>
    <w:p w14:paraId="3FFE61D9">
      <w:pPr>
        <w:ind w:firstLine="480"/>
      </w:pPr>
      <w:r>
        <w:rPr>
          <w:rFonts w:hint="eastAsia"/>
        </w:rPr>
        <w:t>主要建设内容如下：</w:t>
      </w:r>
    </w:p>
    <w:p w14:paraId="60FAD76E">
      <w:pPr>
        <w:ind w:firstLine="480"/>
      </w:pPr>
      <w:r>
        <w:rPr>
          <w:rFonts w:hint="eastAsia"/>
        </w:rPr>
        <w:t>建立网络安全综合分析子系统，依据网信工作要求，基于网络安全风险数据、资产数据、安全管理数据等，结合网信业务工作开展需要进行深入分析及展示，为网信部门统筹协调各地各部门协同开展网络安全工作提供支撑，并为网信部门和省级网络安全监督管理有关职能部门提供数据决策支撑。</w:t>
      </w:r>
    </w:p>
    <w:p w14:paraId="3478E756">
      <w:pPr>
        <w:pStyle w:val="43"/>
        <w:numPr>
          <w:ilvl w:val="0"/>
          <w:numId w:val="12"/>
        </w:numPr>
        <w:ind w:left="0" w:firstLine="420" w:firstLineChars="0"/>
      </w:pPr>
      <w:r>
        <w:t>建立网络安全资产信息管理子系统，依据国家相关标准要求，结合网信办对网络安全信息资产管理的需要，确定网络安全信息资产管理属性标准，通过自主填报，对接主动探测、被动识别、及第三方资产管理数据导入等方式，建立网络安全信息资产库。建立省、市&amp;行业、各级党政机关单位网络安全资产自我更新管理机制，实现网络安全信息资产库的动态更新。</w:t>
      </w:r>
      <w:r>
        <w:rPr>
          <w:rFonts w:hint="eastAsia"/>
        </w:rPr>
        <w:t>为精准监测，有效防护及开展相关网络安全保障工作业务提供有力数据支撑</w:t>
      </w:r>
      <w:r>
        <w:t>，为</w:t>
      </w:r>
      <w:r>
        <w:rPr>
          <w:rFonts w:hint="eastAsia"/>
        </w:rPr>
        <w:t>网络安全综合协同工作打下基础。</w:t>
      </w:r>
    </w:p>
    <w:p w14:paraId="0DA6D59A">
      <w:pPr>
        <w:pStyle w:val="43"/>
        <w:numPr>
          <w:ilvl w:val="0"/>
          <w:numId w:val="12"/>
        </w:numPr>
        <w:ind w:left="0" w:firstLine="420" w:firstLineChars="0"/>
      </w:pPr>
      <w:r>
        <w:rPr>
          <w:rFonts w:hint="eastAsia"/>
        </w:rPr>
        <w:t>网络安全协调指挥管理子系统，支撑网络安全监管单位及行业主管单位网络安全检查工作的统一部署及协调管理，督促落实全省（市）关键信息基础设施检查工作得到有效的落实；</w:t>
      </w:r>
    </w:p>
    <w:p w14:paraId="539BD418">
      <w:pPr>
        <w:pStyle w:val="43"/>
        <w:numPr>
          <w:ilvl w:val="0"/>
          <w:numId w:val="12"/>
        </w:numPr>
        <w:ind w:left="0" w:firstLine="420" w:firstLineChars="0"/>
      </w:pPr>
      <w:r>
        <w:rPr>
          <w:rFonts w:hint="eastAsia"/>
        </w:rPr>
        <w:t>法规标准库管理子系统，对网络安全法律法规、政策文件、行业标准、规范指标进行梳理、条目表建立法规基础库，为网络安全统筹协同工作提供基础支撑。</w:t>
      </w:r>
    </w:p>
    <w:p w14:paraId="17773B0F">
      <w:pPr>
        <w:pStyle w:val="43"/>
        <w:numPr>
          <w:ilvl w:val="0"/>
          <w:numId w:val="12"/>
        </w:numPr>
        <w:ind w:left="0" w:firstLine="420" w:firstLineChars="0"/>
      </w:pPr>
      <w:r>
        <w:rPr>
          <w:rFonts w:hint="eastAsia"/>
        </w:rPr>
        <w:t>指标配置管理子系统，提供网络安全主管单位按照已经建立的安全体系创建安全检查模板、并可以对模板进行配置、更新等操作，支撑网络安全统筹分析工作的有效开展。</w:t>
      </w:r>
    </w:p>
    <w:p w14:paraId="6E3CEAF3">
      <w:pPr>
        <w:pStyle w:val="3"/>
        <w:numPr>
          <w:ilvl w:val="1"/>
          <w:numId w:val="2"/>
        </w:numPr>
        <w:jc w:val="left"/>
      </w:pPr>
      <w:bookmarkStart w:id="123" w:name="_Toc77254996"/>
      <w:bookmarkStart w:id="124" w:name="_Toc104633486"/>
      <w:bookmarkStart w:id="125" w:name="_Toc130227015"/>
      <w:r>
        <w:t>网络资产信息管理</w:t>
      </w:r>
      <w:bookmarkEnd w:id="123"/>
      <w:bookmarkEnd w:id="124"/>
      <w:bookmarkEnd w:id="125"/>
    </w:p>
    <w:p w14:paraId="799FA9D5">
      <w:pPr>
        <w:ind w:firstLine="480"/>
      </w:pPr>
      <w:r>
        <w:rPr>
          <w:rFonts w:hint="eastAsia"/>
        </w:rPr>
        <w:t>资产是信息安全保障工作</w:t>
      </w:r>
      <w:r>
        <w:t>中</w:t>
      </w:r>
      <w:r>
        <w:rPr>
          <w:rFonts w:hint="eastAsia"/>
        </w:rPr>
        <w:t>的重要保护对象，对</w:t>
      </w:r>
      <w:r>
        <w:t>资产</w:t>
      </w:r>
      <w:r>
        <w:rPr>
          <w:rFonts w:hint="eastAsia"/>
        </w:rPr>
        <w:t>进行</w:t>
      </w:r>
      <w:r>
        <w:t>全面的安全</w:t>
      </w:r>
      <w:r>
        <w:rPr>
          <w:rFonts w:hint="eastAsia"/>
        </w:rPr>
        <w:t>保护</w:t>
      </w:r>
      <w:r>
        <w:t>工作，能极大的避免重大安全事件的发</w:t>
      </w:r>
      <w:r>
        <w:rPr>
          <w:rFonts w:hint="eastAsia"/>
        </w:rPr>
        <w:t>生</w:t>
      </w:r>
      <w:r>
        <w:t>。资产管理模块</w:t>
      </w:r>
      <w:r>
        <w:rPr>
          <w:rFonts w:hint="eastAsia"/>
        </w:rPr>
        <w:t>主</w:t>
      </w:r>
      <w:r>
        <w:t>要</w:t>
      </w:r>
      <w:r>
        <w:rPr>
          <w:rFonts w:hint="eastAsia"/>
        </w:rPr>
        <w:t>建立统一的资产库，</w:t>
      </w:r>
      <w:r>
        <w:t>对资产</w:t>
      </w:r>
      <w:r>
        <w:rPr>
          <w:rFonts w:hint="eastAsia"/>
        </w:rPr>
        <w:t>进行集中管理，有</w:t>
      </w:r>
      <w:r>
        <w:t>效地为</w:t>
      </w:r>
      <w:r>
        <w:rPr>
          <w:rFonts w:hint="eastAsia"/>
        </w:rPr>
        <w:t>网络主管部门摸清</w:t>
      </w:r>
      <w:r>
        <w:t>家底</w:t>
      </w:r>
      <w:r>
        <w:rPr>
          <w:rFonts w:hint="eastAsia"/>
        </w:rPr>
        <w:t>及</w:t>
      </w:r>
      <w:r>
        <w:t>开展各项安全保障业务提供有效的数据支撑。</w:t>
      </w:r>
    </w:p>
    <w:p w14:paraId="2A90895B">
      <w:pPr>
        <w:ind w:firstLine="480"/>
      </w:pPr>
      <w:r>
        <w:rPr>
          <w:rFonts w:hint="eastAsia"/>
        </w:rPr>
        <w:t>对网络信息资产的管理工作，是网络安全综合协同工作的基础，对于明确对象，厘清边界，识别风险，做好保护等能发挥重要作用。网络信息资产管理模块主要通过主动探测、被动识别、主被动结合探测、对接第三方资产管理数据以及导入和导出等，汇聚和管理网络资产信息。通过建立网络资产信息资产库，集中维护管理网络资产信息，为精准监测，有效防护及开展相关网络安全保障工作业务提供有力数据支撑。</w:t>
      </w:r>
    </w:p>
    <w:p w14:paraId="07D4E925">
      <w:pPr>
        <w:ind w:firstLine="480"/>
      </w:pPr>
      <w:r>
        <w:rPr>
          <w:rFonts w:hint="eastAsia"/>
        </w:rPr>
        <w:t>根据中央网信办对网络信息资产功能以及数据管理和建设方式方面的指南，网络资产信息是指网络资产属性和预支相关的各类信息，包括但不限于：组织机构信息、业务信息系统信息、硬件设备信息、软件信息、网络信息、机房信息、应急资源信息、业务数据信息等。</w:t>
      </w:r>
    </w:p>
    <w:p w14:paraId="3DDD50E3">
      <w:pPr>
        <w:ind w:firstLine="480"/>
      </w:pPr>
      <w:r>
        <w:rPr>
          <w:rFonts w:hint="eastAsia"/>
        </w:rPr>
        <w:t>网络资产信息管理支持设置标准资产数据接口，支持通过自动化导入或手动录入等方式实现网络安全运营单位、党政机关、国有重点企事业单位、科研院校等上报网络资产信息数据。</w:t>
      </w:r>
    </w:p>
    <w:p w14:paraId="51EE5F50">
      <w:pPr>
        <w:ind w:firstLine="480"/>
      </w:pPr>
      <w:r>
        <w:rPr>
          <w:rFonts w:hint="eastAsia"/>
        </w:rPr>
        <w:t>按照技术要求、有关标准规范和用户需求，制定网络资产比对模型，模型包括但不限于：历史数据纵向比对模型，报送资产、共享资产与探测资产信息之间的横向比对模型。历史数据纵向比对模型，通过将获取到的最新网络资产数据与历史数据进行比对，辅助进行对最新网络资产数据的清洗和校正；横向对比模型，通过对相近时间段获取的使用报送、共享和探测方式获取的网络资产信息进行综合比对，辅助进行对最新资产数据的校正和清洗，</w:t>
      </w:r>
      <w:r>
        <w:t>具体</w:t>
      </w:r>
      <w:r>
        <w:rPr>
          <w:rFonts w:hint="eastAsia"/>
        </w:rPr>
        <w:t>业务流程架构</w:t>
      </w:r>
      <w:r>
        <w:t>如下图所示：</w:t>
      </w:r>
    </w:p>
    <w:p w14:paraId="03C155F4">
      <w:pPr>
        <w:ind w:firstLine="0" w:firstLineChars="0"/>
        <w:jc w:val="center"/>
        <w:rPr>
          <w:rFonts w:ascii="宋体" w:hAnsi="宋体"/>
          <w:szCs w:val="24"/>
        </w:rPr>
      </w:pPr>
      <w:r>
        <w:rPr>
          <w:rFonts w:ascii="宋体" w:hAnsi="宋体"/>
          <w:szCs w:val="24"/>
        </w:rPr>
        <w:drawing>
          <wp:inline distT="0" distB="0" distL="0" distR="0">
            <wp:extent cx="5274310" cy="3520440"/>
            <wp:effectExtent l="0" t="0" r="2540" b="3810"/>
            <wp:docPr id="3194" name="图片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图片 3194"/>
                    <pic:cNvPicPr>
                      <a:picLocks noChangeAspect="1"/>
                    </pic:cNvPicPr>
                  </pic:nvPicPr>
                  <pic:blipFill>
                    <a:blip r:embed="rId15"/>
                    <a:stretch>
                      <a:fillRect/>
                    </a:stretch>
                  </pic:blipFill>
                  <pic:spPr>
                    <a:xfrm>
                      <a:off x="0" y="0"/>
                      <a:ext cx="5274310" cy="3520440"/>
                    </a:xfrm>
                    <a:prstGeom prst="rect">
                      <a:avLst/>
                    </a:prstGeom>
                  </pic:spPr>
                </pic:pic>
              </a:graphicData>
            </a:graphic>
          </wp:inline>
        </w:drawing>
      </w:r>
    </w:p>
    <w:p w14:paraId="0A1C056A">
      <w:pPr>
        <w:overflowPunct w:val="0"/>
        <w:ind w:firstLine="480"/>
        <w:jc w:val="center"/>
        <w:rPr>
          <w:rFonts w:ascii="宋体" w:hAnsi="宋体"/>
          <w:szCs w:val="24"/>
        </w:rPr>
      </w:pPr>
      <w:r>
        <w:rPr>
          <w:rFonts w:hint="eastAsia" w:ascii="宋体" w:hAnsi="宋体"/>
          <w:szCs w:val="24"/>
        </w:rPr>
        <w:t>图 网络安全资产信息模块组成</w:t>
      </w:r>
    </w:p>
    <w:p w14:paraId="35765403">
      <w:pPr>
        <w:ind w:firstLine="480"/>
      </w:pPr>
      <w:r>
        <w:rPr>
          <w:rFonts w:hint="eastAsia"/>
        </w:rPr>
        <w:t>资产是信息安全保障工作</w:t>
      </w:r>
      <w:r>
        <w:t>中</w:t>
      </w:r>
      <w:r>
        <w:rPr>
          <w:rFonts w:hint="eastAsia"/>
        </w:rPr>
        <w:t>的重要保护对象，对</w:t>
      </w:r>
      <w:r>
        <w:t>资产</w:t>
      </w:r>
      <w:r>
        <w:rPr>
          <w:rFonts w:hint="eastAsia"/>
        </w:rPr>
        <w:t>进行</w:t>
      </w:r>
      <w:r>
        <w:t>全面的安全</w:t>
      </w:r>
      <w:r>
        <w:rPr>
          <w:rFonts w:hint="eastAsia"/>
        </w:rPr>
        <w:t>保护</w:t>
      </w:r>
      <w:r>
        <w:t>工作，能极大的避免重大安全事件的发</w:t>
      </w:r>
      <w:r>
        <w:rPr>
          <w:rFonts w:hint="eastAsia"/>
        </w:rPr>
        <w:t>生</w:t>
      </w:r>
      <w:r>
        <w:t>。资产管理模块</w:t>
      </w:r>
      <w:r>
        <w:rPr>
          <w:rFonts w:hint="eastAsia"/>
        </w:rPr>
        <w:t>主</w:t>
      </w:r>
      <w:r>
        <w:t>要</w:t>
      </w:r>
      <w:r>
        <w:rPr>
          <w:rFonts w:hint="eastAsia"/>
        </w:rPr>
        <w:t>建立统一的资产库，</w:t>
      </w:r>
      <w:r>
        <w:t>对资产</w:t>
      </w:r>
      <w:r>
        <w:rPr>
          <w:rFonts w:hint="eastAsia"/>
        </w:rPr>
        <w:t>进行集中管理，有</w:t>
      </w:r>
      <w:r>
        <w:t>效地为</w:t>
      </w:r>
      <w:r>
        <w:rPr>
          <w:rFonts w:hint="eastAsia"/>
        </w:rPr>
        <w:t>网络主管部门摸清</w:t>
      </w:r>
      <w:r>
        <w:t>家底</w:t>
      </w:r>
      <w:r>
        <w:rPr>
          <w:rFonts w:hint="eastAsia"/>
        </w:rPr>
        <w:t>及</w:t>
      </w:r>
      <w:r>
        <w:t>开展各项安全保障业务提供有效的数据支撑。</w:t>
      </w:r>
      <w:r>
        <w:rPr>
          <w:rFonts w:hint="eastAsia"/>
        </w:rPr>
        <w:t>本模块</w:t>
      </w:r>
      <w:r>
        <w:t>功能如下：</w:t>
      </w:r>
    </w:p>
    <w:p w14:paraId="637CE778">
      <w:pPr>
        <w:pStyle w:val="42"/>
        <w:numPr>
          <w:ilvl w:val="0"/>
          <w:numId w:val="13"/>
        </w:numPr>
        <w:ind w:firstLineChars="0"/>
      </w:pPr>
      <w:r>
        <w:rPr>
          <w:rFonts w:hint="eastAsia"/>
        </w:rPr>
        <w:t>资产信息维护</w:t>
      </w:r>
    </w:p>
    <w:p w14:paraId="7CB9F8B1">
      <w:pPr>
        <w:ind w:firstLine="480"/>
      </w:pPr>
      <w:r>
        <w:rPr>
          <w:rFonts w:hint="eastAsia"/>
        </w:rPr>
        <w:t>实现对网络资产（网络空间中组织机构所拥有的信息资源，包括硬件设备、操作系统、中间件、应用服务、应用系统等）的统一维护和管理，根据角色可分别对不同数据范围进行管理。如：对各州（市）、各部门单位资产的数据进行管理，仅对本单位资产数据进行管理。本功能主要包括网络资产的新增、修改、删除，以及网络资产信息的查询、导入和导出，以及资产模板管理。</w:t>
      </w:r>
    </w:p>
    <w:p w14:paraId="1E865A9D">
      <w:pPr>
        <w:pStyle w:val="42"/>
        <w:numPr>
          <w:ilvl w:val="0"/>
          <w:numId w:val="13"/>
        </w:numPr>
        <w:ind w:firstLineChars="0"/>
      </w:pPr>
      <w:r>
        <w:rPr>
          <w:rFonts w:hint="eastAsia"/>
        </w:rPr>
        <w:t>资产统计分析</w:t>
      </w:r>
    </w:p>
    <w:p w14:paraId="159BDE42">
      <w:pPr>
        <w:ind w:firstLine="480"/>
      </w:pPr>
      <w:r>
        <w:rPr>
          <w:rFonts w:hint="eastAsia"/>
        </w:rPr>
        <w:t>资产统计通过多种图表对各州（市）、各单位的资产数据进行统计分析和展示。包含：整体资产状况和单位资产状况。</w:t>
      </w:r>
    </w:p>
    <w:p w14:paraId="4B420E26">
      <w:pPr>
        <w:ind w:firstLine="480"/>
      </w:pPr>
      <w:r>
        <w:t>整体资产状况包含：</w:t>
      </w:r>
      <w:r>
        <w:rPr>
          <w:rFonts w:hint="eastAsia"/>
        </w:rPr>
        <w:t>资产总数及各资产分类总数统计、以单位的维度，对各单位的资产总数排名统计、以饼状图方式，按操作系统类型（如国产、国外）对服务器（含虚拟机）资产进行统计、以饼状图方式，按服务器类型（如应用服务器、数据库服务器、日志服务器等）对各单位的服务器（含虚拟机）资产进行统计；</w:t>
      </w:r>
    </w:p>
    <w:p w14:paraId="28B6465A">
      <w:pPr>
        <w:ind w:firstLine="480"/>
      </w:pPr>
      <w:r>
        <w:rPr>
          <w:rFonts w:hint="eastAsia"/>
        </w:rPr>
        <w:t>单位资产状况包含：按单位的维度，对单位的各资产分类总数统计；</w:t>
      </w:r>
    </w:p>
    <w:p w14:paraId="3BA9B79D">
      <w:pPr>
        <w:pStyle w:val="42"/>
        <w:numPr>
          <w:ilvl w:val="0"/>
          <w:numId w:val="13"/>
        </w:numPr>
        <w:ind w:firstLineChars="0"/>
      </w:pPr>
      <w:r>
        <w:rPr>
          <w:rFonts w:hint="eastAsia"/>
        </w:rPr>
        <w:t>网络资产IP段（池）管理</w:t>
      </w:r>
    </w:p>
    <w:p w14:paraId="3F6C08B6">
      <w:pPr>
        <w:ind w:firstLine="480"/>
      </w:pPr>
      <w:r>
        <w:rPr>
          <w:rFonts w:hint="eastAsia"/>
        </w:rPr>
        <w:t>根据用户权限的提供对IP地址段（池）的划分管理功能：</w:t>
      </w:r>
    </w:p>
    <w:p w14:paraId="42C1F551">
      <w:pPr>
        <w:pStyle w:val="43"/>
        <w:numPr>
          <w:ilvl w:val="0"/>
          <w:numId w:val="14"/>
        </w:numPr>
        <w:ind w:firstLineChars="0"/>
      </w:pPr>
      <w:r>
        <w:rPr>
          <w:rFonts w:hint="eastAsia"/>
        </w:rPr>
        <w:t>提供对省级各部、委、办、厅、局的IP地址信息进行划分和管理。通过比对主动获取、单位填报及有关权威组织机构提供的IP信息，查验可能存在错误和重复的IP信息并进行提示。</w:t>
      </w:r>
    </w:p>
    <w:p w14:paraId="4FC4335B">
      <w:pPr>
        <w:pStyle w:val="43"/>
        <w:numPr>
          <w:ilvl w:val="0"/>
          <w:numId w:val="14"/>
        </w:numPr>
        <w:ind w:firstLineChars="0"/>
      </w:pPr>
      <w:r>
        <w:rPr>
          <w:rFonts w:hint="eastAsia"/>
        </w:rPr>
        <w:t>提供对IP段（池）内IP使用情况进行查看的功能，了解空闲IP及已用IP清单，及时发现新出现的IP段（池），并进行提示。</w:t>
      </w:r>
    </w:p>
    <w:p w14:paraId="762A8617">
      <w:pPr>
        <w:pStyle w:val="42"/>
        <w:numPr>
          <w:ilvl w:val="0"/>
          <w:numId w:val="13"/>
        </w:numPr>
        <w:ind w:firstLineChars="0"/>
      </w:pPr>
      <w:r>
        <w:rPr>
          <w:rFonts w:hint="eastAsia"/>
        </w:rPr>
        <w:t>资产信息融合</w:t>
      </w:r>
    </w:p>
    <w:p w14:paraId="41B42C27">
      <w:pPr>
        <w:ind w:firstLine="480"/>
      </w:pPr>
      <w:r>
        <w:rPr>
          <w:rFonts w:hint="eastAsia"/>
        </w:rPr>
        <w:t>主要提供对主动探测和被动识别探测的网络资产所采用框架以及所应用组件模型信息的信息网络资产信息属性的补全，实现主动探测和被动识别两种方式相互反馈、相互联动、迭代探测。支持基于被动流量数据以及收集第三方域名等数据，引导主动探测系统进行有效探测；支持生成启发式策略，引导主动探测系统进行有效探测；支持第三方启发式策略导入、维护等灵活性可扩展属性。</w:t>
      </w:r>
    </w:p>
    <w:p w14:paraId="54F9C9C3">
      <w:pPr>
        <w:ind w:firstLine="480"/>
      </w:pPr>
      <w:r>
        <w:rPr>
          <w:rFonts w:hint="eastAsia"/>
        </w:rPr>
        <w:t>建立包括了网络服务器开放端口、服务特性、协议指纹等相关知识库，通过查询、匹配、碰撞等，对没有归属的网络资产，进行信息属性动态更新。实现自动探测的资产、被动识别资产和资产库的资产进行融合，如果在资产库中已经存在的资产，补全相关属性。如果探测的资产不在单位资产库中，提醒用户补全相关的资产属性，实现资产入库管理。</w:t>
      </w:r>
    </w:p>
    <w:p w14:paraId="59ABD456">
      <w:pPr>
        <w:pStyle w:val="42"/>
        <w:numPr>
          <w:ilvl w:val="0"/>
          <w:numId w:val="13"/>
        </w:numPr>
        <w:ind w:firstLineChars="0"/>
      </w:pPr>
      <w:r>
        <w:rPr>
          <w:rFonts w:hint="eastAsia"/>
        </w:rPr>
        <w:t>无归属网络资产管理</w:t>
      </w:r>
    </w:p>
    <w:p w14:paraId="6F8E4636">
      <w:pPr>
        <w:ind w:firstLine="480"/>
      </w:pPr>
      <w:r>
        <w:rPr>
          <w:rFonts w:hint="eastAsia"/>
        </w:rPr>
        <w:t>具备上报资产格式校验能力，支持对缺失信息、错误格式等进行提示；具备数据隔离能力，各机构上报数据隔离，多用户系统，不同用户数据进行隔离。</w:t>
      </w:r>
    </w:p>
    <w:p w14:paraId="474A9155">
      <w:pPr>
        <w:ind w:firstLine="480"/>
      </w:pPr>
      <w:r>
        <w:rPr>
          <w:rFonts w:hint="eastAsia"/>
        </w:rPr>
        <w:t>为具备相关权限的用户提供对主动资产探测、被动资产识别出的网络资产中，暂时不能确定归属单位的不明资产进行指定归属单位的管理功能。一般可通过网络资产的IP信息，对网络资产信息进行查询，并针对尚不能确定资产归属单位的可进行资产信息完善处理，信息补充后归入到网络资产库。</w:t>
      </w:r>
    </w:p>
    <w:p w14:paraId="2280BC54">
      <w:pPr>
        <w:pStyle w:val="42"/>
        <w:numPr>
          <w:ilvl w:val="0"/>
          <w:numId w:val="13"/>
        </w:numPr>
        <w:ind w:firstLineChars="0"/>
      </w:pPr>
      <w:r>
        <w:rPr>
          <w:rFonts w:hint="eastAsia"/>
        </w:rPr>
        <w:t>资产认领</w:t>
      </w:r>
    </w:p>
    <w:p w14:paraId="7C328976">
      <w:pPr>
        <w:ind w:firstLine="480"/>
      </w:pPr>
      <w:r>
        <w:rPr>
          <w:rFonts w:hint="eastAsia"/>
        </w:rPr>
        <w:t>对无归属网络资产，在线发布资产认领信息，经信息反馈和比对后，能够确认资产归属的网络资产，更新网络资产所属单位后，加入网络资产库。</w:t>
      </w:r>
    </w:p>
    <w:p w14:paraId="0F692B54">
      <w:pPr>
        <w:pStyle w:val="42"/>
        <w:numPr>
          <w:ilvl w:val="0"/>
          <w:numId w:val="13"/>
        </w:numPr>
        <w:ind w:firstLineChars="0"/>
      </w:pPr>
      <w:r>
        <w:rPr>
          <w:rFonts w:hint="eastAsia"/>
        </w:rPr>
        <w:t>资产配置管理</w:t>
      </w:r>
    </w:p>
    <w:p w14:paraId="2C650615">
      <w:pPr>
        <w:ind w:firstLine="480"/>
      </w:pPr>
      <w:r>
        <w:t>系统模式提供初始化资产属性配置，同时系统支持针对资产的一级类别、二级类别、三级类别及资产属性的灵活自定义配置及属性关联关系配置，后续可根据《国家网络安全协调指挥平台网络资产信息报送内容和格式规范》（WA0010-2021）进行灵活调整</w:t>
      </w:r>
      <w:r>
        <w:rPr>
          <w:rFonts w:hint="eastAsia"/>
        </w:rPr>
        <w:t>。</w:t>
      </w:r>
    </w:p>
    <w:p w14:paraId="7B6996F4">
      <w:pPr>
        <w:pStyle w:val="4"/>
        <w:numPr>
          <w:ilvl w:val="2"/>
          <w:numId w:val="2"/>
        </w:numPr>
      </w:pPr>
      <w:bookmarkStart w:id="126" w:name="_Toc130227016"/>
      <w:bookmarkStart w:id="127" w:name="_Toc25053634"/>
      <w:bookmarkStart w:id="128" w:name="_Toc24528736"/>
      <w:bookmarkStart w:id="129" w:name="_Toc104633487"/>
      <w:r>
        <w:rPr>
          <w:rFonts w:hint="eastAsia"/>
        </w:rPr>
        <w:t>资产</w:t>
      </w:r>
      <w:r>
        <w:t>信息维护</w:t>
      </w:r>
      <w:bookmarkEnd w:id="126"/>
      <w:bookmarkEnd w:id="127"/>
      <w:bookmarkEnd w:id="128"/>
      <w:bookmarkEnd w:id="129"/>
    </w:p>
    <w:p w14:paraId="74AAA250">
      <w:pPr>
        <w:ind w:firstLine="480"/>
      </w:pPr>
      <w:r>
        <w:rPr>
          <w:rFonts w:hint="eastAsia"/>
        </w:rPr>
        <w:t>实现对网络资产（网络空间中组织机构所拥有的信息资源，包括硬件设备、操作系统、中间件、应用服务、应用系统等）的统一维护和管理，根据角色可分别对不同数据范围进行管理。如：对各州（市）、各部门单位资产的数据进行管理，仅对本单位资产数据进行管理。本功能主要包括网络资产的新增、修改、删除，以及网络资产信息的查询、导入和导出，以及资产模板管理。</w:t>
      </w:r>
    </w:p>
    <w:p w14:paraId="73AC68D9">
      <w:pPr>
        <w:ind w:firstLine="480"/>
      </w:pPr>
      <w:r>
        <w:rPr>
          <w:rFonts w:hint="eastAsia"/>
        </w:rPr>
        <w:t>资产信息</w:t>
      </w:r>
      <w:r>
        <w:t>维护</w:t>
      </w:r>
      <w:r>
        <w:rPr>
          <w:rFonts w:hint="eastAsia"/>
        </w:rPr>
        <w:t>功能提供对资产</w:t>
      </w:r>
      <w:r>
        <w:t>进行</w:t>
      </w:r>
      <w:r>
        <w:rPr>
          <w:rFonts w:hint="eastAsia"/>
        </w:rPr>
        <w:t>统一</w:t>
      </w:r>
      <w:r>
        <w:t>维护管理</w:t>
      </w:r>
      <w:r>
        <w:rPr>
          <w:rFonts w:hint="eastAsia"/>
        </w:rPr>
        <w:t>，根据用户的</w:t>
      </w:r>
      <w:r>
        <w:t>角色提供不同的</w:t>
      </w:r>
      <w:r>
        <w:rPr>
          <w:rFonts w:hint="eastAsia"/>
        </w:rPr>
        <w:t>数据范围</w:t>
      </w:r>
      <w:r>
        <w:t>管理功能</w:t>
      </w:r>
      <w:r>
        <w:rPr>
          <w:rFonts w:hint="eastAsia"/>
        </w:rPr>
        <w:t>，</w:t>
      </w:r>
      <w:r>
        <w:t>平台提供各单位的资产</w:t>
      </w:r>
      <w:r>
        <w:rPr>
          <w:rFonts w:hint="eastAsia"/>
        </w:rPr>
        <w:t>数据</w:t>
      </w:r>
      <w:r>
        <w:t>管理功能</w:t>
      </w:r>
      <w:r>
        <w:rPr>
          <w:rFonts w:hint="eastAsia"/>
        </w:rPr>
        <w:t>；对</w:t>
      </w:r>
      <w:r>
        <w:t>单位</w:t>
      </w:r>
      <w:r>
        <w:rPr>
          <w:rFonts w:hint="eastAsia"/>
        </w:rPr>
        <w:t>仅</w:t>
      </w:r>
      <w:r>
        <w:t>提供本单位的</w:t>
      </w:r>
      <w:r>
        <w:rPr>
          <w:rFonts w:hint="eastAsia"/>
        </w:rPr>
        <w:t>资产</w:t>
      </w:r>
      <w:r>
        <w:t>数据管理功能</w:t>
      </w:r>
      <w:r>
        <w:rPr>
          <w:rFonts w:hint="eastAsia"/>
        </w:rPr>
        <w:t>。本</w:t>
      </w:r>
      <w:r>
        <w:t>功能主要包括资产</w:t>
      </w:r>
      <w:r>
        <w:rPr>
          <w:rFonts w:hint="eastAsia"/>
        </w:rPr>
        <w:t>的新增</w:t>
      </w:r>
      <w:r>
        <w:t>、修改、删除、查询</w:t>
      </w:r>
      <w:r>
        <w:rPr>
          <w:rFonts w:hint="eastAsia"/>
        </w:rPr>
        <w:t>、</w:t>
      </w:r>
      <w:r>
        <w:t>导入、导出、下载模板。</w:t>
      </w:r>
    </w:p>
    <w:p w14:paraId="67B1264E">
      <w:pPr>
        <w:ind w:firstLine="0" w:firstLineChars="0"/>
        <w:rPr>
          <w:rFonts w:ascii="仿宋" w:hAnsi="仿宋" w:eastAsia="仿宋" w:cs="Times New Roman"/>
          <w:sz w:val="28"/>
          <w:szCs w:val="28"/>
        </w:rPr>
      </w:pPr>
      <w:r>
        <w:drawing>
          <wp:inline distT="0" distB="0" distL="0" distR="0">
            <wp:extent cx="5274310" cy="2809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2809240"/>
                    </a:xfrm>
                    <a:prstGeom prst="rect">
                      <a:avLst/>
                    </a:prstGeom>
                  </pic:spPr>
                </pic:pic>
              </a:graphicData>
            </a:graphic>
          </wp:inline>
        </w:drawing>
      </w:r>
    </w:p>
    <w:p w14:paraId="7BB9AA26">
      <w:pPr>
        <w:pStyle w:val="43"/>
        <w:numPr>
          <w:ilvl w:val="0"/>
          <w:numId w:val="14"/>
        </w:numPr>
        <w:ind w:firstLineChars="0"/>
      </w:pPr>
      <w:r>
        <w:rPr>
          <w:rFonts w:hint="eastAsia"/>
        </w:rPr>
        <w:t>新增</w:t>
      </w:r>
      <w:r>
        <w:t>资产</w:t>
      </w:r>
      <w:r>
        <w:rPr>
          <w:rFonts w:hint="eastAsia"/>
        </w:rPr>
        <w:t>,维护</w:t>
      </w:r>
      <w:r>
        <w:t>页面点的新增</w:t>
      </w:r>
      <w:r>
        <w:rPr>
          <w:rFonts w:hint="eastAsia"/>
        </w:rPr>
        <w:t>按钮</w:t>
      </w:r>
      <w:r>
        <w:t>，进入资产新增页面，资产的新增</w:t>
      </w:r>
      <w:r>
        <w:rPr>
          <w:rFonts w:hint="eastAsia"/>
        </w:rPr>
        <w:t>内容</w:t>
      </w:r>
      <w:r>
        <w:t>会根据资产的分类不同，</w:t>
      </w:r>
      <w:r>
        <w:rPr>
          <w:rFonts w:hint="eastAsia"/>
        </w:rPr>
        <w:t>填</w:t>
      </w:r>
      <w:r>
        <w:t>写的</w:t>
      </w:r>
      <w:r>
        <w:rPr>
          <w:rFonts w:hint="eastAsia"/>
        </w:rPr>
        <w:t>信息</w:t>
      </w:r>
      <w:r>
        <w:t>会</w:t>
      </w:r>
      <w:r>
        <w:rPr>
          <w:rFonts w:hint="eastAsia"/>
        </w:rPr>
        <w:t>有</w:t>
      </w:r>
      <w:r>
        <w:t>所差异</w:t>
      </w:r>
      <w:r>
        <w:rPr>
          <w:rFonts w:hint="eastAsia"/>
        </w:rPr>
        <w:t>，如</w:t>
      </w:r>
      <w:r>
        <w:t>服务器</w:t>
      </w:r>
      <w:r>
        <w:rPr>
          <w:rFonts w:hint="eastAsia"/>
        </w:rPr>
        <w:t>资产</w:t>
      </w:r>
      <w:r>
        <w:t>，</w:t>
      </w:r>
      <w:r>
        <w:rPr>
          <w:rFonts w:hint="eastAsia"/>
        </w:rPr>
        <w:t>相关</w:t>
      </w:r>
      <w:r>
        <w:t>的资产属性包括：资产名称、服务器品牌、设备型号、IP地址、MAC地址、对公IP地址、内存大小、CPU</w:t>
      </w:r>
      <w:r>
        <w:rPr>
          <w:rFonts w:hint="eastAsia"/>
        </w:rPr>
        <w:t>类型</w:t>
      </w:r>
      <w:r>
        <w:t>、</w:t>
      </w:r>
      <w:r>
        <w:rPr>
          <w:rFonts w:hint="eastAsia"/>
        </w:rPr>
        <w:t>所属</w:t>
      </w:r>
      <w:r>
        <w:t>单位、责任人、</w:t>
      </w:r>
      <w:r>
        <w:rPr>
          <w:rFonts w:hint="eastAsia"/>
        </w:rPr>
        <w:t>责任</w:t>
      </w:r>
      <w:r>
        <w:t>人电话、所在机房、操作</w:t>
      </w:r>
      <w:r>
        <w:rPr>
          <w:rFonts w:hint="eastAsia"/>
        </w:rPr>
        <w:t>系统、维保</w:t>
      </w:r>
      <w:r>
        <w:t>到时日期、资产状态</w:t>
      </w:r>
      <w:r>
        <w:rPr>
          <w:rFonts w:hint="eastAsia"/>
        </w:rPr>
        <w:t>等</w:t>
      </w:r>
      <w:r>
        <w:t>。</w:t>
      </w:r>
    </w:p>
    <w:p w14:paraId="16DC40C9">
      <w:pPr>
        <w:ind w:firstLine="0" w:firstLineChars="0"/>
        <w:rPr>
          <w:rFonts w:ascii="仿宋" w:hAnsi="仿宋" w:eastAsia="仿宋" w:cs="Times New Roman"/>
          <w:sz w:val="28"/>
          <w:szCs w:val="28"/>
        </w:rPr>
      </w:pPr>
      <w:r>
        <w:drawing>
          <wp:inline distT="0" distB="0" distL="0" distR="0">
            <wp:extent cx="5274310" cy="27851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785110"/>
                    </a:xfrm>
                    <a:prstGeom prst="rect">
                      <a:avLst/>
                    </a:prstGeom>
                  </pic:spPr>
                </pic:pic>
              </a:graphicData>
            </a:graphic>
          </wp:inline>
        </w:drawing>
      </w:r>
    </w:p>
    <w:p w14:paraId="4523750B">
      <w:pPr>
        <w:ind w:firstLine="480"/>
      </w:pPr>
      <w:r>
        <w:rPr>
          <w:rFonts w:hint="eastAsia"/>
        </w:rPr>
        <w:t>针对不同资产属性录入，提供模板数据字典，例如针对国产服务器操作系统、国产操作系统、国产数据库等提供默认常规品牌厂商选择，提升用户操作便捷性。</w:t>
      </w:r>
    </w:p>
    <w:p w14:paraId="7BE90E1E">
      <w:pPr>
        <w:ind w:firstLine="0" w:firstLineChars="0"/>
        <w:rPr>
          <w:rFonts w:ascii="仿宋" w:hAnsi="仿宋" w:eastAsia="仿宋" w:cs="Times New Roman"/>
          <w:sz w:val="28"/>
          <w:szCs w:val="28"/>
        </w:rPr>
      </w:pPr>
      <w:r>
        <w:drawing>
          <wp:inline distT="0" distB="0" distL="0" distR="0">
            <wp:extent cx="5274310" cy="16281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1628140"/>
                    </a:xfrm>
                    <a:prstGeom prst="rect">
                      <a:avLst/>
                    </a:prstGeom>
                  </pic:spPr>
                </pic:pic>
              </a:graphicData>
            </a:graphic>
          </wp:inline>
        </w:drawing>
      </w:r>
    </w:p>
    <w:p w14:paraId="0F584F3E">
      <w:pPr>
        <w:ind w:firstLine="480"/>
      </w:pPr>
      <w:r>
        <w:t>系统提供二级资产关联，例如在选择国产化操作系统，或列出常规国产化操作系统品牌；在确定品牌后，和自动管理所选操作系统常用的版本号。</w:t>
      </w:r>
    </w:p>
    <w:p w14:paraId="28853C3F">
      <w:pPr>
        <w:ind w:firstLine="0" w:firstLineChars="0"/>
        <w:rPr>
          <w:rFonts w:ascii="仿宋" w:hAnsi="仿宋" w:eastAsia="仿宋" w:cs="Times New Roman"/>
          <w:sz w:val="28"/>
          <w:szCs w:val="28"/>
        </w:rPr>
      </w:pPr>
      <w:r>
        <w:drawing>
          <wp:inline distT="0" distB="0" distL="0" distR="0">
            <wp:extent cx="5274310" cy="1376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1376680"/>
                    </a:xfrm>
                    <a:prstGeom prst="rect">
                      <a:avLst/>
                    </a:prstGeom>
                  </pic:spPr>
                </pic:pic>
              </a:graphicData>
            </a:graphic>
          </wp:inline>
        </w:drawing>
      </w:r>
    </w:p>
    <w:p w14:paraId="4983ACD1">
      <w:pPr>
        <w:pStyle w:val="43"/>
        <w:numPr>
          <w:ilvl w:val="0"/>
          <w:numId w:val="14"/>
        </w:numPr>
        <w:ind w:firstLineChars="0"/>
      </w:pPr>
      <w:r>
        <w:rPr>
          <w:rFonts w:hint="eastAsia"/>
        </w:rPr>
        <w:t>修改资产,</w:t>
      </w:r>
      <w:r>
        <w:t>列表</w:t>
      </w:r>
      <w:r>
        <w:rPr>
          <w:rFonts w:hint="eastAsia"/>
        </w:rPr>
        <w:t>中</w:t>
      </w:r>
      <w:r>
        <w:t>的</w:t>
      </w:r>
      <w:r>
        <w:rPr>
          <w:rFonts w:hint="eastAsia"/>
        </w:rPr>
        <w:t>修改</w:t>
      </w:r>
      <w:r>
        <w:t>操作，进入该资产的修改页面，修改的内</w:t>
      </w:r>
      <w:r>
        <w:rPr>
          <w:rFonts w:hint="eastAsia"/>
        </w:rPr>
        <w:t>容要新增</w:t>
      </w:r>
      <w:r>
        <w:t>的一样</w:t>
      </w:r>
      <w:r>
        <w:rPr>
          <w:rFonts w:hint="eastAsia"/>
        </w:rPr>
        <w:t>；</w:t>
      </w:r>
    </w:p>
    <w:p w14:paraId="0F8AC8E6">
      <w:pPr>
        <w:pStyle w:val="43"/>
        <w:numPr>
          <w:ilvl w:val="0"/>
          <w:numId w:val="14"/>
        </w:numPr>
        <w:ind w:firstLineChars="0"/>
      </w:pPr>
      <w:r>
        <w:t>删除资产，</w:t>
      </w:r>
      <w:r>
        <w:rPr>
          <w:rFonts w:hint="eastAsia"/>
        </w:rPr>
        <w:t>点</w:t>
      </w:r>
      <w:r>
        <w:t>击列表中的删除操作</w:t>
      </w:r>
      <w:r>
        <w:rPr>
          <w:rFonts w:hint="eastAsia"/>
        </w:rPr>
        <w:t>，</w:t>
      </w:r>
      <w:r>
        <w:t>平台将弹出删除确认框，如是则对该</w:t>
      </w:r>
      <w:r>
        <w:rPr>
          <w:rFonts w:hint="eastAsia"/>
        </w:rPr>
        <w:t>信息</w:t>
      </w:r>
      <w:r>
        <w:t>进行删除。</w:t>
      </w:r>
    </w:p>
    <w:p w14:paraId="4C2B998C">
      <w:pPr>
        <w:pStyle w:val="43"/>
        <w:numPr>
          <w:ilvl w:val="0"/>
          <w:numId w:val="14"/>
        </w:numPr>
        <w:ind w:firstLineChars="0"/>
      </w:pPr>
      <w:r>
        <w:rPr>
          <w:rFonts w:hint="eastAsia"/>
        </w:rPr>
        <w:t>查询，可</w:t>
      </w:r>
      <w:r>
        <w:t>根据资产的名称、资产类型等修改对资产进行查询；</w:t>
      </w:r>
    </w:p>
    <w:p w14:paraId="52C418DE">
      <w:pPr>
        <w:pStyle w:val="43"/>
        <w:numPr>
          <w:ilvl w:val="0"/>
          <w:numId w:val="14"/>
        </w:numPr>
        <w:ind w:firstLineChars="0"/>
      </w:pPr>
      <w:r>
        <w:rPr>
          <w:rFonts w:hint="eastAsia"/>
        </w:rPr>
        <w:t>导入，</w:t>
      </w:r>
      <w:r>
        <w:t>根据平台提供的资产模</w:t>
      </w:r>
      <w:r>
        <w:rPr>
          <w:rFonts w:hint="eastAsia"/>
        </w:rPr>
        <w:t>板</w:t>
      </w:r>
      <w:r>
        <w:t>，</w:t>
      </w:r>
      <w:r>
        <w:rPr>
          <w:rFonts w:hint="eastAsia"/>
        </w:rPr>
        <w:t>在</w:t>
      </w:r>
      <w:r>
        <w:t>资产模板中填写</w:t>
      </w:r>
      <w:r>
        <w:rPr>
          <w:rFonts w:hint="eastAsia"/>
        </w:rPr>
        <w:t>资产</w:t>
      </w:r>
      <w:r>
        <w:t>信息，然后</w:t>
      </w:r>
      <w:r>
        <w:rPr>
          <w:rFonts w:hint="eastAsia"/>
        </w:rPr>
        <w:t>通过</w:t>
      </w:r>
      <w:r>
        <w:t>导入功能，</w:t>
      </w:r>
      <w:r>
        <w:rPr>
          <w:rFonts w:hint="eastAsia"/>
        </w:rPr>
        <w:t>把</w:t>
      </w:r>
      <w:r>
        <w:t>所有的资产信息导入到平台</w:t>
      </w:r>
      <w:r>
        <w:rPr>
          <w:rFonts w:hint="eastAsia"/>
        </w:rPr>
        <w:t>，</w:t>
      </w:r>
      <w:r>
        <w:t>导入的格式为</w:t>
      </w:r>
      <w:r>
        <w:rPr>
          <w:rFonts w:hint="eastAsia"/>
        </w:rPr>
        <w:t>.xls的</w:t>
      </w:r>
      <w:r>
        <w:t>文件。</w:t>
      </w:r>
    </w:p>
    <w:p w14:paraId="23243F31">
      <w:pPr>
        <w:ind w:firstLine="0" w:firstLineChars="0"/>
        <w:rPr>
          <w:rFonts w:ascii="仿宋" w:hAnsi="仿宋" w:eastAsia="仿宋" w:cs="Times New Roman"/>
          <w:sz w:val="28"/>
          <w:szCs w:val="28"/>
        </w:rPr>
      </w:pPr>
      <w:r>
        <w:drawing>
          <wp:inline distT="0" distB="0" distL="0" distR="0">
            <wp:extent cx="5274310" cy="154813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74310" cy="1548130"/>
                    </a:xfrm>
                    <a:prstGeom prst="rect">
                      <a:avLst/>
                    </a:prstGeom>
                  </pic:spPr>
                </pic:pic>
              </a:graphicData>
            </a:graphic>
          </wp:inline>
        </w:drawing>
      </w:r>
    </w:p>
    <w:p w14:paraId="6E92528A">
      <w:pPr>
        <w:pStyle w:val="43"/>
        <w:numPr>
          <w:ilvl w:val="0"/>
          <w:numId w:val="14"/>
        </w:numPr>
        <w:ind w:firstLineChars="0"/>
      </w:pPr>
      <w:r>
        <w:rPr>
          <w:rFonts w:hint="eastAsia"/>
        </w:rPr>
        <w:t>导出</w:t>
      </w:r>
      <w:r>
        <w:t>，</w:t>
      </w:r>
      <w:r>
        <w:rPr>
          <w:rFonts w:hint="eastAsia"/>
        </w:rPr>
        <w:t>通过点</w:t>
      </w:r>
      <w:r>
        <w:t>击页面中的导</w:t>
      </w:r>
      <w:r>
        <w:rPr>
          <w:rFonts w:hint="eastAsia"/>
        </w:rPr>
        <w:t>出按钮</w:t>
      </w:r>
      <w:r>
        <w:t>，可把</w:t>
      </w:r>
      <w:r>
        <w:rPr>
          <w:rFonts w:hint="eastAsia"/>
        </w:rPr>
        <w:t>该</w:t>
      </w:r>
      <w:r>
        <w:t>分类的资产信息</w:t>
      </w:r>
      <w:r>
        <w:rPr>
          <w:rFonts w:hint="eastAsia"/>
        </w:rPr>
        <w:t>全部</w:t>
      </w:r>
      <w:r>
        <w:t>导</w:t>
      </w:r>
      <w:r>
        <w:rPr>
          <w:rFonts w:hint="eastAsia"/>
        </w:rPr>
        <w:t>出，</w:t>
      </w:r>
      <w:r>
        <w:t>导出格式为</w:t>
      </w:r>
      <w:r>
        <w:rPr>
          <w:rFonts w:hint="eastAsia"/>
        </w:rPr>
        <w:t>.xls格式</w:t>
      </w:r>
      <w:r>
        <w:t>文件。</w:t>
      </w:r>
    </w:p>
    <w:p w14:paraId="18B3412A">
      <w:pPr>
        <w:ind w:firstLine="0" w:firstLineChars="0"/>
        <w:rPr>
          <w:rFonts w:ascii="仿宋" w:hAnsi="仿宋" w:eastAsia="仿宋" w:cs="Times New Roman"/>
          <w:sz w:val="28"/>
          <w:szCs w:val="28"/>
        </w:rPr>
      </w:pPr>
      <w:r>
        <w:drawing>
          <wp:inline distT="0" distB="0" distL="0" distR="0">
            <wp:extent cx="5274310" cy="2908300"/>
            <wp:effectExtent l="0" t="0" r="254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274310" cy="2908300"/>
                    </a:xfrm>
                    <a:prstGeom prst="rect">
                      <a:avLst/>
                    </a:prstGeom>
                  </pic:spPr>
                </pic:pic>
              </a:graphicData>
            </a:graphic>
          </wp:inline>
        </w:drawing>
      </w:r>
    </w:p>
    <w:p w14:paraId="545422F9">
      <w:pPr>
        <w:pStyle w:val="43"/>
        <w:numPr>
          <w:ilvl w:val="0"/>
          <w:numId w:val="14"/>
        </w:numPr>
        <w:ind w:firstLineChars="0"/>
      </w:pPr>
      <w:r>
        <w:rPr>
          <w:rFonts w:hint="eastAsia"/>
        </w:rPr>
        <w:t>下载模板</w:t>
      </w:r>
      <w:r>
        <w:t>，平台</w:t>
      </w:r>
      <w:r>
        <w:rPr>
          <w:rFonts w:hint="eastAsia"/>
        </w:rPr>
        <w:t>提供</w:t>
      </w:r>
      <w:r>
        <w:t>资产模板</w:t>
      </w:r>
      <w:r>
        <w:rPr>
          <w:rFonts w:hint="eastAsia"/>
        </w:rPr>
        <w:t>下载</w:t>
      </w:r>
      <w:r>
        <w:t>功能，</w:t>
      </w:r>
      <w:r>
        <w:rPr>
          <w:rFonts w:hint="eastAsia"/>
        </w:rPr>
        <w:t>点</w:t>
      </w:r>
      <w:r>
        <w:t>击下载模板，</w:t>
      </w:r>
      <w:r>
        <w:rPr>
          <w:rFonts w:hint="eastAsia"/>
        </w:rPr>
        <w:t>可</w:t>
      </w:r>
      <w:r>
        <w:t>下载平台最新的</w:t>
      </w:r>
      <w:r>
        <w:rPr>
          <w:rFonts w:hint="eastAsia"/>
        </w:rPr>
        <w:t>模板，</w:t>
      </w:r>
      <w:r>
        <w:t>下载的模板为</w:t>
      </w:r>
      <w:r>
        <w:rPr>
          <w:rFonts w:hint="eastAsia"/>
        </w:rPr>
        <w:t>.xls格式</w:t>
      </w:r>
      <w:r>
        <w:t>的文件。</w:t>
      </w:r>
    </w:p>
    <w:p w14:paraId="6C80EBCE">
      <w:pPr>
        <w:pStyle w:val="4"/>
        <w:numPr>
          <w:ilvl w:val="2"/>
          <w:numId w:val="2"/>
        </w:numPr>
      </w:pPr>
      <w:bookmarkStart w:id="130" w:name="_Toc24528738"/>
      <w:bookmarkStart w:id="131" w:name="_Toc130227017"/>
      <w:bookmarkStart w:id="132" w:name="_Toc25053636"/>
      <w:bookmarkStart w:id="133" w:name="_Toc104633488"/>
      <w:r>
        <w:rPr>
          <w:rFonts w:hint="eastAsia"/>
        </w:rPr>
        <w:t>资产</w:t>
      </w:r>
      <w:r>
        <w:t>统计分析</w:t>
      </w:r>
      <w:bookmarkEnd w:id="130"/>
      <w:bookmarkEnd w:id="131"/>
      <w:bookmarkEnd w:id="132"/>
      <w:bookmarkEnd w:id="133"/>
    </w:p>
    <w:p w14:paraId="20879508">
      <w:pPr>
        <w:ind w:firstLine="480"/>
      </w:pPr>
      <w:r>
        <w:rPr>
          <w:rFonts w:hint="eastAsia"/>
        </w:rPr>
        <w:t>资产</w:t>
      </w:r>
      <w:r>
        <w:t>统计</w:t>
      </w:r>
      <w:r>
        <w:rPr>
          <w:rFonts w:hint="eastAsia"/>
        </w:rPr>
        <w:t>功能通过</w:t>
      </w:r>
      <w:r>
        <w:t>图表方式</w:t>
      </w:r>
      <w:r>
        <w:rPr>
          <w:rFonts w:hint="eastAsia"/>
        </w:rPr>
        <w:t>对各</w:t>
      </w:r>
      <w:r>
        <w:t>单位的</w:t>
      </w:r>
      <w:r>
        <w:rPr>
          <w:rFonts w:hint="eastAsia"/>
        </w:rPr>
        <w:t>资产数据</w:t>
      </w:r>
      <w:r>
        <w:t>进行</w:t>
      </w:r>
      <w:r>
        <w:rPr>
          <w:rFonts w:hint="eastAsia"/>
        </w:rPr>
        <w:t>统计分析展示，本功能包括资产</w:t>
      </w:r>
      <w:r>
        <w:t>状况</w:t>
      </w:r>
      <w:r>
        <w:rPr>
          <w:rFonts w:hint="eastAsia"/>
        </w:rPr>
        <w:t>和</w:t>
      </w:r>
      <w:r>
        <w:t>单位资产状况</w:t>
      </w:r>
      <w:r>
        <w:rPr>
          <w:rFonts w:hint="eastAsia"/>
        </w:rPr>
        <w:t>。</w:t>
      </w:r>
    </w:p>
    <w:p w14:paraId="6D004F31">
      <w:pPr>
        <w:ind w:firstLine="0" w:firstLineChars="0"/>
        <w:rPr>
          <w:rFonts w:ascii="仿宋" w:hAnsi="仿宋" w:eastAsia="仿宋" w:cs="Times New Roman"/>
          <w:sz w:val="28"/>
          <w:szCs w:val="28"/>
        </w:rPr>
      </w:pPr>
      <w:r>
        <w:drawing>
          <wp:inline distT="0" distB="0" distL="0" distR="0">
            <wp:extent cx="5274310" cy="25400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2540000"/>
                    </a:xfrm>
                    <a:prstGeom prst="rect">
                      <a:avLst/>
                    </a:prstGeom>
                  </pic:spPr>
                </pic:pic>
              </a:graphicData>
            </a:graphic>
          </wp:inline>
        </w:drawing>
      </w:r>
    </w:p>
    <w:p w14:paraId="3B80325B">
      <w:pPr>
        <w:ind w:firstLine="560"/>
        <w:rPr>
          <w:rFonts w:ascii="仿宋" w:hAnsi="仿宋" w:eastAsia="仿宋" w:cs="Times New Roman"/>
          <w:sz w:val="28"/>
          <w:szCs w:val="28"/>
        </w:rPr>
      </w:pPr>
    </w:p>
    <w:p w14:paraId="38F84355">
      <w:pPr>
        <w:ind w:firstLine="0" w:firstLineChars="0"/>
        <w:rPr>
          <w:rFonts w:ascii="仿宋" w:hAnsi="仿宋" w:eastAsia="仿宋" w:cs="Times New Roman"/>
          <w:sz w:val="28"/>
          <w:szCs w:val="28"/>
        </w:rPr>
      </w:pPr>
      <w:r>
        <w:drawing>
          <wp:inline distT="0" distB="0" distL="0" distR="0">
            <wp:extent cx="5274310" cy="28016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2801620"/>
                    </a:xfrm>
                    <a:prstGeom prst="rect">
                      <a:avLst/>
                    </a:prstGeom>
                  </pic:spPr>
                </pic:pic>
              </a:graphicData>
            </a:graphic>
          </wp:inline>
        </w:drawing>
      </w:r>
    </w:p>
    <w:p w14:paraId="6120C142">
      <w:pPr>
        <w:pStyle w:val="43"/>
        <w:numPr>
          <w:ilvl w:val="0"/>
          <w:numId w:val="15"/>
        </w:numPr>
        <w:ind w:firstLineChars="0"/>
      </w:pPr>
      <w:r>
        <w:rPr>
          <w:rFonts w:hint="eastAsia"/>
        </w:rPr>
        <w:t>整体</w:t>
      </w:r>
      <w:r>
        <w:t>资产状况</w:t>
      </w:r>
    </w:p>
    <w:p w14:paraId="33EDC8A1">
      <w:pPr>
        <w:ind w:firstLine="480"/>
      </w:pPr>
      <w:r>
        <w:rPr>
          <w:rFonts w:hint="eastAsia"/>
        </w:rPr>
        <w:t>本功能从不同</w:t>
      </w:r>
      <w:r>
        <w:t>的资产维</w:t>
      </w:r>
      <w:r>
        <w:rPr>
          <w:rFonts w:hint="eastAsia"/>
        </w:rPr>
        <w:t>度</w:t>
      </w:r>
      <w:r>
        <w:t>对资产数据进行综合</w:t>
      </w:r>
      <w:r>
        <w:rPr>
          <w:rFonts w:hint="eastAsia"/>
        </w:rPr>
        <w:t>分析，统计</w:t>
      </w:r>
      <w:r>
        <w:t>的</w:t>
      </w:r>
      <w:r>
        <w:rPr>
          <w:rFonts w:hint="eastAsia"/>
        </w:rPr>
        <w:t>维度</w:t>
      </w:r>
      <w:r>
        <w:t>包括</w:t>
      </w:r>
      <w:r>
        <w:rPr>
          <w:rFonts w:hint="eastAsia"/>
        </w:rPr>
        <w:t>：</w:t>
      </w:r>
    </w:p>
    <w:p w14:paraId="4BFCBFBF">
      <w:pPr>
        <w:pStyle w:val="43"/>
        <w:numPr>
          <w:ilvl w:val="0"/>
          <w:numId w:val="14"/>
        </w:numPr>
        <w:ind w:firstLineChars="0"/>
      </w:pPr>
      <w:r>
        <w:t>资产总数及各资产分类总数统计；</w:t>
      </w:r>
    </w:p>
    <w:p w14:paraId="75E129AE">
      <w:pPr>
        <w:pStyle w:val="43"/>
        <w:numPr>
          <w:ilvl w:val="0"/>
          <w:numId w:val="14"/>
        </w:numPr>
        <w:ind w:firstLineChars="0"/>
      </w:pPr>
      <w:r>
        <w:rPr>
          <w:rFonts w:hint="eastAsia"/>
        </w:rPr>
        <w:t>以</w:t>
      </w:r>
      <w:r>
        <w:t>单位</w:t>
      </w:r>
      <w:r>
        <w:rPr>
          <w:rFonts w:hint="eastAsia"/>
        </w:rPr>
        <w:t>的</w:t>
      </w:r>
      <w:r>
        <w:t>维度，对单位的</w:t>
      </w:r>
      <w:r>
        <w:rPr>
          <w:rFonts w:hint="eastAsia"/>
        </w:rPr>
        <w:t>所</w:t>
      </w:r>
      <w:r>
        <w:t>有资产总数排名统计；</w:t>
      </w:r>
    </w:p>
    <w:p w14:paraId="609A68E2">
      <w:pPr>
        <w:pStyle w:val="43"/>
        <w:numPr>
          <w:ilvl w:val="0"/>
          <w:numId w:val="14"/>
        </w:numPr>
        <w:ind w:firstLineChars="0"/>
      </w:pPr>
      <w:r>
        <w:t>操作系统分布情况：以饼状图方式，按操作系统的类型（如</w:t>
      </w:r>
      <w:r>
        <w:rPr>
          <w:rFonts w:hint="eastAsia"/>
        </w:rPr>
        <w:t>国</w:t>
      </w:r>
      <w:r>
        <w:t>产、国外）对全市所有单位的服务器（含虚拟机）资产进行统计；</w:t>
      </w:r>
    </w:p>
    <w:p w14:paraId="2B0BF369">
      <w:pPr>
        <w:pStyle w:val="43"/>
        <w:numPr>
          <w:ilvl w:val="0"/>
          <w:numId w:val="14"/>
        </w:numPr>
        <w:ind w:firstLineChars="0"/>
      </w:pPr>
      <w:r>
        <w:t>服务器类型分布情况：以饼状图方式，按服务器类型（如应用服务器、数据库服务器等）对全市所有单位的服务器（含虚拟机）资产进行统计；</w:t>
      </w:r>
    </w:p>
    <w:p w14:paraId="71632792">
      <w:pPr>
        <w:pStyle w:val="43"/>
        <w:numPr>
          <w:ilvl w:val="0"/>
          <w:numId w:val="14"/>
        </w:numPr>
        <w:ind w:firstLineChars="0"/>
      </w:pPr>
      <w:r>
        <w:t>终端类型分布情况：以饼状图方式，按终端类型（如台式电脑、笔记本电脑、一体机、打印机等）对全市所有单位的终端资产进行统计；</w:t>
      </w:r>
    </w:p>
    <w:p w14:paraId="27A602B4">
      <w:pPr>
        <w:pStyle w:val="43"/>
        <w:numPr>
          <w:ilvl w:val="0"/>
          <w:numId w:val="14"/>
        </w:numPr>
        <w:ind w:firstLineChars="0"/>
      </w:pPr>
      <w:r>
        <w:t>安全设备类型分布情况：以饼状图方式，按服务器类型（如防火墙、上网行为管理、运维审计、数据库审计等）对全市所有单位的安全设备资产进行统计；</w:t>
      </w:r>
    </w:p>
    <w:p w14:paraId="62E5ABE4">
      <w:pPr>
        <w:pStyle w:val="43"/>
        <w:numPr>
          <w:ilvl w:val="0"/>
          <w:numId w:val="14"/>
        </w:numPr>
        <w:ind w:firstLineChars="0"/>
      </w:pPr>
      <w:r>
        <w:t>网络设备类型分布情况：以饼状图方式，按网络设备类型（如交换机、路由器、网桥、网关等）对全市所有单位的安全设备资产进行统计；</w:t>
      </w:r>
    </w:p>
    <w:p w14:paraId="67943F04">
      <w:pPr>
        <w:pStyle w:val="43"/>
        <w:numPr>
          <w:ilvl w:val="0"/>
          <w:numId w:val="14"/>
        </w:numPr>
        <w:ind w:firstLineChars="0"/>
      </w:pPr>
      <w:r>
        <w:rPr>
          <w:rFonts w:hint="eastAsia"/>
        </w:rPr>
        <w:t>资产变化</w:t>
      </w:r>
      <w:r>
        <w:t>趋势</w:t>
      </w:r>
      <w:r>
        <w:rPr>
          <w:rFonts w:hint="eastAsia"/>
        </w:rPr>
        <w:t>（近1</w:t>
      </w:r>
      <w:r>
        <w:t>2</w:t>
      </w:r>
      <w:r>
        <w:rPr>
          <w:rFonts w:hint="eastAsia"/>
        </w:rPr>
        <w:t>个月）</w:t>
      </w:r>
      <w:r>
        <w:t>：针对全市</w:t>
      </w:r>
      <w:r>
        <w:rPr>
          <w:rFonts w:hint="eastAsia"/>
        </w:rPr>
        <w:t>所</w:t>
      </w:r>
      <w:r>
        <w:t>有的资产</w:t>
      </w:r>
      <w:r>
        <w:rPr>
          <w:rFonts w:hint="eastAsia"/>
        </w:rPr>
        <w:t>近</w:t>
      </w:r>
      <w:r>
        <w:t>12</w:t>
      </w:r>
      <w:r>
        <w:rPr>
          <w:rFonts w:hint="eastAsia"/>
        </w:rPr>
        <w:t>个</w:t>
      </w:r>
      <w:r>
        <w:t>月的变化</w:t>
      </w:r>
      <w:r>
        <w:rPr>
          <w:rFonts w:hint="eastAsia"/>
        </w:rPr>
        <w:t>数量</w:t>
      </w:r>
      <w:r>
        <w:t>趋势</w:t>
      </w:r>
      <w:r>
        <w:rPr>
          <w:rFonts w:hint="eastAsia"/>
        </w:rPr>
        <w:t>变化</w:t>
      </w:r>
      <w:r>
        <w:t>进行</w:t>
      </w:r>
      <w:r>
        <w:rPr>
          <w:rFonts w:hint="eastAsia"/>
        </w:rPr>
        <w:t>统计，</w:t>
      </w:r>
      <w:r>
        <w:t>统计的数据项包括：总数、信息系统</w:t>
      </w:r>
      <w:r>
        <w:rPr>
          <w:rFonts w:hint="eastAsia"/>
        </w:rPr>
        <w:t>、</w:t>
      </w:r>
      <w:r>
        <w:t>实体服务器、</w:t>
      </w:r>
      <w:r>
        <w:rPr>
          <w:rFonts w:hint="eastAsia"/>
        </w:rPr>
        <w:t>虚拟</w:t>
      </w:r>
      <w:r>
        <w:t>服务器</w:t>
      </w:r>
      <w:r>
        <w:rPr>
          <w:rFonts w:hint="eastAsia"/>
        </w:rPr>
        <w:t>；</w:t>
      </w:r>
    </w:p>
    <w:p w14:paraId="73BC5E7D">
      <w:pPr>
        <w:pStyle w:val="43"/>
        <w:numPr>
          <w:ilvl w:val="0"/>
          <w:numId w:val="15"/>
        </w:numPr>
        <w:ind w:firstLineChars="0"/>
      </w:pPr>
      <w:r>
        <w:rPr>
          <w:rFonts w:hint="eastAsia"/>
        </w:rPr>
        <w:t>单位资产</w:t>
      </w:r>
      <w:r>
        <w:t>状况</w:t>
      </w:r>
    </w:p>
    <w:p w14:paraId="72DD91F7">
      <w:pPr>
        <w:ind w:firstLine="480"/>
      </w:pPr>
      <w:r>
        <w:rPr>
          <w:rFonts w:hint="eastAsia"/>
        </w:rPr>
        <w:t>本功能通过以</w:t>
      </w:r>
      <w:r>
        <w:t>单位</w:t>
      </w:r>
      <w:r>
        <w:rPr>
          <w:rFonts w:hint="eastAsia"/>
        </w:rPr>
        <w:t>的维度对各单位的资产进行统计各类资产的数量情况。</w:t>
      </w:r>
    </w:p>
    <w:p w14:paraId="6C7D3ACB">
      <w:pPr>
        <w:pStyle w:val="4"/>
        <w:numPr>
          <w:ilvl w:val="2"/>
          <w:numId w:val="2"/>
        </w:numPr>
      </w:pPr>
      <w:bookmarkStart w:id="134" w:name="_Toc104633490"/>
      <w:bookmarkStart w:id="135" w:name="_Toc130227018"/>
      <w:r>
        <w:rPr>
          <w:rFonts w:hint="eastAsia"/>
        </w:rPr>
        <w:t>资产信息融合</w:t>
      </w:r>
      <w:bookmarkEnd w:id="134"/>
      <w:bookmarkEnd w:id="135"/>
    </w:p>
    <w:p w14:paraId="6DE38B76">
      <w:pPr>
        <w:ind w:firstLine="480"/>
      </w:pPr>
      <w:r>
        <w:rPr>
          <w:rFonts w:hint="eastAsia"/>
        </w:rPr>
        <w:t>平台对接资产自动探测及被动流量识别探测的资产信息，针对应用服务器补全应用采用的框架及组件等属性；发现没有归属到资产库的资产，进行资产的动态更新。</w:t>
      </w:r>
    </w:p>
    <w:p w14:paraId="18AE6ABD">
      <w:pPr>
        <w:ind w:firstLine="480"/>
      </w:pPr>
      <w:r>
        <w:rPr>
          <w:rFonts w:hint="eastAsia"/>
        </w:rPr>
        <w:t>系统将获取的外部关键信息基础设施和资产与系统自身的相关数据进行特征比对，对符合条件的进行数据关联，并针对多个不同的数据来源数据进行信息融合，形成综合的资产结果数据；</w:t>
      </w:r>
    </w:p>
    <w:p w14:paraId="2334ECCA">
      <w:pPr>
        <w:pStyle w:val="4"/>
        <w:numPr>
          <w:ilvl w:val="2"/>
          <w:numId w:val="2"/>
        </w:numPr>
      </w:pPr>
      <w:bookmarkStart w:id="136" w:name="_Toc104633493"/>
      <w:bookmarkStart w:id="137" w:name="_Toc24528739"/>
      <w:bookmarkStart w:id="138" w:name="_Toc25053637"/>
      <w:bookmarkStart w:id="139" w:name="_Toc130227019"/>
      <w:r>
        <w:rPr>
          <w:rFonts w:hint="eastAsia"/>
        </w:rPr>
        <w:t>资产配置</w:t>
      </w:r>
      <w:r>
        <w:t>管理</w:t>
      </w:r>
      <w:bookmarkEnd w:id="136"/>
      <w:bookmarkEnd w:id="137"/>
      <w:bookmarkEnd w:id="138"/>
      <w:bookmarkEnd w:id="139"/>
    </w:p>
    <w:p w14:paraId="22A465D7">
      <w:pPr>
        <w:ind w:firstLine="480"/>
      </w:pPr>
      <w:r>
        <w:t>系统模式提供初始化资产属性配置，同时系统支持针对资产的一级类别、二级类别、三级类别及资产属性的灵活自定义配置及属性关联关系配置，后续可根据《国家网络安全协调指挥平台网络资产信息报送内容和格式规范》（WA0010-2021）进行灵活调整</w:t>
      </w:r>
      <w:r>
        <w:rPr>
          <w:rFonts w:hint="eastAsia"/>
        </w:rPr>
        <w:t>。</w:t>
      </w:r>
    </w:p>
    <w:p w14:paraId="275F71B6">
      <w:pPr>
        <w:ind w:firstLine="480"/>
      </w:pPr>
      <w:r>
        <w:rPr>
          <w:rFonts w:hint="eastAsia"/>
        </w:rPr>
        <w:t>资产</w:t>
      </w:r>
      <w:r>
        <w:t>模板管理功能</w:t>
      </w:r>
      <w:r>
        <w:rPr>
          <w:rFonts w:hint="eastAsia"/>
        </w:rPr>
        <w:t>主</w:t>
      </w:r>
      <w:r>
        <w:t>要</w:t>
      </w:r>
      <w:r>
        <w:rPr>
          <w:rFonts w:hint="eastAsia"/>
        </w:rPr>
        <w:t>提供</w:t>
      </w:r>
      <w:r>
        <w:t>对资产的类</w:t>
      </w:r>
      <w:r>
        <w:rPr>
          <w:rFonts w:hint="eastAsia"/>
        </w:rPr>
        <w:t>别</w:t>
      </w:r>
      <w:r>
        <w:t>和资产的属性管理功能，通过本功能可对资产</w:t>
      </w:r>
      <w:r>
        <w:rPr>
          <w:rFonts w:hint="eastAsia"/>
        </w:rPr>
        <w:t>进行</w:t>
      </w:r>
      <w:r>
        <w:t>不同分类划分，</w:t>
      </w:r>
      <w:r>
        <w:rPr>
          <w:rFonts w:hint="eastAsia"/>
        </w:rPr>
        <w:t>并</w:t>
      </w:r>
      <w:r>
        <w:t>可根据资产</w:t>
      </w:r>
      <w:r>
        <w:rPr>
          <w:rFonts w:hint="eastAsia"/>
        </w:rPr>
        <w:t>类别</w:t>
      </w:r>
      <w:r>
        <w:t>的不同，定制</w:t>
      </w:r>
      <w:r>
        <w:rPr>
          <w:rFonts w:hint="eastAsia"/>
        </w:rPr>
        <w:t>不</w:t>
      </w:r>
      <w:r>
        <w:t>同的资产属性内容</w:t>
      </w:r>
      <w:r>
        <w:rPr>
          <w:rFonts w:hint="eastAsia"/>
        </w:rPr>
        <w:t>。</w:t>
      </w:r>
    </w:p>
    <w:p w14:paraId="1FD8EBFB">
      <w:pPr>
        <w:pStyle w:val="43"/>
        <w:numPr>
          <w:ilvl w:val="0"/>
          <w:numId w:val="14"/>
        </w:numPr>
        <w:ind w:firstLineChars="0"/>
      </w:pPr>
      <w:r>
        <w:t>支持不同多级资产类别的配置</w:t>
      </w:r>
    </w:p>
    <w:p w14:paraId="5EFE6189">
      <w:pPr>
        <w:pStyle w:val="43"/>
        <w:numPr>
          <w:ilvl w:val="0"/>
          <w:numId w:val="14"/>
        </w:numPr>
        <w:ind w:firstLineChars="0"/>
      </w:pPr>
      <w:r>
        <w:t>支持资产默认属性配置</w:t>
      </w:r>
    </w:p>
    <w:p w14:paraId="2F3D5B87">
      <w:pPr>
        <w:pStyle w:val="43"/>
        <w:numPr>
          <w:ilvl w:val="0"/>
          <w:numId w:val="14"/>
        </w:numPr>
        <w:ind w:firstLineChars="0"/>
      </w:pPr>
      <w:r>
        <w:t>支持资产属性格式录入规范配置</w:t>
      </w:r>
    </w:p>
    <w:p w14:paraId="0FA3D520">
      <w:pPr>
        <w:pStyle w:val="43"/>
        <w:numPr>
          <w:ilvl w:val="0"/>
          <w:numId w:val="14"/>
        </w:numPr>
        <w:ind w:firstLineChars="0"/>
      </w:pPr>
      <w:r>
        <w:t>支持资产属性关联规则配置</w:t>
      </w:r>
    </w:p>
    <w:p w14:paraId="08A74C27">
      <w:pPr>
        <w:pStyle w:val="43"/>
        <w:numPr>
          <w:ilvl w:val="0"/>
          <w:numId w:val="14"/>
        </w:numPr>
        <w:ind w:firstLineChars="0"/>
      </w:pPr>
      <w:r>
        <w:t>支持资产模板导入和手动录入方式，可以基于模板（如JSON、CSV、等）批量导入操作</w:t>
      </w:r>
    </w:p>
    <w:p w14:paraId="1FA1CF15">
      <w:pPr>
        <w:pStyle w:val="43"/>
        <w:numPr>
          <w:ilvl w:val="0"/>
          <w:numId w:val="14"/>
        </w:numPr>
        <w:ind w:firstLineChars="0"/>
      </w:pPr>
      <w:r>
        <w:t>支持API接口导出导入功能</w:t>
      </w:r>
    </w:p>
    <w:p w14:paraId="704FF943">
      <w:pPr>
        <w:ind w:firstLine="0" w:firstLineChars="0"/>
        <w:rPr>
          <w:rFonts w:ascii="仿宋" w:hAnsi="仿宋" w:eastAsia="仿宋" w:cs="Times New Roman"/>
          <w:sz w:val="28"/>
          <w:szCs w:val="28"/>
        </w:rPr>
      </w:pPr>
      <w:r>
        <w:drawing>
          <wp:inline distT="0" distB="0" distL="0" distR="0">
            <wp:extent cx="5274310" cy="25742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74310" cy="2574290"/>
                    </a:xfrm>
                    <a:prstGeom prst="rect">
                      <a:avLst/>
                    </a:prstGeom>
                  </pic:spPr>
                </pic:pic>
              </a:graphicData>
            </a:graphic>
          </wp:inline>
        </w:drawing>
      </w:r>
    </w:p>
    <w:p w14:paraId="159D06FC">
      <w:pPr>
        <w:ind w:firstLine="560"/>
        <w:rPr>
          <w:rFonts w:ascii="仿宋" w:hAnsi="仿宋" w:eastAsia="仿宋" w:cs="Times New Roman"/>
          <w:sz w:val="28"/>
          <w:szCs w:val="28"/>
        </w:rPr>
      </w:pPr>
    </w:p>
    <w:p w14:paraId="7744425F">
      <w:pPr>
        <w:ind w:firstLine="0" w:firstLineChars="0"/>
        <w:jc w:val="center"/>
        <w:rPr>
          <w:rFonts w:ascii="仿宋" w:hAnsi="仿宋" w:eastAsia="仿宋" w:cs="Times New Roman"/>
          <w:sz w:val="28"/>
          <w:szCs w:val="28"/>
        </w:rPr>
      </w:pPr>
      <w:r>
        <w:drawing>
          <wp:inline distT="0" distB="0" distL="0" distR="0">
            <wp:extent cx="5274310" cy="25450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74310" cy="2545080"/>
                    </a:xfrm>
                    <a:prstGeom prst="rect">
                      <a:avLst/>
                    </a:prstGeom>
                  </pic:spPr>
                </pic:pic>
              </a:graphicData>
            </a:graphic>
          </wp:inline>
        </w:drawing>
      </w:r>
    </w:p>
    <w:p w14:paraId="39FDB18C">
      <w:pPr>
        <w:ind w:firstLine="480"/>
      </w:pPr>
      <w:r>
        <w:rPr>
          <w:rFonts w:hint="eastAsia"/>
        </w:rPr>
        <w:t>本功能主</w:t>
      </w:r>
      <w:r>
        <w:t>要</w:t>
      </w:r>
      <w:r>
        <w:rPr>
          <w:rFonts w:hint="eastAsia"/>
        </w:rPr>
        <w:t>对</w:t>
      </w:r>
      <w:r>
        <w:t>资产模板进行</w:t>
      </w:r>
      <w:r>
        <w:rPr>
          <w:rFonts w:hint="eastAsia"/>
        </w:rPr>
        <w:t>维护</w:t>
      </w:r>
      <w:r>
        <w:t>管理，主要包括模板的新增、修改、更新、自定义</w:t>
      </w:r>
      <w:r>
        <w:rPr>
          <w:rFonts w:hint="eastAsia"/>
        </w:rPr>
        <w:t>配置</w:t>
      </w:r>
      <w:r>
        <w:t>、删除</w:t>
      </w:r>
      <w:r>
        <w:rPr>
          <w:rFonts w:hint="eastAsia"/>
        </w:rPr>
        <w:t>和</w:t>
      </w:r>
      <w:r>
        <w:t>查询</w:t>
      </w:r>
      <w:r>
        <w:rPr>
          <w:rFonts w:hint="eastAsia"/>
        </w:rPr>
        <w:t>。</w:t>
      </w:r>
    </w:p>
    <w:p w14:paraId="195DE5A7">
      <w:pPr>
        <w:pStyle w:val="3"/>
        <w:numPr>
          <w:ilvl w:val="1"/>
          <w:numId w:val="2"/>
        </w:numPr>
        <w:jc w:val="left"/>
        <w:rPr>
          <w:b w:val="0"/>
          <w:bCs w:val="0"/>
        </w:rPr>
      </w:pPr>
      <w:bookmarkStart w:id="140" w:name="_Toc98942871"/>
      <w:bookmarkStart w:id="141" w:name="_Toc130227020"/>
      <w:bookmarkStart w:id="142" w:name="_Toc104633494"/>
      <w:bookmarkStart w:id="143" w:name="_Toc77254992"/>
      <w:r>
        <w:rPr>
          <w:rFonts w:hint="eastAsia"/>
          <w:b w:val="0"/>
          <w:bCs w:val="0"/>
        </w:rPr>
        <w:t>风险</w:t>
      </w:r>
      <w:r>
        <w:rPr>
          <w:b w:val="0"/>
          <w:bCs w:val="0"/>
        </w:rPr>
        <w:t>预警</w:t>
      </w:r>
      <w:bookmarkEnd w:id="140"/>
      <w:r>
        <w:rPr>
          <w:b w:val="0"/>
          <w:bCs w:val="0"/>
        </w:rPr>
        <w:t>及</w:t>
      </w:r>
      <w:r>
        <w:rPr>
          <w:rFonts w:hint="eastAsia"/>
          <w:b w:val="0"/>
          <w:bCs w:val="0"/>
        </w:rPr>
        <w:t>事件通报</w:t>
      </w:r>
      <w:bookmarkEnd w:id="141"/>
      <w:bookmarkEnd w:id="142"/>
    </w:p>
    <w:p w14:paraId="601A2041">
      <w:pPr>
        <w:ind w:firstLine="480"/>
      </w:pPr>
      <w:r>
        <w:rPr>
          <w:rFonts w:hint="eastAsia"/>
        </w:rPr>
        <w:t>风险预警及事件通报对接HiSec Insight发现的威胁事件及多种威胁情报信息，关联资产信息，定位威胁事件责任人；通过多种方式进行快速预警；对同级党政机关、事业单位、重点企业的网络安全风险预警和网络安全事件通报，系统内置工作流引擎，支撑事件相响应的闭环处理。支撑和用户现有工单系统对接。系统业务流程框架如下：</w:t>
      </w:r>
    </w:p>
    <w:p w14:paraId="0DB98DBA">
      <w:pPr>
        <w:ind w:firstLine="480"/>
      </w:pPr>
      <w:r>
        <w:drawing>
          <wp:inline distT="0" distB="0" distL="0" distR="0">
            <wp:extent cx="5474970" cy="3578860"/>
            <wp:effectExtent l="0" t="0" r="0" b="2540"/>
            <wp:docPr id="3186" name="图片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 name="图片 31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74970" cy="3578860"/>
                    </a:xfrm>
                    <a:prstGeom prst="rect">
                      <a:avLst/>
                    </a:prstGeom>
                    <a:noFill/>
                  </pic:spPr>
                </pic:pic>
              </a:graphicData>
            </a:graphic>
          </wp:inline>
        </w:drawing>
      </w:r>
    </w:p>
    <w:p w14:paraId="00FF40D2">
      <w:pPr>
        <w:pStyle w:val="4"/>
        <w:numPr>
          <w:ilvl w:val="2"/>
          <w:numId w:val="2"/>
        </w:numPr>
        <w:rPr>
          <w:b w:val="0"/>
          <w:bCs w:val="0"/>
        </w:rPr>
      </w:pPr>
      <w:r>
        <w:rPr>
          <w:rFonts w:hint="eastAsia"/>
          <w:b w:val="0"/>
          <w:bCs w:val="0"/>
        </w:rPr>
        <w:t>预警总览</w:t>
      </w:r>
    </w:p>
    <w:p w14:paraId="64EAD8D2">
      <w:pPr>
        <w:ind w:firstLine="480"/>
      </w:pPr>
      <w:r>
        <w:rPr>
          <w:rFonts w:hint="eastAsia"/>
        </w:rPr>
        <w:t>网络安全主管领导全面了解目前网络安全工作开展情况，包含：资产情况、网络安全风险情况、事件处置情况；</w:t>
      </w:r>
    </w:p>
    <w:p w14:paraId="62E3694C">
      <w:pPr>
        <w:ind w:firstLine="480"/>
      </w:pPr>
    </w:p>
    <w:p w14:paraId="522BE3EC">
      <w:pPr>
        <w:ind w:firstLine="480"/>
      </w:pPr>
      <w:r>
        <w:drawing>
          <wp:inline distT="0" distB="0" distL="0" distR="0">
            <wp:extent cx="5274310" cy="3050540"/>
            <wp:effectExtent l="0" t="0" r="2540" b="0"/>
            <wp:docPr id="3187" name="图片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 name="图片 3187"/>
                    <pic:cNvPicPr>
                      <a:picLocks noChangeAspect="1"/>
                    </pic:cNvPicPr>
                  </pic:nvPicPr>
                  <pic:blipFill>
                    <a:blip r:embed="rId27"/>
                    <a:stretch>
                      <a:fillRect/>
                    </a:stretch>
                  </pic:blipFill>
                  <pic:spPr>
                    <a:xfrm>
                      <a:off x="0" y="0"/>
                      <a:ext cx="5274310" cy="3050540"/>
                    </a:xfrm>
                    <a:prstGeom prst="rect">
                      <a:avLst/>
                    </a:prstGeom>
                  </pic:spPr>
                </pic:pic>
              </a:graphicData>
            </a:graphic>
          </wp:inline>
        </w:drawing>
      </w:r>
    </w:p>
    <w:p w14:paraId="7CEEBB3F">
      <w:pPr>
        <w:ind w:firstLine="480"/>
      </w:pPr>
    </w:p>
    <w:p w14:paraId="71D60415">
      <w:pPr>
        <w:pStyle w:val="4"/>
        <w:numPr>
          <w:ilvl w:val="2"/>
          <w:numId w:val="2"/>
        </w:numPr>
        <w:rPr>
          <w:b w:val="0"/>
          <w:bCs w:val="0"/>
        </w:rPr>
      </w:pPr>
      <w:bookmarkStart w:id="144" w:name="_Toc130227021"/>
      <w:bookmarkStart w:id="145" w:name="_Toc104633495"/>
      <w:r>
        <w:rPr>
          <w:rFonts w:hint="eastAsia"/>
          <w:b w:val="0"/>
          <w:bCs w:val="0"/>
        </w:rPr>
        <w:t>预警发布</w:t>
      </w:r>
      <w:bookmarkEnd w:id="144"/>
      <w:bookmarkEnd w:id="145"/>
    </w:p>
    <w:p w14:paraId="2C746182">
      <w:pPr>
        <w:ind w:firstLine="480"/>
      </w:pPr>
      <w:r>
        <w:rPr>
          <w:rFonts w:hint="eastAsia"/>
        </w:rPr>
        <w:t>对接省级平台及HisecInsight平台，结合资产信息定位安全事件处置责任人，发布预警处置信息；</w:t>
      </w:r>
    </w:p>
    <w:p w14:paraId="1ED43D73">
      <w:pPr>
        <w:ind w:firstLine="480"/>
      </w:pPr>
      <w:r>
        <w:drawing>
          <wp:inline distT="0" distB="0" distL="0" distR="0">
            <wp:extent cx="5274310" cy="3088640"/>
            <wp:effectExtent l="0" t="0" r="2540" b="0"/>
            <wp:docPr id="3188" name="图片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 name="图片 3188"/>
                    <pic:cNvPicPr>
                      <a:picLocks noChangeAspect="1"/>
                    </pic:cNvPicPr>
                  </pic:nvPicPr>
                  <pic:blipFill>
                    <a:blip r:embed="rId28"/>
                    <a:stretch>
                      <a:fillRect/>
                    </a:stretch>
                  </pic:blipFill>
                  <pic:spPr>
                    <a:xfrm>
                      <a:off x="0" y="0"/>
                      <a:ext cx="5274310" cy="3088640"/>
                    </a:xfrm>
                    <a:prstGeom prst="rect">
                      <a:avLst/>
                    </a:prstGeom>
                  </pic:spPr>
                </pic:pic>
              </a:graphicData>
            </a:graphic>
          </wp:inline>
        </w:drawing>
      </w:r>
    </w:p>
    <w:p w14:paraId="75293CEE">
      <w:pPr>
        <w:ind w:firstLine="480"/>
      </w:pPr>
      <w:r>
        <w:rPr>
          <w:rFonts w:hint="eastAsia"/>
        </w:rPr>
        <w:t>预警发布模块支持用户根据上级主管部门通报的问题，添加预警信息：</w:t>
      </w:r>
    </w:p>
    <w:p w14:paraId="5BAA4B0D">
      <w:pPr>
        <w:ind w:firstLine="480"/>
      </w:pPr>
      <w:r>
        <w:drawing>
          <wp:inline distT="0" distB="0" distL="0" distR="0">
            <wp:extent cx="5274310" cy="3153410"/>
            <wp:effectExtent l="0" t="0" r="2540" b="8890"/>
            <wp:docPr id="3189" name="图片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 name="图片 3189"/>
                    <pic:cNvPicPr>
                      <a:picLocks noChangeAspect="1"/>
                    </pic:cNvPicPr>
                  </pic:nvPicPr>
                  <pic:blipFill>
                    <a:blip r:embed="rId29"/>
                    <a:stretch>
                      <a:fillRect/>
                    </a:stretch>
                  </pic:blipFill>
                  <pic:spPr>
                    <a:xfrm>
                      <a:off x="0" y="0"/>
                      <a:ext cx="5274310" cy="3153410"/>
                    </a:xfrm>
                    <a:prstGeom prst="rect">
                      <a:avLst/>
                    </a:prstGeom>
                  </pic:spPr>
                </pic:pic>
              </a:graphicData>
            </a:graphic>
          </wp:inline>
        </w:drawing>
      </w:r>
    </w:p>
    <w:p w14:paraId="68306960">
      <w:pPr>
        <w:ind w:firstLine="480"/>
      </w:pPr>
      <w:r>
        <w:rPr>
          <w:rFonts w:hint="eastAsia"/>
        </w:rPr>
        <w:t>具体功能如下：</w:t>
      </w:r>
    </w:p>
    <w:p w14:paraId="7F4F6360">
      <w:pPr>
        <w:pStyle w:val="43"/>
        <w:numPr>
          <w:ilvl w:val="0"/>
          <w:numId w:val="14"/>
        </w:numPr>
        <w:ind w:firstLineChars="0"/>
      </w:pPr>
      <w:r>
        <w:rPr>
          <w:rFonts w:hint="eastAsia"/>
        </w:rPr>
        <w:t>查询：支持根据“预警名称”、“预警级别”进行快速查询，“预警名称”支持模糊查询。</w:t>
      </w:r>
    </w:p>
    <w:p w14:paraId="4CAC9B20">
      <w:pPr>
        <w:pStyle w:val="43"/>
        <w:numPr>
          <w:ilvl w:val="0"/>
          <w:numId w:val="14"/>
        </w:numPr>
        <w:ind w:firstLineChars="0"/>
      </w:pPr>
      <w:r>
        <w:rPr>
          <w:rFonts w:hint="eastAsia"/>
        </w:rPr>
        <w:t>新增：提供安全预警信息新增功能，新增的内容包括：预警名称、预警类型、预警等级、预警来源、预警内容、附件、发布范围等内容</w:t>
      </w:r>
    </w:p>
    <w:p w14:paraId="08246177">
      <w:pPr>
        <w:pStyle w:val="43"/>
        <w:numPr>
          <w:ilvl w:val="0"/>
          <w:numId w:val="14"/>
        </w:numPr>
        <w:ind w:firstLineChars="0"/>
      </w:pPr>
      <w:r>
        <w:rPr>
          <w:rFonts w:hint="eastAsia"/>
        </w:rPr>
        <w:t>查看：查看预警详细信息功能，查看的内容包括：预警名称、预警类型、预警来源、预警等级、预警内容、附件等。</w:t>
      </w:r>
    </w:p>
    <w:p w14:paraId="785814C2">
      <w:pPr>
        <w:pStyle w:val="43"/>
        <w:numPr>
          <w:ilvl w:val="0"/>
          <w:numId w:val="14"/>
        </w:numPr>
        <w:ind w:firstLineChars="0"/>
      </w:pPr>
      <w:r>
        <w:rPr>
          <w:rFonts w:hint="eastAsia"/>
        </w:rPr>
        <w:t>修改：提供预警信息修改功能，与新增的内容一致。</w:t>
      </w:r>
    </w:p>
    <w:p w14:paraId="182F324B">
      <w:pPr>
        <w:pStyle w:val="43"/>
        <w:numPr>
          <w:ilvl w:val="0"/>
          <w:numId w:val="14"/>
        </w:numPr>
        <w:ind w:firstLineChars="0"/>
      </w:pPr>
      <w:r>
        <w:rPr>
          <w:rFonts w:hint="eastAsia"/>
        </w:rPr>
        <w:t>删除：支持对新增的预警进行删除，进行删除操作时，系统会弹出删除确认框，如确认，则删除，否则不删除.</w:t>
      </w:r>
    </w:p>
    <w:p w14:paraId="5EC0D576">
      <w:pPr>
        <w:pStyle w:val="43"/>
        <w:numPr>
          <w:ilvl w:val="0"/>
          <w:numId w:val="14"/>
        </w:numPr>
        <w:ind w:firstLineChars="0"/>
      </w:pPr>
      <w:r>
        <w:rPr>
          <w:rFonts w:hint="eastAsia"/>
        </w:rPr>
        <w:t>发布：提供对预警信息发布给相关受影响单位的功能。</w:t>
      </w:r>
    </w:p>
    <w:p w14:paraId="2DB6ABC7">
      <w:pPr>
        <w:pStyle w:val="4"/>
        <w:numPr>
          <w:ilvl w:val="2"/>
          <w:numId w:val="2"/>
        </w:numPr>
        <w:rPr>
          <w:b w:val="0"/>
          <w:bCs w:val="0"/>
        </w:rPr>
      </w:pPr>
      <w:bookmarkStart w:id="146" w:name="_Toc130227022"/>
      <w:bookmarkStart w:id="147" w:name="_Toc104633496"/>
      <w:r>
        <w:rPr>
          <w:rFonts w:hint="eastAsia"/>
          <w:b w:val="0"/>
          <w:bCs w:val="0"/>
        </w:rPr>
        <w:t>待办预警</w:t>
      </w:r>
      <w:bookmarkEnd w:id="146"/>
      <w:bookmarkEnd w:id="147"/>
    </w:p>
    <w:p w14:paraId="3386A975">
      <w:pPr>
        <w:ind w:firstLine="480"/>
      </w:pPr>
      <w:r>
        <w:rPr>
          <w:rFonts w:hint="eastAsia"/>
        </w:rPr>
        <w:t>本功能主</w:t>
      </w:r>
      <w:r>
        <w:t>要为用户提供</w:t>
      </w:r>
      <w:r>
        <w:rPr>
          <w:rFonts w:hint="eastAsia"/>
        </w:rPr>
        <w:t>个人待办安全预警处置</w:t>
      </w:r>
      <w:r>
        <w:t>功能</w:t>
      </w:r>
      <w:r>
        <w:rPr>
          <w:rFonts w:hint="eastAsia"/>
        </w:rPr>
        <w:t>。</w:t>
      </w:r>
    </w:p>
    <w:p w14:paraId="12638236">
      <w:pPr>
        <w:ind w:firstLine="480"/>
      </w:pPr>
      <w:r>
        <w:drawing>
          <wp:inline distT="0" distB="0" distL="0" distR="0">
            <wp:extent cx="5274310" cy="3161665"/>
            <wp:effectExtent l="0" t="0" r="2540" b="635"/>
            <wp:docPr id="3190" name="图片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 name="图片 3190"/>
                    <pic:cNvPicPr>
                      <a:picLocks noChangeAspect="1"/>
                    </pic:cNvPicPr>
                  </pic:nvPicPr>
                  <pic:blipFill>
                    <a:blip r:embed="rId30"/>
                    <a:stretch>
                      <a:fillRect/>
                    </a:stretch>
                  </pic:blipFill>
                  <pic:spPr>
                    <a:xfrm>
                      <a:off x="0" y="0"/>
                      <a:ext cx="5274310" cy="3161665"/>
                    </a:xfrm>
                    <a:prstGeom prst="rect">
                      <a:avLst/>
                    </a:prstGeom>
                  </pic:spPr>
                </pic:pic>
              </a:graphicData>
            </a:graphic>
          </wp:inline>
        </w:drawing>
      </w:r>
    </w:p>
    <w:p w14:paraId="19A6C131">
      <w:pPr>
        <w:ind w:firstLine="480"/>
      </w:pPr>
      <w:r>
        <w:rPr>
          <w:rFonts w:hint="eastAsia"/>
        </w:rPr>
        <w:t>主要包括以下功能：</w:t>
      </w:r>
    </w:p>
    <w:p w14:paraId="5027667D">
      <w:pPr>
        <w:pStyle w:val="43"/>
        <w:numPr>
          <w:ilvl w:val="0"/>
          <w:numId w:val="14"/>
        </w:numPr>
        <w:ind w:firstLineChars="0"/>
      </w:pPr>
      <w:r>
        <w:rPr>
          <w:rFonts w:hint="eastAsia"/>
        </w:rPr>
        <w:t>查询：支持根据“预警名称”、“预警级别”进行快速查询，“预警名称”支持模糊查询。</w:t>
      </w:r>
    </w:p>
    <w:p w14:paraId="1162B189">
      <w:pPr>
        <w:pStyle w:val="43"/>
        <w:numPr>
          <w:ilvl w:val="0"/>
          <w:numId w:val="14"/>
        </w:numPr>
        <w:ind w:firstLineChars="0"/>
      </w:pPr>
      <w:r>
        <w:rPr>
          <w:rFonts w:hint="eastAsia"/>
        </w:rPr>
        <w:t>处理：预警处置完成后，将处置的结果进行填报，填报的内容包括处理意见、附件等息。</w:t>
      </w:r>
    </w:p>
    <w:p w14:paraId="7368F25A">
      <w:pPr>
        <w:pStyle w:val="4"/>
        <w:numPr>
          <w:ilvl w:val="2"/>
          <w:numId w:val="2"/>
        </w:numPr>
        <w:rPr>
          <w:b w:val="0"/>
          <w:bCs w:val="0"/>
        </w:rPr>
      </w:pPr>
      <w:bookmarkStart w:id="148" w:name="_Toc130227023"/>
      <w:bookmarkStart w:id="149" w:name="_Toc104633497"/>
      <w:r>
        <w:rPr>
          <w:rFonts w:hint="eastAsia"/>
          <w:b w:val="0"/>
          <w:bCs w:val="0"/>
        </w:rPr>
        <w:t>已办预警</w:t>
      </w:r>
      <w:bookmarkEnd w:id="148"/>
      <w:bookmarkEnd w:id="149"/>
    </w:p>
    <w:p w14:paraId="64DE6FB9">
      <w:pPr>
        <w:ind w:firstLine="480"/>
      </w:pPr>
      <w:r>
        <w:rPr>
          <w:rFonts w:hint="eastAsia"/>
        </w:rPr>
        <w:t>本功能主</w:t>
      </w:r>
      <w:r>
        <w:t>要为相关权限用户提供</w:t>
      </w:r>
      <w:r>
        <w:rPr>
          <w:rFonts w:hint="eastAsia"/>
        </w:rPr>
        <w:t>对已办的安全预警处理</w:t>
      </w:r>
      <w:r>
        <w:t>结果</w:t>
      </w:r>
      <w:r>
        <w:rPr>
          <w:rFonts w:hint="eastAsia"/>
        </w:rPr>
        <w:t>查看管理</w:t>
      </w:r>
      <w:r>
        <w:t>功能</w:t>
      </w:r>
      <w:r>
        <w:rPr>
          <w:rFonts w:hint="eastAsia"/>
        </w:rPr>
        <w:t>。</w:t>
      </w:r>
    </w:p>
    <w:p w14:paraId="17F11F41">
      <w:pPr>
        <w:ind w:firstLine="480"/>
      </w:pPr>
      <w:r>
        <w:drawing>
          <wp:inline distT="0" distB="0" distL="0" distR="0">
            <wp:extent cx="5274310" cy="2854960"/>
            <wp:effectExtent l="0" t="0" r="2540" b="2540"/>
            <wp:docPr id="3192" name="图片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 name="图片 3192"/>
                    <pic:cNvPicPr>
                      <a:picLocks noChangeAspect="1"/>
                    </pic:cNvPicPr>
                  </pic:nvPicPr>
                  <pic:blipFill>
                    <a:blip r:embed="rId31"/>
                    <a:stretch>
                      <a:fillRect/>
                    </a:stretch>
                  </pic:blipFill>
                  <pic:spPr>
                    <a:xfrm>
                      <a:off x="0" y="0"/>
                      <a:ext cx="5274310" cy="2854960"/>
                    </a:xfrm>
                    <a:prstGeom prst="rect">
                      <a:avLst/>
                    </a:prstGeom>
                  </pic:spPr>
                </pic:pic>
              </a:graphicData>
            </a:graphic>
          </wp:inline>
        </w:drawing>
      </w:r>
    </w:p>
    <w:p w14:paraId="0178AC49">
      <w:pPr>
        <w:ind w:firstLine="480"/>
      </w:pPr>
      <w:r>
        <w:rPr>
          <w:rFonts w:hint="eastAsia"/>
        </w:rPr>
        <w:t>主要包括以下功能：</w:t>
      </w:r>
    </w:p>
    <w:p w14:paraId="7A8EC1D8">
      <w:pPr>
        <w:pStyle w:val="43"/>
        <w:numPr>
          <w:ilvl w:val="0"/>
          <w:numId w:val="14"/>
        </w:numPr>
        <w:ind w:firstLineChars="0"/>
      </w:pPr>
      <w:r>
        <w:rPr>
          <w:rFonts w:hint="eastAsia"/>
        </w:rPr>
        <w:t>查询：支持根据“预警名称”、“预警级别”进行快速查询，“预警名称”支持模糊查询。</w:t>
      </w:r>
    </w:p>
    <w:p w14:paraId="13DE9122">
      <w:pPr>
        <w:pStyle w:val="43"/>
        <w:numPr>
          <w:ilvl w:val="0"/>
          <w:numId w:val="14"/>
        </w:numPr>
        <w:ind w:firstLineChars="0"/>
      </w:pPr>
      <w:r>
        <w:rPr>
          <w:rFonts w:hint="eastAsia"/>
        </w:rPr>
        <w:t>查看：支持对安全预警详细信息进行查看功能。</w:t>
      </w:r>
    </w:p>
    <w:p w14:paraId="11DF2A5B">
      <w:pPr>
        <w:pStyle w:val="4"/>
        <w:numPr>
          <w:ilvl w:val="2"/>
          <w:numId w:val="2"/>
        </w:numPr>
        <w:rPr>
          <w:b w:val="0"/>
          <w:bCs w:val="0"/>
        </w:rPr>
      </w:pPr>
      <w:bookmarkStart w:id="150" w:name="_Toc130227024"/>
      <w:bookmarkStart w:id="151" w:name="_Toc104633498"/>
      <w:r>
        <w:rPr>
          <w:rFonts w:hint="eastAsia"/>
          <w:b w:val="0"/>
          <w:bCs w:val="0"/>
        </w:rPr>
        <w:t>所有预警</w:t>
      </w:r>
      <w:bookmarkEnd w:id="150"/>
      <w:bookmarkEnd w:id="151"/>
    </w:p>
    <w:p w14:paraId="31D29663">
      <w:pPr>
        <w:ind w:firstLine="480"/>
      </w:pPr>
      <w:r>
        <w:rPr>
          <w:rFonts w:hint="eastAsia"/>
        </w:rPr>
        <w:t>提供综合预警信息查询工作，可根据单位、事件级别、处置状态等信息进行预警信息检索功能；</w:t>
      </w:r>
    </w:p>
    <w:p w14:paraId="34D2626C">
      <w:pPr>
        <w:ind w:firstLine="480"/>
      </w:pPr>
      <w:r>
        <w:drawing>
          <wp:inline distT="0" distB="0" distL="0" distR="0">
            <wp:extent cx="5274310" cy="3171825"/>
            <wp:effectExtent l="0" t="0" r="2540" b="9525"/>
            <wp:docPr id="3193" name="图片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 name="图片 3193"/>
                    <pic:cNvPicPr>
                      <a:picLocks noChangeAspect="1"/>
                    </pic:cNvPicPr>
                  </pic:nvPicPr>
                  <pic:blipFill>
                    <a:blip r:embed="rId32"/>
                    <a:stretch>
                      <a:fillRect/>
                    </a:stretch>
                  </pic:blipFill>
                  <pic:spPr>
                    <a:xfrm>
                      <a:off x="0" y="0"/>
                      <a:ext cx="5274310" cy="3171825"/>
                    </a:xfrm>
                    <a:prstGeom prst="rect">
                      <a:avLst/>
                    </a:prstGeom>
                  </pic:spPr>
                </pic:pic>
              </a:graphicData>
            </a:graphic>
          </wp:inline>
        </w:drawing>
      </w:r>
    </w:p>
    <w:p w14:paraId="2F3E606D">
      <w:pPr>
        <w:ind w:firstLine="480"/>
      </w:pPr>
      <w:r>
        <w:rPr>
          <w:rFonts w:hint="eastAsia"/>
        </w:rPr>
        <w:t>主要包括以下功能：</w:t>
      </w:r>
    </w:p>
    <w:p w14:paraId="755E30C0">
      <w:pPr>
        <w:pStyle w:val="43"/>
        <w:numPr>
          <w:ilvl w:val="0"/>
          <w:numId w:val="14"/>
        </w:numPr>
        <w:ind w:firstLineChars="0"/>
      </w:pPr>
      <w:r>
        <w:rPr>
          <w:rFonts w:hint="eastAsia"/>
        </w:rPr>
        <w:t>查询：支持根据“预警名称”、“预警级别”进行快速查询，“预警名称”支持模糊查询。</w:t>
      </w:r>
    </w:p>
    <w:p w14:paraId="0C4E49E7">
      <w:pPr>
        <w:pStyle w:val="43"/>
        <w:numPr>
          <w:ilvl w:val="0"/>
          <w:numId w:val="14"/>
        </w:numPr>
        <w:ind w:firstLineChars="0"/>
      </w:pPr>
      <w:r>
        <w:rPr>
          <w:rFonts w:hint="eastAsia"/>
        </w:rPr>
        <w:t>处理/查看：根据预警的状态，如果是待办预警，提供预警处理功能；如果是已办预警提供预警详细信息进行查看功能。</w:t>
      </w:r>
    </w:p>
    <w:p w14:paraId="08A1DDEC">
      <w:pPr>
        <w:pStyle w:val="4"/>
        <w:numPr>
          <w:ilvl w:val="2"/>
          <w:numId w:val="2"/>
        </w:numPr>
        <w:rPr>
          <w:b w:val="0"/>
          <w:bCs w:val="0"/>
        </w:rPr>
      </w:pPr>
      <w:bookmarkStart w:id="152" w:name="_Toc130227025"/>
      <w:bookmarkStart w:id="153" w:name="_Toc104633499"/>
      <w:r>
        <w:rPr>
          <w:rFonts w:hint="eastAsia"/>
          <w:b w:val="0"/>
          <w:bCs w:val="0"/>
        </w:rPr>
        <w:t>预警配置</w:t>
      </w:r>
      <w:bookmarkEnd w:id="152"/>
      <w:bookmarkEnd w:id="153"/>
    </w:p>
    <w:p w14:paraId="13FD025D">
      <w:pPr>
        <w:ind w:firstLine="480"/>
      </w:pPr>
      <w:r>
        <w:rPr>
          <w:rFonts w:hint="eastAsia"/>
        </w:rPr>
        <w:t>本功能主</w:t>
      </w:r>
      <w:r>
        <w:t>要为相关权限用户提供</w:t>
      </w:r>
      <w:r>
        <w:rPr>
          <w:rFonts w:hint="eastAsia"/>
        </w:rPr>
        <w:t>对安全预警基础配置管理</w:t>
      </w:r>
      <w:r>
        <w:t>功能</w:t>
      </w:r>
      <w:r>
        <w:rPr>
          <w:rFonts w:hint="eastAsia"/>
        </w:rPr>
        <w:t>。主要包括以下功能：</w:t>
      </w:r>
    </w:p>
    <w:p w14:paraId="0646B155">
      <w:pPr>
        <w:pStyle w:val="43"/>
        <w:numPr>
          <w:ilvl w:val="0"/>
          <w:numId w:val="14"/>
        </w:numPr>
        <w:ind w:firstLineChars="0"/>
      </w:pPr>
      <w:r>
        <w:rPr>
          <w:rFonts w:hint="eastAsia"/>
        </w:rPr>
        <w:t>同步规则库：提供对华为</w:t>
      </w:r>
      <w:r>
        <w:t xml:space="preserve">HiSec Insight </w:t>
      </w:r>
      <w:r>
        <w:rPr>
          <w:rFonts w:hint="eastAsia"/>
        </w:rPr>
        <w:t>同步的威胁事件数据规则配置管理。</w:t>
      </w:r>
    </w:p>
    <w:p w14:paraId="6AAB9BCB">
      <w:pPr>
        <w:pStyle w:val="43"/>
        <w:numPr>
          <w:ilvl w:val="0"/>
          <w:numId w:val="14"/>
        </w:numPr>
        <w:ind w:firstLineChars="0"/>
      </w:pPr>
      <w:r>
        <w:rPr>
          <w:rFonts w:hint="eastAsia"/>
        </w:rPr>
        <w:t>处置建议库：支持系统建立处置建议信息，提供对华为</w:t>
      </w:r>
      <w:r>
        <w:t xml:space="preserve">HiSec Insight </w:t>
      </w:r>
      <w:r>
        <w:rPr>
          <w:rFonts w:hint="eastAsia"/>
        </w:rPr>
        <w:t>同步后的威胁事件进行与处置建议关联。</w:t>
      </w:r>
    </w:p>
    <w:p w14:paraId="21A09D36">
      <w:pPr>
        <w:pStyle w:val="43"/>
        <w:numPr>
          <w:ilvl w:val="0"/>
          <w:numId w:val="14"/>
        </w:numPr>
        <w:ind w:firstLineChars="0"/>
      </w:pPr>
      <w:r>
        <w:rPr>
          <w:rFonts w:hint="eastAsia"/>
        </w:rPr>
        <w:t>发布规则库：提供对安全预警数据自动发布规则管理。</w:t>
      </w:r>
    </w:p>
    <w:p w14:paraId="0DE662F2">
      <w:pPr>
        <w:pStyle w:val="43"/>
        <w:numPr>
          <w:ilvl w:val="0"/>
          <w:numId w:val="14"/>
        </w:numPr>
        <w:ind w:firstLineChars="0"/>
      </w:pPr>
      <w:r>
        <w:rPr>
          <w:rFonts w:hint="eastAsia"/>
        </w:rPr>
        <w:t>预警响应配置：提供对不同预警等级的响应处置时间要求配置。</w:t>
      </w:r>
    </w:p>
    <w:p w14:paraId="3EBC33E7">
      <w:pPr>
        <w:pStyle w:val="4"/>
        <w:numPr>
          <w:ilvl w:val="2"/>
          <w:numId w:val="2"/>
        </w:numPr>
        <w:rPr>
          <w:b w:val="0"/>
          <w:bCs w:val="0"/>
        </w:rPr>
      </w:pPr>
      <w:bookmarkStart w:id="154" w:name="_Toc104633500"/>
      <w:bookmarkStart w:id="155" w:name="_Toc130227026"/>
      <w:r>
        <w:rPr>
          <w:rFonts w:hint="eastAsia"/>
          <w:b w:val="0"/>
          <w:bCs w:val="0"/>
        </w:rPr>
        <w:t>功能示意</w:t>
      </w:r>
      <w:r>
        <w:rPr>
          <w:b w:val="0"/>
          <w:bCs w:val="0"/>
        </w:rPr>
        <w:t>图</w:t>
      </w:r>
      <w:bookmarkEnd w:id="154"/>
      <w:bookmarkEnd w:id="155"/>
    </w:p>
    <w:p w14:paraId="0FD3B45F">
      <w:pPr>
        <w:ind w:firstLine="480"/>
      </w:pPr>
      <w:r>
        <w:rPr>
          <w:rFonts w:hint="eastAsia"/>
        </w:rPr>
        <w:t>以下截图为功能示意图，图示</w:t>
      </w:r>
      <w:r>
        <w:t>如下：</w:t>
      </w:r>
    </w:p>
    <w:p w14:paraId="171AE566">
      <w:pPr>
        <w:ind w:firstLine="0" w:firstLineChars="0"/>
        <w:rPr>
          <w:rFonts w:asciiTheme="minorEastAsia" w:hAnsiTheme="minorEastAsia"/>
          <w:color w:val="000000" w:themeColor="text1"/>
          <w14:textFill>
            <w14:solidFill>
              <w14:schemeClr w14:val="tx1"/>
            </w14:solidFill>
          </w14:textFill>
        </w:rPr>
      </w:pPr>
      <w:r>
        <w:drawing>
          <wp:inline distT="0" distB="0" distL="0" distR="0">
            <wp:extent cx="5274310" cy="24872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74310" cy="2487295"/>
                    </a:xfrm>
                    <a:prstGeom prst="rect">
                      <a:avLst/>
                    </a:prstGeom>
                  </pic:spPr>
                </pic:pic>
              </a:graphicData>
            </a:graphic>
          </wp:inline>
        </w:drawing>
      </w:r>
    </w:p>
    <w:p w14:paraId="05F0C10E">
      <w:pPr>
        <w:ind w:firstLine="480"/>
        <w:jc w:val="center"/>
      </w:pPr>
      <w:r>
        <w:rPr>
          <w:rFonts w:hint="eastAsia"/>
        </w:rPr>
        <w:t>安全预警发布</w:t>
      </w:r>
    </w:p>
    <w:p w14:paraId="2D786B9F">
      <w:pPr>
        <w:ind w:firstLine="480"/>
      </w:pPr>
    </w:p>
    <w:p w14:paraId="11BFEEBF">
      <w:pPr>
        <w:ind w:firstLine="0" w:firstLineChars="0"/>
      </w:pPr>
      <w:r>
        <w:drawing>
          <wp:inline distT="0" distB="0" distL="0" distR="0">
            <wp:extent cx="5274310" cy="244157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2441575"/>
                    </a:xfrm>
                    <a:prstGeom prst="rect">
                      <a:avLst/>
                    </a:prstGeom>
                  </pic:spPr>
                </pic:pic>
              </a:graphicData>
            </a:graphic>
          </wp:inline>
        </w:drawing>
      </w:r>
    </w:p>
    <w:p w14:paraId="52009A12">
      <w:pPr>
        <w:ind w:firstLine="480"/>
        <w:jc w:val="center"/>
      </w:pPr>
      <w:r>
        <w:rPr>
          <w:rFonts w:hint="eastAsia"/>
        </w:rPr>
        <w:t>预警配置</w:t>
      </w:r>
    </w:p>
    <w:p w14:paraId="07B94086">
      <w:pPr>
        <w:pStyle w:val="3"/>
        <w:numPr>
          <w:ilvl w:val="1"/>
          <w:numId w:val="2"/>
        </w:numPr>
        <w:jc w:val="left"/>
        <w:rPr>
          <w:b w:val="0"/>
          <w:bCs w:val="0"/>
        </w:rPr>
      </w:pPr>
      <w:bookmarkStart w:id="156" w:name="_Toc104633501"/>
      <w:bookmarkStart w:id="157" w:name="_Toc130227027"/>
      <w:r>
        <w:rPr>
          <w:b w:val="0"/>
          <w:bCs w:val="0"/>
        </w:rPr>
        <w:t>网络安全事件协同处置</w:t>
      </w:r>
      <w:bookmarkEnd w:id="156"/>
      <w:bookmarkEnd w:id="157"/>
    </w:p>
    <w:p w14:paraId="4EF50313">
      <w:pPr>
        <w:ind w:firstLine="480"/>
      </w:pPr>
      <w:r>
        <w:rPr>
          <w:rFonts w:hint="eastAsia"/>
        </w:rPr>
        <w:t>各级网络安全协调指挥平台实现与同级党政机关、事业单位、相关重点企业协同处置网络安全事件的能力。通过网络安全协调指挥平台向相关单位发送协同处置指令，要求其开展攻击溯源、取证分析、网络服务关停等处置工作，并反馈处置结果。”</w:t>
      </w:r>
    </w:p>
    <w:p w14:paraId="49AE9590">
      <w:pPr>
        <w:ind w:firstLine="480"/>
      </w:pPr>
      <w:r>
        <w:rPr>
          <w:rFonts w:hint="eastAsia"/>
        </w:rPr>
        <w:t>根据全国网信系统网络安全协调指挥平台建设有关要求，依据《网络安全法》《数据安全法》和《关键信息基础设施安全保护条例》等法律法规中，有关网络安全的监测预警、事件处置和信息共享，实现网信部门统筹协调网络安全信息的收集、分析和通报，统一发布网络安全监测预警信息，协同处置网络安全事件、多级联动纵向指挥的机制，协调省级网络安全职能部门建立健全网络安全事件处置工作机制。</w:t>
      </w:r>
    </w:p>
    <w:p w14:paraId="73845BC4">
      <w:pPr>
        <w:pStyle w:val="4"/>
        <w:numPr>
          <w:ilvl w:val="2"/>
          <w:numId w:val="2"/>
        </w:numPr>
        <w:rPr>
          <w:b w:val="0"/>
          <w:bCs w:val="0"/>
        </w:rPr>
      </w:pPr>
      <w:bookmarkStart w:id="158" w:name="_Toc130227028"/>
      <w:bookmarkStart w:id="159" w:name="_Toc104633502"/>
      <w:r>
        <w:rPr>
          <w:rFonts w:hint="eastAsia"/>
          <w:b w:val="0"/>
          <w:bCs w:val="0"/>
        </w:rPr>
        <w:t>事件通报</w:t>
      </w:r>
      <w:bookmarkEnd w:id="158"/>
      <w:bookmarkEnd w:id="159"/>
    </w:p>
    <w:p w14:paraId="71690228">
      <w:pPr>
        <w:overflowPunct w:val="0"/>
        <w:ind w:firstLine="480"/>
        <w:rPr>
          <w:rFonts w:ascii="宋体" w:hAnsi="宋体" w:cs="宋体"/>
        </w:rPr>
      </w:pPr>
      <w:r>
        <w:rPr>
          <w:rFonts w:hint="eastAsia" w:ascii="宋体" w:hAnsi="宋体" w:cs="宋体"/>
        </w:rPr>
        <w:t>经专门技术机构研判通过，以及网络安全主管领导或有关处室负责人审批通过，向省级有关部门和属地网信办发出事件通报，提出整改处置工作建议。对于比较紧急的事件，可在通报行业主管部门和属地网信办的同时，可通报承担网络主体防护责任的运营单位。</w:t>
      </w:r>
    </w:p>
    <w:p w14:paraId="68E263AB">
      <w:pPr>
        <w:pStyle w:val="4"/>
        <w:numPr>
          <w:ilvl w:val="2"/>
          <w:numId w:val="2"/>
        </w:numPr>
        <w:rPr>
          <w:b w:val="0"/>
          <w:bCs w:val="0"/>
        </w:rPr>
      </w:pPr>
      <w:bookmarkStart w:id="160" w:name="_Toc130227029"/>
      <w:bookmarkStart w:id="161" w:name="_Toc104633505"/>
      <w:bookmarkStart w:id="162" w:name="_Toc104633503"/>
      <w:r>
        <w:rPr>
          <w:rFonts w:hint="eastAsia"/>
          <w:b w:val="0"/>
          <w:bCs w:val="0"/>
        </w:rPr>
        <w:t>信息上报</w:t>
      </w:r>
      <w:bookmarkEnd w:id="160"/>
      <w:bookmarkEnd w:id="161"/>
    </w:p>
    <w:p w14:paraId="3E65AC66">
      <w:pPr>
        <w:overflowPunct w:val="0"/>
        <w:ind w:firstLine="480"/>
        <w:rPr>
          <w:rFonts w:ascii="宋体" w:hAnsi="宋体" w:cs="宋体"/>
        </w:rPr>
      </w:pPr>
      <w:r>
        <w:rPr>
          <w:rFonts w:hint="eastAsia" w:ascii="宋体" w:hAnsi="宋体" w:cs="宋体"/>
        </w:rPr>
        <w:t>提供使用网络安全协调指挥平台，上报涉及本地区、本部门、本系统、本行业相关网络安全漏洞隐患、攻击威胁、风险事件以及网络安全工作资讯动态的信息，并支持隐藏用户名匿名上报。上报的信息经预审核后，推送至人工研判以及后续环节。</w:t>
      </w:r>
    </w:p>
    <w:p w14:paraId="38CBB684">
      <w:pPr>
        <w:overflowPunct w:val="0"/>
        <w:ind w:firstLine="480"/>
        <w:rPr>
          <w:rFonts w:ascii="宋体" w:hAnsi="宋体" w:cs="宋体"/>
        </w:rPr>
      </w:pPr>
      <w:r>
        <w:rPr>
          <w:rFonts w:hint="eastAsia" w:ascii="宋体" w:hAnsi="宋体" w:cs="宋体"/>
        </w:rPr>
        <w:t>统计各地各部门报送信息数量、报送信息趋势、报送信息统计、总体处置情况统计、报送信息数量排名、行业领域和州（市）响应、处置和反馈的时效排名等。</w:t>
      </w:r>
    </w:p>
    <w:p w14:paraId="3D32F7DC">
      <w:pPr>
        <w:overflowPunct w:val="0"/>
        <w:ind w:firstLine="480"/>
        <w:rPr>
          <w:rFonts w:ascii="宋体" w:hAnsi="宋体" w:cs="宋体"/>
        </w:rPr>
      </w:pPr>
      <w:r>
        <w:rPr>
          <w:rFonts w:hint="eastAsia" w:ascii="宋体" w:hAnsi="宋体" w:cs="宋体"/>
        </w:rPr>
        <w:t>信息模板配置：创建上报信息的填报模板、修改上报信息的填报模板、删除上报信息的填报模板、调整用户上报信息模板的显示顺序、创建上报信息模板的字段、修改上报信息模板的字段、删除上报信息模板的字段、调整用户上报信息模板的字段显示顺序、配置信息模板的角色权限。</w:t>
      </w:r>
    </w:p>
    <w:p w14:paraId="34749C2B">
      <w:pPr>
        <w:overflowPunct w:val="0"/>
        <w:ind w:firstLine="480"/>
        <w:rPr>
          <w:rFonts w:ascii="宋体" w:hAnsi="宋体" w:cs="宋体"/>
        </w:rPr>
      </w:pPr>
      <w:r>
        <w:rPr>
          <w:rFonts w:hint="eastAsia" w:ascii="宋体" w:hAnsi="宋体" w:cs="宋体"/>
        </w:rPr>
        <w:t>信息编辑及上报：按信息模板编辑上报信息、将已编辑的信息存入草稿、将已编辑的信息上报、将上报信息通过EXCEL表格批量导入。</w:t>
      </w:r>
    </w:p>
    <w:p w14:paraId="2589A046">
      <w:pPr>
        <w:overflowPunct w:val="0"/>
        <w:ind w:firstLine="480"/>
        <w:rPr>
          <w:rFonts w:ascii="宋体" w:hAnsi="宋体" w:cs="宋体"/>
        </w:rPr>
      </w:pPr>
      <w:r>
        <w:rPr>
          <w:rFonts w:hint="eastAsia" w:ascii="宋体" w:hAnsi="宋体" w:cs="宋体"/>
        </w:rPr>
        <w:t>信息处理：将上报信息退回、上报信息不采用、研判上报信息、将上报信息转为事件通报、将上报信息转为风险预警、将上报信息转为安全资讯。</w:t>
      </w:r>
    </w:p>
    <w:p w14:paraId="3621753B">
      <w:pPr>
        <w:pStyle w:val="4"/>
        <w:numPr>
          <w:ilvl w:val="2"/>
          <w:numId w:val="2"/>
        </w:numPr>
        <w:rPr>
          <w:b w:val="0"/>
          <w:bCs w:val="0"/>
        </w:rPr>
      </w:pPr>
      <w:bookmarkStart w:id="163" w:name="_Toc130227030"/>
      <w:r>
        <w:rPr>
          <w:rFonts w:hint="eastAsia"/>
          <w:b w:val="0"/>
          <w:bCs w:val="0"/>
        </w:rPr>
        <w:t>事件处置反馈</w:t>
      </w:r>
      <w:bookmarkEnd w:id="162"/>
      <w:bookmarkEnd w:id="163"/>
    </w:p>
    <w:p w14:paraId="1990113A">
      <w:pPr>
        <w:overflowPunct w:val="0"/>
        <w:ind w:firstLine="480"/>
        <w:rPr>
          <w:rFonts w:ascii="宋体" w:hAnsi="宋体" w:cs="宋体"/>
        </w:rPr>
      </w:pPr>
      <w:r>
        <w:rPr>
          <w:rFonts w:hint="eastAsia" w:ascii="宋体" w:hAnsi="宋体" w:cs="宋体"/>
        </w:rPr>
        <w:t>实现功能包括：事件处置反馈，输入并修改处置反馈，审核反馈内容，要求通报接收单位继续处置并反馈，要求通报接收单位终止反馈，审核通过通报接收单位的反馈。</w:t>
      </w:r>
    </w:p>
    <w:bookmarkEnd w:id="143"/>
    <w:p w14:paraId="40F0C59F">
      <w:pPr>
        <w:pStyle w:val="3"/>
        <w:numPr>
          <w:ilvl w:val="1"/>
          <w:numId w:val="2"/>
        </w:numPr>
        <w:jc w:val="left"/>
        <w:rPr>
          <w:rFonts w:ascii="宋体" w:hAnsi="宋体" w:eastAsia="宋体"/>
          <w:sz w:val="30"/>
          <w:szCs w:val="30"/>
        </w:rPr>
      </w:pPr>
      <w:bookmarkStart w:id="164" w:name="_Toc104633506"/>
      <w:bookmarkStart w:id="165" w:name="_Toc130227031"/>
      <w:bookmarkStart w:id="166" w:name="_Toc12967072"/>
      <w:bookmarkStart w:id="167" w:name="_Toc12967140"/>
      <w:bookmarkStart w:id="168" w:name="_Toc77254993"/>
      <w:bookmarkStart w:id="169" w:name="_Toc35504569"/>
      <w:r>
        <w:rPr>
          <w:rFonts w:ascii="宋体" w:hAnsi="宋体" w:eastAsia="宋体"/>
          <w:sz w:val="30"/>
          <w:szCs w:val="30"/>
        </w:rPr>
        <w:t>网络安全协调指挥</w:t>
      </w:r>
      <w:bookmarkEnd w:id="164"/>
      <w:bookmarkEnd w:id="165"/>
    </w:p>
    <w:p w14:paraId="76003A48">
      <w:pPr>
        <w:overflowPunct w:val="0"/>
        <w:ind w:firstLine="480"/>
        <w:rPr>
          <w:rFonts w:ascii="宋体" w:hAnsi="宋体" w:cs="宋体"/>
        </w:rPr>
      </w:pPr>
      <w:r>
        <w:rPr>
          <w:rFonts w:hint="eastAsia" w:ascii="宋体" w:hAnsi="宋体" w:cs="宋体"/>
        </w:rPr>
        <w:t>针对市、区网信部门，是属于呈上启下的部门，对上级部门要接收上级网信部门提出的工作要求，并把本部门所辖范围的安全状况上报给上级网信部门；同时，要根据国家级上级网信部门的要求，落实所辖范围的网络安全统筹协同工作。基于以上的业务需求，网络安全协同指挥模块，主要包含两个部分的内容：</w:t>
      </w:r>
    </w:p>
    <w:p w14:paraId="0A87D275">
      <w:pPr>
        <w:overflowPunct w:val="0"/>
        <w:ind w:firstLine="480"/>
        <w:rPr>
          <w:rFonts w:ascii="宋体" w:hAnsi="宋体" w:cs="宋体"/>
        </w:rPr>
      </w:pPr>
      <w:r>
        <w:rPr>
          <w:rFonts w:hint="eastAsia" w:ascii="宋体" w:hAnsi="宋体" w:cs="宋体"/>
        </w:rPr>
        <w:t>支持与上级网络安全协调指挥平台联动，实现网络安全纵向指挥。省、市级网络安全协调指挥平台接收上级平台关于网络安全风险预警、事件通报和事件处置的指挥指令，协调属地相关部门和机构的力量共同处理，通过本级平台跟踪事态发展变化情况、本地区受波及影响情况和处置进展情况，并及时通过系统接口报送至上级平台。</w:t>
      </w:r>
    </w:p>
    <w:p w14:paraId="1666988C">
      <w:pPr>
        <w:overflowPunct w:val="0"/>
        <w:ind w:firstLine="480"/>
        <w:rPr>
          <w:rFonts w:ascii="宋体" w:hAnsi="宋体" w:cs="宋体"/>
        </w:rPr>
      </w:pPr>
      <w:r>
        <w:rPr>
          <w:rFonts w:hint="eastAsia" w:ascii="宋体" w:hAnsi="宋体" w:cs="宋体"/>
        </w:rPr>
        <w:t>支持网信部门有序开展网络安全统筹协同工作，通过实现党政机关单位网络安全管理数字化的方式，实现数据支撑统筹工作落实，支撑网信部门的统筹协同工作闭环，具体思路如下：</w:t>
      </w:r>
    </w:p>
    <w:p w14:paraId="7C3B63C6">
      <w:pPr>
        <w:overflowPunct w:val="0"/>
        <w:ind w:firstLine="480"/>
        <w:rPr>
          <w:rFonts w:ascii="宋体" w:hAnsi="宋体" w:cs="宋体"/>
        </w:rPr>
      </w:pPr>
      <w:r>
        <w:rPr>
          <w:rFonts w:ascii="宋体" w:hAnsi="宋体" w:cs="宋体"/>
        </w:rPr>
        <w:drawing>
          <wp:inline distT="0" distB="0" distL="0" distR="0">
            <wp:extent cx="4947285" cy="2502535"/>
            <wp:effectExtent l="0" t="0" r="5715" b="0"/>
            <wp:docPr id="3142" name="图片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31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985544" cy="2521701"/>
                    </a:xfrm>
                    <a:prstGeom prst="rect">
                      <a:avLst/>
                    </a:prstGeom>
                    <a:noFill/>
                  </pic:spPr>
                </pic:pic>
              </a:graphicData>
            </a:graphic>
          </wp:inline>
        </w:drawing>
      </w:r>
    </w:p>
    <w:p w14:paraId="5DC9F7B2">
      <w:pPr>
        <w:ind w:firstLine="480"/>
        <w:rPr>
          <w:szCs w:val="28"/>
        </w:rPr>
      </w:pPr>
      <w:r>
        <w:rPr>
          <w:szCs w:val="28"/>
        </w:rPr>
        <w:t xml:space="preserve">1. </w:t>
      </w:r>
      <w:r>
        <w:rPr>
          <w:rFonts w:hint="eastAsia"/>
          <w:szCs w:val="28"/>
        </w:rPr>
        <w:t>建立网络安全管理数字化模型，通过梳理近几年针对党政机关单位网络安全管理的政策法规要求，建立网络安全管理数字化模型，模型包含：网络安全组织、网络安全制度、网络安全防护、网络安全运维、个人信息和重要数据保护、应急处置及容灾备份、网络安全风险及威胁发现、网络安全教育培训、网络安全经费保障等十多个方面，通过数字化管理模型可以全面衡量单位网络安全管理现状；</w:t>
      </w:r>
    </w:p>
    <w:p w14:paraId="52FF295E">
      <w:pPr>
        <w:ind w:firstLine="480"/>
        <w:rPr>
          <w:szCs w:val="28"/>
        </w:rPr>
      </w:pPr>
      <w:r>
        <w:rPr>
          <w:szCs w:val="28"/>
        </w:rPr>
        <w:t>2.</w:t>
      </w:r>
      <w:r>
        <w:rPr>
          <w:rFonts w:hint="eastAsia"/>
          <w:szCs w:val="28"/>
        </w:rPr>
        <w:t>建立各项工作和数字化模型的数据关联，通过建立目前网络安全各项工作和数字化模型的数据关联，实现单位网络安全管理信息的动态更新。</w:t>
      </w:r>
    </w:p>
    <w:p w14:paraId="668B15EE">
      <w:pPr>
        <w:ind w:firstLine="480"/>
        <w:rPr>
          <w:szCs w:val="28"/>
        </w:rPr>
      </w:pPr>
      <w:r>
        <w:rPr>
          <w:szCs w:val="28"/>
        </w:rPr>
        <w:t>3.</w:t>
      </w:r>
      <w:r>
        <w:rPr>
          <w:rFonts w:hint="eastAsia"/>
          <w:szCs w:val="28"/>
        </w:rPr>
        <w:t>建立分析模型，基于网信统筹工作的需要，建立分析模型，例如：网络安全责任制落实情况、数据安全管理情况等；可以根据网信部门对统筹业务的需求对某一个关注的领域进行分析，发现问题。实现数据支撑统筹工作落实；</w:t>
      </w:r>
    </w:p>
    <w:p w14:paraId="4CDE1CF6">
      <w:pPr>
        <w:overflowPunct w:val="0"/>
        <w:ind w:firstLine="480"/>
        <w:rPr>
          <w:szCs w:val="28"/>
        </w:rPr>
      </w:pPr>
      <w:r>
        <w:rPr>
          <w:szCs w:val="28"/>
        </w:rPr>
        <w:t>4.</w:t>
      </w:r>
      <w:r>
        <w:rPr>
          <w:rFonts w:hint="eastAsia"/>
          <w:szCs w:val="28"/>
        </w:rPr>
        <w:t>结合工作建立互动指挥，根据分析结果，发现存在的问题、工作的堵点做出管理协同要求，督促落实相关工作，提升安全防护能力。</w:t>
      </w:r>
      <w:r>
        <w:rPr>
          <w:szCs w:val="28"/>
        </w:rPr>
        <w:t xml:space="preserve">  </w:t>
      </w:r>
    </w:p>
    <w:p w14:paraId="1B4C221D">
      <w:pPr>
        <w:overflowPunct w:val="0"/>
        <w:ind w:firstLine="480"/>
        <w:rPr>
          <w:rFonts w:ascii="宋体" w:hAnsi="宋体" w:cs="宋体"/>
        </w:rPr>
      </w:pPr>
    </w:p>
    <w:p w14:paraId="7ECE3676">
      <w:pPr>
        <w:pStyle w:val="4"/>
        <w:numPr>
          <w:ilvl w:val="2"/>
          <w:numId w:val="2"/>
        </w:numPr>
      </w:pPr>
      <w:bookmarkStart w:id="170" w:name="_Toc130227032"/>
      <w:r>
        <w:rPr>
          <w:rFonts w:hint="eastAsia"/>
        </w:rPr>
        <w:t>网络安全统筹管理</w:t>
      </w:r>
      <w:bookmarkEnd w:id="170"/>
    </w:p>
    <w:p w14:paraId="1104DB66">
      <w:pPr>
        <w:ind w:firstLine="480"/>
      </w:pPr>
      <w:r>
        <w:rPr>
          <w:rFonts w:hint="eastAsia"/>
        </w:rPr>
        <w:t>网络安全统筹管理模块支撑XXX省/市网络安全主管单位、行业保护部门统筹指导运营单位有序统筹开展网络安全建设工作。以实现网络安全的数字化管理为基础，支撑网络安全统筹工作的落实。</w:t>
      </w:r>
    </w:p>
    <w:p w14:paraId="62067A05">
      <w:pPr>
        <w:ind w:firstLine="480"/>
      </w:pPr>
      <w:r>
        <w:rPr>
          <w:rFonts w:hint="eastAsia"/>
        </w:rPr>
        <w:t>针对网信部门统筹所辖范围内的是几百上千个党政机关单位及关基运行单位网络安全工作。通过网信办有序指导所辖范围党政机关单位开展网络安全几建设工作，整体提升网络安全防护能力，面临一下问题：</w:t>
      </w:r>
    </w:p>
    <w:p w14:paraId="11F030A6">
      <w:pPr>
        <w:pStyle w:val="43"/>
        <w:numPr>
          <w:ilvl w:val="0"/>
          <w:numId w:val="16"/>
        </w:numPr>
        <w:ind w:left="113" w:firstLine="480"/>
      </w:pPr>
      <w:r>
        <w:rPr>
          <w:rFonts w:hint="eastAsia"/>
        </w:rPr>
        <w:t>家底不清：针对所辖范围的单位，由于涉及各行各业，单位数量众多，理清所辖单位的信息、需防护的资产信息、面临的风险信息以及目前的网络安全建设状况。</w:t>
      </w:r>
    </w:p>
    <w:p w14:paraId="37217FFA">
      <w:pPr>
        <w:pStyle w:val="43"/>
        <w:numPr>
          <w:ilvl w:val="0"/>
          <w:numId w:val="16"/>
        </w:numPr>
        <w:ind w:left="113" w:firstLine="480"/>
      </w:pPr>
      <w:r>
        <w:rPr>
          <w:rFonts w:hint="eastAsia"/>
        </w:rPr>
        <w:t>理清目前网络安全建设的薄弱环节：网络安全防护能力是由当前网络安全建设的薄弱环节决定整体安全防护能力水平。网信办开展统筹协调工作的首要工作是要清晰掌握目前所辖范围内那些安全工作是网络安全建设的薄弱环节，清晰了解目前的安全防护的薄弱环节，才能有针对性的统筹指导开展网络安全建设；</w:t>
      </w:r>
    </w:p>
    <w:p w14:paraId="6B9367CE">
      <w:pPr>
        <w:pStyle w:val="43"/>
        <w:numPr>
          <w:ilvl w:val="0"/>
          <w:numId w:val="16"/>
        </w:numPr>
        <w:ind w:left="113" w:firstLine="480"/>
      </w:pPr>
      <w:r>
        <w:rPr>
          <w:rFonts w:hint="eastAsia"/>
        </w:rPr>
        <w:t>建立有序的工作互动机制：由于设备、信息系统和数据都由各党政机关单位负责建设和运维。网信办开展统筹协同工作，要建立和各党政机关单位有序的工作互动机制。</w:t>
      </w:r>
    </w:p>
    <w:p w14:paraId="70639516">
      <w:pPr>
        <w:ind w:firstLine="480"/>
        <w:jc w:val="left"/>
      </w:pPr>
      <w:r>
        <w:rPr>
          <w:rFonts w:hint="eastAsia"/>
        </w:rPr>
        <w:t>基于落实网络安全统筹工作面临的问题，有序开展网络安全统筹协同工作的建设机制如下示意图：</w:t>
      </w:r>
    </w:p>
    <w:p w14:paraId="27CB524C">
      <w:pPr>
        <w:ind w:firstLine="0" w:firstLineChars="0"/>
      </w:pPr>
      <w:r>
        <w:drawing>
          <wp:inline distT="0" distB="0" distL="0" distR="0">
            <wp:extent cx="5274310" cy="250253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2502535"/>
                    </a:xfrm>
                    <a:prstGeom prst="rect">
                      <a:avLst/>
                    </a:prstGeom>
                  </pic:spPr>
                </pic:pic>
              </a:graphicData>
            </a:graphic>
          </wp:inline>
        </w:drawing>
      </w:r>
    </w:p>
    <w:p w14:paraId="76A2F9C7">
      <w:pPr>
        <w:pStyle w:val="43"/>
        <w:numPr>
          <w:ilvl w:val="0"/>
          <w:numId w:val="17"/>
        </w:numPr>
        <w:ind w:left="482" w:firstLine="480"/>
      </w:pPr>
      <w:r>
        <w:rPr>
          <w:rFonts w:hint="eastAsia"/>
        </w:rPr>
        <w:t>网络安全统筹管理是通过建立数字政府网络安全模型，实现对XXX省/市各级政府安全建设现状的数字化管理，通过网络安全管理的数字化，网信部门可以直观掌握目前的网络安全建设现状；</w:t>
      </w:r>
    </w:p>
    <w:p w14:paraId="4C52CD50">
      <w:pPr>
        <w:pStyle w:val="43"/>
        <w:numPr>
          <w:ilvl w:val="0"/>
          <w:numId w:val="17"/>
        </w:numPr>
        <w:ind w:left="482" w:firstLine="480"/>
      </w:pPr>
      <w:r>
        <w:rPr>
          <w:rFonts w:hint="eastAsia"/>
        </w:rPr>
        <w:t>通过系统内置的网络安全分析模型，直观反应出目前网络安全建设的薄弱环节；</w:t>
      </w:r>
    </w:p>
    <w:p w14:paraId="10D7BBE2">
      <w:pPr>
        <w:pStyle w:val="5"/>
        <w:numPr>
          <w:ilvl w:val="3"/>
          <w:numId w:val="2"/>
        </w:numPr>
      </w:pPr>
      <w:r>
        <w:rPr>
          <w:rFonts w:hint="eastAsia"/>
        </w:rPr>
        <w:t>整体情况分析</w:t>
      </w:r>
    </w:p>
    <w:p w14:paraId="3A0516D2">
      <w:pPr>
        <w:ind w:firstLine="480"/>
      </w:pPr>
      <w:r>
        <w:rPr>
          <w:rFonts w:hint="eastAsia"/>
        </w:rPr>
        <w:t>提供查看网络安全工作落实整体分析结果情况的功能。通过统计和分解、分析中央网信办、XXX省/市印发的有关文件，各地各部门落实网络安全工作的年度评价得分情况以及近期网络安全工作动态信息，从强化责任落实，保障重大活动，等保、关保、分保、密评、风评，数据安全、个人信息保护，安全防护能力，应急响应能力，网络安全基础工作，网络安全建设及绩效等方面的情况出发，分类分级地对网络安全工作落实情况和发展趋势进行加权分析和展示。如下示意图所示：</w:t>
      </w:r>
    </w:p>
    <w:p w14:paraId="14E90D93">
      <w:pPr>
        <w:ind w:firstLine="0" w:firstLineChars="0"/>
      </w:pPr>
      <w:r>
        <w:drawing>
          <wp:inline distT="0" distB="0" distL="0" distR="0">
            <wp:extent cx="5274310" cy="2607945"/>
            <wp:effectExtent l="0" t="0" r="254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2607945"/>
                    </a:xfrm>
                    <a:prstGeom prst="rect">
                      <a:avLst/>
                    </a:prstGeom>
                  </pic:spPr>
                </pic:pic>
              </a:graphicData>
            </a:graphic>
          </wp:inline>
        </w:drawing>
      </w:r>
    </w:p>
    <w:p w14:paraId="5483271F">
      <w:pPr>
        <w:pStyle w:val="43"/>
        <w:numPr>
          <w:ilvl w:val="0"/>
          <w:numId w:val="18"/>
        </w:numPr>
        <w:ind w:firstLineChars="0"/>
      </w:pPr>
      <w:r>
        <w:rPr>
          <w:rFonts w:hint="eastAsia"/>
        </w:rPr>
        <w:t>支持点击上述图标，可进一步下钻，获取详情信息，如下示意图所示：</w:t>
      </w:r>
    </w:p>
    <w:p w14:paraId="545C99BB">
      <w:pPr>
        <w:ind w:firstLine="0" w:firstLineChars="0"/>
      </w:pPr>
      <w:r>
        <w:drawing>
          <wp:inline distT="0" distB="0" distL="0" distR="0">
            <wp:extent cx="5274310" cy="23787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2378710"/>
                    </a:xfrm>
                    <a:prstGeom prst="rect">
                      <a:avLst/>
                    </a:prstGeom>
                  </pic:spPr>
                </pic:pic>
              </a:graphicData>
            </a:graphic>
          </wp:inline>
        </w:drawing>
      </w:r>
    </w:p>
    <w:p w14:paraId="49EB0A6A">
      <w:pPr>
        <w:pStyle w:val="5"/>
        <w:numPr>
          <w:ilvl w:val="3"/>
          <w:numId w:val="2"/>
        </w:numPr>
      </w:pPr>
      <w:r>
        <w:rPr>
          <w:rFonts w:hint="eastAsia"/>
        </w:rPr>
        <w:t>网络安全综合分析</w:t>
      </w:r>
    </w:p>
    <w:p w14:paraId="06C61CC9">
      <w:pPr>
        <w:ind w:firstLine="480"/>
      </w:pPr>
      <w:r>
        <w:rPr>
          <w:rFonts w:hint="eastAsia"/>
        </w:rPr>
        <w:t>提供查看网络安全工作短板、工作推进可能存在的瓶颈和堵点分析结果的功能。通过多渠道、多维度收集与我省网络安全工作相关的信息数据，结合网络安全工作整体落实情况的信息，场景化、模型化网络安全保障体系建设、网络安全防护能力建设以及网络安全综合协调机制运行、网络安全信息共享与通报、网络安全应急协调处置等，对XXX省/市网络安全工作部署可能存在的短板、工作推进可能存在的瓶颈和堵点进行分析和输出。如下示意图所示：</w:t>
      </w:r>
    </w:p>
    <w:p w14:paraId="29D9638C">
      <w:pPr>
        <w:ind w:firstLine="0" w:firstLineChars="0"/>
      </w:pPr>
      <w:r>
        <w:drawing>
          <wp:inline distT="0" distB="0" distL="0" distR="0">
            <wp:extent cx="5274310" cy="3027045"/>
            <wp:effectExtent l="0" t="0" r="2540" b="1905"/>
            <wp:docPr id="3143" name="图片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图片 3143"/>
                    <pic:cNvPicPr>
                      <a:picLocks noChangeAspect="1"/>
                    </pic:cNvPicPr>
                  </pic:nvPicPr>
                  <pic:blipFill>
                    <a:blip r:embed="rId39"/>
                    <a:stretch>
                      <a:fillRect/>
                    </a:stretch>
                  </pic:blipFill>
                  <pic:spPr>
                    <a:xfrm>
                      <a:off x="0" y="0"/>
                      <a:ext cx="5274310" cy="3027045"/>
                    </a:xfrm>
                    <a:prstGeom prst="rect">
                      <a:avLst/>
                    </a:prstGeom>
                  </pic:spPr>
                </pic:pic>
              </a:graphicData>
            </a:graphic>
          </wp:inline>
        </w:drawing>
      </w:r>
    </w:p>
    <w:p w14:paraId="46965155">
      <w:pPr>
        <w:ind w:firstLine="0" w:firstLineChars="0"/>
      </w:pPr>
    </w:p>
    <w:p w14:paraId="3B6C5782">
      <w:pPr>
        <w:pStyle w:val="43"/>
        <w:numPr>
          <w:ilvl w:val="0"/>
          <w:numId w:val="19"/>
        </w:numPr>
        <w:ind w:firstLineChars="0"/>
      </w:pPr>
      <w:r>
        <w:rPr>
          <w:rFonts w:hint="eastAsia"/>
        </w:rPr>
        <w:t>支持通过指标维度，查看该指标的得分，为下一步的安全工作决策提供支持。如下示意图所示：</w:t>
      </w:r>
    </w:p>
    <w:p w14:paraId="17BCEFF2">
      <w:pPr>
        <w:ind w:firstLine="0" w:firstLineChars="0"/>
      </w:pPr>
      <w:r>
        <w:drawing>
          <wp:inline distT="0" distB="0" distL="0" distR="0">
            <wp:extent cx="5274310" cy="179133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1791335"/>
                    </a:xfrm>
                    <a:prstGeom prst="rect">
                      <a:avLst/>
                    </a:prstGeom>
                  </pic:spPr>
                </pic:pic>
              </a:graphicData>
            </a:graphic>
          </wp:inline>
        </w:drawing>
      </w:r>
    </w:p>
    <w:p w14:paraId="5A8B395F">
      <w:pPr>
        <w:pStyle w:val="43"/>
        <w:numPr>
          <w:ilvl w:val="0"/>
          <w:numId w:val="19"/>
        </w:numPr>
        <w:ind w:firstLineChars="0"/>
      </w:pPr>
      <w:r>
        <w:rPr>
          <w:rFonts w:hint="eastAsia"/>
        </w:rPr>
        <w:t>支持按单位维度，查看该单位指标详情，如下示意图所示：</w:t>
      </w:r>
    </w:p>
    <w:p w14:paraId="54ACC531">
      <w:pPr>
        <w:ind w:firstLine="0" w:firstLineChars="0"/>
      </w:pPr>
      <w:r>
        <w:drawing>
          <wp:inline distT="0" distB="0" distL="0" distR="0">
            <wp:extent cx="5274310" cy="22028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2202815"/>
                    </a:xfrm>
                    <a:prstGeom prst="rect">
                      <a:avLst/>
                    </a:prstGeom>
                  </pic:spPr>
                </pic:pic>
              </a:graphicData>
            </a:graphic>
          </wp:inline>
        </w:drawing>
      </w:r>
    </w:p>
    <w:p w14:paraId="49A2F26B">
      <w:pPr>
        <w:pStyle w:val="5"/>
        <w:numPr>
          <w:ilvl w:val="3"/>
          <w:numId w:val="2"/>
        </w:numPr>
      </w:pPr>
      <w:r>
        <w:rPr>
          <w:rFonts w:hint="eastAsia"/>
        </w:rPr>
        <w:t>整体数字化建设情况</w:t>
      </w:r>
    </w:p>
    <w:p w14:paraId="3D62CAFF">
      <w:pPr>
        <w:ind w:firstLine="480"/>
      </w:pPr>
      <w:r>
        <w:rPr>
          <w:rFonts w:hint="eastAsia"/>
        </w:rPr>
        <w:t>提供查看XXX省/市各级单位的网络安全数字化建设情况，通过整体分析，详细了解网络安全数字化建设进度。如下示意图所示：</w:t>
      </w:r>
    </w:p>
    <w:p w14:paraId="6799AD60">
      <w:pPr>
        <w:ind w:firstLine="0" w:firstLineChars="0"/>
      </w:pPr>
      <w:r>
        <w:drawing>
          <wp:inline distT="0" distB="0" distL="0" distR="0">
            <wp:extent cx="5274310" cy="246888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2468880"/>
                    </a:xfrm>
                    <a:prstGeom prst="rect">
                      <a:avLst/>
                    </a:prstGeom>
                    <a:noFill/>
                    <a:ln>
                      <a:noFill/>
                    </a:ln>
                  </pic:spPr>
                </pic:pic>
              </a:graphicData>
            </a:graphic>
          </wp:inline>
        </w:drawing>
      </w:r>
    </w:p>
    <w:p w14:paraId="04D609F0">
      <w:pPr>
        <w:pStyle w:val="43"/>
        <w:numPr>
          <w:ilvl w:val="0"/>
          <w:numId w:val="19"/>
        </w:numPr>
        <w:ind w:firstLineChars="0"/>
      </w:pPr>
      <w:r>
        <w:rPr>
          <w:rFonts w:hint="eastAsia"/>
        </w:rPr>
        <w:t>支持单位数字化建设得分排名；</w:t>
      </w:r>
    </w:p>
    <w:p w14:paraId="36A98C75">
      <w:pPr>
        <w:pStyle w:val="43"/>
        <w:numPr>
          <w:ilvl w:val="0"/>
          <w:numId w:val="19"/>
        </w:numPr>
        <w:ind w:firstLineChars="0"/>
      </w:pPr>
      <w:r>
        <w:rPr>
          <w:rFonts w:hint="eastAsia"/>
        </w:rPr>
        <w:t>支持单位数字化建设进度查询；</w:t>
      </w:r>
    </w:p>
    <w:p w14:paraId="2A9C16B9">
      <w:pPr>
        <w:pStyle w:val="43"/>
        <w:numPr>
          <w:ilvl w:val="0"/>
          <w:numId w:val="19"/>
        </w:numPr>
        <w:ind w:firstLineChars="0"/>
      </w:pPr>
      <w:r>
        <w:rPr>
          <w:rFonts w:hint="eastAsia"/>
        </w:rPr>
        <w:t>支持查看各单位数字化建设详情。如下示意图所示：</w:t>
      </w:r>
    </w:p>
    <w:p w14:paraId="49BDE8BD">
      <w:pPr>
        <w:ind w:firstLine="0" w:firstLineChars="0"/>
      </w:pPr>
      <w:r>
        <w:drawing>
          <wp:inline distT="0" distB="0" distL="0" distR="0">
            <wp:extent cx="5274310" cy="273240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310" cy="2732405"/>
                    </a:xfrm>
                    <a:prstGeom prst="rect">
                      <a:avLst/>
                    </a:prstGeom>
                  </pic:spPr>
                </pic:pic>
              </a:graphicData>
            </a:graphic>
          </wp:inline>
        </w:drawing>
      </w:r>
    </w:p>
    <w:p w14:paraId="3991F867">
      <w:pPr>
        <w:pStyle w:val="5"/>
        <w:numPr>
          <w:ilvl w:val="3"/>
          <w:numId w:val="2"/>
        </w:numPr>
      </w:pPr>
      <w:r>
        <w:rPr>
          <w:rFonts w:hint="eastAsia"/>
        </w:rPr>
        <w:t>单位数字化建设情况</w:t>
      </w:r>
    </w:p>
    <w:p w14:paraId="3E3453E5">
      <w:pPr>
        <w:ind w:firstLine="480"/>
      </w:pPr>
      <w:r>
        <w:rPr>
          <w:rFonts w:hint="eastAsia"/>
        </w:rPr>
        <w:t>提供查看本单位的网络安全数字化建设情况，通过整体分析，详细了解网络安全数字化建设进度。如下示意图所示：</w:t>
      </w:r>
    </w:p>
    <w:p w14:paraId="5C2EBB39">
      <w:pPr>
        <w:ind w:firstLine="0" w:firstLineChars="0"/>
      </w:pPr>
      <w:r>
        <w:drawing>
          <wp:inline distT="0" distB="0" distL="0" distR="0">
            <wp:extent cx="5274310" cy="2586990"/>
            <wp:effectExtent l="0" t="0" r="254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2586990"/>
                    </a:xfrm>
                    <a:prstGeom prst="rect">
                      <a:avLst/>
                    </a:prstGeom>
                  </pic:spPr>
                </pic:pic>
              </a:graphicData>
            </a:graphic>
          </wp:inline>
        </w:drawing>
      </w:r>
    </w:p>
    <w:p w14:paraId="64104EE2">
      <w:pPr>
        <w:ind w:firstLine="0" w:firstLineChars="0"/>
      </w:pPr>
    </w:p>
    <w:p w14:paraId="0FB4D98F">
      <w:pPr>
        <w:pStyle w:val="5"/>
        <w:numPr>
          <w:ilvl w:val="3"/>
          <w:numId w:val="2"/>
        </w:numPr>
      </w:pPr>
      <w:r>
        <w:rPr>
          <w:rFonts w:hint="eastAsia"/>
        </w:rPr>
        <w:t>网络安全评价体系配置</w:t>
      </w:r>
    </w:p>
    <w:p w14:paraId="01800CF8">
      <w:pPr>
        <w:ind w:firstLine="480"/>
      </w:pPr>
      <w:r>
        <w:rPr>
          <w:rFonts w:hint="eastAsia"/>
        </w:rPr>
        <w:t>提供对网络安全多项工作的评价模型进行配置维护管理功能。实现通过研究建立并不断改进调优网络安全多项工作的评价模型，体现网络安全有关能力的情况，包括但不限于网络安全防御能力指数管理、网络安全防护能力指数管理、网络安全保障能力指数管理、网络安全威慑能力指数管理、网络安全人才指数管理、网络安全服务指数管理等。如下示意图所示：</w:t>
      </w:r>
    </w:p>
    <w:p w14:paraId="37BDDD32">
      <w:pPr>
        <w:ind w:firstLine="0" w:firstLineChars="0"/>
      </w:pPr>
      <w:r>
        <w:drawing>
          <wp:inline distT="0" distB="0" distL="0" distR="0">
            <wp:extent cx="5274310" cy="242189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2421890"/>
                    </a:xfrm>
                    <a:prstGeom prst="rect">
                      <a:avLst/>
                    </a:prstGeom>
                  </pic:spPr>
                </pic:pic>
              </a:graphicData>
            </a:graphic>
          </wp:inline>
        </w:drawing>
      </w:r>
    </w:p>
    <w:p w14:paraId="239F4222">
      <w:pPr>
        <w:pStyle w:val="43"/>
        <w:numPr>
          <w:ilvl w:val="0"/>
          <w:numId w:val="20"/>
        </w:numPr>
        <w:ind w:firstLineChars="0"/>
      </w:pPr>
      <w:r>
        <w:rPr>
          <w:rFonts w:hint="eastAsia"/>
        </w:rPr>
        <w:t>支持新增、删除、修改、查找安全评价体系；</w:t>
      </w:r>
    </w:p>
    <w:p w14:paraId="3A86E09D">
      <w:pPr>
        <w:ind w:firstLine="0" w:firstLineChars="0"/>
      </w:pPr>
      <w:r>
        <w:drawing>
          <wp:inline distT="0" distB="0" distL="0" distR="0">
            <wp:extent cx="5274310" cy="259270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74310" cy="2592705"/>
                    </a:xfrm>
                    <a:prstGeom prst="rect">
                      <a:avLst/>
                    </a:prstGeom>
                  </pic:spPr>
                </pic:pic>
              </a:graphicData>
            </a:graphic>
          </wp:inline>
        </w:drawing>
      </w:r>
    </w:p>
    <w:p w14:paraId="408F962C">
      <w:pPr>
        <w:pStyle w:val="43"/>
        <w:numPr>
          <w:ilvl w:val="0"/>
          <w:numId w:val="20"/>
        </w:numPr>
        <w:ind w:firstLineChars="0"/>
      </w:pPr>
      <w:r>
        <w:rPr>
          <w:rFonts w:hint="eastAsia"/>
        </w:rPr>
        <w:t>支持新增、删除、编辑安全评级体系指标类。</w:t>
      </w:r>
    </w:p>
    <w:p w14:paraId="41E02F87">
      <w:pPr>
        <w:ind w:firstLine="0" w:firstLineChars="0"/>
      </w:pPr>
      <w:r>
        <w:drawing>
          <wp:inline distT="0" distB="0" distL="0" distR="0">
            <wp:extent cx="5274310" cy="982345"/>
            <wp:effectExtent l="0" t="0" r="254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4310" cy="982345"/>
                    </a:xfrm>
                    <a:prstGeom prst="rect">
                      <a:avLst/>
                    </a:prstGeom>
                  </pic:spPr>
                </pic:pic>
              </a:graphicData>
            </a:graphic>
          </wp:inline>
        </w:drawing>
      </w:r>
    </w:p>
    <w:p w14:paraId="33D4686B">
      <w:pPr>
        <w:ind w:firstLine="0" w:firstLineChars="0"/>
      </w:pPr>
      <w:r>
        <w:rPr>
          <w:rFonts w:hint="eastAsia"/>
        </w:rPr>
        <w:t xml:space="preserve"> </w:t>
      </w:r>
      <w:r>
        <w:t xml:space="preserve">       </w:t>
      </w:r>
      <w:r>
        <w:rPr>
          <w:rFonts w:hint="eastAsia"/>
        </w:rPr>
        <w:t>网络安全评价体系配置，支持12类一级指标配置，包括网络安全组织、网络安全制度、网络安全防护、网络安全运维、数据安全、应急处置及容灾备份、网络安全风险与威胁、安全事件处置、网络安全专项工作、网络安全教育培训情况、对辖区或下属单位管理和网络安全经费，支持100多项二级指标配置。</w:t>
      </w:r>
    </w:p>
    <w:p w14:paraId="38689DA7">
      <w:pPr>
        <w:pStyle w:val="4"/>
        <w:numPr>
          <w:ilvl w:val="2"/>
          <w:numId w:val="2"/>
        </w:numPr>
        <w:ind w:firstLine="640"/>
        <w:rPr>
          <w:b w:val="0"/>
          <w:bCs w:val="0"/>
        </w:rPr>
      </w:pPr>
      <w:bookmarkStart w:id="171" w:name="_Toc104633526"/>
      <w:bookmarkStart w:id="172" w:name="_Toc130227034"/>
      <w:r>
        <w:rPr>
          <w:rFonts w:hint="eastAsia"/>
          <w:b w:val="0"/>
          <w:bCs w:val="0"/>
        </w:rPr>
        <w:t>网络安全专项工作管理</w:t>
      </w:r>
    </w:p>
    <w:p w14:paraId="0BFFB870">
      <w:pPr>
        <w:ind w:firstLine="480"/>
      </w:pPr>
      <w:r>
        <w:rPr>
          <w:rFonts w:hint="eastAsia"/>
        </w:rPr>
        <w:t>网络安全专项工作管理对网络安全主管部门开展各项网络安全专项工作提供支撑。通过网络安全专项工作管理，支持常规工作开展，工作类型包括计划工作上报、信息摸底、信息调研、上级工作等，同时可以根据数据收集情况为安全综合分析提供分析数据支持。</w:t>
      </w:r>
    </w:p>
    <w:p w14:paraId="0ACB51D8">
      <w:pPr>
        <w:ind w:firstLine="480"/>
      </w:pPr>
      <w:r>
        <w:rPr>
          <w:rFonts w:hint="eastAsia"/>
        </w:rPr>
        <w:t>工作流程如下：</w:t>
      </w:r>
    </w:p>
    <w:p w14:paraId="5F2C73CE">
      <w:pPr>
        <w:ind w:firstLine="480"/>
        <w:jc w:val="center"/>
      </w:pPr>
      <w:r>
        <w:object>
          <v:shape id="_x0000_i1025" o:spt="75" type="#_x0000_t75" style="height:359.4pt;width:133.8pt;" o:ole="t" filled="f" o:preferrelative="t" stroked="f" coordsize="21600,21600">
            <v:path/>
            <v:fill on="f" focussize="0,0"/>
            <v:stroke on="f" joinstyle="miter"/>
            <v:imagedata r:id="rId49" o:title=""/>
            <o:lock v:ext="edit" aspectratio="t"/>
            <w10:wrap type="none"/>
            <w10:anchorlock/>
          </v:shape>
          <o:OLEObject Type="Embed" ProgID="Visio.Drawing.15" ShapeID="_x0000_i1025" DrawAspect="Content" ObjectID="_1468075725" r:id="rId48">
            <o:LockedField>false</o:LockedField>
          </o:OLEObject>
        </w:object>
      </w:r>
    </w:p>
    <w:p w14:paraId="7A6DF292">
      <w:pPr>
        <w:ind w:firstLine="480"/>
      </w:pPr>
      <w:r>
        <w:rPr>
          <w:rFonts w:hint="eastAsia"/>
        </w:rPr>
        <w:t>本模块主要包括计划填报、工作发布、工作填报、工作汇总和工作统计功能。</w:t>
      </w:r>
    </w:p>
    <w:p w14:paraId="744E40EB">
      <w:pPr>
        <w:pStyle w:val="5"/>
        <w:numPr>
          <w:ilvl w:val="3"/>
          <w:numId w:val="2"/>
        </w:numPr>
      </w:pPr>
      <w:r>
        <w:rPr>
          <w:rFonts w:hint="eastAsia"/>
        </w:rPr>
        <w:t>计划填报</w:t>
      </w:r>
    </w:p>
    <w:p w14:paraId="3E80F865">
      <w:pPr>
        <w:ind w:firstLine="480"/>
      </w:pPr>
      <w:r>
        <w:rPr>
          <w:rFonts w:hint="eastAsia"/>
        </w:rPr>
        <w:t>计划填报支持安全主管单位和党政机关单位上报工作计划，提供按不同工作类型进行工作计划填报、发布、修改和删除的功能。</w:t>
      </w:r>
    </w:p>
    <w:p w14:paraId="6EC4533B">
      <w:pPr>
        <w:ind w:firstLine="480"/>
      </w:pPr>
      <w:r>
        <w:rPr>
          <w:rFonts w:hint="eastAsia"/>
        </w:rPr>
        <w:t>如下图所示：</w:t>
      </w:r>
    </w:p>
    <w:p w14:paraId="179AA8EB">
      <w:pPr>
        <w:ind w:firstLine="480"/>
      </w:pPr>
      <w:r>
        <w:drawing>
          <wp:inline distT="0" distB="0" distL="0" distR="0">
            <wp:extent cx="5273675" cy="2746375"/>
            <wp:effectExtent l="0" t="0" r="0" b="0"/>
            <wp:docPr id="195342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9670" name="图片 1"/>
                    <pic:cNvPicPr>
                      <a:picLocks noChangeAspect="1"/>
                    </pic:cNvPicPr>
                  </pic:nvPicPr>
                  <pic:blipFill>
                    <a:blip r:embed="rId50"/>
                    <a:stretch>
                      <a:fillRect/>
                    </a:stretch>
                  </pic:blipFill>
                  <pic:spPr>
                    <a:xfrm>
                      <a:off x="0" y="0"/>
                      <a:ext cx="5273675" cy="2746375"/>
                    </a:xfrm>
                    <a:prstGeom prst="rect">
                      <a:avLst/>
                    </a:prstGeom>
                  </pic:spPr>
                </pic:pic>
              </a:graphicData>
            </a:graphic>
          </wp:inline>
        </w:drawing>
      </w:r>
    </w:p>
    <w:p w14:paraId="20DDBD11">
      <w:pPr>
        <w:ind w:firstLine="480"/>
      </w:pPr>
    </w:p>
    <w:p w14:paraId="37CDAA5D">
      <w:pPr>
        <w:ind w:firstLine="480"/>
      </w:pPr>
      <w:r>
        <w:drawing>
          <wp:inline distT="0" distB="0" distL="0" distR="0">
            <wp:extent cx="5273675" cy="2849245"/>
            <wp:effectExtent l="0" t="0" r="0" b="0"/>
            <wp:docPr id="2068998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8733" name="图片 1"/>
                    <pic:cNvPicPr>
                      <a:picLocks noChangeAspect="1"/>
                    </pic:cNvPicPr>
                  </pic:nvPicPr>
                  <pic:blipFill>
                    <a:blip r:embed="rId51"/>
                    <a:stretch>
                      <a:fillRect/>
                    </a:stretch>
                  </pic:blipFill>
                  <pic:spPr>
                    <a:xfrm>
                      <a:off x="0" y="0"/>
                      <a:ext cx="5273675" cy="2849245"/>
                    </a:xfrm>
                    <a:prstGeom prst="rect">
                      <a:avLst/>
                    </a:prstGeom>
                  </pic:spPr>
                </pic:pic>
              </a:graphicData>
            </a:graphic>
          </wp:inline>
        </w:drawing>
      </w:r>
    </w:p>
    <w:p w14:paraId="18A77ECE">
      <w:pPr>
        <w:pStyle w:val="5"/>
        <w:numPr>
          <w:ilvl w:val="3"/>
          <w:numId w:val="2"/>
        </w:numPr>
      </w:pPr>
      <w:r>
        <w:rPr>
          <w:rFonts w:hint="eastAsia"/>
        </w:rPr>
        <w:t>工作发布</w:t>
      </w:r>
    </w:p>
    <w:p w14:paraId="4BE84C76">
      <w:pPr>
        <w:ind w:firstLine="480"/>
      </w:pPr>
      <w:r>
        <w:rPr>
          <w:rFonts w:hint="eastAsia"/>
        </w:rPr>
        <w:t>工作发布支持网络安全主管单位按不同工作类型进行工作下发功能，主要功能点如下：</w:t>
      </w:r>
    </w:p>
    <w:p w14:paraId="03DC3FE1">
      <w:pPr>
        <w:pStyle w:val="43"/>
        <w:numPr>
          <w:ilvl w:val="0"/>
          <w:numId w:val="21"/>
        </w:numPr>
        <w:spacing w:line="240" w:lineRule="auto"/>
        <w:ind w:firstLineChars="0"/>
      </w:pPr>
      <w:r>
        <w:rPr>
          <w:rFonts w:hint="eastAsia"/>
        </w:rPr>
        <w:t>支持关联计划工作功能；</w:t>
      </w:r>
    </w:p>
    <w:p w14:paraId="45ACDA4B">
      <w:pPr>
        <w:pStyle w:val="43"/>
        <w:numPr>
          <w:ilvl w:val="0"/>
          <w:numId w:val="21"/>
        </w:numPr>
        <w:spacing w:line="240" w:lineRule="auto"/>
        <w:ind w:firstLineChars="0"/>
      </w:pPr>
      <w:r>
        <w:rPr>
          <w:rFonts w:hint="eastAsia"/>
        </w:rPr>
        <w:t>支持</w:t>
      </w:r>
      <w:r>
        <w:t>按照</w:t>
      </w:r>
      <w:r>
        <w:rPr>
          <w:rFonts w:hint="eastAsia"/>
        </w:rPr>
        <w:t>开展的工作模板进行工作下发功能；</w:t>
      </w:r>
    </w:p>
    <w:p w14:paraId="1EC774A7">
      <w:pPr>
        <w:pStyle w:val="43"/>
        <w:numPr>
          <w:ilvl w:val="0"/>
          <w:numId w:val="21"/>
        </w:numPr>
        <w:spacing w:line="240" w:lineRule="auto"/>
        <w:ind w:firstLineChars="0"/>
      </w:pPr>
      <w:r>
        <w:rPr>
          <w:rFonts w:hint="eastAsia"/>
        </w:rPr>
        <w:t>支持按照管理组进行发布范围选择的功能；</w:t>
      </w:r>
    </w:p>
    <w:p w14:paraId="1C5E80C8">
      <w:pPr>
        <w:pStyle w:val="43"/>
        <w:numPr>
          <w:ilvl w:val="0"/>
          <w:numId w:val="21"/>
        </w:numPr>
        <w:spacing w:line="240" w:lineRule="auto"/>
        <w:ind w:firstLineChars="0"/>
      </w:pPr>
      <w:r>
        <w:rPr>
          <w:rFonts w:hint="eastAsia"/>
        </w:rPr>
        <w:t>支持对发布工作进行增、删、改、查的功能。</w:t>
      </w:r>
    </w:p>
    <w:p w14:paraId="6816C447">
      <w:pPr>
        <w:ind w:left="420" w:firstLine="480"/>
      </w:pPr>
      <w:r>
        <w:rPr>
          <w:rFonts w:hint="eastAsia"/>
        </w:rPr>
        <w:t>如下图示如下：</w:t>
      </w:r>
    </w:p>
    <w:p w14:paraId="22E47626">
      <w:pPr>
        <w:ind w:firstLine="480"/>
      </w:pPr>
      <w:r>
        <w:drawing>
          <wp:inline distT="0" distB="0" distL="0" distR="0">
            <wp:extent cx="5273675" cy="2920365"/>
            <wp:effectExtent l="0" t="0" r="0" b="0"/>
            <wp:docPr id="584249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49154" name="图片 1"/>
                    <pic:cNvPicPr>
                      <a:picLocks noChangeAspect="1"/>
                    </pic:cNvPicPr>
                  </pic:nvPicPr>
                  <pic:blipFill>
                    <a:blip r:embed="rId52"/>
                    <a:stretch>
                      <a:fillRect/>
                    </a:stretch>
                  </pic:blipFill>
                  <pic:spPr>
                    <a:xfrm>
                      <a:off x="0" y="0"/>
                      <a:ext cx="5273675" cy="2920365"/>
                    </a:xfrm>
                    <a:prstGeom prst="rect">
                      <a:avLst/>
                    </a:prstGeom>
                  </pic:spPr>
                </pic:pic>
              </a:graphicData>
            </a:graphic>
          </wp:inline>
        </w:drawing>
      </w:r>
    </w:p>
    <w:p w14:paraId="7ED4FE77">
      <w:pPr>
        <w:ind w:firstLine="480"/>
      </w:pPr>
    </w:p>
    <w:p w14:paraId="074B65D0">
      <w:pPr>
        <w:ind w:firstLine="480"/>
      </w:pPr>
      <w:r>
        <w:rPr>
          <w:rFonts w:hint="eastAsia"/>
        </w:rPr>
        <w:t>点击新增，进行发布工作配置，如下图所示：</w:t>
      </w:r>
    </w:p>
    <w:p w14:paraId="397E00BB">
      <w:pPr>
        <w:ind w:firstLine="480"/>
      </w:pPr>
      <w:r>
        <w:drawing>
          <wp:inline distT="0" distB="0" distL="0" distR="0">
            <wp:extent cx="5273675" cy="5676265"/>
            <wp:effectExtent l="0" t="0" r="0" b="0"/>
            <wp:docPr id="609531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31223" name="图片 1"/>
                    <pic:cNvPicPr>
                      <a:picLocks noChangeAspect="1"/>
                    </pic:cNvPicPr>
                  </pic:nvPicPr>
                  <pic:blipFill>
                    <a:blip r:embed="rId53"/>
                    <a:stretch>
                      <a:fillRect/>
                    </a:stretch>
                  </pic:blipFill>
                  <pic:spPr>
                    <a:xfrm>
                      <a:off x="0" y="0"/>
                      <a:ext cx="5273675" cy="5676265"/>
                    </a:xfrm>
                    <a:prstGeom prst="rect">
                      <a:avLst/>
                    </a:prstGeom>
                  </pic:spPr>
                </pic:pic>
              </a:graphicData>
            </a:graphic>
          </wp:inline>
        </w:drawing>
      </w:r>
      <w:r>
        <w:rPr>
          <w:rFonts w:hint="eastAsia"/>
        </w:rPr>
        <w:t>、</w:t>
      </w:r>
    </w:p>
    <w:p w14:paraId="618BEF59">
      <w:pPr>
        <w:pStyle w:val="5"/>
        <w:numPr>
          <w:ilvl w:val="3"/>
          <w:numId w:val="2"/>
        </w:numPr>
      </w:pPr>
      <w:r>
        <w:rPr>
          <w:rFonts w:hint="eastAsia"/>
        </w:rPr>
        <w:t>工作填报</w:t>
      </w:r>
    </w:p>
    <w:p w14:paraId="3D581C26">
      <w:pPr>
        <w:ind w:left="420" w:firstLine="480"/>
      </w:pPr>
      <w:r>
        <w:rPr>
          <w:rFonts w:hint="eastAsia"/>
        </w:rPr>
        <w:t>支持单位进行在线工作填报，修改和提交功能，提供相关各种查询功能。</w:t>
      </w:r>
    </w:p>
    <w:p w14:paraId="7F43D6F0">
      <w:pPr>
        <w:ind w:left="420" w:firstLine="480"/>
      </w:pPr>
      <w:r>
        <w:rPr>
          <w:rFonts w:hint="eastAsia"/>
        </w:rPr>
        <w:t>如下图所示：</w:t>
      </w:r>
    </w:p>
    <w:p w14:paraId="4BB83541">
      <w:pPr>
        <w:ind w:firstLine="199" w:firstLineChars="83"/>
      </w:pPr>
      <w:r>
        <w:drawing>
          <wp:anchor distT="0" distB="0" distL="114300" distR="114300" simplePos="0" relativeHeight="251659264" behindDoc="0" locked="0" layoutInCell="1" allowOverlap="1">
            <wp:simplePos x="0" y="0"/>
            <wp:positionH relativeFrom="column">
              <wp:posOffset>0</wp:posOffset>
            </wp:positionH>
            <wp:positionV relativeFrom="paragraph">
              <wp:posOffset>299720</wp:posOffset>
            </wp:positionV>
            <wp:extent cx="5274310" cy="2529840"/>
            <wp:effectExtent l="0" t="0" r="2540" b="3810"/>
            <wp:wrapTopAndBottom/>
            <wp:docPr id="1935321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1259" name="图片 1"/>
                    <pic:cNvPicPr>
                      <a:picLocks noChangeAspect="1"/>
                    </pic:cNvPicPr>
                  </pic:nvPicPr>
                  <pic:blipFill>
                    <a:blip r:embed="rId54"/>
                    <a:stretch>
                      <a:fillRect/>
                    </a:stretch>
                  </pic:blipFill>
                  <pic:spPr>
                    <a:xfrm>
                      <a:off x="0" y="0"/>
                      <a:ext cx="5274310" cy="2529840"/>
                    </a:xfrm>
                    <a:prstGeom prst="rect">
                      <a:avLst/>
                    </a:prstGeom>
                  </pic:spPr>
                </pic:pic>
              </a:graphicData>
            </a:graphic>
          </wp:anchor>
        </w:drawing>
      </w:r>
    </w:p>
    <w:p w14:paraId="5E56DE3D">
      <w:pPr>
        <w:pStyle w:val="5"/>
        <w:numPr>
          <w:ilvl w:val="3"/>
          <w:numId w:val="2"/>
        </w:numPr>
      </w:pPr>
      <w:r>
        <w:rPr>
          <w:rFonts w:hint="eastAsia"/>
        </w:rPr>
        <w:t>工作汇总</w:t>
      </w:r>
    </w:p>
    <w:p w14:paraId="2A0CBA8B">
      <w:pPr>
        <w:ind w:firstLine="480"/>
      </w:pPr>
      <w:r>
        <w:rPr>
          <w:rFonts w:hint="eastAsia"/>
        </w:rPr>
        <w:t>工作汇总支持按月历、季历和年历进行工作查阅；支持按计划工作和专项工作分别进行工作统计；支持按单位列表进行单位填报数据查询功能。</w:t>
      </w:r>
    </w:p>
    <w:p w14:paraId="2B2ACEAB">
      <w:pPr>
        <w:ind w:firstLine="480"/>
      </w:pPr>
      <w:r>
        <w:rPr>
          <w:rFonts w:hint="eastAsia"/>
        </w:rPr>
        <w:t>如下图所示：</w:t>
      </w:r>
    </w:p>
    <w:p w14:paraId="29CB79D5">
      <w:pPr>
        <w:ind w:firstLine="480"/>
      </w:pPr>
      <w:r>
        <w:drawing>
          <wp:inline distT="0" distB="0" distL="0" distR="0">
            <wp:extent cx="5273675" cy="5221605"/>
            <wp:effectExtent l="0" t="0" r="0" b="0"/>
            <wp:docPr id="1243336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36185" name="图片 1"/>
                    <pic:cNvPicPr>
                      <a:picLocks noChangeAspect="1"/>
                    </pic:cNvPicPr>
                  </pic:nvPicPr>
                  <pic:blipFill>
                    <a:blip r:embed="rId55"/>
                    <a:stretch>
                      <a:fillRect/>
                    </a:stretch>
                  </pic:blipFill>
                  <pic:spPr>
                    <a:xfrm>
                      <a:off x="0" y="0"/>
                      <a:ext cx="5273675" cy="5221605"/>
                    </a:xfrm>
                    <a:prstGeom prst="rect">
                      <a:avLst/>
                    </a:prstGeom>
                  </pic:spPr>
                </pic:pic>
              </a:graphicData>
            </a:graphic>
          </wp:inline>
        </w:drawing>
      </w:r>
    </w:p>
    <w:p w14:paraId="7C81CA8A">
      <w:pPr>
        <w:pStyle w:val="5"/>
        <w:numPr>
          <w:ilvl w:val="3"/>
          <w:numId w:val="2"/>
        </w:numPr>
      </w:pPr>
      <w:r>
        <w:rPr>
          <w:rFonts w:hint="eastAsia"/>
        </w:rPr>
        <w:t>工作统计</w:t>
      </w:r>
    </w:p>
    <w:p w14:paraId="3D8637DD">
      <w:pPr>
        <w:ind w:firstLine="480"/>
        <w:rPr>
          <w:rFonts w:hint="default" w:eastAsia="宋体"/>
          <w:lang w:val="en-US" w:eastAsia="zh-CN"/>
        </w:rPr>
      </w:pPr>
      <w:r>
        <w:rPr>
          <w:rFonts w:hint="eastAsia"/>
        </w:rPr>
        <w:t>支持按工作总数、查询比例、完成比例和开展工作单位总数进行统计展示；支持按工作类型分布和单位发布工作排名（T</w:t>
      </w:r>
      <w:r>
        <w:t>OP</w:t>
      </w:r>
      <w:r>
        <w:rPr>
          <w:rFonts w:hint="eastAsia"/>
        </w:rPr>
        <w:t>10）进行统计图形展示；支持专项工作地市统计功能；支持专项工作变化趋势统计功能；</w:t>
      </w:r>
      <w:r>
        <w:rPr>
          <w:rFonts w:hint="eastAsia"/>
          <w:lang w:val="en-US" w:eastAsia="zh-CN"/>
        </w:rPr>
        <w:t>支持自定义报表功能。</w:t>
      </w:r>
    </w:p>
    <w:p w14:paraId="2B94B461">
      <w:pPr>
        <w:ind w:firstLine="480"/>
      </w:pPr>
      <w:r>
        <w:rPr>
          <w:rFonts w:hint="eastAsia"/>
        </w:rPr>
        <w:t>如下图所示：</w:t>
      </w:r>
    </w:p>
    <w:p w14:paraId="20355930">
      <w:pPr>
        <w:ind w:left="0" w:leftChars="0" w:firstLine="0" w:firstLineChars="0"/>
        <w:jc w:val="both"/>
      </w:pPr>
      <w:r>
        <w:drawing>
          <wp:inline distT="0" distB="0" distL="0" distR="0">
            <wp:extent cx="5273675" cy="7775575"/>
            <wp:effectExtent l="0" t="0" r="0" b="0"/>
            <wp:docPr id="726787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87816" name="图片 1"/>
                    <pic:cNvPicPr>
                      <a:picLocks noChangeAspect="1"/>
                    </pic:cNvPicPr>
                  </pic:nvPicPr>
                  <pic:blipFill>
                    <a:blip r:embed="rId56"/>
                    <a:stretch>
                      <a:fillRect/>
                    </a:stretch>
                  </pic:blipFill>
                  <pic:spPr>
                    <a:xfrm>
                      <a:off x="0" y="0"/>
                      <a:ext cx="5273675" cy="7775575"/>
                    </a:xfrm>
                    <a:prstGeom prst="rect">
                      <a:avLst/>
                    </a:prstGeom>
                  </pic:spPr>
                </pic:pic>
              </a:graphicData>
            </a:graphic>
          </wp:inline>
        </w:drawing>
      </w:r>
    </w:p>
    <w:p w14:paraId="7A243FE3">
      <w:pPr>
        <w:ind w:left="0" w:leftChars="0" w:firstLine="0" w:firstLineChars="0"/>
        <w:jc w:val="both"/>
      </w:pPr>
      <w:r>
        <w:drawing>
          <wp:inline distT="0" distB="0" distL="114300" distR="114300">
            <wp:extent cx="5269865" cy="2324735"/>
            <wp:effectExtent l="0" t="0" r="317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7"/>
                    <a:stretch>
                      <a:fillRect/>
                    </a:stretch>
                  </pic:blipFill>
                  <pic:spPr>
                    <a:xfrm>
                      <a:off x="0" y="0"/>
                      <a:ext cx="5269865" cy="2324735"/>
                    </a:xfrm>
                    <a:prstGeom prst="rect">
                      <a:avLst/>
                    </a:prstGeom>
                    <a:noFill/>
                    <a:ln>
                      <a:noFill/>
                    </a:ln>
                  </pic:spPr>
                </pic:pic>
              </a:graphicData>
            </a:graphic>
          </wp:inline>
        </w:drawing>
      </w:r>
    </w:p>
    <w:p w14:paraId="38E1E037">
      <w:pPr>
        <w:pStyle w:val="4"/>
        <w:numPr>
          <w:ilvl w:val="2"/>
          <w:numId w:val="2"/>
        </w:numPr>
        <w:ind w:firstLine="640"/>
        <w:rPr>
          <w:b w:val="0"/>
          <w:bCs w:val="0"/>
        </w:rPr>
      </w:pPr>
      <w:r>
        <w:rPr>
          <w:rFonts w:hint="eastAsia"/>
          <w:b w:val="0"/>
          <w:bCs w:val="0"/>
        </w:rPr>
        <w:t>网络安全检查协同管理</w:t>
      </w:r>
      <w:bookmarkEnd w:id="171"/>
      <w:bookmarkEnd w:id="172"/>
    </w:p>
    <w:p w14:paraId="43B318BE">
      <w:pPr>
        <w:ind w:firstLine="480"/>
      </w:pPr>
      <w:r>
        <w:rPr>
          <w:rFonts w:hint="eastAsia"/>
        </w:rPr>
        <w:t>通过网络安全检查评估管理支撑网络安全主管部门指导网络安全运营单位落实网络安全建设，实现网络安全工作下沉  。通过网络安全统筹指挥模块分析出的安全薄弱环节，制定安全检查要求，形成网络安全建设工作指挥棒，实现以查代管、以查促建的模块，实现快速网络安全工作部署。</w:t>
      </w:r>
    </w:p>
    <w:p w14:paraId="085E1F57">
      <w:pPr>
        <w:ind w:firstLine="480"/>
      </w:pPr>
      <w:r>
        <w:rPr>
          <w:rFonts w:hint="eastAsia"/>
        </w:rPr>
        <w:t>支持根据网信工作不同阶段侧重点，灵活调整相关指标（例如数据安全、供应链等），及时引导各单位有序开展网络安全建设工作，做到网络安全工作快速响应。</w:t>
      </w:r>
    </w:p>
    <w:p w14:paraId="160EFBDF">
      <w:pPr>
        <w:ind w:firstLine="480"/>
      </w:pPr>
      <w:r>
        <w:rPr>
          <w:rFonts w:hint="eastAsia"/>
        </w:rPr>
        <w:t>通过网络安全检查、党委党组责任制检查等工作建立网信部门和党政机关单位的互动机制，通过以查代管、以查促建方式推动各单位有序开展网络安全建设工作。</w:t>
      </w:r>
    </w:p>
    <w:p w14:paraId="6A1BE21A">
      <w:pPr>
        <w:ind w:firstLine="480"/>
      </w:pPr>
      <w:r>
        <w:t>安全</w:t>
      </w:r>
      <w:r>
        <w:rPr>
          <w:rFonts w:hint="eastAsia"/>
        </w:rPr>
        <w:t>检查业务全</w:t>
      </w:r>
      <w:r>
        <w:t>过程可分为</w:t>
      </w:r>
      <w:r>
        <w:rPr>
          <w:rFonts w:hint="eastAsia"/>
        </w:rPr>
        <w:t>四</w:t>
      </w:r>
      <w:r>
        <w:t>个</w:t>
      </w:r>
      <w:r>
        <w:rPr>
          <w:rFonts w:hint="eastAsia"/>
        </w:rPr>
        <w:t>业务</w:t>
      </w:r>
      <w:r>
        <w:t>阶段</w:t>
      </w:r>
      <w:r>
        <w:rPr>
          <w:rFonts w:hint="eastAsia"/>
        </w:rPr>
        <w:t>，</w:t>
      </w:r>
      <w:r>
        <w:t>分别为</w:t>
      </w:r>
      <w:r>
        <w:rPr>
          <w:rFonts w:hint="eastAsia"/>
        </w:rPr>
        <w:t>：检查</w:t>
      </w:r>
      <w:r>
        <w:t>部署阶段、安全自查阶段、</w:t>
      </w:r>
      <w:r>
        <w:rPr>
          <w:rFonts w:hint="eastAsia"/>
        </w:rPr>
        <w:t>现场</w:t>
      </w:r>
      <w:r>
        <w:t>抽查阶段、</w:t>
      </w:r>
      <w:r>
        <w:rPr>
          <w:rFonts w:hint="eastAsia"/>
        </w:rPr>
        <w:t>总结分析</w:t>
      </w:r>
      <w:r>
        <w:t>阶段</w:t>
      </w:r>
      <w:r>
        <w:rPr>
          <w:rFonts w:hint="eastAsia"/>
        </w:rPr>
        <w:t>。业务</w:t>
      </w:r>
      <w:r>
        <w:t>流程中参</w:t>
      </w:r>
      <w:r>
        <w:rPr>
          <w:rFonts w:hint="eastAsia"/>
        </w:rPr>
        <w:t>与</w:t>
      </w:r>
      <w:r>
        <w:t>的工作对象</w:t>
      </w:r>
      <w:r>
        <w:rPr>
          <w:rFonts w:hint="eastAsia"/>
        </w:rPr>
        <w:t>包括：网络</w:t>
      </w:r>
      <w:r>
        <w:t>安全主管部门、技术</w:t>
      </w:r>
      <w:r>
        <w:rPr>
          <w:rFonts w:hint="eastAsia"/>
        </w:rPr>
        <w:t>支撑</w:t>
      </w:r>
      <w:r>
        <w:t>单位、</w:t>
      </w:r>
      <w:r>
        <w:rPr>
          <w:rFonts w:hint="eastAsia"/>
        </w:rPr>
        <w:t>关键信息基础设施运营</w:t>
      </w:r>
      <w:r>
        <w:t>单位。</w:t>
      </w:r>
    </w:p>
    <w:p w14:paraId="71003766">
      <w:pPr>
        <w:ind w:firstLine="480"/>
      </w:pPr>
      <w:r>
        <w:rPr>
          <w:rFonts w:hint="eastAsia"/>
        </w:rPr>
        <w:t>根据国家法律、行政法规和政策文件的要求，结合网络安全工作发展现状和需求，支撑网信部门、网络安全指导监管部门、行业主管监管部门开展组织网络安全检查工作。网络安全检查一般分为</w:t>
      </w:r>
      <w:r>
        <w:t>5</w:t>
      </w:r>
      <w:r>
        <w:rPr>
          <w:rFonts w:hint="eastAsia"/>
        </w:rPr>
        <w:t>个阶段：检查计划、检查部署、自检自查、现场抽查、问题整改。各个阶段参与的工作主体类型包括：网络安全统筹协调部门、网络安全监督管理部门、行业主管监管部门、网络运营单位、技术服务支撑单位。</w:t>
      </w:r>
      <w:r>
        <w:t>具体</w:t>
      </w:r>
      <w:r>
        <w:rPr>
          <w:rFonts w:hint="eastAsia"/>
        </w:rPr>
        <w:t>系统业务流程</w:t>
      </w:r>
      <w:r>
        <w:t>如下图所示</w:t>
      </w:r>
      <w:r>
        <w:rPr>
          <w:rFonts w:hint="eastAsia"/>
        </w:rPr>
        <w:t>：</w:t>
      </w:r>
    </w:p>
    <w:p w14:paraId="1AA53D01">
      <w:pPr>
        <w:ind w:firstLine="0" w:firstLineChars="0"/>
        <w:jc w:val="center"/>
      </w:pPr>
      <w:r>
        <w:drawing>
          <wp:inline distT="0" distB="0" distL="0" distR="0">
            <wp:extent cx="5187950" cy="2907665"/>
            <wp:effectExtent l="0" t="0" r="0" b="698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8"/>
                    <a:stretch>
                      <a:fillRect/>
                    </a:stretch>
                  </pic:blipFill>
                  <pic:spPr>
                    <a:xfrm>
                      <a:off x="0" y="0"/>
                      <a:ext cx="5188146" cy="2908044"/>
                    </a:xfrm>
                    <a:prstGeom prst="rect">
                      <a:avLst/>
                    </a:prstGeom>
                  </pic:spPr>
                </pic:pic>
              </a:graphicData>
            </a:graphic>
          </wp:inline>
        </w:drawing>
      </w:r>
    </w:p>
    <w:p w14:paraId="02BDAD9B">
      <w:pPr>
        <w:ind w:firstLine="0" w:firstLineChars="0"/>
        <w:jc w:val="center"/>
      </w:pPr>
      <w:r>
        <w:t>图</w:t>
      </w:r>
      <w:r>
        <w:rPr>
          <w:rFonts w:hint="eastAsia"/>
        </w:rPr>
        <w:t xml:space="preserve"> 网络安全检查协同模块组成</w:t>
      </w:r>
    </w:p>
    <w:p w14:paraId="36E2983E">
      <w:pPr>
        <w:ind w:firstLine="480"/>
      </w:pPr>
      <w:r>
        <w:rPr>
          <w:rFonts w:hint="eastAsia"/>
        </w:rPr>
        <w:t>本模块主要包括通知管理、安全自查、安全抽查、问题管理等功能。</w:t>
      </w:r>
    </w:p>
    <w:p w14:paraId="47B74EB9">
      <w:pPr>
        <w:pStyle w:val="43"/>
        <w:numPr>
          <w:ilvl w:val="0"/>
          <w:numId w:val="22"/>
        </w:numPr>
        <w:ind w:firstLineChars="0"/>
      </w:pPr>
      <w:r>
        <w:rPr>
          <w:rFonts w:hint="eastAsia"/>
        </w:rPr>
        <w:t>通知管理</w:t>
      </w:r>
    </w:p>
    <w:p w14:paraId="16D10E57">
      <w:pPr>
        <w:ind w:firstLine="480"/>
      </w:pPr>
      <w:r>
        <w:rPr>
          <w:rFonts w:hint="eastAsia"/>
        </w:rPr>
        <w:t>具备发布网络安全检查工作通知功能，把检查要求传达到各州（市）、各行业主管监管部门、网络安全监管部门，指导其组织行业单位开展网络安全自检自查和自评估等工作。</w:t>
      </w:r>
    </w:p>
    <w:p w14:paraId="5BB67017">
      <w:pPr>
        <w:ind w:firstLine="480"/>
      </w:pPr>
      <w:r>
        <w:rPr>
          <w:rFonts w:hint="eastAsia"/>
        </w:rPr>
        <w:t>支持根据要求配置当年网络安全检查工作模板，包括网络安全检查工作指标的制定上传。支持安全检查工作文档查阅。</w:t>
      </w:r>
    </w:p>
    <w:p w14:paraId="1815682D">
      <w:pPr>
        <w:pStyle w:val="43"/>
        <w:numPr>
          <w:ilvl w:val="0"/>
          <w:numId w:val="22"/>
        </w:numPr>
        <w:ind w:firstLineChars="0"/>
      </w:pPr>
      <w:r>
        <w:rPr>
          <w:rFonts w:hint="eastAsia"/>
        </w:rPr>
        <w:t>安全自查</w:t>
      </w:r>
    </w:p>
    <w:p w14:paraId="3B62EEF2">
      <w:pPr>
        <w:ind w:firstLine="480"/>
      </w:pPr>
      <w:r>
        <w:rPr>
          <w:rFonts w:hint="eastAsia"/>
        </w:rPr>
        <w:t>为网络运营单位提供网络安全自查管理功能。网络运营单位根据行业主管监管部门下发的网络安全检查方案及检查指标要求，开展网络安全自查工作，按照要求填报网络安全自查结果信息数据并开展自评分，通过本单位网络安全相关责任人的审核后进行上报。</w:t>
      </w:r>
    </w:p>
    <w:p w14:paraId="25B29338">
      <w:pPr>
        <w:pStyle w:val="43"/>
        <w:numPr>
          <w:ilvl w:val="0"/>
          <w:numId w:val="22"/>
        </w:numPr>
        <w:ind w:firstLineChars="0"/>
      </w:pPr>
      <w:r>
        <w:rPr>
          <w:rFonts w:hint="eastAsia"/>
        </w:rPr>
        <w:t>安全抽查</w:t>
      </w:r>
    </w:p>
    <w:p w14:paraId="3D6A330B">
      <w:pPr>
        <w:overflowPunct w:val="0"/>
        <w:ind w:firstLine="480"/>
        <w:rPr>
          <w:rFonts w:ascii="宋体" w:hAnsi="宋体" w:cs="宋体"/>
        </w:rPr>
      </w:pPr>
      <w:r>
        <w:rPr>
          <w:rFonts w:hint="eastAsia" w:ascii="宋体" w:hAnsi="宋体" w:cs="宋体"/>
        </w:rPr>
        <w:t>为网络安全职能部门（包括统筹协调部门、指导监管部门）和行业主管监管部门提供网络安全联合检查工作支撑。联合检查工作部门可根据网络运营单位开展网络安全自查的工作的完成情况，对网络运营单位开展网络安全抽查工作，预先制定网络安全现场检查计划，与网络运营单位约定现场检查时间，根据计划安排，实施网络安全现场检查。</w:t>
      </w:r>
    </w:p>
    <w:p w14:paraId="7ABB4F1A">
      <w:pPr>
        <w:overflowPunct w:val="0"/>
        <w:ind w:firstLine="480"/>
        <w:rPr>
          <w:rFonts w:ascii="宋体" w:hAnsi="宋体" w:cs="宋体"/>
        </w:rPr>
      </w:pPr>
      <w:r>
        <w:rPr>
          <w:rFonts w:hint="eastAsia" w:ascii="宋体" w:hAnsi="宋体" w:cs="宋体"/>
        </w:rPr>
        <w:t>提供对网络运营单位网络安全检查工作结果的录入，对录入的数据进行检查落实情况的分析评价并评分。支持对检查结果的回溯和文档审阅。</w:t>
      </w:r>
    </w:p>
    <w:p w14:paraId="5150B4C5">
      <w:pPr>
        <w:overflowPunct w:val="0"/>
        <w:ind w:firstLine="480"/>
        <w:rPr>
          <w:rFonts w:ascii="宋体" w:hAnsi="宋体" w:cs="宋体"/>
        </w:rPr>
      </w:pPr>
      <w:r>
        <w:rPr>
          <w:rFonts w:hint="eastAsia" w:ascii="宋体" w:hAnsi="宋体" w:cs="宋体"/>
        </w:rPr>
        <w:t>支持对网络安全抽查的部署，对抽查单位、抽查时间及抽查人员进行指定。</w:t>
      </w:r>
    </w:p>
    <w:p w14:paraId="69EED938">
      <w:pPr>
        <w:pStyle w:val="43"/>
        <w:numPr>
          <w:ilvl w:val="0"/>
          <w:numId w:val="22"/>
        </w:numPr>
        <w:ind w:firstLineChars="0"/>
      </w:pPr>
      <w:r>
        <w:rPr>
          <w:rFonts w:hint="eastAsia"/>
        </w:rPr>
        <w:t>问题管理</w:t>
      </w:r>
    </w:p>
    <w:p w14:paraId="032077AB">
      <w:pPr>
        <w:overflowPunct w:val="0"/>
        <w:ind w:firstLine="480"/>
        <w:rPr>
          <w:rFonts w:ascii="宋体" w:hAnsi="宋体" w:cs="宋体"/>
        </w:rPr>
      </w:pPr>
      <w:r>
        <w:rPr>
          <w:rFonts w:hint="eastAsia" w:ascii="宋体" w:hAnsi="宋体" w:cs="宋体"/>
        </w:rPr>
        <w:t>为网络运营单位提供网络安全检查发现问题的整改管理功能。在实施网络安全检查工作后，网络运营单位结合单位实际和可能存在的安全问题，进行及时整改、跟踪解决。</w:t>
      </w:r>
    </w:p>
    <w:p w14:paraId="60AD1E8C">
      <w:pPr>
        <w:overflowPunct w:val="0"/>
        <w:ind w:firstLine="480"/>
        <w:rPr>
          <w:rFonts w:ascii="宋体" w:hAnsi="宋体" w:cs="宋体"/>
        </w:rPr>
      </w:pPr>
      <w:r>
        <w:rPr>
          <w:rFonts w:hint="eastAsia" w:ascii="宋体" w:hAnsi="宋体" w:cs="宋体"/>
        </w:rPr>
        <w:t>支持将检查中发现的问题发送至网络运营单位及其行业主管部门。支持网络运营单位对下发问题的处理，录入处理结果。</w:t>
      </w:r>
    </w:p>
    <w:p w14:paraId="4271BF10">
      <w:pPr>
        <w:pStyle w:val="5"/>
        <w:numPr>
          <w:ilvl w:val="3"/>
          <w:numId w:val="2"/>
        </w:numPr>
        <w:rPr>
          <w:b w:val="0"/>
          <w:bCs w:val="0"/>
        </w:rPr>
      </w:pPr>
      <w:bookmarkStart w:id="173" w:name="_Toc104633527"/>
      <w:r>
        <w:rPr>
          <w:rFonts w:hint="eastAsia"/>
          <w:b w:val="0"/>
          <w:bCs w:val="0"/>
        </w:rPr>
        <w:t>通知管理</w:t>
      </w:r>
      <w:bookmarkEnd w:id="173"/>
    </w:p>
    <w:p w14:paraId="59DA0FEB">
      <w:pPr>
        <w:ind w:firstLine="480"/>
      </w:pPr>
      <w:r>
        <w:rPr>
          <w:rFonts w:hint="eastAsia"/>
        </w:rPr>
        <w:t>提供网络安全检查工作通知发布功能，把网络安全检查工作内容传达到各网络运营单位，各网络运营单位根据上级领导部门下发的安全检查通知要求，积极开展单位安全自查工作。</w:t>
      </w:r>
    </w:p>
    <w:p w14:paraId="254EF3AE">
      <w:pPr>
        <w:widowControl/>
        <w:numPr>
          <w:ilvl w:val="0"/>
          <w:numId w:val="23"/>
        </w:numPr>
        <w:ind w:firstLine="480"/>
        <w:jc w:val="left"/>
        <w:rPr>
          <w:rFonts w:cs="Arial" w:asciiTheme="minorEastAsia" w:hAnsiTheme="minorEastAsia" w:eastAsiaTheme="minorEastAsia"/>
          <w:vanish/>
          <w:color w:val="000000"/>
          <w:kern w:val="0"/>
          <w:szCs w:val="28"/>
        </w:rPr>
      </w:pPr>
    </w:p>
    <w:p w14:paraId="294A0870">
      <w:pPr>
        <w:widowControl/>
        <w:numPr>
          <w:ilvl w:val="0"/>
          <w:numId w:val="23"/>
        </w:numPr>
        <w:ind w:firstLine="480"/>
        <w:jc w:val="left"/>
        <w:rPr>
          <w:rFonts w:cs="Arial" w:asciiTheme="minorEastAsia" w:hAnsiTheme="minorEastAsia" w:eastAsiaTheme="minorEastAsia"/>
          <w:vanish/>
          <w:color w:val="000000"/>
          <w:kern w:val="0"/>
          <w:szCs w:val="28"/>
        </w:rPr>
      </w:pPr>
    </w:p>
    <w:p w14:paraId="6484E527">
      <w:pPr>
        <w:widowControl/>
        <w:numPr>
          <w:ilvl w:val="1"/>
          <w:numId w:val="23"/>
        </w:numPr>
        <w:ind w:firstLine="480"/>
        <w:jc w:val="left"/>
        <w:rPr>
          <w:rFonts w:cs="Arial" w:asciiTheme="minorEastAsia" w:hAnsiTheme="minorEastAsia" w:eastAsiaTheme="minorEastAsia"/>
          <w:vanish/>
          <w:color w:val="000000"/>
          <w:kern w:val="0"/>
          <w:szCs w:val="28"/>
        </w:rPr>
      </w:pPr>
    </w:p>
    <w:p w14:paraId="0BFF4BD1">
      <w:pPr>
        <w:pStyle w:val="43"/>
        <w:numPr>
          <w:ilvl w:val="0"/>
          <w:numId w:val="24"/>
        </w:numPr>
        <w:ind w:firstLineChars="0"/>
      </w:pPr>
      <w:r>
        <w:rPr>
          <w:rFonts w:hint="eastAsia"/>
        </w:rPr>
        <w:t>模板配置</w:t>
      </w:r>
    </w:p>
    <w:p w14:paraId="066AC221">
      <w:pPr>
        <w:ind w:firstLine="480"/>
      </w:pPr>
      <w:r>
        <w:rPr>
          <w:rFonts w:hint="eastAsia"/>
        </w:rPr>
        <w:t>支持根据要求配置当年安全检查模板，将准备好的XML格式指标文件上传。</w:t>
      </w:r>
    </w:p>
    <w:p w14:paraId="770646F1">
      <w:pPr>
        <w:pStyle w:val="43"/>
        <w:numPr>
          <w:ilvl w:val="0"/>
          <w:numId w:val="24"/>
        </w:numPr>
        <w:ind w:firstLineChars="0"/>
      </w:pPr>
      <w:r>
        <w:t>通知管理</w:t>
      </w:r>
    </w:p>
    <w:p w14:paraId="08B5E39A">
      <w:pPr>
        <w:ind w:firstLine="480"/>
      </w:pPr>
      <w:r>
        <w:rPr>
          <w:rFonts w:hint="eastAsia"/>
        </w:rPr>
        <w:t>支持网络安全检查工作通知信息创建及发布。</w:t>
      </w:r>
    </w:p>
    <w:p w14:paraId="49D1A0AD">
      <w:pPr>
        <w:pStyle w:val="43"/>
        <w:numPr>
          <w:ilvl w:val="0"/>
          <w:numId w:val="24"/>
        </w:numPr>
        <w:ind w:firstLineChars="0"/>
      </w:pPr>
      <w:r>
        <w:t>通知查阅</w:t>
      </w:r>
    </w:p>
    <w:p w14:paraId="0CD06B27">
      <w:pPr>
        <w:ind w:firstLine="480"/>
      </w:pPr>
      <w:r>
        <w:rPr>
          <w:rFonts w:hint="eastAsia"/>
        </w:rPr>
        <w:t>支持</w:t>
      </w:r>
      <w:r>
        <w:t>各网络运营单位查看下发到本单位的通知。</w:t>
      </w:r>
    </w:p>
    <w:p w14:paraId="1F66FB89">
      <w:pPr>
        <w:widowControl/>
        <w:ind w:firstLine="480"/>
        <w:jc w:val="left"/>
        <w:rPr>
          <w:rFonts w:ascii="仿宋_GB2312" w:hAnsi="宋体" w:eastAsia="仿宋_GB2312" w:cs="Arial"/>
          <w:color w:val="000000"/>
          <w:kern w:val="0"/>
          <w:sz w:val="28"/>
        </w:rPr>
      </w:pPr>
      <w:r>
        <w:drawing>
          <wp:inline distT="0" distB="0" distL="0" distR="0">
            <wp:extent cx="5274310" cy="38290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9"/>
                    <a:stretch>
                      <a:fillRect/>
                    </a:stretch>
                  </pic:blipFill>
                  <pic:spPr>
                    <a:xfrm>
                      <a:off x="0" y="0"/>
                      <a:ext cx="5274310" cy="3829050"/>
                    </a:xfrm>
                    <a:prstGeom prst="rect">
                      <a:avLst/>
                    </a:prstGeom>
                  </pic:spPr>
                </pic:pic>
              </a:graphicData>
            </a:graphic>
          </wp:inline>
        </w:drawing>
      </w:r>
    </w:p>
    <w:p w14:paraId="47DE7F2A">
      <w:pPr>
        <w:ind w:firstLine="0" w:firstLineChars="0"/>
        <w:jc w:val="center"/>
      </w:pPr>
      <w:r>
        <w:rPr>
          <w:rFonts w:hint="eastAsia"/>
        </w:rPr>
        <w:t>检查通知发布界面</w:t>
      </w:r>
    </w:p>
    <w:p w14:paraId="39C4D769">
      <w:pPr>
        <w:pStyle w:val="5"/>
        <w:numPr>
          <w:ilvl w:val="3"/>
          <w:numId w:val="2"/>
        </w:numPr>
        <w:rPr>
          <w:b w:val="0"/>
          <w:bCs w:val="0"/>
        </w:rPr>
      </w:pPr>
      <w:bookmarkStart w:id="174" w:name="_Toc104633528"/>
      <w:r>
        <w:rPr>
          <w:rFonts w:hint="eastAsia"/>
          <w:b w:val="0"/>
          <w:bCs w:val="0"/>
        </w:rPr>
        <w:t>安全自查</w:t>
      </w:r>
      <w:bookmarkEnd w:id="174"/>
    </w:p>
    <w:p w14:paraId="08C66816">
      <w:pPr>
        <w:ind w:firstLine="480"/>
      </w:pPr>
      <w:r>
        <w:rPr>
          <w:rFonts w:hint="eastAsia"/>
        </w:rPr>
        <w:t>为网络运营单位提供网络安全自查管理功能。各网络运营单位根据网络安全主管部门下发的网络安全检查方案及检查指标要求，在单位实施网络安全自查工作，并对网络安全自查的结果如实填报，通过单位审核后进行上报。</w:t>
      </w:r>
    </w:p>
    <w:p w14:paraId="67D0F5FF">
      <w:pPr>
        <w:pStyle w:val="43"/>
        <w:numPr>
          <w:ilvl w:val="0"/>
          <w:numId w:val="25"/>
        </w:numPr>
        <w:ind w:firstLineChars="0"/>
      </w:pPr>
      <w:r>
        <w:rPr>
          <w:rFonts w:hint="eastAsia"/>
        </w:rPr>
        <w:t>自查结果录入</w:t>
      </w:r>
    </w:p>
    <w:p w14:paraId="644D60F9">
      <w:pPr>
        <w:ind w:firstLine="480"/>
      </w:pPr>
      <w:r>
        <w:rPr>
          <w:rFonts w:hint="eastAsia"/>
        </w:rPr>
        <w:t>支持各网络运营单位网络安全自查结果填报。</w:t>
      </w:r>
    </w:p>
    <w:p w14:paraId="27AA16A3">
      <w:pPr>
        <w:pStyle w:val="43"/>
        <w:numPr>
          <w:ilvl w:val="0"/>
          <w:numId w:val="25"/>
        </w:numPr>
        <w:ind w:firstLineChars="0"/>
      </w:pPr>
      <w:r>
        <w:t>自查结果审批</w:t>
      </w:r>
    </w:p>
    <w:p w14:paraId="25C55A96">
      <w:pPr>
        <w:ind w:firstLine="480"/>
      </w:pPr>
      <w:r>
        <w:rPr>
          <w:rFonts w:hint="eastAsia"/>
        </w:rPr>
        <w:t>支持各网络运营单位自查结果审批及上报。</w:t>
      </w:r>
    </w:p>
    <w:p w14:paraId="7C9E123E">
      <w:pPr>
        <w:widowControl/>
        <w:spacing w:after="100" w:afterAutospacing="1"/>
        <w:ind w:firstLine="480"/>
        <w:rPr>
          <w:rFonts w:ascii="仿宋" w:hAnsi="仿宋" w:eastAsia="仿宋" w:cs="Arial"/>
          <w:color w:val="000000"/>
          <w:kern w:val="0"/>
          <w:sz w:val="28"/>
        </w:rPr>
      </w:pPr>
      <w:r>
        <w:drawing>
          <wp:inline distT="0" distB="0" distL="0" distR="0">
            <wp:extent cx="5274310" cy="26035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0"/>
                    <a:stretch>
                      <a:fillRect/>
                    </a:stretch>
                  </pic:blipFill>
                  <pic:spPr>
                    <a:xfrm>
                      <a:off x="0" y="0"/>
                      <a:ext cx="5274310" cy="2603500"/>
                    </a:xfrm>
                    <a:prstGeom prst="rect">
                      <a:avLst/>
                    </a:prstGeom>
                  </pic:spPr>
                </pic:pic>
              </a:graphicData>
            </a:graphic>
          </wp:inline>
        </w:drawing>
      </w:r>
    </w:p>
    <w:p w14:paraId="2D6CF865">
      <w:pPr>
        <w:ind w:firstLine="0" w:firstLineChars="0"/>
        <w:jc w:val="center"/>
      </w:pPr>
      <w:r>
        <w:rPr>
          <w:rFonts w:hint="eastAsia"/>
        </w:rPr>
        <w:t>自查跟踪</w:t>
      </w:r>
    </w:p>
    <w:p w14:paraId="654D26D0">
      <w:pPr>
        <w:widowControl/>
        <w:ind w:firstLine="480"/>
        <w:jc w:val="left"/>
        <w:rPr>
          <w:rFonts w:ascii="仿宋_GB2312" w:hAnsi="宋体" w:eastAsia="仿宋_GB2312" w:cs="Arial"/>
          <w:color w:val="000000"/>
          <w:kern w:val="0"/>
          <w:sz w:val="28"/>
        </w:rPr>
      </w:pPr>
      <w:r>
        <w:drawing>
          <wp:inline distT="0" distB="0" distL="0" distR="0">
            <wp:extent cx="5274310" cy="30486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1"/>
                    <a:stretch>
                      <a:fillRect/>
                    </a:stretch>
                  </pic:blipFill>
                  <pic:spPr>
                    <a:xfrm>
                      <a:off x="0" y="0"/>
                      <a:ext cx="5274310" cy="3048635"/>
                    </a:xfrm>
                    <a:prstGeom prst="rect">
                      <a:avLst/>
                    </a:prstGeom>
                  </pic:spPr>
                </pic:pic>
              </a:graphicData>
            </a:graphic>
          </wp:inline>
        </w:drawing>
      </w:r>
    </w:p>
    <w:p w14:paraId="19F9AC3D">
      <w:pPr>
        <w:ind w:firstLine="0" w:firstLineChars="0"/>
        <w:jc w:val="center"/>
      </w:pPr>
      <w:r>
        <w:rPr>
          <w:rFonts w:hint="eastAsia"/>
        </w:rPr>
        <w:t>自查录入界面</w:t>
      </w:r>
    </w:p>
    <w:p w14:paraId="7309B159">
      <w:pPr>
        <w:pStyle w:val="5"/>
        <w:numPr>
          <w:ilvl w:val="3"/>
          <w:numId w:val="2"/>
        </w:numPr>
        <w:rPr>
          <w:b w:val="0"/>
          <w:bCs w:val="0"/>
        </w:rPr>
      </w:pPr>
      <w:bookmarkStart w:id="175" w:name="_Toc104633529"/>
      <w:r>
        <w:rPr>
          <w:rFonts w:hint="eastAsia"/>
          <w:b w:val="0"/>
          <w:bCs w:val="0"/>
        </w:rPr>
        <w:t>安全抽查</w:t>
      </w:r>
      <w:bookmarkEnd w:id="175"/>
    </w:p>
    <w:p w14:paraId="3FBB594E">
      <w:pPr>
        <w:ind w:firstLine="480"/>
      </w:pPr>
      <w:r>
        <w:rPr>
          <w:rFonts w:hint="eastAsia"/>
        </w:rPr>
        <w:t>为网络安全主管部门（同时支持多个部门联合）提供网络安全联合现场检查工作支撑。网络安全主管部门可根据网络运营单位网络安全自查工作完成情况，对网络运营单位开展网络安全抽查工作，通过预先制定网络安全检查计划，与各网络运营单位约定现场检查时间，然后根据计划到网络运营单位进行落实网络安全现场检查工作。</w:t>
      </w:r>
    </w:p>
    <w:p w14:paraId="575D35FA">
      <w:pPr>
        <w:ind w:firstLine="480"/>
      </w:pPr>
      <w:r>
        <w:rPr>
          <w:rFonts w:hint="eastAsia"/>
        </w:rPr>
        <w:t>同时提供检查结果录入功能。通过对各网络运营单位的网络安全检查工作结果进行录入，对党政机关的网络安全检查落实情况进行全面分析和评价，有效地保障网络安全检查工作的推动和落实，逐步提升网络运营单位网络安全建设水平。</w:t>
      </w:r>
    </w:p>
    <w:p w14:paraId="6FA8B65E">
      <w:pPr>
        <w:pStyle w:val="43"/>
        <w:numPr>
          <w:ilvl w:val="0"/>
          <w:numId w:val="26"/>
        </w:numPr>
        <w:ind w:firstLineChars="0"/>
      </w:pPr>
      <w:r>
        <w:rPr>
          <w:rFonts w:hint="eastAsia"/>
        </w:rPr>
        <w:t>抽查工作分配</w:t>
      </w:r>
    </w:p>
    <w:p w14:paraId="5E43BE15">
      <w:pPr>
        <w:ind w:firstLine="480"/>
      </w:pPr>
      <w:r>
        <w:rPr>
          <w:rFonts w:hint="eastAsia"/>
        </w:rPr>
        <w:t>支持对网络安全抽查部署工作，对抽查的单位、时间及人员进行制定。</w:t>
      </w:r>
    </w:p>
    <w:p w14:paraId="0AD318E5">
      <w:pPr>
        <w:pStyle w:val="43"/>
        <w:numPr>
          <w:ilvl w:val="0"/>
          <w:numId w:val="26"/>
        </w:numPr>
        <w:ind w:firstLineChars="0"/>
      </w:pPr>
      <w:r>
        <w:t>抽查结果录入</w:t>
      </w:r>
    </w:p>
    <w:p w14:paraId="343A5AA7">
      <w:pPr>
        <w:ind w:firstLine="480"/>
      </w:pPr>
      <w:r>
        <w:rPr>
          <w:rFonts w:hint="eastAsia"/>
        </w:rPr>
        <w:t>支持网络安全现场检查结果填报。</w:t>
      </w:r>
    </w:p>
    <w:p w14:paraId="79B2084E">
      <w:pPr>
        <w:widowControl/>
        <w:ind w:firstLine="560"/>
        <w:jc w:val="left"/>
        <w:rPr>
          <w:rFonts w:ascii="仿宋_GB2312" w:hAnsi="宋体" w:eastAsia="仿宋_GB2312" w:cs="Arial"/>
          <w:color w:val="000000"/>
          <w:kern w:val="0"/>
          <w:sz w:val="28"/>
          <w:szCs w:val="28"/>
        </w:rPr>
      </w:pPr>
      <w:r>
        <w:rPr>
          <w:sz w:val="28"/>
          <w:szCs w:val="28"/>
        </w:rPr>
        <w:drawing>
          <wp:inline distT="0" distB="0" distL="0" distR="0">
            <wp:extent cx="5274310" cy="36595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2"/>
                    <a:stretch>
                      <a:fillRect/>
                    </a:stretch>
                  </pic:blipFill>
                  <pic:spPr>
                    <a:xfrm>
                      <a:off x="0" y="0"/>
                      <a:ext cx="5274310" cy="3659505"/>
                    </a:xfrm>
                    <a:prstGeom prst="rect">
                      <a:avLst/>
                    </a:prstGeom>
                  </pic:spPr>
                </pic:pic>
              </a:graphicData>
            </a:graphic>
          </wp:inline>
        </w:drawing>
      </w:r>
    </w:p>
    <w:p w14:paraId="577EEB23">
      <w:pPr>
        <w:ind w:firstLine="0" w:firstLineChars="0"/>
        <w:jc w:val="center"/>
      </w:pPr>
      <w:r>
        <w:rPr>
          <w:rFonts w:hint="eastAsia"/>
        </w:rPr>
        <w:t>创建抽查任务界面</w:t>
      </w:r>
    </w:p>
    <w:p w14:paraId="7CD9FF05">
      <w:pPr>
        <w:pStyle w:val="5"/>
        <w:numPr>
          <w:ilvl w:val="3"/>
          <w:numId w:val="2"/>
        </w:numPr>
        <w:rPr>
          <w:b w:val="0"/>
          <w:bCs w:val="0"/>
        </w:rPr>
      </w:pPr>
      <w:bookmarkStart w:id="176" w:name="_Toc104633530"/>
      <w:r>
        <w:rPr>
          <w:b w:val="0"/>
          <w:bCs w:val="0"/>
        </w:rPr>
        <w:t>问题管理</w:t>
      </w:r>
      <w:bookmarkEnd w:id="176"/>
    </w:p>
    <w:p w14:paraId="3DBFC22D">
      <w:pPr>
        <w:ind w:firstLine="480"/>
      </w:pPr>
      <w:r>
        <w:rPr>
          <w:rFonts w:hint="eastAsia"/>
        </w:rPr>
        <w:t>为网络运营单位提供网络安全检查问题整改管理功能。各网络运营单位在实施网络安全检查工作后，根据单位实际情况可能存在各种类型的安全问题，因此，需对单位存在的安全问题进行及时整改及后续不断跟踪落实解决。</w:t>
      </w:r>
    </w:p>
    <w:p w14:paraId="53E4A1D5">
      <w:pPr>
        <w:pStyle w:val="43"/>
        <w:numPr>
          <w:ilvl w:val="0"/>
          <w:numId w:val="27"/>
        </w:numPr>
        <w:ind w:firstLineChars="0"/>
      </w:pPr>
      <w:r>
        <w:rPr>
          <w:rFonts w:hint="eastAsia"/>
        </w:rPr>
        <w:t>整改问题下发</w:t>
      </w:r>
    </w:p>
    <w:p w14:paraId="4AB1EBBE">
      <w:pPr>
        <w:ind w:firstLine="480"/>
      </w:pPr>
      <w:r>
        <w:rPr>
          <w:rFonts w:hint="eastAsia"/>
        </w:rPr>
        <w:t>支持</w:t>
      </w:r>
      <w:r>
        <w:t>对安全检查工作中出现的问题项进行批量下发至各网络运营单位。</w:t>
      </w:r>
    </w:p>
    <w:p w14:paraId="232F2D83">
      <w:pPr>
        <w:pStyle w:val="43"/>
        <w:numPr>
          <w:ilvl w:val="0"/>
          <w:numId w:val="27"/>
        </w:numPr>
        <w:ind w:firstLineChars="0"/>
      </w:pPr>
      <w:r>
        <w:rPr>
          <w:rFonts w:hint="eastAsia"/>
        </w:rPr>
        <w:t>处理结果录入</w:t>
      </w:r>
    </w:p>
    <w:p w14:paraId="574954EC">
      <w:pPr>
        <w:ind w:firstLine="480"/>
      </w:pPr>
      <w:r>
        <w:rPr>
          <w:rFonts w:hint="eastAsia"/>
        </w:rPr>
        <w:t>支持</w:t>
      </w:r>
      <w:r>
        <w:t>各网络运营单位对下发的整改问题进行处理，并录入处理结果。</w:t>
      </w:r>
    </w:p>
    <w:p w14:paraId="389A7EAA">
      <w:pPr>
        <w:widowControl/>
        <w:ind w:firstLine="560"/>
        <w:jc w:val="left"/>
        <w:rPr>
          <w:rFonts w:ascii="仿宋_GB2312" w:hAnsi="宋体" w:eastAsia="仿宋_GB2312" w:cs="Arial"/>
          <w:color w:val="000000"/>
          <w:kern w:val="0"/>
          <w:sz w:val="28"/>
          <w:szCs w:val="28"/>
        </w:rPr>
      </w:pPr>
      <w:r>
        <w:rPr>
          <w:rFonts w:ascii="仿宋_GB2312" w:hAnsi="宋体" w:eastAsia="仿宋_GB2312" w:cs="Arial"/>
          <w:color w:val="000000"/>
          <w:kern w:val="0"/>
          <w:sz w:val="28"/>
          <w:szCs w:val="28"/>
        </w:rPr>
        <w:drawing>
          <wp:inline distT="0" distB="0" distL="0" distR="0">
            <wp:extent cx="5274310" cy="2511425"/>
            <wp:effectExtent l="0" t="0" r="2540" b="3175"/>
            <wp:docPr id="37" name="图片 37" descr="C:\Users\FLY\AppData\Local\Temp\1564131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FLY\AppData\Local\Temp\1564131024(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2511576"/>
                    </a:xfrm>
                    <a:prstGeom prst="rect">
                      <a:avLst/>
                    </a:prstGeom>
                    <a:noFill/>
                    <a:ln>
                      <a:noFill/>
                    </a:ln>
                  </pic:spPr>
                </pic:pic>
              </a:graphicData>
            </a:graphic>
          </wp:inline>
        </w:drawing>
      </w:r>
    </w:p>
    <w:p w14:paraId="4D06BFC1">
      <w:pPr>
        <w:ind w:firstLine="0" w:firstLineChars="0"/>
        <w:jc w:val="center"/>
      </w:pPr>
      <w:r>
        <w:t>问题下发</w:t>
      </w:r>
    </w:p>
    <w:p w14:paraId="6078676B">
      <w:pPr>
        <w:pStyle w:val="4"/>
        <w:numPr>
          <w:ilvl w:val="2"/>
          <w:numId w:val="2"/>
        </w:numPr>
        <w:rPr>
          <w:b w:val="0"/>
          <w:bCs w:val="0"/>
        </w:rPr>
      </w:pPr>
      <w:bookmarkStart w:id="177" w:name="_Toc77254994"/>
      <w:bookmarkStart w:id="178" w:name="_Toc35504573"/>
      <w:bookmarkStart w:id="179" w:name="_Toc104633531"/>
      <w:bookmarkStart w:id="180" w:name="_Toc130227035"/>
      <w:r>
        <w:rPr>
          <w:rFonts w:hint="eastAsia"/>
          <w:b w:val="0"/>
          <w:bCs w:val="0"/>
        </w:rPr>
        <w:t>指标配置管理</w:t>
      </w:r>
      <w:bookmarkEnd w:id="177"/>
      <w:bookmarkEnd w:id="178"/>
      <w:bookmarkEnd w:id="179"/>
      <w:bookmarkEnd w:id="180"/>
    </w:p>
    <w:p w14:paraId="44C326C1">
      <w:pPr>
        <w:ind w:firstLine="480"/>
      </w:pPr>
      <w:r>
        <w:rPr>
          <w:rFonts w:hint="eastAsia"/>
        </w:rPr>
        <w:t>网络安全工作是一项系统性、循序渐进的工作，安全体系能够帮助网络安全主管部门建立符合本省市实际情况的网络安全总体框架，安全体系也可以根据需求提供一套经过多年实践总结出来的初始化的安全框架，便于网络安全主管部门快速开展工作。网络安全主管部门也可以按照新的国家政策法规、新的安全形势的要求，对安全框架进行更新维护，为开展网络安全统筹工作提供基础支撑。</w:t>
      </w:r>
    </w:p>
    <w:p w14:paraId="18D1B444">
      <w:pPr>
        <w:pStyle w:val="5"/>
        <w:numPr>
          <w:ilvl w:val="3"/>
          <w:numId w:val="2"/>
        </w:numPr>
        <w:rPr>
          <w:b w:val="0"/>
          <w:bCs w:val="0"/>
        </w:rPr>
      </w:pPr>
      <w:bookmarkStart w:id="181" w:name="_Toc104633532"/>
      <w:r>
        <w:rPr>
          <w:rFonts w:hint="eastAsia"/>
          <w:b w:val="0"/>
          <w:bCs w:val="0"/>
        </w:rPr>
        <w:t>安全框架配置</w:t>
      </w:r>
      <w:bookmarkEnd w:id="181"/>
    </w:p>
    <w:p w14:paraId="0011749A">
      <w:pPr>
        <w:ind w:firstLine="480"/>
      </w:pPr>
      <w:r>
        <w:rPr>
          <w:rFonts w:hint="eastAsia"/>
        </w:rPr>
        <w:t>提供网络安全主管单位建立安全体系、配置安全框架、配置指标及其指标内容，还支持建立指标评价模型。</w:t>
      </w:r>
    </w:p>
    <w:p w14:paraId="3E6F8DF3">
      <w:pPr>
        <w:ind w:firstLine="480"/>
      </w:pPr>
      <w:r>
        <w:rPr>
          <w:rFonts w:hint="eastAsia"/>
        </w:rPr>
        <w:t>支持安全体系的创建及更新；</w:t>
      </w:r>
    </w:p>
    <w:p w14:paraId="0C6D73B5">
      <w:pPr>
        <w:ind w:firstLine="480"/>
      </w:pPr>
      <w:r>
        <w:rPr>
          <w:rFonts w:hint="eastAsia"/>
        </w:rPr>
        <w:t>支持指标框架的建立，可以自定义安全框架类别；</w:t>
      </w:r>
    </w:p>
    <w:p w14:paraId="07DD973F">
      <w:pPr>
        <w:ind w:firstLine="480"/>
      </w:pPr>
      <w:r>
        <w:rPr>
          <w:rFonts w:hint="eastAsia"/>
        </w:rPr>
        <w:t>支持指标内容的创建，包括指标的填写要求、填写依据等；</w:t>
      </w:r>
    </w:p>
    <w:p w14:paraId="7FA39448">
      <w:pPr>
        <w:ind w:firstLine="480"/>
      </w:pPr>
      <w:r>
        <w:rPr>
          <w:rFonts w:hint="eastAsia"/>
        </w:rPr>
        <w:t>支持安全评价标准的配置，可以按照主管部门的要求确定评价依据及标准。</w:t>
      </w:r>
    </w:p>
    <w:p w14:paraId="3BFE3C70">
      <w:pPr>
        <w:ind w:firstLine="480"/>
      </w:pPr>
      <w:r>
        <w:rPr>
          <w:rFonts w:hint="eastAsia"/>
        </w:rPr>
        <w:t>效果示意图如下：</w:t>
      </w:r>
    </w:p>
    <w:p w14:paraId="409F9E3C">
      <w:pPr>
        <w:ind w:firstLine="560"/>
        <w:rPr>
          <w:sz w:val="28"/>
          <w:szCs w:val="28"/>
          <w:lang w:val="zh-CN"/>
        </w:rPr>
      </w:pPr>
      <w:r>
        <w:rPr>
          <w:sz w:val="28"/>
          <w:szCs w:val="28"/>
        </w:rPr>
        <w:drawing>
          <wp:inline distT="0" distB="0" distL="0" distR="0">
            <wp:extent cx="5505450" cy="25241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512788" cy="2527401"/>
                    </a:xfrm>
                    <a:prstGeom prst="rect">
                      <a:avLst/>
                    </a:prstGeom>
                    <a:noFill/>
                    <a:ln>
                      <a:noFill/>
                    </a:ln>
                  </pic:spPr>
                </pic:pic>
              </a:graphicData>
            </a:graphic>
          </wp:inline>
        </w:drawing>
      </w:r>
    </w:p>
    <w:p w14:paraId="65C9875E">
      <w:pPr>
        <w:ind w:firstLine="480"/>
        <w:jc w:val="center"/>
      </w:pPr>
      <w:r>
        <w:rPr>
          <w:rFonts w:hint="eastAsia"/>
        </w:rPr>
        <w:t>安全体系管理界面</w:t>
      </w:r>
    </w:p>
    <w:p w14:paraId="779F12AB">
      <w:pPr>
        <w:ind w:firstLine="560"/>
        <w:jc w:val="center"/>
        <w:rPr>
          <w:sz w:val="28"/>
          <w:szCs w:val="28"/>
          <w:lang w:val="zh-CN"/>
        </w:rPr>
      </w:pPr>
      <w:r>
        <w:rPr>
          <w:sz w:val="28"/>
          <w:szCs w:val="28"/>
        </w:rPr>
        <w:drawing>
          <wp:inline distT="0" distB="0" distL="0" distR="0">
            <wp:extent cx="5502910" cy="2514600"/>
            <wp:effectExtent l="0" t="0" r="2540" b="0"/>
            <wp:docPr id="27" name="图片 27" descr="1563330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6333069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513463" cy="2519229"/>
                    </a:xfrm>
                    <a:prstGeom prst="rect">
                      <a:avLst/>
                    </a:prstGeom>
                    <a:noFill/>
                    <a:ln>
                      <a:noFill/>
                    </a:ln>
                  </pic:spPr>
                </pic:pic>
              </a:graphicData>
            </a:graphic>
          </wp:inline>
        </w:drawing>
      </w:r>
    </w:p>
    <w:p w14:paraId="6F84B8E7">
      <w:pPr>
        <w:ind w:firstLine="0" w:firstLineChars="0"/>
        <w:jc w:val="center"/>
      </w:pPr>
      <w:r>
        <w:rPr>
          <w:rFonts w:hint="eastAsia"/>
        </w:rPr>
        <w:t>安全框架管理界面</w:t>
      </w:r>
    </w:p>
    <w:p w14:paraId="79F4E0C9">
      <w:pPr>
        <w:ind w:firstLine="560"/>
        <w:jc w:val="center"/>
        <w:rPr>
          <w:sz w:val="28"/>
          <w:szCs w:val="28"/>
          <w:lang w:val="zh-CN"/>
        </w:rPr>
      </w:pPr>
      <w:r>
        <w:rPr>
          <w:sz w:val="28"/>
          <w:szCs w:val="28"/>
        </w:rPr>
        <w:drawing>
          <wp:inline distT="0" distB="0" distL="0" distR="0">
            <wp:extent cx="5427345" cy="2438400"/>
            <wp:effectExtent l="0" t="0" r="1905" b="0"/>
            <wp:docPr id="26" name="图片 26" descr="1563330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6333074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431352" cy="2439931"/>
                    </a:xfrm>
                    <a:prstGeom prst="rect">
                      <a:avLst/>
                    </a:prstGeom>
                    <a:noFill/>
                    <a:ln>
                      <a:noFill/>
                    </a:ln>
                  </pic:spPr>
                </pic:pic>
              </a:graphicData>
            </a:graphic>
          </wp:inline>
        </w:drawing>
      </w:r>
    </w:p>
    <w:p w14:paraId="6830C60C">
      <w:pPr>
        <w:ind w:firstLine="0" w:firstLineChars="0"/>
        <w:jc w:val="center"/>
      </w:pPr>
      <w:r>
        <w:rPr>
          <w:rFonts w:hint="eastAsia"/>
        </w:rPr>
        <w:t>安全评价管理界面</w:t>
      </w:r>
    </w:p>
    <w:p w14:paraId="36E8C729">
      <w:pPr>
        <w:pStyle w:val="5"/>
        <w:numPr>
          <w:ilvl w:val="3"/>
          <w:numId w:val="2"/>
        </w:numPr>
        <w:rPr>
          <w:b w:val="0"/>
          <w:bCs w:val="0"/>
        </w:rPr>
      </w:pPr>
      <w:bookmarkStart w:id="182" w:name="_Toc104633533"/>
      <w:r>
        <w:rPr>
          <w:rFonts w:hint="eastAsia"/>
          <w:b w:val="0"/>
          <w:bCs w:val="0"/>
        </w:rPr>
        <w:t>网络安全模板管理</w:t>
      </w:r>
      <w:bookmarkEnd w:id="182"/>
    </w:p>
    <w:p w14:paraId="5EC290EC">
      <w:pPr>
        <w:ind w:firstLine="480"/>
      </w:pPr>
      <w:r>
        <w:rPr>
          <w:rFonts w:hint="eastAsia"/>
        </w:rPr>
        <w:t>提供网络安全主管单位按照已经建立的安全体系创建安全检查模板、创建关键信息基础设施资产模板，并可以对模板进行配置、更新等操作，支撑安全工作的有效开展。</w:t>
      </w:r>
    </w:p>
    <w:p w14:paraId="0D01A0A2">
      <w:pPr>
        <w:ind w:firstLine="480"/>
      </w:pPr>
      <w:r>
        <w:rPr>
          <w:rFonts w:hint="eastAsia"/>
        </w:rPr>
        <w:t>效果示意图如下：</w:t>
      </w:r>
    </w:p>
    <w:p w14:paraId="47157A6C">
      <w:pPr>
        <w:ind w:firstLine="560"/>
        <w:rPr>
          <w:rFonts w:ascii="宋体" w:hAnsi="宋体"/>
          <w:sz w:val="28"/>
          <w:szCs w:val="28"/>
          <w:lang w:val="zh-CN"/>
        </w:rPr>
      </w:pPr>
      <w:r>
        <w:rPr>
          <w:rFonts w:ascii="宋体" w:hAnsi="宋体"/>
          <w:sz w:val="28"/>
          <w:szCs w:val="28"/>
        </w:rPr>
        <w:drawing>
          <wp:inline distT="0" distB="0" distL="0" distR="0">
            <wp:extent cx="5391785" cy="2667000"/>
            <wp:effectExtent l="0" t="0" r="0" b="0"/>
            <wp:docPr id="25" name="图片 25" descr="1563330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333095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401868" cy="2671891"/>
                    </a:xfrm>
                    <a:prstGeom prst="rect">
                      <a:avLst/>
                    </a:prstGeom>
                    <a:noFill/>
                    <a:ln>
                      <a:noFill/>
                    </a:ln>
                  </pic:spPr>
                </pic:pic>
              </a:graphicData>
            </a:graphic>
          </wp:inline>
        </w:drawing>
      </w:r>
    </w:p>
    <w:p w14:paraId="0A8BFDCE">
      <w:pPr>
        <w:ind w:firstLine="0" w:firstLineChars="0"/>
        <w:jc w:val="center"/>
      </w:pPr>
      <w:r>
        <w:rPr>
          <w:rFonts w:hint="eastAsia"/>
        </w:rPr>
        <w:t>模板管理界面</w:t>
      </w:r>
    </w:p>
    <w:p w14:paraId="1956692F">
      <w:pPr>
        <w:ind w:firstLine="560"/>
        <w:rPr>
          <w:rFonts w:ascii="宋体" w:hAnsi="宋体"/>
          <w:sz w:val="28"/>
          <w:szCs w:val="28"/>
          <w:lang w:val="zh-CN"/>
        </w:rPr>
      </w:pPr>
      <w:r>
        <w:rPr>
          <w:rFonts w:ascii="宋体" w:hAnsi="宋体"/>
          <w:sz w:val="28"/>
          <w:szCs w:val="28"/>
        </w:rPr>
        <w:drawing>
          <wp:inline distT="0" distB="0" distL="0" distR="0">
            <wp:extent cx="5305425" cy="2358390"/>
            <wp:effectExtent l="0" t="0" r="0" b="3810"/>
            <wp:docPr id="23" name="图片 23" descr="156333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6333102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316246" cy="2363685"/>
                    </a:xfrm>
                    <a:prstGeom prst="rect">
                      <a:avLst/>
                    </a:prstGeom>
                    <a:noFill/>
                    <a:ln>
                      <a:noFill/>
                    </a:ln>
                  </pic:spPr>
                </pic:pic>
              </a:graphicData>
            </a:graphic>
          </wp:inline>
        </w:drawing>
      </w:r>
    </w:p>
    <w:p w14:paraId="28FBF3FE">
      <w:pPr>
        <w:ind w:firstLine="0" w:firstLineChars="0"/>
        <w:jc w:val="center"/>
      </w:pPr>
      <w:r>
        <w:rPr>
          <w:rFonts w:hint="eastAsia"/>
        </w:rPr>
        <w:t>模板配置管理界面</w:t>
      </w:r>
    </w:p>
    <w:p w14:paraId="509D1113">
      <w:pPr>
        <w:ind w:firstLine="0" w:firstLineChars="0"/>
      </w:pPr>
    </w:p>
    <w:p w14:paraId="5E7CAADA">
      <w:pPr>
        <w:pStyle w:val="4"/>
        <w:numPr>
          <w:ilvl w:val="2"/>
          <w:numId w:val="2"/>
        </w:numPr>
      </w:pPr>
      <w:bookmarkStart w:id="183" w:name="_Toc104633507"/>
      <w:bookmarkStart w:id="184" w:name="_Toc130227033"/>
      <w:r>
        <w:rPr>
          <w:rFonts w:hint="eastAsia"/>
        </w:rPr>
        <w:t>协调指挥数据交互设计</w:t>
      </w:r>
      <w:bookmarkEnd w:id="183"/>
      <w:bookmarkEnd w:id="184"/>
    </w:p>
    <w:p w14:paraId="40182CFF">
      <w:pPr>
        <w:pStyle w:val="5"/>
        <w:numPr>
          <w:ilvl w:val="3"/>
          <w:numId w:val="2"/>
        </w:numPr>
      </w:pPr>
      <w:bookmarkStart w:id="185" w:name="_Toc104633508"/>
      <w:r>
        <w:rPr>
          <w:rFonts w:hint="eastAsia"/>
        </w:rPr>
        <w:t>共享交换设计</w:t>
      </w:r>
      <w:bookmarkEnd w:id="185"/>
    </w:p>
    <w:p w14:paraId="69BD6394">
      <w:pPr>
        <w:ind w:firstLine="480"/>
      </w:pPr>
      <w:r>
        <w:rPr>
          <w:rFonts w:hint="eastAsia"/>
        </w:rPr>
        <w:t>各个接口的技术指标、管理要求、信息内容和数据格式等，符合《全国网信系统网络安全协调指挥技术系统建设指南》的要求，遵循国家的有关标准和规范，并满足</w:t>
      </w:r>
      <w:r>
        <w:t>XXX省/市网络安全协调指挥平台信息共享和数据交换等方面的有关要求。</w:t>
      </w:r>
    </w:p>
    <w:p w14:paraId="45E8FC2E">
      <w:pPr>
        <w:ind w:firstLine="480"/>
      </w:pPr>
      <w:r>
        <w:rPr>
          <w:rFonts w:hint="eastAsia"/>
        </w:rPr>
        <w:t>接口的设计、实现、使用确保安全，做到可管、可控、可审计，防止出现接口未经认证授权的访问、调用等，并确保接口的可用性、完整性和机密性。</w:t>
      </w:r>
    </w:p>
    <w:p w14:paraId="5A6FCC4F">
      <w:pPr>
        <w:pStyle w:val="5"/>
        <w:numPr>
          <w:ilvl w:val="3"/>
          <w:numId w:val="2"/>
        </w:numPr>
      </w:pPr>
      <w:bookmarkStart w:id="186" w:name="_Toc104633509"/>
      <w:r>
        <w:rPr>
          <w:rFonts w:hint="eastAsia"/>
        </w:rPr>
        <w:t>标准规范依据</w:t>
      </w:r>
      <w:bookmarkEnd w:id="186"/>
    </w:p>
    <w:p w14:paraId="32B9914B">
      <w:pPr>
        <w:overflowPunct w:val="0"/>
        <w:ind w:firstLine="480"/>
        <w:rPr>
          <w:rFonts w:cs="宋体"/>
          <w:b/>
          <w:szCs w:val="24"/>
        </w:rPr>
      </w:pPr>
      <w:r>
        <w:rPr>
          <w:rFonts w:hint="eastAsia" w:cs="宋体"/>
          <w:szCs w:val="24"/>
        </w:rPr>
        <w:t>系统平台的设计、实施和运行应遵循、符合和参照的平台标准、国家标准和其它标准规范包括：</w:t>
      </w:r>
    </w:p>
    <w:p w14:paraId="3BBCEAEC">
      <w:pPr>
        <w:overflowPunct w:val="0"/>
        <w:ind w:firstLine="482"/>
        <w:jc w:val="left"/>
        <w:rPr>
          <w:rFonts w:cs="楷体_GB2312"/>
          <w:b/>
          <w:bCs/>
          <w:szCs w:val="24"/>
        </w:rPr>
      </w:pPr>
      <w:r>
        <w:rPr>
          <w:rFonts w:hint="eastAsia" w:cs="楷体_GB2312"/>
          <w:b/>
          <w:bCs/>
          <w:szCs w:val="24"/>
        </w:rPr>
        <w:t>（</w:t>
      </w:r>
      <w:r>
        <w:rPr>
          <w:rFonts w:cs="楷体_GB2312"/>
          <w:b/>
          <w:bCs/>
          <w:szCs w:val="24"/>
        </w:rPr>
        <w:t>1）平台标准</w:t>
      </w:r>
    </w:p>
    <w:p w14:paraId="035CA616">
      <w:pPr>
        <w:overflowPunct w:val="0"/>
        <w:ind w:firstLine="480"/>
        <w:jc w:val="left"/>
        <w:rPr>
          <w:rFonts w:cs="宋体"/>
          <w:b/>
          <w:szCs w:val="24"/>
        </w:rPr>
      </w:pPr>
      <w:r>
        <w:rPr>
          <w:rFonts w:hint="eastAsia" w:cs="宋体"/>
          <w:szCs w:val="24"/>
        </w:rPr>
        <w:t>《网络资产信息报送内容和格式规范（试行）》</w:t>
      </w:r>
    </w:p>
    <w:p w14:paraId="6EF6E947">
      <w:pPr>
        <w:overflowPunct w:val="0"/>
        <w:ind w:firstLine="480"/>
        <w:jc w:val="left"/>
        <w:rPr>
          <w:rFonts w:cs="宋体"/>
          <w:b/>
          <w:szCs w:val="24"/>
        </w:rPr>
      </w:pPr>
      <w:r>
        <w:rPr>
          <w:rFonts w:hint="eastAsia" w:cs="宋体"/>
          <w:szCs w:val="24"/>
        </w:rPr>
        <w:t>《网络安全事件信息报送内容和格式规范（试行）》</w:t>
      </w:r>
    </w:p>
    <w:p w14:paraId="40DEEED8">
      <w:pPr>
        <w:overflowPunct w:val="0"/>
        <w:ind w:firstLine="482"/>
        <w:jc w:val="left"/>
        <w:rPr>
          <w:rFonts w:cs="楷体_GB2312"/>
          <w:b/>
          <w:bCs/>
          <w:szCs w:val="24"/>
        </w:rPr>
      </w:pPr>
      <w:r>
        <w:rPr>
          <w:rFonts w:hint="eastAsia" w:cs="楷体_GB2312"/>
          <w:b/>
          <w:bCs/>
          <w:szCs w:val="24"/>
        </w:rPr>
        <w:t>（</w:t>
      </w:r>
      <w:r>
        <w:rPr>
          <w:rFonts w:cs="楷体_GB2312"/>
          <w:b/>
          <w:bCs/>
          <w:szCs w:val="24"/>
        </w:rPr>
        <w:t>2）国家标准</w:t>
      </w:r>
    </w:p>
    <w:p w14:paraId="56560826">
      <w:pPr>
        <w:ind w:firstLine="480"/>
      </w:pPr>
      <w:r>
        <w:rPr>
          <w:rFonts w:hint="eastAsia"/>
        </w:rPr>
        <w:t>《信息安全技术</w:t>
      </w:r>
      <w:r>
        <w:t xml:space="preserve"> </w:t>
      </w:r>
      <w:r>
        <w:rPr>
          <w:rFonts w:hint="eastAsia"/>
        </w:rPr>
        <w:t>网络安全威胁信息格式规范》</w:t>
      </w:r>
      <w:r>
        <w:t>GB/T 36643-2018</w:t>
      </w:r>
    </w:p>
    <w:p w14:paraId="407F48F6">
      <w:pPr>
        <w:ind w:firstLine="480"/>
      </w:pPr>
      <w:r>
        <w:rPr>
          <w:rFonts w:hint="eastAsia"/>
        </w:rPr>
        <w:t>《信息安全技术</w:t>
      </w:r>
      <w:r>
        <w:t xml:space="preserve"> </w:t>
      </w:r>
      <w:r>
        <w:rPr>
          <w:rFonts w:hint="eastAsia"/>
        </w:rPr>
        <w:t>网络攻击定义及描述规范》</w:t>
      </w:r>
      <w:r>
        <w:t>GB/T 37027-2018</w:t>
      </w:r>
    </w:p>
    <w:p w14:paraId="7D0B3463">
      <w:pPr>
        <w:ind w:firstLine="480"/>
      </w:pPr>
      <w:r>
        <w:rPr>
          <w:rFonts w:hint="eastAsia"/>
        </w:rPr>
        <w:t>《信息安全技术</w:t>
      </w:r>
      <w:r>
        <w:t xml:space="preserve"> </w:t>
      </w:r>
      <w:r>
        <w:rPr>
          <w:rFonts w:hint="eastAsia"/>
        </w:rPr>
        <w:t>网络安全漏洞标识与描述规范》</w:t>
      </w:r>
      <w:r>
        <w:t>GB/T 28458-2020</w:t>
      </w:r>
    </w:p>
    <w:p w14:paraId="6B26D9E9">
      <w:pPr>
        <w:ind w:firstLine="480"/>
      </w:pPr>
      <w:r>
        <w:rPr>
          <w:rFonts w:hint="eastAsia"/>
        </w:rPr>
        <w:t>《信息安全技术</w:t>
      </w:r>
      <w:r>
        <w:t xml:space="preserve"> </w:t>
      </w:r>
      <w:r>
        <w:rPr>
          <w:rFonts w:hint="eastAsia"/>
        </w:rPr>
        <w:t>网络安全漏洞分类分级指南》</w:t>
      </w:r>
      <w:r>
        <w:t>GB/T 30279-2020</w:t>
      </w:r>
    </w:p>
    <w:p w14:paraId="4DE65EE6">
      <w:pPr>
        <w:ind w:firstLine="480"/>
      </w:pPr>
      <w:r>
        <w:rPr>
          <w:rFonts w:hint="eastAsia"/>
        </w:rPr>
        <w:t>《信息安全技术</w:t>
      </w:r>
      <w:r>
        <w:t xml:space="preserve"> </w:t>
      </w:r>
      <w:r>
        <w:rPr>
          <w:rFonts w:hint="eastAsia"/>
        </w:rPr>
        <w:t>网络安全漏洞管理规范》</w:t>
      </w:r>
      <w:r>
        <w:t>GB/T 30276-2020</w:t>
      </w:r>
    </w:p>
    <w:p w14:paraId="4F463DB4">
      <w:pPr>
        <w:ind w:firstLine="480"/>
      </w:pPr>
      <w:r>
        <w:rPr>
          <w:rFonts w:hint="eastAsia"/>
        </w:rPr>
        <w:t>《信息安全技术</w:t>
      </w:r>
      <w:r>
        <w:t xml:space="preserve"> </w:t>
      </w:r>
      <w:r>
        <w:rPr>
          <w:rFonts w:hint="eastAsia"/>
        </w:rPr>
        <w:t>网络安全预警指南》</w:t>
      </w:r>
      <w:r>
        <w:t>GB/T 32924-2016</w:t>
      </w:r>
    </w:p>
    <w:p w14:paraId="7E89419D">
      <w:pPr>
        <w:ind w:firstLine="480"/>
      </w:pPr>
      <w:r>
        <w:rPr>
          <w:rFonts w:hint="eastAsia"/>
        </w:rPr>
        <w:t>《信息安全技术</w:t>
      </w:r>
      <w:r>
        <w:t xml:space="preserve"> </w:t>
      </w:r>
      <w:r>
        <w:rPr>
          <w:rFonts w:hint="eastAsia"/>
        </w:rPr>
        <w:t>网络安全事件应急演练指南》</w:t>
      </w:r>
      <w:r>
        <w:t>GB/T 38645-2020</w:t>
      </w:r>
    </w:p>
    <w:p w14:paraId="7FF9E0B8">
      <w:pPr>
        <w:ind w:firstLine="480"/>
      </w:pPr>
      <w:r>
        <w:rPr>
          <w:rFonts w:hint="eastAsia"/>
        </w:rPr>
        <w:t>《信息安全技术</w:t>
      </w:r>
      <w:r>
        <w:t xml:space="preserve"> </w:t>
      </w:r>
      <w:r>
        <w:rPr>
          <w:rFonts w:hint="eastAsia"/>
        </w:rPr>
        <w:t>应用软件安全编程指南》</w:t>
      </w:r>
      <w:r>
        <w:t>GB/T 38674-2020</w:t>
      </w:r>
    </w:p>
    <w:p w14:paraId="4D77DBBA">
      <w:pPr>
        <w:ind w:firstLine="480"/>
      </w:pPr>
      <w:r>
        <w:rPr>
          <w:rFonts w:hint="eastAsia"/>
        </w:rPr>
        <w:t>《信息安全技术</w:t>
      </w:r>
      <w:r>
        <w:t xml:space="preserve"> </w:t>
      </w:r>
      <w:r>
        <w:rPr>
          <w:rFonts w:hint="eastAsia"/>
        </w:rPr>
        <w:t>网络安全管理支撑系统技术要求》</w:t>
      </w:r>
      <w:r>
        <w:t>GB/T 38561-2020</w:t>
      </w:r>
    </w:p>
    <w:p w14:paraId="2B6ABBED">
      <w:pPr>
        <w:ind w:firstLine="480"/>
      </w:pPr>
      <w:r>
        <w:rPr>
          <w:rFonts w:hint="eastAsia"/>
        </w:rPr>
        <w:t>《信息安全技术</w:t>
      </w:r>
      <w:r>
        <w:t xml:space="preserve"> </w:t>
      </w:r>
      <w:r>
        <w:rPr>
          <w:rFonts w:hint="eastAsia"/>
        </w:rPr>
        <w:t>信息系统安全运维管理指南》</w:t>
      </w:r>
      <w:r>
        <w:t>GB/T 36626-2018</w:t>
      </w:r>
    </w:p>
    <w:p w14:paraId="34C973ED">
      <w:pPr>
        <w:ind w:firstLine="480"/>
      </w:pPr>
      <w:r>
        <w:rPr>
          <w:rFonts w:hint="eastAsia"/>
        </w:rPr>
        <w:t>《信息安全技术</w:t>
      </w:r>
      <w:r>
        <w:t xml:space="preserve"> </w:t>
      </w:r>
      <w:r>
        <w:rPr>
          <w:rFonts w:hint="eastAsia"/>
        </w:rPr>
        <w:t>网络安全等级保护基本要求》</w:t>
      </w:r>
      <w:r>
        <w:t>GB/T 22239-2019</w:t>
      </w:r>
    </w:p>
    <w:p w14:paraId="5F0D2697">
      <w:pPr>
        <w:ind w:firstLine="480"/>
      </w:pPr>
      <w:r>
        <w:rPr>
          <w:rFonts w:hint="eastAsia"/>
        </w:rPr>
        <w:t>《信息安全技术</w:t>
      </w:r>
      <w:r>
        <w:t xml:space="preserve"> </w:t>
      </w:r>
      <w:r>
        <w:rPr>
          <w:rFonts w:hint="eastAsia"/>
        </w:rPr>
        <w:t>信息系统密码应用基本要求》</w:t>
      </w:r>
      <w:r>
        <w:t>GB/T 39786-2021</w:t>
      </w:r>
    </w:p>
    <w:p w14:paraId="6CFF1035">
      <w:pPr>
        <w:ind w:firstLine="480"/>
      </w:pPr>
      <w:r>
        <w:rPr>
          <w:rFonts w:hint="eastAsia"/>
        </w:rPr>
        <w:t>《信息安全技术</w:t>
      </w:r>
      <w:r>
        <w:t xml:space="preserve"> </w:t>
      </w:r>
      <w:r>
        <w:rPr>
          <w:rFonts w:hint="eastAsia"/>
        </w:rPr>
        <w:t>个人信息安全规范》</w:t>
      </w:r>
    </w:p>
    <w:p w14:paraId="0533605A">
      <w:pPr>
        <w:overflowPunct w:val="0"/>
        <w:ind w:firstLine="482"/>
        <w:jc w:val="left"/>
        <w:rPr>
          <w:rFonts w:cs="楷体_GB2312"/>
          <w:b/>
          <w:bCs/>
          <w:szCs w:val="24"/>
        </w:rPr>
      </w:pPr>
      <w:r>
        <w:rPr>
          <w:rFonts w:hint="eastAsia" w:cs="楷体_GB2312"/>
          <w:b/>
          <w:bCs/>
          <w:szCs w:val="24"/>
        </w:rPr>
        <w:t>（</w:t>
      </w:r>
      <w:r>
        <w:rPr>
          <w:rFonts w:cs="楷体_GB2312"/>
          <w:b/>
          <w:bCs/>
          <w:szCs w:val="24"/>
        </w:rPr>
        <w:t>3）其他标准和规范</w:t>
      </w:r>
    </w:p>
    <w:p w14:paraId="5E3F9B59">
      <w:pPr>
        <w:ind w:firstLine="480"/>
        <w:rPr>
          <w:b/>
        </w:rPr>
      </w:pPr>
      <w:r>
        <w:rPr>
          <w:rFonts w:hint="eastAsia"/>
        </w:rPr>
        <w:t>《网络安全态势感知通用技术要求》（征求意见稿）</w:t>
      </w:r>
    </w:p>
    <w:p w14:paraId="5FA186D5">
      <w:pPr>
        <w:ind w:firstLine="480"/>
        <w:rPr>
          <w:b/>
        </w:rPr>
      </w:pPr>
      <w:r>
        <w:rPr>
          <w:rFonts w:hint="eastAsia"/>
        </w:rPr>
        <w:t>《信息安全技术</w:t>
      </w:r>
      <w:r>
        <w:t xml:space="preserve"> </w:t>
      </w:r>
      <w:r>
        <w:rPr>
          <w:rFonts w:hint="eastAsia"/>
        </w:rPr>
        <w:t>网络安全信息共享指南》（草拟稿）</w:t>
      </w:r>
    </w:p>
    <w:p w14:paraId="38A69DAD">
      <w:pPr>
        <w:ind w:firstLine="480"/>
        <w:rPr>
          <w:b/>
        </w:rPr>
      </w:pPr>
      <w:r>
        <w:rPr>
          <w:rFonts w:hint="eastAsia"/>
        </w:rPr>
        <w:t>《网络安全信息通报规范（试行）》</w:t>
      </w:r>
    </w:p>
    <w:p w14:paraId="1F30EBA6">
      <w:pPr>
        <w:ind w:firstLine="480"/>
        <w:rPr>
          <w:rFonts w:cs="楷体_GB2312"/>
          <w:b/>
        </w:rPr>
      </w:pPr>
      <w:r>
        <w:rPr>
          <w:rFonts w:hint="eastAsia" w:cs="楷体_GB2312"/>
        </w:rPr>
        <w:t>平台与其他系统间对接应当遵循的标准规范范围包括：</w:t>
      </w:r>
    </w:p>
    <w:p w14:paraId="72024F99">
      <w:pPr>
        <w:pStyle w:val="43"/>
        <w:numPr>
          <w:ilvl w:val="0"/>
          <w:numId w:val="28"/>
        </w:numPr>
        <w:ind w:firstLineChars="0"/>
        <w:rPr>
          <w:b/>
        </w:rPr>
      </w:pPr>
      <w:r>
        <w:t>网络安全通报信息；</w:t>
      </w:r>
    </w:p>
    <w:p w14:paraId="093EB296">
      <w:pPr>
        <w:pStyle w:val="43"/>
        <w:numPr>
          <w:ilvl w:val="0"/>
          <w:numId w:val="28"/>
        </w:numPr>
        <w:ind w:firstLineChars="0"/>
        <w:rPr>
          <w:b/>
        </w:rPr>
      </w:pPr>
      <w:r>
        <w:t>网络安全预警信息；</w:t>
      </w:r>
    </w:p>
    <w:p w14:paraId="0948AF95">
      <w:pPr>
        <w:pStyle w:val="43"/>
        <w:numPr>
          <w:ilvl w:val="0"/>
          <w:numId w:val="28"/>
        </w:numPr>
        <w:ind w:firstLineChars="0"/>
        <w:rPr>
          <w:b/>
        </w:rPr>
      </w:pPr>
      <w:r>
        <w:t>网络安全应急指挥联络信息；</w:t>
      </w:r>
    </w:p>
    <w:p w14:paraId="578BBFB3">
      <w:pPr>
        <w:pStyle w:val="43"/>
        <w:numPr>
          <w:ilvl w:val="0"/>
          <w:numId w:val="28"/>
        </w:numPr>
        <w:ind w:firstLineChars="0"/>
        <w:rPr>
          <w:b/>
        </w:rPr>
      </w:pPr>
      <w:r>
        <w:t>网络安全信息发布信息；</w:t>
      </w:r>
    </w:p>
    <w:p w14:paraId="0ABD8F76">
      <w:pPr>
        <w:pStyle w:val="43"/>
        <w:numPr>
          <w:ilvl w:val="0"/>
          <w:numId w:val="28"/>
        </w:numPr>
        <w:ind w:firstLineChars="0"/>
      </w:pPr>
      <w:r>
        <w:t>网络安全信息共享信息。</w:t>
      </w:r>
    </w:p>
    <w:p w14:paraId="3CD62362">
      <w:pPr>
        <w:pStyle w:val="5"/>
        <w:numPr>
          <w:ilvl w:val="3"/>
          <w:numId w:val="2"/>
        </w:numPr>
      </w:pPr>
      <w:bookmarkStart w:id="187" w:name="_Toc104633510"/>
      <w:r>
        <w:rPr>
          <w:rFonts w:hint="eastAsia"/>
        </w:rPr>
        <w:t>传输数据格式设计</w:t>
      </w:r>
      <w:bookmarkEnd w:id="187"/>
    </w:p>
    <w:p w14:paraId="7C3F5CA2">
      <w:pPr>
        <w:pStyle w:val="5"/>
        <w:numPr>
          <w:ilvl w:val="3"/>
          <w:numId w:val="2"/>
        </w:numPr>
      </w:pPr>
      <w:bookmarkStart w:id="188" w:name="_Toc104633511"/>
      <w:r>
        <w:rPr>
          <w:rFonts w:hint="eastAsia"/>
        </w:rPr>
        <w:t>网络资产信息报送内容和格式规范</w:t>
      </w:r>
      <w:bookmarkEnd w:id="188"/>
    </w:p>
    <w:p w14:paraId="5669C496">
      <w:pPr>
        <w:ind w:firstLine="480"/>
      </w:pPr>
      <w:r>
        <w:rPr>
          <w:rFonts w:hint="eastAsia"/>
        </w:rPr>
        <w:t>网络资产信息包括组织机构信息、业务信息系统信息、硬件设备信息、软件信息、网络信息、机房信息、应急资源信息、业务数据。</w:t>
      </w:r>
    </w:p>
    <w:p w14:paraId="010844F4">
      <w:pPr>
        <w:pStyle w:val="6"/>
        <w:numPr>
          <w:ilvl w:val="4"/>
          <w:numId w:val="2"/>
        </w:numPr>
      </w:pPr>
      <w:bookmarkStart w:id="189" w:name="_Toc104633512"/>
      <w:r>
        <w:rPr>
          <w:rFonts w:hint="eastAsia"/>
        </w:rPr>
        <w:t>组织机构信息报送格式</w:t>
      </w:r>
      <w:bookmarkEnd w:id="189"/>
    </w:p>
    <w:p w14:paraId="1167B9DC">
      <w:pPr>
        <w:ind w:firstLine="480"/>
      </w:pPr>
      <w:r>
        <w:rPr>
          <w:rFonts w:hint="eastAsia"/>
        </w:rPr>
        <w:t>组织机构信息描述了拥有资产所属主体单位的详细信息，包括网络安全、电力、石油、金融、政府机关等重点行业、单位的组织机构信息。通过组织机构信息可以掌握各单位、行业的地域分布、人员管理情况，在出现网络安全事件时，可以快速定位到具体单位所在地，联系相关人员进行预警处置。同时，可以按照行业、机构、区域、单位等维度进行态势分析和展示。</w:t>
      </w:r>
    </w:p>
    <w:p w14:paraId="750C9529">
      <w:pPr>
        <w:ind w:firstLine="0" w:firstLineChars="0"/>
        <w:jc w:val="center"/>
      </w:pPr>
      <w:r>
        <w:rPr>
          <w:rFonts w:hint="eastAsia"/>
        </w:rPr>
        <w:t>表</w:t>
      </w:r>
      <w:r>
        <w:t xml:space="preserve"> </w:t>
      </w:r>
      <w:r>
        <w:rPr>
          <w:rFonts w:hint="eastAsia"/>
        </w:rPr>
        <w:t>组织机构信息报送格式表</w:t>
      </w:r>
    </w:p>
    <w:p w14:paraId="697EC643">
      <w:pPr>
        <w:ind w:firstLine="0" w:firstLineChars="0"/>
        <w:jc w:val="center"/>
      </w:pPr>
      <w:r>
        <w:drawing>
          <wp:inline distT="0" distB="0" distL="0" distR="0">
            <wp:extent cx="5104130" cy="6666230"/>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a:stretch>
                      <a:fillRect/>
                    </a:stretch>
                  </pic:blipFill>
                  <pic:spPr>
                    <a:xfrm>
                      <a:off x="0" y="0"/>
                      <a:ext cx="5104762" cy="6666667"/>
                    </a:xfrm>
                    <a:prstGeom prst="rect">
                      <a:avLst/>
                    </a:prstGeom>
                  </pic:spPr>
                </pic:pic>
              </a:graphicData>
            </a:graphic>
          </wp:inline>
        </w:drawing>
      </w:r>
    </w:p>
    <w:p w14:paraId="4C41A644">
      <w:pPr>
        <w:ind w:firstLine="480"/>
      </w:pPr>
      <w:r>
        <w:t xml:space="preserve"> </w:t>
      </w:r>
      <w:r>
        <w:drawing>
          <wp:inline distT="0" distB="0" distL="0" distR="0">
            <wp:extent cx="5113655" cy="23425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0"/>
                    <a:stretch>
                      <a:fillRect/>
                    </a:stretch>
                  </pic:blipFill>
                  <pic:spPr>
                    <a:xfrm>
                      <a:off x="0" y="0"/>
                      <a:ext cx="5114286" cy="2342857"/>
                    </a:xfrm>
                    <a:prstGeom prst="rect">
                      <a:avLst/>
                    </a:prstGeom>
                  </pic:spPr>
                </pic:pic>
              </a:graphicData>
            </a:graphic>
          </wp:inline>
        </w:drawing>
      </w:r>
    </w:p>
    <w:p w14:paraId="55908114">
      <w:pPr>
        <w:ind w:firstLine="480"/>
      </w:pPr>
    </w:p>
    <w:p w14:paraId="79B6E497">
      <w:pPr>
        <w:pStyle w:val="6"/>
        <w:numPr>
          <w:ilvl w:val="4"/>
          <w:numId w:val="2"/>
        </w:numPr>
      </w:pPr>
      <w:bookmarkStart w:id="190" w:name="_Toc104633513"/>
      <w:r>
        <w:rPr>
          <w:rFonts w:hint="eastAsia"/>
        </w:rPr>
        <w:t>业务信息系统信息报送格式</w:t>
      </w:r>
      <w:bookmarkEnd w:id="190"/>
    </w:p>
    <w:p w14:paraId="0BB2C038">
      <w:pPr>
        <w:ind w:firstLine="480"/>
      </w:pPr>
      <w:r>
        <w:rPr>
          <w:rFonts w:hint="eastAsia"/>
        </w:rPr>
        <w:t>业务信息系统信息描述了各类业务信息系统的详细信息，主要包括重要党政机关网站、安全防护系统、OA系统、信息管理系统（政务微信、公众号）、电子邮件系统、社会化生产生活系统（供水供电、卫生医疗、民政等信息化系统）、私有云平台等信息。通过业务信息系统信息，结合组织机构、机房等，可以分析得到关键信息基础设施、重要网站、系统等重要性、地理分布、行业分布、服务对象重要程度、用户规模大小等，从而进行重点防护，保障系统顺利运行；在发生安全事件时分析系统波及用户规模、影响范围、危害大小，有效采取应对措施，最大限度减少经济损失、社会影响。</w:t>
      </w:r>
    </w:p>
    <w:p w14:paraId="342F7AB5">
      <w:pPr>
        <w:ind w:firstLine="0" w:firstLineChars="0"/>
        <w:jc w:val="center"/>
      </w:pPr>
      <w:r>
        <w:rPr>
          <w:rFonts w:hint="eastAsia"/>
        </w:rPr>
        <w:t>表</w:t>
      </w:r>
      <w:r>
        <w:t xml:space="preserve"> </w:t>
      </w:r>
      <w:r>
        <w:rPr>
          <w:rFonts w:hint="eastAsia"/>
        </w:rPr>
        <w:t>业务信息系统信息报送格式表</w:t>
      </w:r>
    </w:p>
    <w:p w14:paraId="511845CE">
      <w:pPr>
        <w:ind w:firstLine="480"/>
        <w:jc w:val="center"/>
      </w:pPr>
      <w:r>
        <w:t xml:space="preserve"> </w:t>
      </w:r>
      <w:r>
        <w:drawing>
          <wp:inline distT="0" distB="0" distL="0" distR="0">
            <wp:extent cx="5113655" cy="46761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1"/>
                    <a:stretch>
                      <a:fillRect/>
                    </a:stretch>
                  </pic:blipFill>
                  <pic:spPr>
                    <a:xfrm>
                      <a:off x="0" y="0"/>
                      <a:ext cx="5114286" cy="4676190"/>
                    </a:xfrm>
                    <a:prstGeom prst="rect">
                      <a:avLst/>
                    </a:prstGeom>
                  </pic:spPr>
                </pic:pic>
              </a:graphicData>
            </a:graphic>
          </wp:inline>
        </w:drawing>
      </w:r>
    </w:p>
    <w:p w14:paraId="392B7FB7">
      <w:pPr>
        <w:ind w:firstLine="0" w:firstLineChars="0"/>
        <w:jc w:val="center"/>
      </w:pPr>
      <w:r>
        <w:drawing>
          <wp:inline distT="0" distB="0" distL="0" distR="0">
            <wp:extent cx="5076190" cy="81997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2"/>
                    <a:stretch>
                      <a:fillRect/>
                    </a:stretch>
                  </pic:blipFill>
                  <pic:spPr>
                    <a:xfrm>
                      <a:off x="0" y="0"/>
                      <a:ext cx="5076190" cy="8200000"/>
                    </a:xfrm>
                    <a:prstGeom prst="rect">
                      <a:avLst/>
                    </a:prstGeom>
                  </pic:spPr>
                </pic:pic>
              </a:graphicData>
            </a:graphic>
          </wp:inline>
        </w:drawing>
      </w:r>
    </w:p>
    <w:p w14:paraId="07896441">
      <w:pPr>
        <w:ind w:firstLine="0" w:firstLineChars="0"/>
        <w:jc w:val="center"/>
      </w:pPr>
      <w:r>
        <w:drawing>
          <wp:inline distT="0" distB="0" distL="0" distR="0">
            <wp:extent cx="5104130" cy="642810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3"/>
                    <a:stretch>
                      <a:fillRect/>
                    </a:stretch>
                  </pic:blipFill>
                  <pic:spPr>
                    <a:xfrm>
                      <a:off x="0" y="0"/>
                      <a:ext cx="5104762" cy="6428571"/>
                    </a:xfrm>
                    <a:prstGeom prst="rect">
                      <a:avLst/>
                    </a:prstGeom>
                  </pic:spPr>
                </pic:pic>
              </a:graphicData>
            </a:graphic>
          </wp:inline>
        </w:drawing>
      </w:r>
    </w:p>
    <w:p w14:paraId="61E6E9FE">
      <w:pPr>
        <w:pStyle w:val="6"/>
        <w:numPr>
          <w:ilvl w:val="4"/>
          <w:numId w:val="2"/>
        </w:numPr>
      </w:pPr>
      <w:bookmarkStart w:id="191" w:name="_Toc104633514"/>
      <w:r>
        <w:rPr>
          <w:rFonts w:hint="eastAsia"/>
        </w:rPr>
        <w:t>硬件设备信息报送格式</w:t>
      </w:r>
      <w:bookmarkEnd w:id="191"/>
    </w:p>
    <w:p w14:paraId="5C312D14">
      <w:pPr>
        <w:ind w:firstLine="480"/>
      </w:pPr>
      <w:r>
        <w:rPr>
          <w:rFonts w:hint="eastAsia"/>
        </w:rPr>
        <w:t>硬件设备信息主要描述各类接入网络中运行的物理实体详细信息，包括各类服务器设备、存储设备、网络设备、安全设备、计算机终端设备、工控物联网设备、加密设备等硬件设备信息。通过硬件设备信息，关联所属组织机构和机房等多维度属性，可摸清重要业务信息系统、相关的硬件设备的地理分布、行业分布、国产化率、承载的系统业务规模、生产厂商，从而在发生网络安全事件时或出现重要涌洞时，能够快速评估影响范围和严重程度，精准定位指导开展安全防护。</w:t>
      </w:r>
    </w:p>
    <w:p w14:paraId="67371678">
      <w:pPr>
        <w:ind w:firstLine="0" w:firstLineChars="0"/>
        <w:jc w:val="center"/>
      </w:pPr>
      <w:r>
        <w:rPr>
          <w:rFonts w:hint="eastAsia"/>
        </w:rPr>
        <w:t>表</w:t>
      </w:r>
      <w:r>
        <w:t xml:space="preserve"> </w:t>
      </w:r>
      <w:r>
        <w:rPr>
          <w:rFonts w:hint="eastAsia"/>
        </w:rPr>
        <w:t>硬件设备信息报送格式表</w:t>
      </w:r>
    </w:p>
    <w:p w14:paraId="7AD90381">
      <w:pPr>
        <w:ind w:firstLine="0" w:firstLineChars="0"/>
        <w:jc w:val="center"/>
      </w:pPr>
      <w:r>
        <w:drawing>
          <wp:inline distT="0" distB="0" distL="0" distR="0">
            <wp:extent cx="5132705" cy="6089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4"/>
                    <a:stretch>
                      <a:fillRect/>
                    </a:stretch>
                  </pic:blipFill>
                  <pic:spPr>
                    <a:xfrm>
                      <a:off x="0" y="0"/>
                      <a:ext cx="5133333" cy="609524"/>
                    </a:xfrm>
                    <a:prstGeom prst="rect">
                      <a:avLst/>
                    </a:prstGeom>
                  </pic:spPr>
                </pic:pic>
              </a:graphicData>
            </a:graphic>
          </wp:inline>
        </w:drawing>
      </w:r>
    </w:p>
    <w:p w14:paraId="1C8339AB">
      <w:pPr>
        <w:ind w:firstLine="0" w:firstLineChars="0"/>
        <w:jc w:val="center"/>
      </w:pPr>
      <w:r>
        <w:drawing>
          <wp:inline distT="0" distB="0" distL="0" distR="0">
            <wp:extent cx="5051425" cy="80486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5"/>
                    <a:stretch>
                      <a:fillRect/>
                    </a:stretch>
                  </pic:blipFill>
                  <pic:spPr>
                    <a:xfrm>
                      <a:off x="0" y="0"/>
                      <a:ext cx="5057960" cy="8059078"/>
                    </a:xfrm>
                    <a:prstGeom prst="rect">
                      <a:avLst/>
                    </a:prstGeom>
                  </pic:spPr>
                </pic:pic>
              </a:graphicData>
            </a:graphic>
          </wp:inline>
        </w:drawing>
      </w:r>
    </w:p>
    <w:p w14:paraId="7B6A3FEB">
      <w:pPr>
        <w:ind w:firstLine="0" w:firstLineChars="0"/>
        <w:jc w:val="center"/>
      </w:pPr>
      <w:r>
        <w:drawing>
          <wp:inline distT="0" distB="0" distL="0" distR="0">
            <wp:extent cx="5161280" cy="425704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6"/>
                    <a:stretch>
                      <a:fillRect/>
                    </a:stretch>
                  </pic:blipFill>
                  <pic:spPr>
                    <a:xfrm>
                      <a:off x="0" y="0"/>
                      <a:ext cx="5161905" cy="4257143"/>
                    </a:xfrm>
                    <a:prstGeom prst="rect">
                      <a:avLst/>
                    </a:prstGeom>
                  </pic:spPr>
                </pic:pic>
              </a:graphicData>
            </a:graphic>
          </wp:inline>
        </w:drawing>
      </w:r>
    </w:p>
    <w:p w14:paraId="6CABAD4B">
      <w:pPr>
        <w:pStyle w:val="6"/>
        <w:numPr>
          <w:ilvl w:val="4"/>
          <w:numId w:val="2"/>
        </w:numPr>
      </w:pPr>
      <w:bookmarkStart w:id="192" w:name="_Toc104633515"/>
      <w:r>
        <w:rPr>
          <w:rFonts w:hint="eastAsia"/>
        </w:rPr>
        <w:t>软件信息报送格式</w:t>
      </w:r>
      <w:bookmarkEnd w:id="192"/>
    </w:p>
    <w:p w14:paraId="69647760">
      <w:pPr>
        <w:ind w:firstLine="480"/>
      </w:pPr>
      <w:r>
        <w:rPr>
          <w:rFonts w:hint="eastAsia"/>
        </w:rPr>
        <w:t>软件信息主要描述了业务信息系统所依赖的各类应用软件详细信息，包括数据库软件、虚拟化软件、中间件、Web服务软件等通用软件和各类专用软件（不含终端设备办公软件）信息。通过软件信息，可以摸清硬件设备所承载运行的各类软件地理分布、行业分布、版本分布等底数，进而在发现漏洞或发生网络安全事件时，可分析受影响范围，评估危害程度，并快速定位处置和防护。</w:t>
      </w:r>
    </w:p>
    <w:p w14:paraId="0A9915F2">
      <w:pPr>
        <w:ind w:firstLine="0" w:firstLineChars="0"/>
        <w:jc w:val="center"/>
      </w:pPr>
      <w:r>
        <w:rPr>
          <w:rFonts w:hint="eastAsia"/>
        </w:rPr>
        <w:t>表</w:t>
      </w:r>
      <w:r>
        <w:t xml:space="preserve"> </w:t>
      </w:r>
      <w:r>
        <w:rPr>
          <w:rFonts w:hint="eastAsia"/>
        </w:rPr>
        <w:t>软件信息报送格式表</w:t>
      </w:r>
    </w:p>
    <w:p w14:paraId="791C3E66">
      <w:pPr>
        <w:ind w:firstLine="0" w:firstLineChars="0"/>
        <w:jc w:val="center"/>
      </w:pPr>
      <w:r>
        <w:drawing>
          <wp:inline distT="0" distB="0" distL="0" distR="0">
            <wp:extent cx="5208905" cy="28663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7"/>
                    <a:stretch>
                      <a:fillRect/>
                    </a:stretch>
                  </pic:blipFill>
                  <pic:spPr>
                    <a:xfrm>
                      <a:off x="0" y="0"/>
                      <a:ext cx="5209524" cy="2866667"/>
                    </a:xfrm>
                    <a:prstGeom prst="rect">
                      <a:avLst/>
                    </a:prstGeom>
                  </pic:spPr>
                </pic:pic>
              </a:graphicData>
            </a:graphic>
          </wp:inline>
        </w:drawing>
      </w:r>
    </w:p>
    <w:p w14:paraId="7E3450CC">
      <w:pPr>
        <w:ind w:firstLine="0" w:firstLineChars="0"/>
        <w:jc w:val="center"/>
      </w:pPr>
      <w:r>
        <w:drawing>
          <wp:inline distT="0" distB="0" distL="0" distR="0">
            <wp:extent cx="5218430" cy="5113655"/>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8"/>
                    <a:stretch>
                      <a:fillRect/>
                    </a:stretch>
                  </pic:blipFill>
                  <pic:spPr>
                    <a:xfrm>
                      <a:off x="0" y="0"/>
                      <a:ext cx="5219048" cy="5114286"/>
                    </a:xfrm>
                    <a:prstGeom prst="rect">
                      <a:avLst/>
                    </a:prstGeom>
                  </pic:spPr>
                </pic:pic>
              </a:graphicData>
            </a:graphic>
          </wp:inline>
        </w:drawing>
      </w:r>
    </w:p>
    <w:p w14:paraId="16124C40">
      <w:pPr>
        <w:pStyle w:val="6"/>
        <w:numPr>
          <w:ilvl w:val="4"/>
          <w:numId w:val="2"/>
        </w:numPr>
      </w:pPr>
      <w:bookmarkStart w:id="193" w:name="_Toc104633516"/>
      <w:r>
        <w:rPr>
          <w:rFonts w:hint="eastAsia"/>
        </w:rPr>
        <w:t>机房信息报送格式</w:t>
      </w:r>
      <w:bookmarkEnd w:id="193"/>
    </w:p>
    <w:p w14:paraId="24E15FEF">
      <w:pPr>
        <w:ind w:firstLine="480"/>
      </w:pPr>
      <w:r>
        <w:rPr>
          <w:rFonts w:hint="eastAsia"/>
        </w:rPr>
        <w:t>机房信息描述了业务信息系统运行的机房、云平台等详细信息，主要包括IDC机房、公有云、政务云等信息。通过机房信息，可分析得到机房和云平台分布位置、云平台类型等；在发生网络安全事件时，可结合硬件等信息，分析机房设备受损率、危害程度等，并快速定位，将硬件服务器等设备进行迁移保护，减少损失。</w:t>
      </w:r>
    </w:p>
    <w:p w14:paraId="27ECEAAB">
      <w:pPr>
        <w:ind w:firstLine="0" w:firstLineChars="0"/>
        <w:jc w:val="center"/>
      </w:pPr>
      <w:r>
        <w:rPr>
          <w:rFonts w:hint="eastAsia"/>
        </w:rPr>
        <w:t>表</w:t>
      </w:r>
      <w:r>
        <w:t xml:space="preserve"> </w:t>
      </w:r>
      <w:r>
        <w:rPr>
          <w:rFonts w:hint="eastAsia"/>
        </w:rPr>
        <w:t>机房信息报送格式表</w:t>
      </w:r>
    </w:p>
    <w:p w14:paraId="42694A2F">
      <w:pPr>
        <w:spacing w:line="0" w:lineRule="atLeast"/>
        <w:ind w:firstLine="0" w:firstLineChars="0"/>
        <w:jc w:val="center"/>
      </w:pPr>
      <w:r>
        <w:drawing>
          <wp:inline distT="0" distB="0" distL="0" distR="0">
            <wp:extent cx="4993005" cy="2355215"/>
            <wp:effectExtent l="0" t="0" r="0" b="6985"/>
            <wp:docPr id="3109" name="图片 310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 name="图片 3109" descr="表格&#10;&#10;描述已自动生成"/>
                    <pic:cNvPicPr>
                      <a:picLocks noChangeAspect="1"/>
                    </pic:cNvPicPr>
                  </pic:nvPicPr>
                  <pic:blipFill>
                    <a:blip r:embed="rId79"/>
                    <a:stretch>
                      <a:fillRect/>
                    </a:stretch>
                  </pic:blipFill>
                  <pic:spPr>
                    <a:xfrm>
                      <a:off x="0" y="0"/>
                      <a:ext cx="4993420" cy="2355215"/>
                    </a:xfrm>
                    <a:prstGeom prst="rect">
                      <a:avLst/>
                    </a:prstGeom>
                  </pic:spPr>
                </pic:pic>
              </a:graphicData>
            </a:graphic>
          </wp:inline>
        </w:drawing>
      </w:r>
    </w:p>
    <w:p w14:paraId="33E879E1">
      <w:pPr>
        <w:spacing w:line="0" w:lineRule="atLeast"/>
        <w:ind w:firstLine="0" w:firstLineChars="0"/>
        <w:jc w:val="center"/>
      </w:pPr>
      <w:r>
        <w:drawing>
          <wp:inline distT="0" distB="0" distL="0" distR="0">
            <wp:extent cx="4993005" cy="2391410"/>
            <wp:effectExtent l="0" t="0" r="0" b="8890"/>
            <wp:docPr id="3110" name="图片 31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图片 3110" descr="表格&#10;&#10;描述已自动生成"/>
                    <pic:cNvPicPr>
                      <a:picLocks noChangeAspect="1"/>
                    </pic:cNvPicPr>
                  </pic:nvPicPr>
                  <pic:blipFill>
                    <a:blip r:embed="rId80"/>
                    <a:stretch>
                      <a:fillRect/>
                    </a:stretch>
                  </pic:blipFill>
                  <pic:spPr>
                    <a:xfrm>
                      <a:off x="0" y="0"/>
                      <a:ext cx="5001709" cy="2396055"/>
                    </a:xfrm>
                    <a:prstGeom prst="rect">
                      <a:avLst/>
                    </a:prstGeom>
                  </pic:spPr>
                </pic:pic>
              </a:graphicData>
            </a:graphic>
          </wp:inline>
        </w:drawing>
      </w:r>
    </w:p>
    <w:p w14:paraId="115B8A16">
      <w:pPr>
        <w:pStyle w:val="6"/>
        <w:numPr>
          <w:ilvl w:val="4"/>
          <w:numId w:val="2"/>
        </w:numPr>
      </w:pPr>
      <w:bookmarkStart w:id="194" w:name="_Toc104633517"/>
      <w:r>
        <w:rPr>
          <w:rFonts w:hint="eastAsia"/>
        </w:rPr>
        <w:t>应急资源信息报送格式</w:t>
      </w:r>
      <w:bookmarkEnd w:id="194"/>
    </w:p>
    <w:p w14:paraId="2D6D74EE">
      <w:pPr>
        <w:ind w:firstLine="480"/>
      </w:pPr>
      <w:r>
        <w:rPr>
          <w:rFonts w:hint="eastAsia"/>
        </w:rPr>
        <w:t>应急资源信息描述了资产所属主体可调动的应急资源详细信息，主要包括网络安全技术专家、技术支撑队伍、关键信息基础设施安全应急响应联系人等能力和资源配置、人员储备信息。通过应急资源信息，可统计重要资产、关键信息基础设施资产等防护情况、资源利用情况，在发生网络安全事件时，可快速协调到可用资源，就近进行处置。</w:t>
      </w:r>
    </w:p>
    <w:p w14:paraId="0ACF65CE">
      <w:pPr>
        <w:ind w:firstLine="0" w:firstLineChars="0"/>
        <w:jc w:val="center"/>
        <w:rPr>
          <w:b/>
          <w:bCs/>
        </w:rPr>
      </w:pPr>
      <w:r>
        <w:rPr>
          <w:rFonts w:hint="eastAsia"/>
          <w:b/>
          <w:bCs/>
        </w:rPr>
        <w:t>表</w:t>
      </w:r>
      <w:r>
        <w:rPr>
          <w:b/>
          <w:bCs/>
        </w:rPr>
        <w:t xml:space="preserve"> </w:t>
      </w:r>
      <w:r>
        <w:rPr>
          <w:rFonts w:hint="eastAsia"/>
          <w:b/>
          <w:bCs/>
        </w:rPr>
        <w:t>应急资源信息报送格式表</w:t>
      </w:r>
    </w:p>
    <w:p w14:paraId="6E8E1189">
      <w:pPr>
        <w:ind w:firstLine="0" w:firstLineChars="0"/>
        <w:jc w:val="center"/>
      </w:pPr>
      <w:r>
        <w:drawing>
          <wp:inline distT="0" distB="0" distL="0" distR="0">
            <wp:extent cx="5210175" cy="7237095"/>
            <wp:effectExtent l="0" t="0" r="9525" b="1905"/>
            <wp:docPr id="3111" name="图片 31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图片 3111" descr="表格&#10;&#10;描述已自动生成"/>
                    <pic:cNvPicPr>
                      <a:picLocks noChangeAspect="1"/>
                    </pic:cNvPicPr>
                  </pic:nvPicPr>
                  <pic:blipFill>
                    <a:blip r:embed="rId81"/>
                    <a:stretch>
                      <a:fillRect/>
                    </a:stretch>
                  </pic:blipFill>
                  <pic:spPr>
                    <a:xfrm>
                      <a:off x="0" y="0"/>
                      <a:ext cx="5211996" cy="7238895"/>
                    </a:xfrm>
                    <a:prstGeom prst="rect">
                      <a:avLst/>
                    </a:prstGeom>
                  </pic:spPr>
                </pic:pic>
              </a:graphicData>
            </a:graphic>
          </wp:inline>
        </w:drawing>
      </w:r>
    </w:p>
    <w:p w14:paraId="36786B11">
      <w:pPr>
        <w:pStyle w:val="6"/>
        <w:numPr>
          <w:ilvl w:val="4"/>
          <w:numId w:val="2"/>
        </w:numPr>
      </w:pPr>
      <w:bookmarkStart w:id="195" w:name="_Toc104633518"/>
      <w:r>
        <w:rPr>
          <w:rFonts w:hint="eastAsia"/>
        </w:rPr>
        <w:t>业务数据报送格式</w:t>
      </w:r>
      <w:bookmarkEnd w:id="195"/>
    </w:p>
    <w:p w14:paraId="447B442D">
      <w:pPr>
        <w:ind w:firstLine="480"/>
      </w:pPr>
      <w:r>
        <w:rPr>
          <w:rFonts w:hint="eastAsia"/>
        </w:rPr>
        <w:t>业务数据描述了各级单位上报的业务信息系统生产、使用、存储的业务数据的详细信息。业务数据安全是网络安全态势的重要组成和网络防护的噩要目标，通过业务数据，关联业务信息系统、软硬件等，可以分析数据的敏感程度、敏感数据类型、重要性、数据规模大小等信息，在面临风险和遭受网络安全事件时，分析数据泄露规模、泄露内容、影响范围、危害的大小等，并及时采取合适的防护措施，减少损失和危害，保证数据安全。</w:t>
      </w:r>
    </w:p>
    <w:p w14:paraId="58EA82C7">
      <w:pPr>
        <w:ind w:firstLine="482"/>
        <w:jc w:val="center"/>
        <w:rPr>
          <w:b/>
          <w:bCs/>
        </w:rPr>
      </w:pPr>
      <w:r>
        <w:rPr>
          <w:rFonts w:hint="eastAsia"/>
          <w:b/>
          <w:bCs/>
        </w:rPr>
        <w:t>表</w:t>
      </w:r>
      <w:r>
        <w:rPr>
          <w:b/>
          <w:bCs/>
        </w:rPr>
        <w:t xml:space="preserve"> </w:t>
      </w:r>
      <w:r>
        <w:rPr>
          <w:rFonts w:hint="eastAsia"/>
          <w:b/>
          <w:bCs/>
        </w:rPr>
        <w:t>业务数据报送格式表</w:t>
      </w:r>
    </w:p>
    <w:p w14:paraId="0963BA99">
      <w:pPr>
        <w:ind w:firstLine="0" w:firstLineChars="0"/>
        <w:jc w:val="center"/>
      </w:pPr>
      <w:r>
        <w:drawing>
          <wp:inline distT="0" distB="0" distL="0" distR="0">
            <wp:extent cx="5203190" cy="6038850"/>
            <wp:effectExtent l="0" t="0" r="0" b="0"/>
            <wp:docPr id="3112" name="图片 311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图片 3112" descr="表格&#10;&#10;描述已自动生成"/>
                    <pic:cNvPicPr>
                      <a:picLocks noChangeAspect="1"/>
                    </pic:cNvPicPr>
                  </pic:nvPicPr>
                  <pic:blipFill>
                    <a:blip r:embed="rId82"/>
                    <a:stretch>
                      <a:fillRect/>
                    </a:stretch>
                  </pic:blipFill>
                  <pic:spPr>
                    <a:xfrm>
                      <a:off x="0" y="0"/>
                      <a:ext cx="5243509" cy="6085644"/>
                    </a:xfrm>
                    <a:prstGeom prst="rect">
                      <a:avLst/>
                    </a:prstGeom>
                  </pic:spPr>
                </pic:pic>
              </a:graphicData>
            </a:graphic>
          </wp:inline>
        </w:drawing>
      </w:r>
    </w:p>
    <w:p w14:paraId="6118D64C">
      <w:pPr>
        <w:pStyle w:val="5"/>
        <w:numPr>
          <w:ilvl w:val="3"/>
          <w:numId w:val="2"/>
        </w:numPr>
      </w:pPr>
      <w:bookmarkStart w:id="196" w:name="_Toc104633519"/>
      <w:r>
        <w:rPr>
          <w:rFonts w:hint="eastAsia"/>
        </w:rPr>
        <w:t>网络安全事件信息报送内容和格式规范</w:t>
      </w:r>
      <w:bookmarkEnd w:id="196"/>
    </w:p>
    <w:p w14:paraId="021BAB8A">
      <w:pPr>
        <w:ind w:firstLine="480"/>
      </w:pPr>
      <w:r>
        <w:rPr>
          <w:rFonts w:hint="eastAsia"/>
        </w:rPr>
        <w:t>网络安全事件是指由于人为原因或意外行为、软硬件缺陷或故障、不可抗力等，可能对信息系统、通信网络设施或数据资源造成损害，或对社会造成负面影响的事件。参照GB/Z 20986《信息安全技术</w:t>
      </w:r>
      <w:r>
        <w:t xml:space="preserve"> </w:t>
      </w:r>
      <w:r>
        <w:rPr>
          <w:rFonts w:hint="eastAsia"/>
        </w:rPr>
        <w:t>信息安全事件分类分级指南》，结合网络安全管理工作需要，将网络安全事件分为恶意程序事件、网络攻击事件、网络数据安全事件、信息内容安全事件、设备设施故障、不可抗力事件、违规操作事件、安全隐患事件、异常行为事件、综合型事件、其他事件，共11个基本分类。每个基本分类中，包含若干个子类。</w:t>
      </w:r>
    </w:p>
    <w:p w14:paraId="11801B6C">
      <w:pPr>
        <w:ind w:firstLine="480"/>
      </w:pPr>
      <w:r>
        <w:rPr>
          <w:rFonts w:hint="eastAsia"/>
        </w:rPr>
        <w:t>按照网络和网络数据的重要程度、业务损失的严重程度和社会危害的严重程度三个方面要素评估，将网络安全事件划分为四个级别：特别重大事件、重大事件、较大事件和一般事件。按照分类分级原则，根据网络安全管理工作实际需要，界定了各类网络安全事件信息报送时的基本内容和格式规范。</w:t>
      </w:r>
    </w:p>
    <w:p w14:paraId="77760060">
      <w:pPr>
        <w:pStyle w:val="6"/>
        <w:numPr>
          <w:ilvl w:val="4"/>
          <w:numId w:val="2"/>
        </w:numPr>
      </w:pPr>
      <w:bookmarkStart w:id="197" w:name="_Toc104633520"/>
      <w:r>
        <w:rPr>
          <w:rFonts w:hint="eastAsia"/>
        </w:rPr>
        <w:t>安全事件报送格式总体要求</w:t>
      </w:r>
      <w:bookmarkEnd w:id="197"/>
    </w:p>
    <w:p w14:paraId="761C6AC5">
      <w:pPr>
        <w:ind w:firstLine="480"/>
      </w:pPr>
      <w:r>
        <w:rPr>
          <w:rFonts w:hint="eastAsia"/>
        </w:rPr>
        <w:t>每类安全事件的数据格式由通用部分和扩展要素部分（可选）组成。给出了通用部分的格式规范。未列出的网络安全事件类型仅需填写通用部分。</w:t>
      </w:r>
    </w:p>
    <w:p w14:paraId="45B8D613">
      <w:pPr>
        <w:ind w:firstLine="480"/>
      </w:pPr>
      <w:r>
        <w:rPr>
          <w:rFonts w:hint="eastAsia"/>
        </w:rPr>
        <w:t>各类数据字段的数据类型格式说明见下表：</w:t>
      </w:r>
    </w:p>
    <w:p w14:paraId="1E55E4F4">
      <w:pPr>
        <w:ind w:firstLine="0" w:firstLineChars="0"/>
        <w:jc w:val="center"/>
        <w:rPr>
          <w:b/>
          <w:bCs/>
        </w:rPr>
      </w:pPr>
      <w:r>
        <w:rPr>
          <w:rFonts w:hint="eastAsia"/>
          <w:b/>
          <w:bCs/>
        </w:rPr>
        <w:t>表</w:t>
      </w:r>
      <w:r>
        <w:rPr>
          <w:b/>
          <w:bCs/>
        </w:rPr>
        <w:t xml:space="preserve"> </w:t>
      </w:r>
      <w:r>
        <w:rPr>
          <w:rFonts w:hint="eastAsia"/>
          <w:b/>
          <w:bCs/>
        </w:rPr>
        <w:t>数值类型格式说明表</w:t>
      </w:r>
    </w:p>
    <w:p w14:paraId="02CB1C80">
      <w:pPr>
        <w:ind w:firstLine="0" w:firstLineChars="0"/>
        <w:jc w:val="center"/>
      </w:pPr>
      <w:r>
        <w:drawing>
          <wp:inline distT="0" distB="0" distL="0" distR="0">
            <wp:extent cx="5274310" cy="3050540"/>
            <wp:effectExtent l="0" t="0" r="2540" b="0"/>
            <wp:docPr id="3113" name="图片 31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 name="图片 3113" descr="表格&#10;&#10;描述已自动生成"/>
                    <pic:cNvPicPr>
                      <a:picLocks noChangeAspect="1"/>
                    </pic:cNvPicPr>
                  </pic:nvPicPr>
                  <pic:blipFill>
                    <a:blip r:embed="rId83"/>
                    <a:stretch>
                      <a:fillRect/>
                    </a:stretch>
                  </pic:blipFill>
                  <pic:spPr>
                    <a:xfrm>
                      <a:off x="0" y="0"/>
                      <a:ext cx="5274310" cy="3050540"/>
                    </a:xfrm>
                    <a:prstGeom prst="rect">
                      <a:avLst/>
                    </a:prstGeom>
                  </pic:spPr>
                </pic:pic>
              </a:graphicData>
            </a:graphic>
          </wp:inline>
        </w:drawing>
      </w:r>
    </w:p>
    <w:p w14:paraId="73AF0471">
      <w:pPr>
        <w:pStyle w:val="6"/>
        <w:numPr>
          <w:ilvl w:val="4"/>
          <w:numId w:val="2"/>
        </w:numPr>
      </w:pPr>
      <w:bookmarkStart w:id="198" w:name="_Toc104633521"/>
      <w:r>
        <w:rPr>
          <w:rFonts w:hint="eastAsia"/>
        </w:rPr>
        <w:t>通用报送格式</w:t>
      </w:r>
      <w:bookmarkEnd w:id="198"/>
    </w:p>
    <w:p w14:paraId="5C976EE0">
      <w:pPr>
        <w:ind w:firstLine="480"/>
      </w:pPr>
      <w:r>
        <w:rPr>
          <w:rFonts w:hint="eastAsia"/>
        </w:rPr>
        <w:t>安全事件的数据格式通用部分数据格式要求见下表：</w:t>
      </w:r>
    </w:p>
    <w:p w14:paraId="080543F4">
      <w:pPr>
        <w:ind w:firstLine="482"/>
        <w:jc w:val="center"/>
      </w:pPr>
      <w:r>
        <w:rPr>
          <w:rFonts w:hint="eastAsia"/>
          <w:b/>
          <w:bCs/>
        </w:rPr>
        <w:t>表</w:t>
      </w:r>
      <w:r>
        <w:rPr>
          <w:b/>
          <w:bCs/>
        </w:rPr>
        <w:t xml:space="preserve"> </w:t>
      </w:r>
      <w:r>
        <w:rPr>
          <w:rFonts w:hint="eastAsia"/>
          <w:b/>
          <w:bCs/>
        </w:rPr>
        <w:t>安全事件通用部分字段说明表</w:t>
      </w:r>
      <w:r>
        <w:drawing>
          <wp:inline distT="0" distB="0" distL="0" distR="0">
            <wp:extent cx="5274310" cy="6753225"/>
            <wp:effectExtent l="0" t="0" r="2540" b="9525"/>
            <wp:docPr id="3114" name="图片 311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图片 3114" descr="表格&#10;&#10;描述已自动生成"/>
                    <pic:cNvPicPr>
                      <a:picLocks noChangeAspect="1"/>
                    </pic:cNvPicPr>
                  </pic:nvPicPr>
                  <pic:blipFill>
                    <a:blip r:embed="rId84"/>
                    <a:stretch>
                      <a:fillRect/>
                    </a:stretch>
                  </pic:blipFill>
                  <pic:spPr>
                    <a:xfrm>
                      <a:off x="0" y="0"/>
                      <a:ext cx="5274310" cy="6753225"/>
                    </a:xfrm>
                    <a:prstGeom prst="rect">
                      <a:avLst/>
                    </a:prstGeom>
                  </pic:spPr>
                </pic:pic>
              </a:graphicData>
            </a:graphic>
          </wp:inline>
        </w:drawing>
      </w:r>
    </w:p>
    <w:p w14:paraId="70486FB2">
      <w:pPr>
        <w:pStyle w:val="6"/>
        <w:numPr>
          <w:ilvl w:val="4"/>
          <w:numId w:val="2"/>
        </w:numPr>
      </w:pPr>
      <w:bookmarkStart w:id="199" w:name="_Toc104633522"/>
      <w:r>
        <w:rPr>
          <w:rFonts w:hint="eastAsia"/>
        </w:rPr>
        <w:t>网络攻击事件</w:t>
      </w:r>
      <w:bookmarkEnd w:id="199"/>
    </w:p>
    <w:p w14:paraId="47CFD637">
      <w:pPr>
        <w:pStyle w:val="43"/>
        <w:numPr>
          <w:ilvl w:val="0"/>
          <w:numId w:val="29"/>
        </w:numPr>
        <w:ind w:firstLineChars="0"/>
      </w:pPr>
      <w:r>
        <w:rPr>
          <w:rFonts w:hint="eastAsia"/>
        </w:rPr>
        <w:t>拒绝服务攻击事件数据格式扩展要求见下表：</w:t>
      </w:r>
    </w:p>
    <w:p w14:paraId="41C7E130">
      <w:pPr>
        <w:ind w:firstLine="482"/>
        <w:jc w:val="center"/>
        <w:rPr>
          <w:b/>
          <w:bCs/>
        </w:rPr>
      </w:pPr>
      <w:r>
        <w:rPr>
          <w:rFonts w:hint="eastAsia"/>
          <w:b/>
          <w:bCs/>
        </w:rPr>
        <w:t>表 拒绝服务攻击事件扩展字段说明表</w:t>
      </w:r>
    </w:p>
    <w:p w14:paraId="39580C41">
      <w:pPr>
        <w:ind w:firstLine="0" w:firstLineChars="0"/>
      </w:pPr>
      <w:r>
        <w:drawing>
          <wp:inline distT="0" distB="0" distL="0" distR="0">
            <wp:extent cx="5274310" cy="4175760"/>
            <wp:effectExtent l="0" t="0" r="2540" b="0"/>
            <wp:docPr id="3115" name="图片 31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 name="图片 3115" descr="表格&#10;&#10;描述已自动生成"/>
                    <pic:cNvPicPr>
                      <a:picLocks noChangeAspect="1"/>
                    </pic:cNvPicPr>
                  </pic:nvPicPr>
                  <pic:blipFill>
                    <a:blip r:embed="rId85"/>
                    <a:stretch>
                      <a:fillRect/>
                    </a:stretch>
                  </pic:blipFill>
                  <pic:spPr>
                    <a:xfrm>
                      <a:off x="0" y="0"/>
                      <a:ext cx="5274310" cy="4175760"/>
                    </a:xfrm>
                    <a:prstGeom prst="rect">
                      <a:avLst/>
                    </a:prstGeom>
                  </pic:spPr>
                </pic:pic>
              </a:graphicData>
            </a:graphic>
          </wp:inline>
        </w:drawing>
      </w:r>
    </w:p>
    <w:p w14:paraId="68E69469">
      <w:pPr>
        <w:pStyle w:val="43"/>
        <w:numPr>
          <w:ilvl w:val="0"/>
          <w:numId w:val="29"/>
        </w:numPr>
        <w:ind w:firstLineChars="0"/>
      </w:pPr>
      <w:r>
        <w:rPr>
          <w:rFonts w:hint="eastAsia"/>
        </w:rPr>
        <w:t>后门植入事件数据格式扩展要求见下表：</w:t>
      </w:r>
    </w:p>
    <w:p w14:paraId="3D5B7D88">
      <w:pPr>
        <w:ind w:firstLine="482"/>
        <w:jc w:val="center"/>
        <w:rPr>
          <w:b/>
          <w:bCs/>
        </w:rPr>
      </w:pPr>
      <w:r>
        <w:rPr>
          <w:rFonts w:hint="eastAsia"/>
          <w:b/>
          <w:bCs/>
        </w:rPr>
        <w:t>表 后门植入事件扩展字段说明</w:t>
      </w:r>
    </w:p>
    <w:p w14:paraId="431E8E6D">
      <w:pPr>
        <w:ind w:firstLine="0" w:firstLineChars="0"/>
      </w:pPr>
      <w:r>
        <w:drawing>
          <wp:inline distT="0" distB="0" distL="0" distR="0">
            <wp:extent cx="5274310" cy="2466975"/>
            <wp:effectExtent l="0" t="0" r="2540" b="9525"/>
            <wp:docPr id="3116" name="图片 31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图片 3116" descr="表格&#10;&#10;描述已自动生成"/>
                    <pic:cNvPicPr>
                      <a:picLocks noChangeAspect="1"/>
                    </pic:cNvPicPr>
                  </pic:nvPicPr>
                  <pic:blipFill>
                    <a:blip r:embed="rId86"/>
                    <a:stretch>
                      <a:fillRect/>
                    </a:stretch>
                  </pic:blipFill>
                  <pic:spPr>
                    <a:xfrm>
                      <a:off x="0" y="0"/>
                      <a:ext cx="5274310" cy="2466975"/>
                    </a:xfrm>
                    <a:prstGeom prst="rect">
                      <a:avLst/>
                    </a:prstGeom>
                  </pic:spPr>
                </pic:pic>
              </a:graphicData>
            </a:graphic>
          </wp:inline>
        </w:drawing>
      </w:r>
    </w:p>
    <w:p w14:paraId="5943B735">
      <w:pPr>
        <w:pStyle w:val="43"/>
        <w:numPr>
          <w:ilvl w:val="0"/>
          <w:numId w:val="29"/>
        </w:numPr>
        <w:ind w:firstLineChars="0"/>
      </w:pPr>
      <w:r>
        <w:rPr>
          <w:rFonts w:hint="eastAsia"/>
        </w:rPr>
        <w:t>漏洞利用事件数据格式扩展要求见下表：</w:t>
      </w:r>
    </w:p>
    <w:p w14:paraId="76F83E89">
      <w:pPr>
        <w:ind w:firstLine="482"/>
        <w:jc w:val="center"/>
      </w:pPr>
      <w:r>
        <w:rPr>
          <w:rFonts w:hint="eastAsia"/>
          <w:b/>
          <w:bCs/>
        </w:rPr>
        <w:t>表 漏洞利用事件扩展字段说明表</w:t>
      </w:r>
    </w:p>
    <w:p w14:paraId="0DC80CAC">
      <w:pPr>
        <w:ind w:firstLine="0" w:firstLineChars="0"/>
      </w:pPr>
      <w:r>
        <w:drawing>
          <wp:inline distT="0" distB="0" distL="0" distR="0">
            <wp:extent cx="5274310" cy="3166110"/>
            <wp:effectExtent l="0" t="0" r="2540" b="0"/>
            <wp:docPr id="3117" name="图片 311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 name="图片 3117" descr="表格&#10;&#10;描述已自动生成"/>
                    <pic:cNvPicPr>
                      <a:picLocks noChangeAspect="1"/>
                    </pic:cNvPicPr>
                  </pic:nvPicPr>
                  <pic:blipFill>
                    <a:blip r:embed="rId87"/>
                    <a:stretch>
                      <a:fillRect/>
                    </a:stretch>
                  </pic:blipFill>
                  <pic:spPr>
                    <a:xfrm>
                      <a:off x="0" y="0"/>
                      <a:ext cx="5274310" cy="3166110"/>
                    </a:xfrm>
                    <a:prstGeom prst="rect">
                      <a:avLst/>
                    </a:prstGeom>
                  </pic:spPr>
                </pic:pic>
              </a:graphicData>
            </a:graphic>
          </wp:inline>
        </w:drawing>
      </w:r>
    </w:p>
    <w:p w14:paraId="6AA0A768">
      <w:pPr>
        <w:pStyle w:val="43"/>
        <w:numPr>
          <w:ilvl w:val="0"/>
          <w:numId w:val="29"/>
        </w:numPr>
        <w:ind w:firstLineChars="0"/>
      </w:pPr>
      <w:r>
        <w:rPr>
          <w:rFonts w:hint="eastAsia"/>
        </w:rPr>
        <w:t>网络数据假冒事件数据格式扩展要求见下表：</w:t>
      </w:r>
    </w:p>
    <w:p w14:paraId="68CF5728">
      <w:pPr>
        <w:ind w:firstLine="482"/>
        <w:jc w:val="center"/>
        <w:rPr>
          <w:b/>
          <w:bCs/>
        </w:rPr>
      </w:pPr>
      <w:r>
        <w:rPr>
          <w:rFonts w:hint="eastAsia"/>
          <w:b/>
          <w:bCs/>
        </w:rPr>
        <w:t xml:space="preserve"> 表</w:t>
      </w:r>
      <w:r>
        <w:rPr>
          <w:b/>
          <w:bCs/>
        </w:rPr>
        <w:t xml:space="preserve"> </w:t>
      </w:r>
      <w:r>
        <w:rPr>
          <w:rFonts w:hint="eastAsia"/>
          <w:b/>
          <w:bCs/>
        </w:rPr>
        <w:t>网络数据假冒事件扩展字段说明表</w:t>
      </w:r>
    </w:p>
    <w:p w14:paraId="34970A0C">
      <w:pPr>
        <w:ind w:firstLine="0" w:firstLineChars="0"/>
      </w:pPr>
      <w:r>
        <w:drawing>
          <wp:inline distT="0" distB="0" distL="0" distR="0">
            <wp:extent cx="5274310" cy="2974975"/>
            <wp:effectExtent l="0" t="0" r="2540" b="0"/>
            <wp:docPr id="3118" name="图片 31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图片 3118" descr="表格&#10;&#10;描述已自动生成"/>
                    <pic:cNvPicPr>
                      <a:picLocks noChangeAspect="1"/>
                    </pic:cNvPicPr>
                  </pic:nvPicPr>
                  <pic:blipFill>
                    <a:blip r:embed="rId88"/>
                    <a:stretch>
                      <a:fillRect/>
                    </a:stretch>
                  </pic:blipFill>
                  <pic:spPr>
                    <a:xfrm>
                      <a:off x="0" y="0"/>
                      <a:ext cx="5274310" cy="2974975"/>
                    </a:xfrm>
                    <a:prstGeom prst="rect">
                      <a:avLst/>
                    </a:prstGeom>
                  </pic:spPr>
                </pic:pic>
              </a:graphicData>
            </a:graphic>
          </wp:inline>
        </w:drawing>
      </w:r>
    </w:p>
    <w:p w14:paraId="7D73444D">
      <w:pPr>
        <w:pStyle w:val="43"/>
        <w:numPr>
          <w:ilvl w:val="0"/>
          <w:numId w:val="29"/>
        </w:numPr>
        <w:ind w:firstLineChars="0"/>
      </w:pPr>
      <w:r>
        <w:rPr>
          <w:rFonts w:hint="eastAsia"/>
        </w:rPr>
        <w:t>服务具体泄露信息数据格式扩展要求见下表：</w:t>
      </w:r>
    </w:p>
    <w:p w14:paraId="691B2B83">
      <w:pPr>
        <w:ind w:firstLine="482"/>
        <w:jc w:val="center"/>
      </w:pPr>
      <w:r>
        <w:rPr>
          <w:rFonts w:hint="eastAsia"/>
          <w:b/>
          <w:bCs/>
        </w:rPr>
        <w:t>表 服务具体泄露数据扩展字段说明表</w:t>
      </w:r>
    </w:p>
    <w:p w14:paraId="13E177FD">
      <w:pPr>
        <w:ind w:firstLine="0" w:firstLineChars="0"/>
      </w:pPr>
      <w:r>
        <w:drawing>
          <wp:inline distT="0" distB="0" distL="0" distR="0">
            <wp:extent cx="5274310" cy="1911985"/>
            <wp:effectExtent l="0" t="0" r="2540" b="0"/>
            <wp:docPr id="3119" name="图片 31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 name="图片 3119" descr="表格&#10;&#10;描述已自动生成"/>
                    <pic:cNvPicPr>
                      <a:picLocks noChangeAspect="1"/>
                    </pic:cNvPicPr>
                  </pic:nvPicPr>
                  <pic:blipFill>
                    <a:blip r:embed="rId89"/>
                    <a:stretch>
                      <a:fillRect/>
                    </a:stretch>
                  </pic:blipFill>
                  <pic:spPr>
                    <a:xfrm>
                      <a:off x="0" y="0"/>
                      <a:ext cx="5274310" cy="1911985"/>
                    </a:xfrm>
                    <a:prstGeom prst="rect">
                      <a:avLst/>
                    </a:prstGeom>
                  </pic:spPr>
                </pic:pic>
              </a:graphicData>
            </a:graphic>
          </wp:inline>
        </w:drawing>
      </w:r>
    </w:p>
    <w:p w14:paraId="36399026">
      <w:pPr>
        <w:pStyle w:val="43"/>
        <w:numPr>
          <w:ilvl w:val="0"/>
          <w:numId w:val="29"/>
        </w:numPr>
        <w:ind w:firstLineChars="0"/>
      </w:pPr>
      <w:r>
        <w:rPr>
          <w:rFonts w:hint="eastAsia"/>
        </w:rPr>
        <w:t>网络数据丢失事件数据格式扩展要求见下表：</w:t>
      </w:r>
    </w:p>
    <w:p w14:paraId="4681B7B9">
      <w:pPr>
        <w:ind w:firstLine="482"/>
        <w:jc w:val="center"/>
        <w:rPr>
          <w:b/>
          <w:bCs/>
        </w:rPr>
      </w:pPr>
      <w:r>
        <w:rPr>
          <w:rFonts w:hint="eastAsia"/>
          <w:b/>
          <w:bCs/>
        </w:rPr>
        <w:t>表</w:t>
      </w:r>
      <w:r>
        <w:rPr>
          <w:b/>
          <w:bCs/>
        </w:rPr>
        <w:t xml:space="preserve"> </w:t>
      </w:r>
      <w:r>
        <w:rPr>
          <w:rFonts w:hint="eastAsia"/>
          <w:b/>
          <w:bCs/>
        </w:rPr>
        <w:t>网络数据丢失事件扩展字段说明表</w:t>
      </w:r>
    </w:p>
    <w:p w14:paraId="192ACFA0">
      <w:pPr>
        <w:ind w:firstLine="0" w:firstLineChars="0"/>
      </w:pPr>
      <w:r>
        <w:drawing>
          <wp:inline distT="0" distB="0" distL="0" distR="0">
            <wp:extent cx="5274310" cy="1494155"/>
            <wp:effectExtent l="0" t="0" r="2540" b="0"/>
            <wp:docPr id="3120" name="图片 312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图片 3120" descr="表格&#10;&#10;描述已自动生成"/>
                    <pic:cNvPicPr>
                      <a:picLocks noChangeAspect="1"/>
                    </pic:cNvPicPr>
                  </pic:nvPicPr>
                  <pic:blipFill>
                    <a:blip r:embed="rId90"/>
                    <a:stretch>
                      <a:fillRect/>
                    </a:stretch>
                  </pic:blipFill>
                  <pic:spPr>
                    <a:xfrm>
                      <a:off x="0" y="0"/>
                      <a:ext cx="5274310" cy="1494155"/>
                    </a:xfrm>
                    <a:prstGeom prst="rect">
                      <a:avLst/>
                    </a:prstGeom>
                  </pic:spPr>
                </pic:pic>
              </a:graphicData>
            </a:graphic>
          </wp:inline>
        </w:drawing>
      </w:r>
    </w:p>
    <w:p w14:paraId="222C7997">
      <w:pPr>
        <w:pStyle w:val="6"/>
        <w:numPr>
          <w:ilvl w:val="4"/>
          <w:numId w:val="2"/>
        </w:numPr>
      </w:pPr>
      <w:bookmarkStart w:id="200" w:name="_Toc104633523"/>
      <w:r>
        <w:rPr>
          <w:rFonts w:hint="eastAsia"/>
        </w:rPr>
        <w:t>安全事件隐患事件</w:t>
      </w:r>
      <w:bookmarkEnd w:id="200"/>
    </w:p>
    <w:p w14:paraId="2D096F92">
      <w:pPr>
        <w:pStyle w:val="43"/>
        <w:numPr>
          <w:ilvl w:val="0"/>
          <w:numId w:val="30"/>
        </w:numPr>
        <w:ind w:firstLineChars="0"/>
      </w:pPr>
      <w:r>
        <w:rPr>
          <w:rFonts w:hint="eastAsia"/>
        </w:rPr>
        <w:t>信息系统漏洞事件数据格式扩展要求见下表：</w:t>
      </w:r>
    </w:p>
    <w:p w14:paraId="69297422">
      <w:pPr>
        <w:ind w:firstLine="482"/>
        <w:jc w:val="center"/>
        <w:rPr>
          <w:b/>
          <w:bCs/>
        </w:rPr>
      </w:pPr>
      <w:r>
        <w:rPr>
          <w:rFonts w:hint="eastAsia"/>
          <w:b/>
          <w:bCs/>
        </w:rPr>
        <w:t>图</w:t>
      </w:r>
      <w:r>
        <w:rPr>
          <w:b/>
          <w:bCs/>
        </w:rPr>
        <w:t xml:space="preserve"> </w:t>
      </w:r>
      <w:r>
        <w:rPr>
          <w:rFonts w:hint="eastAsia"/>
          <w:b/>
          <w:bCs/>
        </w:rPr>
        <w:t>信息系统漏洞事件扩展字段表</w:t>
      </w:r>
    </w:p>
    <w:p w14:paraId="762D9A64">
      <w:pPr>
        <w:ind w:firstLine="0" w:firstLineChars="0"/>
      </w:pPr>
      <w:r>
        <w:drawing>
          <wp:inline distT="0" distB="0" distL="0" distR="0">
            <wp:extent cx="5274310" cy="2754630"/>
            <wp:effectExtent l="0" t="0" r="2540" b="7620"/>
            <wp:docPr id="3121" name="图片 312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图片 3121" descr="表格&#10;&#10;描述已自动生成"/>
                    <pic:cNvPicPr>
                      <a:picLocks noChangeAspect="1"/>
                    </pic:cNvPicPr>
                  </pic:nvPicPr>
                  <pic:blipFill>
                    <a:blip r:embed="rId91"/>
                    <a:stretch>
                      <a:fillRect/>
                    </a:stretch>
                  </pic:blipFill>
                  <pic:spPr>
                    <a:xfrm>
                      <a:off x="0" y="0"/>
                      <a:ext cx="5274310" cy="2754630"/>
                    </a:xfrm>
                    <a:prstGeom prst="rect">
                      <a:avLst/>
                    </a:prstGeom>
                  </pic:spPr>
                </pic:pic>
              </a:graphicData>
            </a:graphic>
          </wp:inline>
        </w:drawing>
      </w:r>
    </w:p>
    <w:p w14:paraId="23FE49F5">
      <w:pPr>
        <w:pStyle w:val="6"/>
        <w:numPr>
          <w:ilvl w:val="4"/>
          <w:numId w:val="2"/>
        </w:numPr>
      </w:pPr>
      <w:bookmarkStart w:id="201" w:name="_Toc104633524"/>
      <w:r>
        <w:rPr>
          <w:rFonts w:hint="eastAsia"/>
        </w:rPr>
        <w:t>异常行为事件</w:t>
      </w:r>
      <w:bookmarkEnd w:id="201"/>
    </w:p>
    <w:p w14:paraId="4B04EB96">
      <w:pPr>
        <w:pStyle w:val="43"/>
        <w:numPr>
          <w:ilvl w:val="0"/>
          <w:numId w:val="30"/>
        </w:numPr>
        <w:ind w:firstLineChars="0"/>
      </w:pPr>
      <w:r>
        <w:rPr>
          <w:rFonts w:hint="eastAsia"/>
        </w:rPr>
        <w:t>访问异常事件数据格式扩展要求见下表：</w:t>
      </w:r>
    </w:p>
    <w:p w14:paraId="02823B21">
      <w:pPr>
        <w:ind w:firstLine="482"/>
        <w:jc w:val="center"/>
      </w:pPr>
      <w:r>
        <w:rPr>
          <w:rFonts w:hint="eastAsia"/>
          <w:b/>
          <w:bCs/>
        </w:rPr>
        <w:t>表</w:t>
      </w:r>
      <w:r>
        <w:rPr>
          <w:b/>
          <w:bCs/>
        </w:rPr>
        <w:t xml:space="preserve"> </w:t>
      </w:r>
      <w:r>
        <w:rPr>
          <w:rFonts w:hint="eastAsia"/>
          <w:b/>
          <w:bCs/>
        </w:rPr>
        <w:t>访问异常事件扩展字段表</w:t>
      </w:r>
    </w:p>
    <w:p w14:paraId="13C61B7C">
      <w:pPr>
        <w:ind w:firstLine="0" w:firstLineChars="0"/>
      </w:pPr>
      <w:r>
        <w:drawing>
          <wp:inline distT="0" distB="0" distL="0" distR="0">
            <wp:extent cx="5274310" cy="2926715"/>
            <wp:effectExtent l="0" t="0" r="2540" b="6985"/>
            <wp:docPr id="3122" name="图片 312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图片 3122" descr="表格&#10;&#10;描述已自动生成"/>
                    <pic:cNvPicPr>
                      <a:picLocks noChangeAspect="1"/>
                    </pic:cNvPicPr>
                  </pic:nvPicPr>
                  <pic:blipFill>
                    <a:blip r:embed="rId92"/>
                    <a:stretch>
                      <a:fillRect/>
                    </a:stretch>
                  </pic:blipFill>
                  <pic:spPr>
                    <a:xfrm>
                      <a:off x="0" y="0"/>
                      <a:ext cx="5274310" cy="2926715"/>
                    </a:xfrm>
                    <a:prstGeom prst="rect">
                      <a:avLst/>
                    </a:prstGeom>
                  </pic:spPr>
                </pic:pic>
              </a:graphicData>
            </a:graphic>
          </wp:inline>
        </w:drawing>
      </w:r>
    </w:p>
    <w:p w14:paraId="79AAB7B1">
      <w:pPr>
        <w:pStyle w:val="43"/>
        <w:numPr>
          <w:ilvl w:val="0"/>
          <w:numId w:val="30"/>
        </w:numPr>
        <w:ind w:firstLineChars="0"/>
      </w:pPr>
      <w:r>
        <w:rPr>
          <w:rFonts w:hint="eastAsia"/>
        </w:rPr>
        <w:t>流量异常事件数据格式扩展要求见下表：</w:t>
      </w:r>
    </w:p>
    <w:p w14:paraId="3FD10DBA">
      <w:pPr>
        <w:ind w:firstLine="482"/>
        <w:jc w:val="center"/>
        <w:rPr>
          <w:b/>
          <w:bCs/>
        </w:rPr>
      </w:pPr>
      <w:r>
        <w:rPr>
          <w:rFonts w:hint="eastAsia"/>
          <w:b/>
          <w:bCs/>
        </w:rPr>
        <w:t>表</w:t>
      </w:r>
      <w:r>
        <w:rPr>
          <w:b/>
          <w:bCs/>
        </w:rPr>
        <w:t xml:space="preserve"> </w:t>
      </w:r>
      <w:r>
        <w:rPr>
          <w:rFonts w:hint="eastAsia"/>
          <w:b/>
          <w:bCs/>
        </w:rPr>
        <w:t>流量异常事件扩展字段表</w:t>
      </w:r>
    </w:p>
    <w:p w14:paraId="60718973">
      <w:pPr>
        <w:ind w:firstLine="0" w:firstLineChars="0"/>
      </w:pPr>
      <w:r>
        <w:drawing>
          <wp:inline distT="0" distB="0" distL="0" distR="0">
            <wp:extent cx="5274310" cy="2879090"/>
            <wp:effectExtent l="0" t="0" r="2540" b="0"/>
            <wp:docPr id="3123" name="图片 312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图片 3123" descr="表格&#10;&#10;描述已自动生成"/>
                    <pic:cNvPicPr>
                      <a:picLocks noChangeAspect="1"/>
                    </pic:cNvPicPr>
                  </pic:nvPicPr>
                  <pic:blipFill>
                    <a:blip r:embed="rId93"/>
                    <a:stretch>
                      <a:fillRect/>
                    </a:stretch>
                  </pic:blipFill>
                  <pic:spPr>
                    <a:xfrm>
                      <a:off x="0" y="0"/>
                      <a:ext cx="5274310" cy="2879090"/>
                    </a:xfrm>
                    <a:prstGeom prst="rect">
                      <a:avLst/>
                    </a:prstGeom>
                  </pic:spPr>
                </pic:pic>
              </a:graphicData>
            </a:graphic>
          </wp:inline>
        </w:drawing>
      </w:r>
    </w:p>
    <w:p w14:paraId="5781A8B3">
      <w:pPr>
        <w:pStyle w:val="6"/>
        <w:numPr>
          <w:ilvl w:val="4"/>
          <w:numId w:val="2"/>
        </w:numPr>
      </w:pPr>
      <w:bookmarkStart w:id="202" w:name="_Toc104633525"/>
      <w:r>
        <w:rPr>
          <w:rFonts w:hint="eastAsia"/>
        </w:rPr>
        <w:t>综合性事件</w:t>
      </w:r>
      <w:bookmarkEnd w:id="202"/>
    </w:p>
    <w:p w14:paraId="4A198A64">
      <w:pPr>
        <w:pStyle w:val="43"/>
        <w:numPr>
          <w:ilvl w:val="0"/>
          <w:numId w:val="31"/>
        </w:numPr>
        <w:ind w:firstLineChars="0"/>
      </w:pPr>
      <w:r>
        <w:rPr>
          <w:rFonts w:hint="eastAsia"/>
        </w:rPr>
        <w:t>失陷主机事件数据格式扩展要求见下表：</w:t>
      </w:r>
    </w:p>
    <w:p w14:paraId="693CEF4F">
      <w:pPr>
        <w:ind w:firstLine="482"/>
        <w:jc w:val="center"/>
        <w:rPr>
          <w:b/>
          <w:bCs/>
        </w:rPr>
      </w:pPr>
      <w:r>
        <w:rPr>
          <w:rFonts w:hint="eastAsia"/>
          <w:b/>
          <w:bCs/>
        </w:rPr>
        <w:t>表</w:t>
      </w:r>
      <w:r>
        <w:rPr>
          <w:b/>
          <w:bCs/>
        </w:rPr>
        <w:t xml:space="preserve"> </w:t>
      </w:r>
      <w:r>
        <w:rPr>
          <w:rFonts w:hint="eastAsia"/>
          <w:b/>
          <w:bCs/>
        </w:rPr>
        <w:t>失陷主机事件扩展字段表</w:t>
      </w:r>
    </w:p>
    <w:p w14:paraId="3E52021B">
      <w:pPr>
        <w:ind w:firstLine="0" w:firstLineChars="0"/>
      </w:pPr>
      <w:r>
        <w:drawing>
          <wp:inline distT="0" distB="0" distL="0" distR="0">
            <wp:extent cx="5274310" cy="1735455"/>
            <wp:effectExtent l="0" t="0" r="2540" b="0"/>
            <wp:docPr id="3124" name="图片 312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图片 3124" descr="表格&#10;&#10;描述已自动生成"/>
                    <pic:cNvPicPr>
                      <a:picLocks noChangeAspect="1"/>
                    </pic:cNvPicPr>
                  </pic:nvPicPr>
                  <pic:blipFill>
                    <a:blip r:embed="rId94"/>
                    <a:stretch>
                      <a:fillRect/>
                    </a:stretch>
                  </pic:blipFill>
                  <pic:spPr>
                    <a:xfrm>
                      <a:off x="0" y="0"/>
                      <a:ext cx="5274310" cy="1735455"/>
                    </a:xfrm>
                    <a:prstGeom prst="rect">
                      <a:avLst/>
                    </a:prstGeom>
                  </pic:spPr>
                </pic:pic>
              </a:graphicData>
            </a:graphic>
          </wp:inline>
        </w:drawing>
      </w:r>
    </w:p>
    <w:p w14:paraId="021BF49C">
      <w:pPr>
        <w:pStyle w:val="43"/>
        <w:numPr>
          <w:ilvl w:val="0"/>
          <w:numId w:val="31"/>
        </w:numPr>
        <w:ind w:firstLineChars="0"/>
      </w:pPr>
      <w:r>
        <w:rPr>
          <w:rFonts w:hint="eastAsia"/>
        </w:rPr>
        <w:t>高级威胁攻击事件数据格式扩展要求见下表：</w:t>
      </w:r>
    </w:p>
    <w:p w14:paraId="70BD3262">
      <w:pPr>
        <w:ind w:firstLine="482"/>
        <w:jc w:val="center"/>
        <w:rPr>
          <w:b/>
          <w:bCs/>
        </w:rPr>
      </w:pPr>
      <w:r>
        <w:rPr>
          <w:rFonts w:hint="eastAsia"/>
          <w:b/>
          <w:bCs/>
        </w:rPr>
        <w:t>表</w:t>
      </w:r>
      <w:r>
        <w:rPr>
          <w:b/>
          <w:bCs/>
        </w:rPr>
        <w:t xml:space="preserve"> </w:t>
      </w:r>
      <w:r>
        <w:rPr>
          <w:rFonts w:hint="eastAsia"/>
          <w:b/>
          <w:bCs/>
        </w:rPr>
        <w:t>高级威胁攻击事件扩展字段表</w:t>
      </w:r>
    </w:p>
    <w:p w14:paraId="45DCC502">
      <w:pPr>
        <w:ind w:firstLine="0" w:firstLineChars="0"/>
      </w:pPr>
      <w:r>
        <w:drawing>
          <wp:inline distT="0" distB="0" distL="0" distR="0">
            <wp:extent cx="5274310" cy="1763395"/>
            <wp:effectExtent l="0" t="0" r="2540" b="8255"/>
            <wp:docPr id="3125" name="图片 312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 name="图片 3125" descr="表格&#10;&#10;描述已自动生成"/>
                    <pic:cNvPicPr>
                      <a:picLocks noChangeAspect="1"/>
                    </pic:cNvPicPr>
                  </pic:nvPicPr>
                  <pic:blipFill>
                    <a:blip r:embed="rId95"/>
                    <a:stretch>
                      <a:fillRect/>
                    </a:stretch>
                  </pic:blipFill>
                  <pic:spPr>
                    <a:xfrm>
                      <a:off x="0" y="0"/>
                      <a:ext cx="5274310" cy="1763395"/>
                    </a:xfrm>
                    <a:prstGeom prst="rect">
                      <a:avLst/>
                    </a:prstGeom>
                  </pic:spPr>
                </pic:pic>
              </a:graphicData>
            </a:graphic>
          </wp:inline>
        </w:drawing>
      </w:r>
    </w:p>
    <w:bookmarkEnd w:id="166"/>
    <w:bookmarkEnd w:id="167"/>
    <w:bookmarkEnd w:id="168"/>
    <w:bookmarkEnd w:id="169"/>
    <w:p w14:paraId="6CB7BEFB">
      <w:pPr>
        <w:ind w:firstLine="480"/>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41A9">
    <w:pPr>
      <w:pStyle w:val="17"/>
      <w:wordWrap w:val="0"/>
      <w:ind w:firstLine="360"/>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1AC1C">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8CA6">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6B747">
    <w:pPr>
      <w:pStyle w:val="17"/>
      <w:wordWrap w:val="0"/>
      <w:ind w:firstLine="360"/>
      <w:jc w:val="right"/>
    </w:pPr>
    <w:sdt>
      <w:sdtPr>
        <w:id w:val="-1632545115"/>
        <w:docPartObj>
          <w:docPartGallery w:val="autotext"/>
        </w:docPartObj>
      </w:sdtPr>
      <w:sdtContent>
        <w:sdt>
          <w:sdtPr>
            <w:id w:val="1619101569"/>
            <w:docPartObj>
              <w:docPartGallery w:val="autotext"/>
            </w:docPartObj>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sdtContent>
        </w:sdt>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5B1C">
    <w:pPr>
      <w:spacing w:before="120" w:after="120" w:line="240" w:lineRule="atLeast"/>
      <w:ind w:firstLine="440"/>
      <w:jc w:val="center"/>
      <w:rPr>
        <w:rFonts w:hint="default" w:ascii="宋体" w:hAnsi="宋体" w:eastAsia="宋体" w:cstheme="majorEastAsia"/>
        <w:bCs/>
        <w:spacing w:val="10"/>
        <w:sz w:val="21"/>
        <w:szCs w:val="20"/>
        <w:lang w:val="en-US" w:eastAsia="zh-CN"/>
      </w:rPr>
    </w:pPr>
    <w:r>
      <w:rPr>
        <w:rFonts w:hint="eastAsia" w:ascii="宋体" w:hAnsi="宋体" w:cstheme="majorEastAsia"/>
        <w:bCs/>
        <w:spacing w:val="10"/>
        <w:sz w:val="21"/>
        <w:szCs w:val="20"/>
      </w:rPr>
      <w:t>网络安全</w:t>
    </w:r>
    <w:r>
      <w:rPr>
        <w:rFonts w:hint="eastAsia" w:ascii="宋体" w:hAnsi="宋体" w:cstheme="majorEastAsia"/>
        <w:bCs/>
        <w:spacing w:val="10"/>
        <w:sz w:val="21"/>
        <w:szCs w:val="20"/>
        <w:lang w:val="en-US" w:eastAsia="zh-CN"/>
      </w:rPr>
      <w:t>统筹协同管理系统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3A29F">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98586">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1418A"/>
    <w:multiLevelType w:val="multilevel"/>
    <w:tmpl w:val="0051418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2C4389"/>
    <w:multiLevelType w:val="multilevel"/>
    <w:tmpl w:val="042C438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4CA7617"/>
    <w:multiLevelType w:val="multilevel"/>
    <w:tmpl w:val="04CA761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1.%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5C573AC"/>
    <w:multiLevelType w:val="multilevel"/>
    <w:tmpl w:val="05C573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F4A3A56"/>
    <w:multiLevelType w:val="multilevel"/>
    <w:tmpl w:val="0F4A3A5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32060B6"/>
    <w:multiLevelType w:val="multilevel"/>
    <w:tmpl w:val="132060B6"/>
    <w:lvl w:ilvl="0" w:tentative="0">
      <w:start w:val="1"/>
      <w:numFmt w:val="chineseCountingThousand"/>
      <w:lvlText w:val="(%1)"/>
      <w:lvlJc w:val="left"/>
      <w:pPr>
        <w:ind w:left="896" w:hanging="420"/>
      </w:p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6">
    <w:nsid w:val="174D13DF"/>
    <w:multiLevelType w:val="multilevel"/>
    <w:tmpl w:val="174D13D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FB81EC6"/>
    <w:multiLevelType w:val="multilevel"/>
    <w:tmpl w:val="1FB81EC6"/>
    <w:lvl w:ilvl="0" w:tentative="0">
      <w:start w:val="1"/>
      <w:numFmt w:val="chineseCountingThousand"/>
      <w:lvlText w:val="(%1)"/>
      <w:lvlJc w:val="left"/>
      <w:pPr>
        <w:ind w:left="896" w:hanging="420"/>
      </w:p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8">
    <w:nsid w:val="25986A25"/>
    <w:multiLevelType w:val="multilevel"/>
    <w:tmpl w:val="25986A25"/>
    <w:lvl w:ilvl="0" w:tentative="0">
      <w:start w:val="1"/>
      <w:numFmt w:val="decimal"/>
      <w:lvlText w:val="（%1）"/>
      <w:lvlJc w:val="left"/>
      <w:pPr>
        <w:ind w:left="420" w:hanging="420"/>
      </w:pPr>
      <w:rPr>
        <w:rFonts w:hint="default" w:ascii="Times New Roman" w:hAnsi="Times New Roman" w:cs="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9E866A2"/>
    <w:multiLevelType w:val="multilevel"/>
    <w:tmpl w:val="29E866A2"/>
    <w:lvl w:ilvl="0" w:tentative="0">
      <w:start w:val="1"/>
      <w:numFmt w:val="decimal"/>
      <w:lvlText w:val="（%1）"/>
      <w:lvlJc w:val="left"/>
      <w:pPr>
        <w:ind w:left="420" w:hanging="420"/>
      </w:pPr>
      <w:rPr>
        <w:rFonts w:hint="default" w:ascii="Times New Roman" w:hAnsi="Times New Roman" w:cs="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B800E01"/>
    <w:multiLevelType w:val="multilevel"/>
    <w:tmpl w:val="2B800E01"/>
    <w:lvl w:ilvl="0" w:tentative="0">
      <w:start w:val="1"/>
      <w:numFmt w:val="bullet"/>
      <w:lvlText w:val=""/>
      <w:lvlJc w:val="left"/>
      <w:pPr>
        <w:ind w:left="905" w:hanging="420"/>
      </w:pPr>
      <w:rPr>
        <w:rFonts w:hint="default" w:ascii="Wingdings" w:hAnsi="Wingdings"/>
      </w:rPr>
    </w:lvl>
    <w:lvl w:ilvl="1" w:tentative="0">
      <w:start w:val="1"/>
      <w:numFmt w:val="bullet"/>
      <w:lvlText w:val=""/>
      <w:lvlJc w:val="left"/>
      <w:pPr>
        <w:ind w:left="1325" w:hanging="420"/>
      </w:pPr>
      <w:rPr>
        <w:rFonts w:hint="default" w:ascii="Wingdings" w:hAnsi="Wingdings"/>
      </w:rPr>
    </w:lvl>
    <w:lvl w:ilvl="2" w:tentative="0">
      <w:start w:val="1"/>
      <w:numFmt w:val="bullet"/>
      <w:lvlText w:val=""/>
      <w:lvlJc w:val="left"/>
      <w:pPr>
        <w:ind w:left="1745" w:hanging="420"/>
      </w:pPr>
      <w:rPr>
        <w:rFonts w:hint="default" w:ascii="Wingdings" w:hAnsi="Wingdings"/>
      </w:rPr>
    </w:lvl>
    <w:lvl w:ilvl="3" w:tentative="0">
      <w:start w:val="1"/>
      <w:numFmt w:val="bullet"/>
      <w:lvlText w:val=""/>
      <w:lvlJc w:val="left"/>
      <w:pPr>
        <w:ind w:left="2165" w:hanging="420"/>
      </w:pPr>
      <w:rPr>
        <w:rFonts w:hint="default" w:ascii="Wingdings" w:hAnsi="Wingdings"/>
      </w:rPr>
    </w:lvl>
    <w:lvl w:ilvl="4" w:tentative="0">
      <w:start w:val="1"/>
      <w:numFmt w:val="bullet"/>
      <w:lvlText w:val=""/>
      <w:lvlJc w:val="left"/>
      <w:pPr>
        <w:ind w:left="2585" w:hanging="420"/>
      </w:pPr>
      <w:rPr>
        <w:rFonts w:hint="default" w:ascii="Wingdings" w:hAnsi="Wingdings"/>
      </w:rPr>
    </w:lvl>
    <w:lvl w:ilvl="5" w:tentative="0">
      <w:start w:val="1"/>
      <w:numFmt w:val="bullet"/>
      <w:lvlText w:val=""/>
      <w:lvlJc w:val="left"/>
      <w:pPr>
        <w:ind w:left="3005" w:hanging="420"/>
      </w:pPr>
      <w:rPr>
        <w:rFonts w:hint="default" w:ascii="Wingdings" w:hAnsi="Wingdings"/>
      </w:rPr>
    </w:lvl>
    <w:lvl w:ilvl="6" w:tentative="0">
      <w:start w:val="1"/>
      <w:numFmt w:val="bullet"/>
      <w:lvlText w:val=""/>
      <w:lvlJc w:val="left"/>
      <w:pPr>
        <w:ind w:left="3425" w:hanging="420"/>
      </w:pPr>
      <w:rPr>
        <w:rFonts w:hint="default" w:ascii="Wingdings" w:hAnsi="Wingdings"/>
      </w:rPr>
    </w:lvl>
    <w:lvl w:ilvl="7" w:tentative="0">
      <w:start w:val="1"/>
      <w:numFmt w:val="bullet"/>
      <w:lvlText w:val=""/>
      <w:lvlJc w:val="left"/>
      <w:pPr>
        <w:ind w:left="3845" w:hanging="420"/>
      </w:pPr>
      <w:rPr>
        <w:rFonts w:hint="default" w:ascii="Wingdings" w:hAnsi="Wingdings"/>
      </w:rPr>
    </w:lvl>
    <w:lvl w:ilvl="8" w:tentative="0">
      <w:start w:val="1"/>
      <w:numFmt w:val="bullet"/>
      <w:lvlText w:val=""/>
      <w:lvlJc w:val="left"/>
      <w:pPr>
        <w:ind w:left="4265" w:hanging="420"/>
      </w:pPr>
      <w:rPr>
        <w:rFonts w:hint="default" w:ascii="Wingdings" w:hAnsi="Wingdings"/>
      </w:rPr>
    </w:lvl>
  </w:abstractNum>
  <w:abstractNum w:abstractNumId="11">
    <w:nsid w:val="2C0A26FF"/>
    <w:multiLevelType w:val="multilevel"/>
    <w:tmpl w:val="2C0A26F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F5A511D"/>
    <w:multiLevelType w:val="multilevel"/>
    <w:tmpl w:val="2F5A511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F795F28"/>
    <w:multiLevelType w:val="multilevel"/>
    <w:tmpl w:val="2F795F28"/>
    <w:lvl w:ilvl="0" w:tentative="0">
      <w:start w:val="1"/>
      <w:numFmt w:val="decimal"/>
      <w:lvlText w:val="（%1）"/>
      <w:lvlJc w:val="left"/>
      <w:pPr>
        <w:ind w:left="420" w:hanging="420"/>
      </w:pPr>
      <w:rPr>
        <w:rFonts w:hint="default" w:ascii="Times New Roman" w:hAnsi="Times New Roman" w:cs="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1802AD1"/>
    <w:multiLevelType w:val="multilevel"/>
    <w:tmpl w:val="31802AD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409E260A"/>
    <w:multiLevelType w:val="multilevel"/>
    <w:tmpl w:val="409E260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2295287"/>
    <w:multiLevelType w:val="multilevel"/>
    <w:tmpl w:val="4229528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82B6F8A"/>
    <w:multiLevelType w:val="multilevel"/>
    <w:tmpl w:val="482B6F8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8D42180"/>
    <w:multiLevelType w:val="multilevel"/>
    <w:tmpl w:val="48D4218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A51540A"/>
    <w:multiLevelType w:val="multilevel"/>
    <w:tmpl w:val="4A51540A"/>
    <w:lvl w:ilvl="0" w:tentative="0">
      <w:start w:val="1"/>
      <w:numFmt w:val="decimal"/>
      <w:lvlText w:val="（%1）"/>
      <w:lvlJc w:val="left"/>
      <w:pPr>
        <w:ind w:left="420" w:hanging="420"/>
      </w:pPr>
      <w:rPr>
        <w:rFonts w:hint="default" w:ascii="Times New Roman" w:hAnsi="Times New Roman" w:cs="Times New Roman"/>
        <w:sz w:val="24"/>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AF72A01"/>
    <w:multiLevelType w:val="multilevel"/>
    <w:tmpl w:val="4AF72A01"/>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1">
    <w:nsid w:val="4EB36067"/>
    <w:multiLevelType w:val="multilevel"/>
    <w:tmpl w:val="4EB36067"/>
    <w:lvl w:ilvl="0" w:tentative="0">
      <w:start w:val="1"/>
      <w:numFmt w:val="decimal"/>
      <w:lvlText w:val="%1."/>
      <w:lvlJc w:val="left"/>
      <w:pPr>
        <w:ind w:left="425" w:hanging="425"/>
      </w:pPr>
      <w:rPr>
        <w:rFonts w:hint="eastAsia"/>
        <w:b/>
        <w:i w:val="0"/>
        <w:spacing w:val="0"/>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ascii="仿宋" w:hAnsi="仿宋" w:eastAsia="仿宋"/>
        <w:sz w:val="32"/>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4F2333B1"/>
    <w:multiLevelType w:val="multilevel"/>
    <w:tmpl w:val="4F2333B1"/>
    <w:lvl w:ilvl="0" w:tentative="0">
      <w:start w:val="1"/>
      <w:numFmt w:val="chineseCountingThousand"/>
      <w:lvlText w:val="(%1)"/>
      <w:lvlJc w:val="left"/>
      <w:pPr>
        <w:ind w:left="420" w:hanging="420"/>
      </w:pPr>
      <w:rPr>
        <w:rFonts w:hint="eastAsia"/>
      </w:rPr>
    </w:lvl>
    <w:lvl w:ilvl="1" w:tentative="0">
      <w:start w:val="1"/>
      <w:numFmt w:val="chineseCountingThousand"/>
      <w:pStyle w:val="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542B4331"/>
    <w:multiLevelType w:val="multilevel"/>
    <w:tmpl w:val="542B4331"/>
    <w:lvl w:ilvl="0" w:tentative="0">
      <w:start w:val="1"/>
      <w:numFmt w:val="decimal"/>
      <w:lvlText w:val="%1."/>
      <w:lvlJc w:val="left"/>
      <w:pPr>
        <w:ind w:left="900" w:hanging="420"/>
      </w:pPr>
      <w:rPr>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671775F"/>
    <w:multiLevelType w:val="multilevel"/>
    <w:tmpl w:val="5671775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C5F6401"/>
    <w:multiLevelType w:val="multilevel"/>
    <w:tmpl w:val="5C5F6401"/>
    <w:lvl w:ilvl="0" w:tentative="0">
      <w:start w:val="1"/>
      <w:numFmt w:val="bullet"/>
      <w:lvlText w:val=""/>
      <w:lvlJc w:val="left"/>
      <w:pPr>
        <w:ind w:left="905" w:hanging="420"/>
      </w:pPr>
      <w:rPr>
        <w:rFonts w:hint="default" w:ascii="Wingdings" w:hAnsi="Wingdings"/>
      </w:rPr>
    </w:lvl>
    <w:lvl w:ilvl="1" w:tentative="0">
      <w:start w:val="1"/>
      <w:numFmt w:val="bullet"/>
      <w:lvlText w:val=""/>
      <w:lvlJc w:val="left"/>
      <w:pPr>
        <w:ind w:left="1325" w:hanging="420"/>
      </w:pPr>
      <w:rPr>
        <w:rFonts w:hint="default" w:ascii="Wingdings" w:hAnsi="Wingdings"/>
      </w:rPr>
    </w:lvl>
    <w:lvl w:ilvl="2" w:tentative="0">
      <w:start w:val="1"/>
      <w:numFmt w:val="bullet"/>
      <w:lvlText w:val=""/>
      <w:lvlJc w:val="left"/>
      <w:pPr>
        <w:ind w:left="1745" w:hanging="420"/>
      </w:pPr>
      <w:rPr>
        <w:rFonts w:hint="default" w:ascii="Wingdings" w:hAnsi="Wingdings"/>
      </w:rPr>
    </w:lvl>
    <w:lvl w:ilvl="3" w:tentative="0">
      <w:start w:val="1"/>
      <w:numFmt w:val="bullet"/>
      <w:lvlText w:val=""/>
      <w:lvlJc w:val="left"/>
      <w:pPr>
        <w:ind w:left="2165" w:hanging="420"/>
      </w:pPr>
      <w:rPr>
        <w:rFonts w:hint="default" w:ascii="Wingdings" w:hAnsi="Wingdings"/>
      </w:rPr>
    </w:lvl>
    <w:lvl w:ilvl="4" w:tentative="0">
      <w:start w:val="1"/>
      <w:numFmt w:val="bullet"/>
      <w:lvlText w:val=""/>
      <w:lvlJc w:val="left"/>
      <w:pPr>
        <w:ind w:left="2585" w:hanging="420"/>
      </w:pPr>
      <w:rPr>
        <w:rFonts w:hint="default" w:ascii="Wingdings" w:hAnsi="Wingdings"/>
      </w:rPr>
    </w:lvl>
    <w:lvl w:ilvl="5" w:tentative="0">
      <w:start w:val="1"/>
      <w:numFmt w:val="bullet"/>
      <w:lvlText w:val=""/>
      <w:lvlJc w:val="left"/>
      <w:pPr>
        <w:ind w:left="3005" w:hanging="420"/>
      </w:pPr>
      <w:rPr>
        <w:rFonts w:hint="default" w:ascii="Wingdings" w:hAnsi="Wingdings"/>
      </w:rPr>
    </w:lvl>
    <w:lvl w:ilvl="6" w:tentative="0">
      <w:start w:val="1"/>
      <w:numFmt w:val="bullet"/>
      <w:lvlText w:val=""/>
      <w:lvlJc w:val="left"/>
      <w:pPr>
        <w:ind w:left="3425" w:hanging="420"/>
      </w:pPr>
      <w:rPr>
        <w:rFonts w:hint="default" w:ascii="Wingdings" w:hAnsi="Wingdings"/>
      </w:rPr>
    </w:lvl>
    <w:lvl w:ilvl="7" w:tentative="0">
      <w:start w:val="1"/>
      <w:numFmt w:val="bullet"/>
      <w:lvlText w:val=""/>
      <w:lvlJc w:val="left"/>
      <w:pPr>
        <w:ind w:left="3845" w:hanging="420"/>
      </w:pPr>
      <w:rPr>
        <w:rFonts w:hint="default" w:ascii="Wingdings" w:hAnsi="Wingdings"/>
      </w:rPr>
    </w:lvl>
    <w:lvl w:ilvl="8" w:tentative="0">
      <w:start w:val="1"/>
      <w:numFmt w:val="bullet"/>
      <w:lvlText w:val=""/>
      <w:lvlJc w:val="left"/>
      <w:pPr>
        <w:ind w:left="4265" w:hanging="420"/>
      </w:pPr>
      <w:rPr>
        <w:rFonts w:hint="default" w:ascii="Wingdings" w:hAnsi="Wingdings"/>
      </w:rPr>
    </w:lvl>
  </w:abstractNum>
  <w:abstractNum w:abstractNumId="26">
    <w:nsid w:val="63993DCC"/>
    <w:multiLevelType w:val="multilevel"/>
    <w:tmpl w:val="63993DCC"/>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7">
    <w:nsid w:val="6BC106EF"/>
    <w:multiLevelType w:val="multilevel"/>
    <w:tmpl w:val="6BC106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A65BCA"/>
    <w:multiLevelType w:val="multilevel"/>
    <w:tmpl w:val="6CA65BCA"/>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9">
    <w:nsid w:val="6DD0168F"/>
    <w:multiLevelType w:val="multilevel"/>
    <w:tmpl w:val="6DD0168F"/>
    <w:lvl w:ilvl="0" w:tentative="0">
      <w:start w:val="1"/>
      <w:numFmt w:val="decimal"/>
      <w:lvlText w:val="（%1）"/>
      <w:lvlJc w:val="left"/>
      <w:pPr>
        <w:ind w:left="420" w:hanging="420"/>
      </w:pPr>
      <w:rPr>
        <w:rFonts w:hint="default" w:ascii="Times New Roman" w:hAnsi="Times New Roman" w:cs="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E111347"/>
    <w:multiLevelType w:val="multilevel"/>
    <w:tmpl w:val="7E11134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2"/>
  </w:num>
  <w:num w:numId="2">
    <w:abstractNumId w:val="21"/>
  </w:num>
  <w:num w:numId="3">
    <w:abstractNumId w:val="12"/>
  </w:num>
  <w:num w:numId="4">
    <w:abstractNumId w:val="1"/>
  </w:num>
  <w:num w:numId="5">
    <w:abstractNumId w:val="30"/>
  </w:num>
  <w:num w:numId="6">
    <w:abstractNumId w:val="11"/>
  </w:num>
  <w:num w:numId="7">
    <w:abstractNumId w:val="0"/>
  </w:num>
  <w:num w:numId="8">
    <w:abstractNumId w:val="6"/>
  </w:num>
  <w:num w:numId="9">
    <w:abstractNumId w:val="27"/>
  </w:num>
  <w:num w:numId="10">
    <w:abstractNumId w:val="18"/>
  </w:num>
  <w:num w:numId="11">
    <w:abstractNumId w:val="5"/>
  </w:num>
  <w:num w:numId="12">
    <w:abstractNumId w:val="7"/>
  </w:num>
  <w:num w:numId="13">
    <w:abstractNumId w:val="9"/>
  </w:num>
  <w:num w:numId="14">
    <w:abstractNumId w:val="14"/>
  </w:num>
  <w:num w:numId="15">
    <w:abstractNumId w:val="19"/>
  </w:num>
  <w:num w:numId="16">
    <w:abstractNumId w:val="26"/>
  </w:num>
  <w:num w:numId="17">
    <w:abstractNumId w:val="20"/>
  </w:num>
  <w:num w:numId="18">
    <w:abstractNumId w:val="3"/>
  </w:num>
  <w:num w:numId="19">
    <w:abstractNumId w:val="25"/>
  </w:num>
  <w:num w:numId="20">
    <w:abstractNumId w:val="10"/>
  </w:num>
  <w:num w:numId="21">
    <w:abstractNumId w:val="28"/>
  </w:num>
  <w:num w:numId="22">
    <w:abstractNumId w:val="17"/>
  </w:num>
  <w:num w:numId="23">
    <w:abstractNumId w:val="2"/>
  </w:num>
  <w:num w:numId="24">
    <w:abstractNumId w:val="15"/>
  </w:num>
  <w:num w:numId="25">
    <w:abstractNumId w:val="24"/>
  </w:num>
  <w:num w:numId="26">
    <w:abstractNumId w:val="4"/>
  </w:num>
  <w:num w:numId="27">
    <w:abstractNumId w:val="16"/>
  </w:num>
  <w:num w:numId="28">
    <w:abstractNumId w:val="23"/>
  </w:num>
  <w:num w:numId="29">
    <w:abstractNumId w:val="29"/>
  </w:num>
  <w:num w:numId="30">
    <w:abstractNumId w:val="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I0NmZkM2VlMDE4MTE4YTMwNDVkZTY3OTViZmMzYzkifQ=="/>
  </w:docVars>
  <w:rsids>
    <w:rsidRoot w:val="00075975"/>
    <w:rsid w:val="00004739"/>
    <w:rsid w:val="00025EE3"/>
    <w:rsid w:val="00056384"/>
    <w:rsid w:val="00057D54"/>
    <w:rsid w:val="000637AB"/>
    <w:rsid w:val="000717C7"/>
    <w:rsid w:val="00072066"/>
    <w:rsid w:val="000735A7"/>
    <w:rsid w:val="00075975"/>
    <w:rsid w:val="000906DE"/>
    <w:rsid w:val="00095D4F"/>
    <w:rsid w:val="00097D9F"/>
    <w:rsid w:val="000A01A5"/>
    <w:rsid w:val="000F1467"/>
    <w:rsid w:val="001136B9"/>
    <w:rsid w:val="00114750"/>
    <w:rsid w:val="0013107F"/>
    <w:rsid w:val="00135D10"/>
    <w:rsid w:val="00141FAD"/>
    <w:rsid w:val="00167E64"/>
    <w:rsid w:val="00191EA6"/>
    <w:rsid w:val="001952B9"/>
    <w:rsid w:val="001B0803"/>
    <w:rsid w:val="001D3114"/>
    <w:rsid w:val="001D747E"/>
    <w:rsid w:val="002040CE"/>
    <w:rsid w:val="00217E0D"/>
    <w:rsid w:val="002243F3"/>
    <w:rsid w:val="00262634"/>
    <w:rsid w:val="002D60B5"/>
    <w:rsid w:val="002E3D4D"/>
    <w:rsid w:val="00303E8A"/>
    <w:rsid w:val="0030738B"/>
    <w:rsid w:val="00330CB7"/>
    <w:rsid w:val="00353A1D"/>
    <w:rsid w:val="00355C39"/>
    <w:rsid w:val="003566A0"/>
    <w:rsid w:val="00372506"/>
    <w:rsid w:val="00372D91"/>
    <w:rsid w:val="00376DEA"/>
    <w:rsid w:val="00394B4A"/>
    <w:rsid w:val="003A2E15"/>
    <w:rsid w:val="003B3261"/>
    <w:rsid w:val="003B7A42"/>
    <w:rsid w:val="003C2B95"/>
    <w:rsid w:val="003E2368"/>
    <w:rsid w:val="003F7701"/>
    <w:rsid w:val="00424CAC"/>
    <w:rsid w:val="004376DD"/>
    <w:rsid w:val="0044230A"/>
    <w:rsid w:val="00461EBE"/>
    <w:rsid w:val="00462CF3"/>
    <w:rsid w:val="0046520F"/>
    <w:rsid w:val="00483F7F"/>
    <w:rsid w:val="004844FE"/>
    <w:rsid w:val="004A244B"/>
    <w:rsid w:val="004B318C"/>
    <w:rsid w:val="004C428B"/>
    <w:rsid w:val="004F1846"/>
    <w:rsid w:val="0050582A"/>
    <w:rsid w:val="00525219"/>
    <w:rsid w:val="00591C66"/>
    <w:rsid w:val="00597E66"/>
    <w:rsid w:val="005E03BC"/>
    <w:rsid w:val="005F07F1"/>
    <w:rsid w:val="00624827"/>
    <w:rsid w:val="00625FF7"/>
    <w:rsid w:val="00630721"/>
    <w:rsid w:val="00640973"/>
    <w:rsid w:val="006412F0"/>
    <w:rsid w:val="006465BD"/>
    <w:rsid w:val="00667C5B"/>
    <w:rsid w:val="00680D5F"/>
    <w:rsid w:val="00692E56"/>
    <w:rsid w:val="00695CE9"/>
    <w:rsid w:val="006A5E5C"/>
    <w:rsid w:val="00702439"/>
    <w:rsid w:val="007249FE"/>
    <w:rsid w:val="00731A37"/>
    <w:rsid w:val="00736A03"/>
    <w:rsid w:val="007531B8"/>
    <w:rsid w:val="0075430B"/>
    <w:rsid w:val="00774CE6"/>
    <w:rsid w:val="007905B3"/>
    <w:rsid w:val="007B1B49"/>
    <w:rsid w:val="007B247B"/>
    <w:rsid w:val="007C4513"/>
    <w:rsid w:val="007C4D91"/>
    <w:rsid w:val="00803792"/>
    <w:rsid w:val="00811A36"/>
    <w:rsid w:val="008140D7"/>
    <w:rsid w:val="00854085"/>
    <w:rsid w:val="00856BE6"/>
    <w:rsid w:val="00872655"/>
    <w:rsid w:val="0087754D"/>
    <w:rsid w:val="00891A05"/>
    <w:rsid w:val="00892904"/>
    <w:rsid w:val="008B7890"/>
    <w:rsid w:val="009016F7"/>
    <w:rsid w:val="00910563"/>
    <w:rsid w:val="009327BB"/>
    <w:rsid w:val="00942EAD"/>
    <w:rsid w:val="00954521"/>
    <w:rsid w:val="00962FEA"/>
    <w:rsid w:val="00973252"/>
    <w:rsid w:val="00974B4B"/>
    <w:rsid w:val="009A0A14"/>
    <w:rsid w:val="00A072C0"/>
    <w:rsid w:val="00A14DB3"/>
    <w:rsid w:val="00A16B97"/>
    <w:rsid w:val="00A25CF7"/>
    <w:rsid w:val="00A52CA5"/>
    <w:rsid w:val="00A612B8"/>
    <w:rsid w:val="00A94D51"/>
    <w:rsid w:val="00AB5F50"/>
    <w:rsid w:val="00AC1359"/>
    <w:rsid w:val="00AD791D"/>
    <w:rsid w:val="00B10136"/>
    <w:rsid w:val="00B130F0"/>
    <w:rsid w:val="00B36668"/>
    <w:rsid w:val="00B82539"/>
    <w:rsid w:val="00BB5C8D"/>
    <w:rsid w:val="00BB6F11"/>
    <w:rsid w:val="00BC3CA5"/>
    <w:rsid w:val="00BC73B7"/>
    <w:rsid w:val="00BD000C"/>
    <w:rsid w:val="00BF4277"/>
    <w:rsid w:val="00C109AD"/>
    <w:rsid w:val="00C30DE2"/>
    <w:rsid w:val="00C75447"/>
    <w:rsid w:val="00C85FCD"/>
    <w:rsid w:val="00C92F94"/>
    <w:rsid w:val="00C9757F"/>
    <w:rsid w:val="00CA09C4"/>
    <w:rsid w:val="00CB1056"/>
    <w:rsid w:val="00CB7AC2"/>
    <w:rsid w:val="00CE0101"/>
    <w:rsid w:val="00CE2331"/>
    <w:rsid w:val="00D03477"/>
    <w:rsid w:val="00D2205D"/>
    <w:rsid w:val="00D304F5"/>
    <w:rsid w:val="00D5719D"/>
    <w:rsid w:val="00D61BA6"/>
    <w:rsid w:val="00D7103B"/>
    <w:rsid w:val="00D84FAD"/>
    <w:rsid w:val="00D95857"/>
    <w:rsid w:val="00DA7DEA"/>
    <w:rsid w:val="00DB04D0"/>
    <w:rsid w:val="00DB44D3"/>
    <w:rsid w:val="00DC4356"/>
    <w:rsid w:val="00DE1DE2"/>
    <w:rsid w:val="00E03CDD"/>
    <w:rsid w:val="00E22ED2"/>
    <w:rsid w:val="00E70670"/>
    <w:rsid w:val="00E75CAD"/>
    <w:rsid w:val="00E82256"/>
    <w:rsid w:val="00E94EB7"/>
    <w:rsid w:val="00EA1597"/>
    <w:rsid w:val="00EF7661"/>
    <w:rsid w:val="00F01597"/>
    <w:rsid w:val="00F0665F"/>
    <w:rsid w:val="00F1653B"/>
    <w:rsid w:val="00F17DB6"/>
    <w:rsid w:val="00F239BE"/>
    <w:rsid w:val="00F258C7"/>
    <w:rsid w:val="00F40494"/>
    <w:rsid w:val="00F5630A"/>
    <w:rsid w:val="00F77C90"/>
    <w:rsid w:val="00F80474"/>
    <w:rsid w:val="00F9118B"/>
    <w:rsid w:val="00F94D70"/>
    <w:rsid w:val="00FD0DB9"/>
    <w:rsid w:val="00FE0FF0"/>
    <w:rsid w:val="0AEC3153"/>
    <w:rsid w:val="0BBC50EF"/>
    <w:rsid w:val="0C825B1D"/>
    <w:rsid w:val="0FC621C4"/>
    <w:rsid w:val="185F31B6"/>
    <w:rsid w:val="1B354592"/>
    <w:rsid w:val="1DE71C83"/>
    <w:rsid w:val="25EB42DB"/>
    <w:rsid w:val="28520641"/>
    <w:rsid w:val="32725609"/>
    <w:rsid w:val="36730100"/>
    <w:rsid w:val="3B7A3CDF"/>
    <w:rsid w:val="42F73E67"/>
    <w:rsid w:val="44110F59"/>
    <w:rsid w:val="49F24DB8"/>
    <w:rsid w:val="57CA542E"/>
    <w:rsid w:val="5B465534"/>
    <w:rsid w:val="70D54F38"/>
    <w:rsid w:val="796C2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semiHidden="0" w:name="heading 7"/>
    <w:lsdException w:qFormat="1" w:uiPriority="0" w:semiHidden="0" w:name="heading 8"/>
    <w:lsdException w:qFormat="1" w:uiPriority="0" w:semiHidden="0"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0" w:name="List Bullet 2"/>
    <w:lsdException w:uiPriority="99" w:name="List Bullet 3"/>
    <w:lsdException w:uiPriority="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iPriority="0" w:name="Body Text First Indent"/>
    <w:lsdException w:qFormat="1" w:uiPriority="99" w:name="Body Text First Indent 2"/>
    <w:lsdException w:qFormat="1" w:uiPriority="0" w:name="Note Heading"/>
    <w:lsdException w:qFormat="1" w:unhideWhenUsed="0" w:uiPriority="0" w:name="Body Text 2"/>
    <w:lsdException w:uiPriority="0" w:name="Body Text 3"/>
    <w:lsdException w:qFormat="1" w:uiPriority="99" w:name="Body Text Indent 2"/>
    <w:lsdException w:qFormat="1" w:uiPriority="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name="Document Map"/>
    <w:lsdException w:qFormat="1"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2">
    <w:name w:val="heading 1"/>
    <w:next w:val="1"/>
    <w:link w:val="31"/>
    <w:qFormat/>
    <w:uiPriority w:val="9"/>
    <w:pPr>
      <w:keepNext/>
      <w:keepLines/>
      <w:pageBreakBefore/>
      <w:widowControl w:val="0"/>
      <w:spacing w:before="120" w:after="120" w:line="578" w:lineRule="auto"/>
      <w:jc w:val="center"/>
      <w:outlineLvl w:val="0"/>
    </w:pPr>
    <w:rPr>
      <w:rFonts w:ascii="Calibri" w:hAnsi="Calibri" w:eastAsia="黑体" w:cs="Times New Roman"/>
      <w:b/>
      <w:bCs/>
      <w:kern w:val="44"/>
      <w:sz w:val="44"/>
      <w:szCs w:val="44"/>
      <w:lang w:val="en-US" w:eastAsia="zh-CN" w:bidi="ar-SA"/>
    </w:rPr>
  </w:style>
  <w:style w:type="paragraph" w:styleId="3">
    <w:name w:val="heading 2"/>
    <w:next w:val="1"/>
    <w:link w:val="32"/>
    <w:unhideWhenUsed/>
    <w:qFormat/>
    <w:uiPriority w:val="0"/>
    <w:pPr>
      <w:keepNext/>
      <w:keepLines/>
      <w:numPr>
        <w:ilvl w:val="1"/>
        <w:numId w:val="1"/>
      </w:numPr>
      <w:spacing w:before="120" w:after="120" w:line="360" w:lineRule="auto"/>
      <w:jc w:val="center"/>
      <w:outlineLvl w:val="1"/>
    </w:pPr>
    <w:rPr>
      <w:rFonts w:ascii="Cambria" w:hAnsi="Cambria" w:eastAsia="黑体" w:cs="Times New Roman"/>
      <w:b/>
      <w:bCs/>
      <w:kern w:val="2"/>
      <w:sz w:val="32"/>
      <w:szCs w:val="32"/>
      <w:lang w:val="en-US" w:eastAsia="zh-CN" w:bidi="ar-SA"/>
    </w:rPr>
  </w:style>
  <w:style w:type="paragraph" w:styleId="4">
    <w:name w:val="heading 3"/>
    <w:next w:val="1"/>
    <w:link w:val="33"/>
    <w:unhideWhenUsed/>
    <w:qFormat/>
    <w:uiPriority w:val="0"/>
    <w:pPr>
      <w:keepNext/>
      <w:keepLines/>
      <w:spacing w:before="120" w:after="120" w:line="360" w:lineRule="auto"/>
      <w:outlineLvl w:val="2"/>
    </w:pPr>
    <w:rPr>
      <w:rFonts w:ascii="Calibri" w:hAnsi="Calibri" w:eastAsia="黑体" w:cs="Times New Roman"/>
      <w:b/>
      <w:bCs/>
      <w:kern w:val="2"/>
      <w:sz w:val="32"/>
      <w:szCs w:val="32"/>
      <w:lang w:val="en-US" w:eastAsia="zh-CN" w:bidi="ar-SA"/>
    </w:rPr>
  </w:style>
  <w:style w:type="paragraph" w:styleId="5">
    <w:name w:val="heading 4"/>
    <w:next w:val="1"/>
    <w:link w:val="34"/>
    <w:autoRedefine/>
    <w:unhideWhenUsed/>
    <w:qFormat/>
    <w:uiPriority w:val="0"/>
    <w:pPr>
      <w:keepNext/>
      <w:keepLines/>
      <w:spacing w:before="120" w:after="120" w:line="360" w:lineRule="auto"/>
      <w:outlineLvl w:val="3"/>
    </w:pPr>
    <w:rPr>
      <w:rFonts w:ascii="Cambria" w:hAnsi="Cambria" w:eastAsia="黑体" w:cs="Times New Roman"/>
      <w:b/>
      <w:bCs/>
      <w:kern w:val="2"/>
      <w:sz w:val="32"/>
      <w:szCs w:val="28"/>
      <w:lang w:val="en-US" w:eastAsia="zh-CN" w:bidi="ar-SA"/>
    </w:rPr>
  </w:style>
  <w:style w:type="paragraph" w:styleId="6">
    <w:name w:val="heading 5"/>
    <w:next w:val="1"/>
    <w:link w:val="35"/>
    <w:unhideWhenUsed/>
    <w:qFormat/>
    <w:uiPriority w:val="0"/>
    <w:pPr>
      <w:spacing w:before="120" w:after="120" w:line="360" w:lineRule="auto"/>
      <w:outlineLvl w:val="4"/>
    </w:pPr>
    <w:rPr>
      <w:rFonts w:ascii="Calibri" w:hAnsi="Calibri" w:eastAsia="黑体" w:cs="Times New Roman"/>
      <w:b/>
      <w:bCs/>
      <w:kern w:val="2"/>
      <w:sz w:val="32"/>
      <w:szCs w:val="32"/>
      <w:lang w:val="en-US" w:eastAsia="zh-CN" w:bidi="ar-SA"/>
    </w:rPr>
  </w:style>
  <w:style w:type="paragraph" w:styleId="7">
    <w:name w:val="heading 6"/>
    <w:next w:val="1"/>
    <w:link w:val="36"/>
    <w:unhideWhenUsed/>
    <w:qFormat/>
    <w:uiPriority w:val="0"/>
    <w:pPr>
      <w:keepNext/>
      <w:keepLines/>
      <w:spacing w:before="120" w:after="120" w:line="360" w:lineRule="auto"/>
      <w:outlineLvl w:val="5"/>
    </w:pPr>
    <w:rPr>
      <w:rFonts w:ascii="Cambria" w:hAnsi="Cambria" w:eastAsia="黑体" w:cs="Times New Roman"/>
      <w:b/>
      <w:bCs/>
      <w:kern w:val="2"/>
      <w:sz w:val="28"/>
      <w:szCs w:val="24"/>
      <w:lang w:val="en-US" w:eastAsia="zh-CN" w:bidi="ar-SA"/>
    </w:rPr>
  </w:style>
  <w:style w:type="paragraph" w:styleId="8">
    <w:name w:val="heading 7"/>
    <w:next w:val="1"/>
    <w:link w:val="37"/>
    <w:autoRedefine/>
    <w:unhideWhenUsed/>
    <w:qFormat/>
    <w:uiPriority w:val="9"/>
    <w:pPr>
      <w:keepNext/>
      <w:keepLines/>
      <w:spacing w:before="120" w:after="120" w:line="360" w:lineRule="auto"/>
      <w:outlineLvl w:val="6"/>
    </w:pPr>
    <w:rPr>
      <w:rFonts w:ascii="Calibri" w:hAnsi="Calibri" w:eastAsia="黑体" w:cs="Times New Roman"/>
      <w:b/>
      <w:bCs/>
      <w:kern w:val="2"/>
      <w:sz w:val="28"/>
      <w:szCs w:val="24"/>
      <w:lang w:val="en-US" w:eastAsia="zh-CN" w:bidi="ar-SA"/>
    </w:rPr>
  </w:style>
  <w:style w:type="paragraph" w:styleId="9">
    <w:name w:val="heading 8"/>
    <w:basedOn w:val="1"/>
    <w:next w:val="1"/>
    <w:link w:val="38"/>
    <w:unhideWhenUsed/>
    <w:qFormat/>
    <w:uiPriority w:val="0"/>
    <w:pPr>
      <w:keepNext/>
      <w:keepLines/>
      <w:spacing w:before="120" w:after="120"/>
      <w:outlineLvl w:val="7"/>
    </w:pPr>
    <w:rPr>
      <w:rFonts w:ascii="Cambria" w:hAnsi="Cambria" w:eastAsia="黑体"/>
      <w:b/>
      <w:sz w:val="28"/>
      <w:szCs w:val="24"/>
    </w:rPr>
  </w:style>
  <w:style w:type="paragraph" w:styleId="10">
    <w:name w:val="heading 9"/>
    <w:next w:val="1"/>
    <w:link w:val="39"/>
    <w:unhideWhenUsed/>
    <w:qFormat/>
    <w:uiPriority w:val="0"/>
    <w:pPr>
      <w:keepNext/>
      <w:keepLines/>
      <w:spacing w:before="120" w:after="120" w:line="360" w:lineRule="auto"/>
      <w:outlineLvl w:val="8"/>
    </w:pPr>
    <w:rPr>
      <w:rFonts w:ascii="Cambria" w:hAnsi="Cambria" w:eastAsia="黑体" w:cs="Times New Roman"/>
      <w:b/>
      <w:kern w:val="2"/>
      <w:sz w:val="28"/>
      <w:szCs w:val="21"/>
      <w:lang w:val="en-US" w:eastAsia="zh-CN" w:bidi="ar-SA"/>
    </w:rPr>
  </w:style>
  <w:style w:type="character" w:default="1" w:styleId="28">
    <w:name w:val="Default Paragraph Font"/>
    <w:semiHidden/>
    <w:unhideWhenUsed/>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eastAsiaTheme="minorHAnsi"/>
      <w:sz w:val="18"/>
      <w:szCs w:val="18"/>
    </w:rPr>
  </w:style>
  <w:style w:type="paragraph" w:styleId="12">
    <w:name w:val="annotation text"/>
    <w:basedOn w:val="1"/>
    <w:link w:val="58"/>
    <w:semiHidden/>
    <w:unhideWhenUsed/>
    <w:qFormat/>
    <w:uiPriority w:val="99"/>
    <w:pPr>
      <w:jc w:val="left"/>
    </w:pPr>
  </w:style>
  <w:style w:type="paragraph" w:styleId="13">
    <w:name w:val="toc 5"/>
    <w:basedOn w:val="1"/>
    <w:next w:val="1"/>
    <w:autoRedefine/>
    <w:unhideWhenUsed/>
    <w:qFormat/>
    <w:uiPriority w:val="39"/>
    <w:pPr>
      <w:ind w:left="960"/>
      <w:jc w:val="left"/>
    </w:pPr>
    <w:rPr>
      <w:rFonts w:asciiTheme="minorHAnsi" w:eastAsiaTheme="minorHAnsi"/>
      <w:sz w:val="18"/>
      <w:szCs w:val="18"/>
    </w:rPr>
  </w:style>
  <w:style w:type="paragraph" w:styleId="14">
    <w:name w:val="toc 3"/>
    <w:basedOn w:val="1"/>
    <w:next w:val="1"/>
    <w:autoRedefine/>
    <w:unhideWhenUsed/>
    <w:qFormat/>
    <w:uiPriority w:val="39"/>
    <w:pPr>
      <w:ind w:left="480"/>
      <w:jc w:val="left"/>
    </w:pPr>
    <w:rPr>
      <w:rFonts w:asciiTheme="minorHAnsi" w:eastAsiaTheme="minorHAnsi"/>
      <w:i/>
      <w:iCs/>
      <w:sz w:val="20"/>
      <w:szCs w:val="20"/>
    </w:rPr>
  </w:style>
  <w:style w:type="paragraph" w:styleId="15">
    <w:name w:val="toc 8"/>
    <w:basedOn w:val="1"/>
    <w:next w:val="1"/>
    <w:autoRedefine/>
    <w:unhideWhenUsed/>
    <w:qFormat/>
    <w:uiPriority w:val="39"/>
    <w:pPr>
      <w:ind w:left="1680"/>
      <w:jc w:val="left"/>
    </w:pPr>
    <w:rPr>
      <w:rFonts w:asciiTheme="minorHAnsi" w:eastAsiaTheme="minorHAnsi"/>
      <w:sz w:val="18"/>
      <w:szCs w:val="18"/>
    </w:rPr>
  </w:style>
  <w:style w:type="paragraph" w:styleId="16">
    <w:name w:val="Balloon Text"/>
    <w:basedOn w:val="1"/>
    <w:link w:val="40"/>
    <w:semiHidden/>
    <w:unhideWhenUsed/>
    <w:qFormat/>
    <w:uiPriority w:val="99"/>
    <w:pPr>
      <w:spacing w:line="240" w:lineRule="auto"/>
    </w:pPr>
    <w:rPr>
      <w:sz w:val="18"/>
      <w:szCs w:val="18"/>
    </w:rPr>
  </w:style>
  <w:style w:type="paragraph" w:styleId="17">
    <w:name w:val="footer"/>
    <w:basedOn w:val="1"/>
    <w:link w:val="47"/>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4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20">
    <w:name w:val="toc 4"/>
    <w:basedOn w:val="1"/>
    <w:next w:val="1"/>
    <w:autoRedefine/>
    <w:unhideWhenUsed/>
    <w:qFormat/>
    <w:uiPriority w:val="39"/>
    <w:pPr>
      <w:ind w:left="720"/>
      <w:jc w:val="left"/>
    </w:pPr>
    <w:rPr>
      <w:rFonts w:asciiTheme="minorHAnsi" w:eastAsiaTheme="minorHAnsi"/>
      <w:sz w:val="18"/>
      <w:szCs w:val="18"/>
    </w:rPr>
  </w:style>
  <w:style w:type="paragraph" w:styleId="21">
    <w:name w:val="Subtitle"/>
    <w:basedOn w:val="1"/>
    <w:next w:val="1"/>
    <w:link w:val="41"/>
    <w:qFormat/>
    <w:uiPriority w:val="0"/>
    <w:pPr>
      <w:spacing w:before="240" w:after="60" w:line="312" w:lineRule="auto"/>
      <w:jc w:val="center"/>
      <w:outlineLvl w:val="1"/>
    </w:pPr>
    <w:rPr>
      <w:rFonts w:asciiTheme="minorHAnsi" w:hAnsiTheme="minorHAnsi" w:eastAsiaTheme="minorEastAsia"/>
      <w:b/>
      <w:bCs/>
      <w:kern w:val="28"/>
      <w:sz w:val="32"/>
      <w:szCs w:val="32"/>
    </w:rPr>
  </w:style>
  <w:style w:type="paragraph" w:styleId="22">
    <w:name w:val="toc 6"/>
    <w:basedOn w:val="1"/>
    <w:next w:val="1"/>
    <w:autoRedefine/>
    <w:unhideWhenUsed/>
    <w:uiPriority w:val="39"/>
    <w:pPr>
      <w:ind w:left="1200"/>
      <w:jc w:val="left"/>
    </w:pPr>
    <w:rPr>
      <w:rFonts w:asciiTheme="minorHAnsi" w:eastAsiaTheme="minorHAnsi"/>
      <w:sz w:val="18"/>
      <w:szCs w:val="18"/>
    </w:rPr>
  </w:style>
  <w:style w:type="paragraph" w:styleId="23">
    <w:name w:val="toc 2"/>
    <w:basedOn w:val="1"/>
    <w:next w:val="1"/>
    <w:autoRedefine/>
    <w:unhideWhenUsed/>
    <w:qFormat/>
    <w:uiPriority w:val="39"/>
    <w:pPr>
      <w:ind w:left="240"/>
      <w:jc w:val="left"/>
    </w:pPr>
    <w:rPr>
      <w:rFonts w:asciiTheme="minorHAnsi" w:eastAsiaTheme="minorHAnsi"/>
      <w:smallCaps/>
      <w:sz w:val="20"/>
      <w:szCs w:val="20"/>
    </w:rPr>
  </w:style>
  <w:style w:type="paragraph" w:styleId="24">
    <w:name w:val="toc 9"/>
    <w:basedOn w:val="1"/>
    <w:next w:val="1"/>
    <w:autoRedefine/>
    <w:unhideWhenUsed/>
    <w:qFormat/>
    <w:uiPriority w:val="39"/>
    <w:pPr>
      <w:ind w:left="1920"/>
      <w:jc w:val="left"/>
    </w:pPr>
    <w:rPr>
      <w:rFonts w:asciiTheme="minorHAnsi" w:eastAsiaTheme="minorHAnsi"/>
      <w:sz w:val="18"/>
      <w:szCs w:val="18"/>
    </w:rPr>
  </w:style>
  <w:style w:type="paragraph" w:styleId="25">
    <w:name w:val="Body Text 2"/>
    <w:basedOn w:val="1"/>
    <w:link w:val="60"/>
    <w:semiHidden/>
    <w:qFormat/>
    <w:uiPriority w:val="0"/>
    <w:pPr>
      <w:adjustRightInd w:val="0"/>
      <w:snapToGrid w:val="0"/>
      <w:spacing w:after="120" w:line="480" w:lineRule="auto"/>
      <w:ind w:firstLine="560"/>
    </w:pPr>
    <w:rPr>
      <w:rFonts w:ascii="仿宋_GB2312" w:eastAsia="仿宋_GB2312" w:cs="Times New Roman"/>
      <w:sz w:val="28"/>
      <w:szCs w:val="20"/>
    </w:rPr>
  </w:style>
  <w:style w:type="paragraph" w:styleId="26">
    <w:name w:val="Normal (Web)"/>
    <w:basedOn w:val="1"/>
    <w:semiHidden/>
    <w:unhideWhenUsed/>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character" w:styleId="29">
    <w:name w:val="Hyperlink"/>
    <w:basedOn w:val="28"/>
    <w:autoRedefine/>
    <w:unhideWhenUsed/>
    <w:qFormat/>
    <w:uiPriority w:val="99"/>
    <w:rPr>
      <w:color w:val="0563C1" w:themeColor="hyperlink"/>
      <w:u w:val="single"/>
      <w14:textFill>
        <w14:solidFill>
          <w14:schemeClr w14:val="hlink"/>
        </w14:solidFill>
      </w14:textFill>
    </w:rPr>
  </w:style>
  <w:style w:type="character" w:styleId="30">
    <w:name w:val="annotation reference"/>
    <w:basedOn w:val="28"/>
    <w:semiHidden/>
    <w:unhideWhenUsed/>
    <w:qFormat/>
    <w:uiPriority w:val="99"/>
    <w:rPr>
      <w:sz w:val="21"/>
      <w:szCs w:val="21"/>
    </w:rPr>
  </w:style>
  <w:style w:type="character" w:customStyle="1" w:styleId="31">
    <w:name w:val="标题 1 字符"/>
    <w:basedOn w:val="28"/>
    <w:link w:val="2"/>
    <w:qFormat/>
    <w:uiPriority w:val="9"/>
    <w:rPr>
      <w:rFonts w:ascii="Calibri" w:hAnsi="Calibri" w:eastAsia="黑体" w:cs="Times New Roman"/>
      <w:b/>
      <w:bCs/>
      <w:kern w:val="44"/>
      <w:sz w:val="44"/>
      <w:szCs w:val="44"/>
    </w:rPr>
  </w:style>
  <w:style w:type="character" w:customStyle="1" w:styleId="32">
    <w:name w:val="标题 2 字符"/>
    <w:basedOn w:val="28"/>
    <w:link w:val="3"/>
    <w:autoRedefine/>
    <w:qFormat/>
    <w:uiPriority w:val="0"/>
    <w:rPr>
      <w:rFonts w:ascii="Cambria" w:hAnsi="Cambria" w:eastAsia="黑体" w:cs="Times New Roman"/>
      <w:b/>
      <w:bCs/>
      <w:sz w:val="32"/>
      <w:szCs w:val="32"/>
    </w:rPr>
  </w:style>
  <w:style w:type="character" w:customStyle="1" w:styleId="33">
    <w:name w:val="标题 3 字符"/>
    <w:basedOn w:val="28"/>
    <w:link w:val="4"/>
    <w:qFormat/>
    <w:uiPriority w:val="0"/>
    <w:rPr>
      <w:rFonts w:ascii="Calibri" w:hAnsi="Calibri" w:eastAsia="黑体" w:cs="Times New Roman"/>
      <w:b/>
      <w:bCs/>
      <w:sz w:val="32"/>
      <w:szCs w:val="32"/>
    </w:rPr>
  </w:style>
  <w:style w:type="character" w:customStyle="1" w:styleId="34">
    <w:name w:val="标题 4 字符"/>
    <w:basedOn w:val="28"/>
    <w:link w:val="5"/>
    <w:qFormat/>
    <w:uiPriority w:val="0"/>
    <w:rPr>
      <w:rFonts w:ascii="Cambria" w:hAnsi="Cambria" w:eastAsia="黑体" w:cs="Times New Roman"/>
      <w:b/>
      <w:bCs/>
      <w:sz w:val="32"/>
      <w:szCs w:val="28"/>
    </w:rPr>
  </w:style>
  <w:style w:type="character" w:customStyle="1" w:styleId="35">
    <w:name w:val="标题 5 字符"/>
    <w:basedOn w:val="28"/>
    <w:link w:val="6"/>
    <w:qFormat/>
    <w:uiPriority w:val="0"/>
    <w:rPr>
      <w:rFonts w:ascii="Calibri" w:hAnsi="Calibri" w:eastAsia="黑体" w:cs="Times New Roman"/>
      <w:b/>
      <w:bCs/>
      <w:sz w:val="32"/>
      <w:szCs w:val="32"/>
    </w:rPr>
  </w:style>
  <w:style w:type="character" w:customStyle="1" w:styleId="36">
    <w:name w:val="标题 6 字符"/>
    <w:basedOn w:val="28"/>
    <w:link w:val="7"/>
    <w:qFormat/>
    <w:uiPriority w:val="0"/>
    <w:rPr>
      <w:rFonts w:ascii="Cambria" w:hAnsi="Cambria" w:eastAsia="黑体" w:cs="Times New Roman"/>
      <w:b/>
      <w:bCs/>
      <w:sz w:val="28"/>
      <w:szCs w:val="24"/>
    </w:rPr>
  </w:style>
  <w:style w:type="character" w:customStyle="1" w:styleId="37">
    <w:name w:val="标题 7 字符"/>
    <w:basedOn w:val="28"/>
    <w:link w:val="8"/>
    <w:qFormat/>
    <w:uiPriority w:val="9"/>
    <w:rPr>
      <w:rFonts w:ascii="Calibri" w:hAnsi="Calibri" w:eastAsia="黑体" w:cs="Times New Roman"/>
      <w:b/>
      <w:bCs/>
      <w:sz w:val="28"/>
      <w:szCs w:val="24"/>
    </w:rPr>
  </w:style>
  <w:style w:type="character" w:customStyle="1" w:styleId="38">
    <w:name w:val="标题 8 字符"/>
    <w:basedOn w:val="28"/>
    <w:link w:val="9"/>
    <w:qFormat/>
    <w:uiPriority w:val="0"/>
    <w:rPr>
      <w:rFonts w:ascii="Cambria" w:hAnsi="Cambria" w:eastAsia="黑体"/>
      <w:b/>
      <w:sz w:val="28"/>
      <w:szCs w:val="24"/>
    </w:rPr>
  </w:style>
  <w:style w:type="character" w:customStyle="1" w:styleId="39">
    <w:name w:val="标题 9 字符"/>
    <w:basedOn w:val="28"/>
    <w:link w:val="10"/>
    <w:qFormat/>
    <w:uiPriority w:val="0"/>
    <w:rPr>
      <w:rFonts w:ascii="Cambria" w:hAnsi="Cambria" w:eastAsia="黑体" w:cs="Times New Roman"/>
      <w:b/>
      <w:sz w:val="28"/>
      <w:szCs w:val="21"/>
    </w:rPr>
  </w:style>
  <w:style w:type="character" w:customStyle="1" w:styleId="40">
    <w:name w:val="批注框文本 字符"/>
    <w:basedOn w:val="28"/>
    <w:link w:val="16"/>
    <w:semiHidden/>
    <w:uiPriority w:val="99"/>
    <w:rPr>
      <w:rFonts w:ascii="Times New Roman" w:hAnsi="Times New Roman" w:eastAsia="宋体"/>
      <w:sz w:val="18"/>
      <w:szCs w:val="18"/>
    </w:rPr>
  </w:style>
  <w:style w:type="character" w:customStyle="1" w:styleId="41">
    <w:name w:val="副标题 字符"/>
    <w:basedOn w:val="28"/>
    <w:link w:val="21"/>
    <w:qFormat/>
    <w:uiPriority w:val="0"/>
    <w:rPr>
      <w:b/>
      <w:bCs/>
      <w:kern w:val="28"/>
      <w:sz w:val="32"/>
      <w:szCs w:val="32"/>
    </w:rPr>
  </w:style>
  <w:style w:type="paragraph" w:styleId="42">
    <w:name w:val="No Spacing"/>
    <w:qFormat/>
    <w:uiPriority w:val="1"/>
    <w:pPr>
      <w:widowControl w:val="0"/>
      <w:ind w:firstLine="200" w:firstLineChars="200"/>
      <w:jc w:val="both"/>
    </w:pPr>
    <w:rPr>
      <w:rFonts w:ascii="Times New Roman" w:hAnsi="Times New Roman" w:eastAsia="宋体" w:cstheme="minorBidi"/>
      <w:kern w:val="2"/>
      <w:sz w:val="24"/>
      <w:szCs w:val="21"/>
      <w:lang w:val="en-US" w:eastAsia="zh-CN" w:bidi="ar-SA"/>
    </w:rPr>
  </w:style>
  <w:style w:type="paragraph" w:styleId="43">
    <w:name w:val="List Paragraph"/>
    <w:basedOn w:val="1"/>
    <w:link w:val="59"/>
    <w:qFormat/>
    <w:uiPriority w:val="34"/>
    <w:pPr>
      <w:ind w:firstLine="420"/>
    </w:pPr>
  </w:style>
  <w:style w:type="character" w:customStyle="1" w:styleId="44">
    <w:name w:val="Unresolved Mention"/>
    <w:basedOn w:val="28"/>
    <w:semiHidden/>
    <w:unhideWhenUsed/>
    <w:uiPriority w:val="99"/>
    <w:rPr>
      <w:color w:val="605E5C"/>
      <w:shd w:val="clear" w:color="auto" w:fill="E1DFDD"/>
    </w:rPr>
  </w:style>
  <w:style w:type="paragraph" w:customStyle="1" w:styleId="45">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6">
    <w:name w:val="页眉 字符"/>
    <w:basedOn w:val="28"/>
    <w:link w:val="18"/>
    <w:uiPriority w:val="99"/>
    <w:rPr>
      <w:rFonts w:ascii="Times New Roman" w:hAnsi="Times New Roman" w:eastAsia="宋体"/>
      <w:sz w:val="18"/>
      <w:szCs w:val="18"/>
    </w:rPr>
  </w:style>
  <w:style w:type="character" w:customStyle="1" w:styleId="47">
    <w:name w:val="页脚 字符"/>
    <w:basedOn w:val="28"/>
    <w:link w:val="17"/>
    <w:qFormat/>
    <w:uiPriority w:val="99"/>
    <w:rPr>
      <w:rFonts w:ascii="Times New Roman" w:hAnsi="Times New Roman" w:eastAsia="宋体"/>
      <w:sz w:val="18"/>
      <w:szCs w:val="18"/>
    </w:rPr>
  </w:style>
  <w:style w:type="paragraph" w:customStyle="1" w:styleId="48">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49">
    <w:name w:val="修订2"/>
    <w:hidden/>
    <w:semiHidden/>
    <w:qFormat/>
    <w:uiPriority w:val="99"/>
    <w:rPr>
      <w:rFonts w:ascii="仿宋_GB2312" w:hAnsi="Calibri" w:eastAsia="仿宋_GB2312" w:cs="Times New Roman"/>
      <w:bCs/>
      <w:color w:val="000000"/>
      <w:kern w:val="2"/>
      <w:sz w:val="32"/>
      <w:szCs w:val="32"/>
      <w:lang w:val="en-US" w:eastAsia="zh-CN" w:bidi="ar-SA"/>
    </w:rPr>
  </w:style>
  <w:style w:type="paragraph" w:customStyle="1" w:styleId="50">
    <w:name w:val="修订3"/>
    <w:autoRedefine/>
    <w:hidden/>
    <w:semiHidden/>
    <w:qFormat/>
    <w:uiPriority w:val="99"/>
    <w:rPr>
      <w:rFonts w:ascii="仿宋_GB2312" w:hAnsi="Calibri" w:eastAsia="仿宋_GB2312" w:cs="Times New Roman"/>
      <w:bCs/>
      <w:color w:val="000000"/>
      <w:kern w:val="2"/>
      <w:sz w:val="32"/>
      <w:szCs w:val="32"/>
      <w:lang w:val="en-US" w:eastAsia="zh-CN" w:bidi="ar-SA"/>
    </w:rPr>
  </w:style>
  <w:style w:type="paragraph" w:customStyle="1" w:styleId="51">
    <w:name w:val="修订4"/>
    <w:hidden/>
    <w:semiHidden/>
    <w:qFormat/>
    <w:uiPriority w:val="99"/>
    <w:rPr>
      <w:rFonts w:ascii="仿宋_GB2312" w:hAnsi="Calibri" w:eastAsia="仿宋_GB2312" w:cs="Times New Roman"/>
      <w:bCs/>
      <w:color w:val="000000"/>
      <w:kern w:val="2"/>
      <w:sz w:val="32"/>
      <w:szCs w:val="32"/>
      <w:lang w:val="en-US" w:eastAsia="zh-CN" w:bidi="ar-SA"/>
    </w:rPr>
  </w:style>
  <w:style w:type="paragraph" w:customStyle="1" w:styleId="52">
    <w:name w:val="修订5"/>
    <w:autoRedefine/>
    <w:hidden/>
    <w:semiHidden/>
    <w:qFormat/>
    <w:uiPriority w:val="99"/>
    <w:rPr>
      <w:rFonts w:ascii="仿宋_GB2312" w:hAnsi="Calibri" w:eastAsia="仿宋_GB2312" w:cs="Times New Roman"/>
      <w:bCs/>
      <w:color w:val="000000"/>
      <w:kern w:val="2"/>
      <w:sz w:val="32"/>
      <w:szCs w:val="32"/>
      <w:lang w:val="en-US" w:eastAsia="zh-CN" w:bidi="ar-SA"/>
    </w:rPr>
  </w:style>
  <w:style w:type="paragraph" w:customStyle="1" w:styleId="53">
    <w:name w:val="Revision"/>
    <w:hidden/>
    <w:qFormat/>
    <w:uiPriority w:val="99"/>
    <w:rPr>
      <w:rFonts w:ascii="Times New Roman" w:hAnsi="Times New Roman" w:eastAsia="宋体" w:cs="Times New Roman"/>
      <w:kern w:val="2"/>
      <w:sz w:val="24"/>
      <w:szCs w:val="21"/>
      <w:lang w:val="en-US" w:eastAsia="zh-CN" w:bidi="ar-SA"/>
    </w:rPr>
  </w:style>
  <w:style w:type="paragraph" w:customStyle="1" w:styleId="54">
    <w:name w:val="HTML Top of Form"/>
    <w:basedOn w:val="1"/>
    <w:next w:val="1"/>
    <w:link w:val="55"/>
    <w:qFormat/>
    <w:uiPriority w:val="0"/>
    <w:pPr>
      <w:widowControl/>
      <w:pBdr>
        <w:bottom w:val="single" w:color="auto" w:sz="6" w:space="1"/>
      </w:pBdr>
      <w:spacing w:after="200" w:line="240" w:lineRule="auto"/>
      <w:jc w:val="center"/>
    </w:pPr>
    <w:rPr>
      <w:rFonts w:ascii="Arial" w:hAnsi="Arial" w:cs="Arial"/>
      <w:vanish/>
      <w:color w:val="000000"/>
      <w:kern w:val="0"/>
      <w:sz w:val="16"/>
      <w:szCs w:val="16"/>
      <w:lang w:eastAsia="en-US" w:bidi="en-US"/>
    </w:rPr>
  </w:style>
  <w:style w:type="character" w:customStyle="1" w:styleId="55">
    <w:name w:val="z-窗体顶端 字符"/>
    <w:basedOn w:val="28"/>
    <w:link w:val="54"/>
    <w:uiPriority w:val="99"/>
    <w:rPr>
      <w:rFonts w:ascii="Arial" w:hAnsi="Arial" w:eastAsia="宋体" w:cs="Arial"/>
      <w:vanish/>
      <w:color w:val="000000"/>
      <w:kern w:val="0"/>
      <w:sz w:val="16"/>
      <w:szCs w:val="16"/>
      <w:lang w:eastAsia="en-US" w:bidi="en-US"/>
    </w:rPr>
  </w:style>
  <w:style w:type="paragraph" w:customStyle="1" w:styleId="56">
    <w:name w:val="HTML Bottom of Form"/>
    <w:basedOn w:val="1"/>
    <w:next w:val="1"/>
    <w:link w:val="57"/>
    <w:qFormat/>
    <w:uiPriority w:val="0"/>
    <w:pPr>
      <w:widowControl/>
      <w:pBdr>
        <w:top w:val="single" w:color="auto" w:sz="6" w:space="1"/>
      </w:pBdr>
      <w:spacing w:after="200" w:line="240" w:lineRule="auto"/>
      <w:jc w:val="center"/>
    </w:pPr>
    <w:rPr>
      <w:rFonts w:ascii="Arial" w:hAnsi="Arial" w:cs="Arial"/>
      <w:vanish/>
      <w:color w:val="000000"/>
      <w:kern w:val="0"/>
      <w:sz w:val="16"/>
      <w:szCs w:val="16"/>
      <w:lang w:eastAsia="en-US" w:bidi="en-US"/>
    </w:rPr>
  </w:style>
  <w:style w:type="character" w:customStyle="1" w:styleId="57">
    <w:name w:val="z-窗体底端 字符"/>
    <w:basedOn w:val="28"/>
    <w:link w:val="56"/>
    <w:qFormat/>
    <w:uiPriority w:val="99"/>
    <w:rPr>
      <w:rFonts w:ascii="Arial" w:hAnsi="Arial" w:eastAsia="宋体" w:cs="Arial"/>
      <w:vanish/>
      <w:color w:val="000000"/>
      <w:kern w:val="0"/>
      <w:sz w:val="16"/>
      <w:szCs w:val="16"/>
      <w:lang w:eastAsia="en-US" w:bidi="en-US"/>
    </w:rPr>
  </w:style>
  <w:style w:type="character" w:customStyle="1" w:styleId="58">
    <w:name w:val="批注文字 字符"/>
    <w:basedOn w:val="28"/>
    <w:link w:val="12"/>
    <w:semiHidden/>
    <w:qFormat/>
    <w:uiPriority w:val="99"/>
    <w:rPr>
      <w:rFonts w:ascii="Times New Roman" w:hAnsi="Times New Roman" w:eastAsia="宋体"/>
      <w:sz w:val="24"/>
      <w:szCs w:val="21"/>
    </w:rPr>
  </w:style>
  <w:style w:type="character" w:customStyle="1" w:styleId="59">
    <w:name w:val="列表段落 字符"/>
    <w:link w:val="43"/>
    <w:qFormat/>
    <w:uiPriority w:val="34"/>
    <w:rPr>
      <w:rFonts w:ascii="Times New Roman" w:hAnsi="Times New Roman" w:eastAsia="宋体"/>
      <w:sz w:val="24"/>
      <w:szCs w:val="21"/>
    </w:rPr>
  </w:style>
  <w:style w:type="character" w:customStyle="1" w:styleId="60">
    <w:name w:val="正文文本 2 字符"/>
    <w:basedOn w:val="28"/>
    <w:link w:val="25"/>
    <w:semiHidden/>
    <w:qFormat/>
    <w:uiPriority w:val="0"/>
    <w:rPr>
      <w:rFonts w:ascii="仿宋_GB2312" w:hAnsi="Times New Roman" w:eastAsia="仿宋_GB2312" w:cs="Times New Roman"/>
      <w:sz w:val="28"/>
      <w:szCs w:val="20"/>
    </w:rPr>
  </w:style>
  <w:style w:type="character" w:customStyle="1" w:styleId="61">
    <w:name w:val="列表段落 字符1"/>
    <w:basedOn w:val="28"/>
    <w:qFormat/>
    <w:locked/>
    <w:uiPriority w:val="0"/>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numbering" Target="numbering.xml"/><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emf"/><Relationship Id="rId48" Type="http://schemas.openxmlformats.org/officeDocument/2006/relationships/package" Target="embeddings/Microsoft_Visio___1.vsdx"/><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66BE5-0A2C-4DE4-B49F-46318ACB868F}">
  <ds:schemaRefs/>
</ds:datastoreItem>
</file>

<file path=docProps/app.xml><?xml version="1.0" encoding="utf-8"?>
<Properties xmlns="http://schemas.openxmlformats.org/officeDocument/2006/extended-properties" xmlns:vt="http://schemas.openxmlformats.org/officeDocument/2006/docPropsVTypes">
  <Template>Normal.dotm</Template>
  <Pages>95</Pages>
  <Words>6208</Words>
  <Characters>6640</Characters>
  <Lines>300</Lines>
  <Paragraphs>84</Paragraphs>
  <TotalTime>122</TotalTime>
  <ScaleCrop>false</ScaleCrop>
  <LinksUpToDate>false</LinksUpToDate>
  <CharactersWithSpaces>6794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2023-03-28T13:37:00Z</dcterms:created>
  <dc:creator>王 二州</dc:creator>
  <cp:lastModifiedBy>梭梭红柳</cp:lastModifiedBy>
  <dcterms:modified xsi:type="dcterms:W3CDTF">2025-04-01T11:59:17Z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C58373228F424DF8ABF3976E72265B8F_13</vt:lpwstr>
  </property>
  <property fmtid="{D5CDD505-2E9C-101B-9397-08002B2CF9AE}" pid="4" name="KSOTemplateDocerSaveRecord">
    <vt:lpwstr>eyJoZGlkIjoiZmI0NmZkM2VlMDE4MTE4YTMwNDVkZTY3OTViZmMzYzkiLCJ1c2VySWQiOiIxMDYxODQ1OTk1In0=</vt:lpwstr>
  </property>
</Properties>
</file>