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0" w:name="_Toc3697"/>
      <w:bookmarkStart w:id="1" w:name="_Toc18545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视洞视频监控业务平台</w:t>
      </w:r>
      <w:bookmarkEnd w:id="0"/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2" w:name="_Toc29633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客户端操作手册</w:t>
      </w:r>
      <w:bookmarkEnd w:id="1"/>
      <w:bookmarkEnd w:id="2"/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bookmarkStart w:id="3" w:name="_Toc17139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杭州视洞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科技有限公司</w:t>
      </w:r>
      <w:bookmarkEnd w:id="3"/>
    </w:p>
    <w:p>
      <w:pPr>
        <w:bidi w:val="0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202</w:t>
      </w:r>
      <w:r>
        <w:rPr>
          <w:rFonts w:hint="default" w:ascii="方正小标宋_GBK" w:hAnsi="方正小标宋_GBK" w:eastAsia="方正小标宋_GBK" w:cs="方正小标宋_GBK"/>
          <w:sz w:val="44"/>
          <w:szCs w:val="44"/>
          <w:lang w:val="en-US"/>
        </w:rPr>
        <w:t>5</w:t>
      </w:r>
      <w:bookmarkStart w:id="34" w:name="_GoBack"/>
      <w:bookmarkEnd w:id="34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年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/>
        </w:rPr>
        <w:t>10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月</w:t>
      </w:r>
    </w:p>
    <w:p>
      <w:pPr>
        <w:rPr>
          <w:rFonts w:ascii="宋体" w:hAnsi="宋体" w:eastAsia="宋体"/>
          <w:sz w:val="21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sdt>
      <w:sdtPr>
        <w:rPr>
          <w:rFonts w:hint="eastAsia" w:ascii="方正楷体_GBK" w:hAnsi="方正楷体_GBK" w:eastAsia="方正楷体_GBK" w:cs="方正楷体_GBK"/>
          <w:kern w:val="2"/>
          <w:sz w:val="44"/>
          <w:szCs w:val="44"/>
          <w:lang w:val="en-US" w:eastAsia="zh-CN" w:bidi="ar-SA"/>
        </w:rPr>
        <w:id w:val="14745916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方正楷体_GBK" w:hAnsi="方正楷体_GBK" w:eastAsia="方正楷体_GBK" w:cs="方正楷体_GBK"/>
              <w:sz w:val="40"/>
              <w:szCs w:val="40"/>
            </w:rPr>
          </w:pPr>
          <w:r>
            <w:rPr>
              <w:rFonts w:hint="eastAsia" w:ascii="方正楷体_GBK" w:hAnsi="方正楷体_GBK" w:eastAsia="方正楷体_GBK" w:cs="方正楷体_GBK"/>
              <w:sz w:val="40"/>
              <w:szCs w:val="40"/>
            </w:rPr>
            <w:t>目录</w:t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TOC \o "1-3" \h \u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_Toc7126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1. 客户端下载方式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_Toc7126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4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_Toc8520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 操作说明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_Toc8520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_Toc13169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 w:val="0"/>
              <w:sz w:val="24"/>
              <w:szCs w:val="24"/>
            </w:rPr>
            <w:t xml:space="preserve">2.1. </w:t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登录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_Toc13169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_Toc9510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 w:val="0"/>
              <w:sz w:val="24"/>
              <w:szCs w:val="24"/>
            </w:rPr>
            <w:t xml:space="preserve">2.2. </w:t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视频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_Toc9510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_Toc26729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2.2.1. 视频播放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_Toc26729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_Toc25258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2.2.2. 视频轮播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_Toc25258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4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_Toc16437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 w:val="0"/>
              <w:kern w:val="2"/>
              <w:sz w:val="24"/>
              <w:szCs w:val="24"/>
              <w:lang w:val="en-US" w:eastAsia="zh-CN" w:bidi="ar-SA"/>
            </w:rPr>
            <w:t xml:space="preserve">2.3. </w:t>
          </w:r>
          <w:r>
            <w:rPr>
              <w:rFonts w:hint="default" w:ascii="Times New Roman" w:hAnsi="Times New Roman" w:eastAsia="方正仿宋_GBK" w:cs="Times New Roman"/>
              <w:bCs/>
              <w:kern w:val="2"/>
              <w:sz w:val="24"/>
              <w:szCs w:val="24"/>
              <w:lang w:val="en-US" w:eastAsia="zh-CN" w:bidi="ar-SA"/>
            </w:rPr>
            <w:t>AI应用中心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_Toc16437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8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_Toc14683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kern w:val="2"/>
              <w:sz w:val="24"/>
              <w:szCs w:val="24"/>
              <w:lang w:val="en-US" w:eastAsia="zh-CN" w:bidi="ar-SA"/>
            </w:rPr>
            <w:t>2.3.1. 平安校园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_Toc14683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8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_Toc29831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 w:val="0"/>
              <w:sz w:val="24"/>
              <w:szCs w:val="24"/>
              <w:lang w:val="en-US" w:eastAsia="zh-CN"/>
            </w:rPr>
            <w:t xml:space="preserve">2.4. </w:t>
          </w:r>
          <w:r>
            <w:rPr>
              <w:rFonts w:hint="default" w:ascii="Times New Roman" w:hAnsi="Times New Roman" w:eastAsia="方正仿宋_GBK" w:cs="Times New Roman"/>
              <w:bCs/>
              <w:kern w:val="2"/>
              <w:sz w:val="24"/>
              <w:szCs w:val="24"/>
              <w:lang w:val="en-US" w:eastAsia="zh-CN" w:bidi="ar-SA"/>
            </w:rPr>
            <w:t>智能管理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_Toc29831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12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_Toc31578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kern w:val="2"/>
              <w:sz w:val="24"/>
              <w:szCs w:val="24"/>
              <w:lang w:val="en-US" w:eastAsia="zh-CN" w:bidi="ar-SA"/>
            </w:rPr>
            <w:t>2.4.1. 定时点检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_Toc31578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12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_Toc31051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  <w:lang w:val="en-US" w:eastAsia="zh-CN"/>
            </w:rPr>
            <w:t>2.4.2. 工单管理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_Toc31051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15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_Toc22001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 w:val="0"/>
              <w:sz w:val="24"/>
              <w:szCs w:val="24"/>
            </w:rPr>
            <w:t xml:space="preserve">2.5. </w:t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基础管理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_Toc22001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18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_Toc21379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2.5.1. 组织管理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_Toc21379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18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_Toc7020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2.5.2. 设备管理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_Toc7020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20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_Toc20543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2.5.3. 操作员管理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_Toc20543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21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_Toc24784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2.5.4. 角色管理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_Toc24784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21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rFonts w:hint="default" w:ascii="Times New Roman" w:hAnsi="Times New Roman" w:eastAsia="方正仿宋_GBK" w:cs="Times New Roman"/>
              <w:sz w:val="24"/>
              <w:szCs w:val="24"/>
            </w:rPr>
          </w:pP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HYPERLINK \l _Toc25590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bCs/>
              <w:sz w:val="24"/>
              <w:szCs w:val="24"/>
            </w:rPr>
            <w:t>2.5.5. 操作日志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ab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instrText xml:space="preserve"> PAGEREF _Toc25590 \h </w:instrTex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t>22</w:t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  <w:p>
          <w:r>
            <w:rPr>
              <w:rFonts w:hint="default" w:ascii="Times New Roman" w:hAnsi="Times New Roman" w:eastAsia="方正仿宋_GBK" w:cs="Times New Roman"/>
              <w:sz w:val="24"/>
              <w:szCs w:val="24"/>
            </w:rPr>
            <w:fldChar w:fldCharType="end"/>
          </w:r>
        </w:p>
      </w:sdtContent>
    </w:sdt>
    <w:p>
      <w:pPr>
        <w:rPr>
          <w:rFonts w:hint="eastAsia" w:asciiTheme="minorEastAsia" w:hAnsiTheme="minorEastAsia" w:cstheme="minorEastAsia"/>
        </w:rPr>
      </w:pPr>
    </w:p>
    <w:p>
      <w:pPr>
        <w:rPr>
          <w:rFonts w:hint="eastAsia" w:asciiTheme="minorEastAsia" w:hAnsiTheme="minorEastAsia" w:cstheme="minorEastAsia"/>
        </w:rPr>
      </w:pPr>
    </w:p>
    <w:p>
      <w:pPr>
        <w:pStyle w:val="2"/>
        <w:numPr>
          <w:ilvl w:val="0"/>
          <w:numId w:val="0"/>
        </w:numPr>
        <w:spacing w:before="0" w:after="0" w:line="240" w:lineRule="auto"/>
        <w:ind w:leftChars="0"/>
        <w:rPr>
          <w:rFonts w:hint="eastAsia" w:asciiTheme="minorEastAsia" w:hAnsiTheme="minorEastAsia" w:cstheme="minorEastAsia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4" w:name="_Toc11756"/>
    </w:p>
    <w:bookmarkEnd w:id="4"/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eastAsia" w:ascii="Times New Roman" w:hAnsi="Times New Roman" w:eastAsia="方正楷体_GBK" w:cs="Times New Roman"/>
          <w:b w:val="0"/>
          <w:bCs/>
          <w:sz w:val="30"/>
          <w:szCs w:val="30"/>
        </w:rPr>
      </w:pPr>
      <w:bookmarkStart w:id="5" w:name="_Toc11154"/>
      <w:bookmarkStart w:id="6" w:name="_Toc8520"/>
      <w:r>
        <w:rPr>
          <w:rFonts w:hint="eastAsia" w:ascii="Times New Roman" w:hAnsi="Times New Roman" w:eastAsia="方正楷体_GBK" w:cs="Times New Roman"/>
          <w:b w:val="0"/>
          <w:bCs/>
          <w:sz w:val="30"/>
          <w:szCs w:val="30"/>
        </w:rPr>
        <w:t>操作说明</w:t>
      </w:r>
      <w:bookmarkEnd w:id="5"/>
      <w:bookmarkEnd w:id="6"/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jc w:val="left"/>
        <w:textAlignment w:val="auto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bookmarkStart w:id="7" w:name="_Toc8784"/>
      <w:bookmarkStart w:id="8" w:name="_Toc13169"/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登录</w:t>
      </w:r>
      <w:bookmarkEnd w:id="7"/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打开【视洞视频监控业务平台】PC客户端，进入登录页，输入用户名/手机号、密码。</w:t>
      </w:r>
    </w:p>
    <w:p>
      <w:pPr>
        <w:jc w:val="center"/>
      </w:pPr>
      <w:r>
        <w:drawing>
          <wp:inline distT="0" distB="0" distL="114300" distR="114300">
            <wp:extent cx="5268595" cy="3357880"/>
            <wp:effectExtent l="0" t="0" r="8255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9" w:name="_Toc9510"/>
      <w:bookmarkStart w:id="10" w:name="_Toc9345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视频</w:t>
      </w:r>
      <w:bookmarkEnd w:id="9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</w:pPr>
      <w:bookmarkStart w:id="11" w:name="_Toc26729"/>
      <w:bookmarkStart w:id="12" w:name="_Toc7756"/>
      <w:r>
        <w:rPr>
          <w:rFonts w:hint="default" w:ascii="Times New Roman" w:hAnsi="Times New Roman" w:eastAsia="方正仿宋_GBK" w:cs="Times New Roman"/>
          <w:b w:val="0"/>
          <w:bCs/>
          <w:sz w:val="28"/>
          <w:szCs w:val="28"/>
        </w:rPr>
        <w:t>视频播放</w:t>
      </w:r>
      <w:bookmarkEnd w:id="11"/>
      <w:bookmarkEnd w:id="1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sz w:val="28"/>
          <w:szCs w:val="32"/>
        </w:rPr>
      </w:pPr>
      <w:r>
        <w:rPr>
          <w:rFonts w:hint="default" w:ascii="Times New Roman" w:hAnsi="Times New Roman" w:eastAsia="方正仿宋_GBK" w:cs="Times New Roman"/>
          <w:sz w:val="28"/>
          <w:szCs w:val="32"/>
        </w:rPr>
        <w:t>登录成功后将进入视频播放页，该页面用于获取设备的直播画面。</w:t>
      </w:r>
    </w:p>
    <w:p>
      <w:r>
        <w:drawing>
          <wp:inline distT="0" distB="0" distL="114300" distR="114300">
            <wp:extent cx="5273040" cy="2680335"/>
            <wp:effectExtent l="0" t="0" r="3810" b="571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设备筛选：在默认组织下，可通过组织名称、设备名称、SN号三种方式搜索需要查看直播画面的设备。</w:t>
      </w:r>
    </w:p>
    <w:p>
      <w:r>
        <w:drawing>
          <wp:inline distT="0" distB="0" distL="114300" distR="114300">
            <wp:extent cx="5264785" cy="2682875"/>
            <wp:effectExtent l="0" t="0" r="1206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举例：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设备名称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为例，将需要查看的设备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名称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输入到搜索框，客户端检索到设备后会在搜索框下返回设备名称，点击设备名称后会自动跳转定位设备所在组织，再次点击组织下的该设备即可在右边播放框内播放。</w:t>
      </w:r>
    </w:p>
    <w:p>
      <w:r>
        <w:drawing>
          <wp:inline distT="0" distB="0" distL="114300" distR="114300">
            <wp:extent cx="5273040" cy="2680335"/>
            <wp:effectExtent l="0" t="0" r="3810" b="571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收藏列表：可查看收藏的设备，点击设备右侧的爱心可收藏该设备。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最近查看：可查看最近播放过的设备。</w:t>
      </w:r>
    </w:p>
    <w:p>
      <w:r>
        <w:drawing>
          <wp:inline distT="0" distB="0" distL="114300" distR="114300">
            <wp:extent cx="5318760" cy="2712720"/>
            <wp:effectExtent l="0" t="0" r="15240" b="11430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13" w:name="_Toc23289"/>
      <w:bookmarkStart w:id="14" w:name="_Toc25258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视频轮播</w:t>
      </w:r>
      <w:bookmarkEnd w:id="13"/>
      <w:bookmarkEnd w:id="1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支持轮巡播放组织下的设备。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操作方法：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第一步：选中视频播放下的视频轮播，点击新增轮巡预案；</w:t>
      </w:r>
    </w:p>
    <w:p>
      <w:r>
        <w:drawing>
          <wp:inline distT="0" distB="0" distL="114300" distR="114300">
            <wp:extent cx="5267960" cy="2698750"/>
            <wp:effectExtent l="0" t="0" r="8890" b="6350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第二步：点击“...”后点击关联设备；</w:t>
      </w:r>
    </w:p>
    <w:p>
      <w:r>
        <w:drawing>
          <wp:inline distT="0" distB="0" distL="114300" distR="114300">
            <wp:extent cx="5316220" cy="2753995"/>
            <wp:effectExtent l="0" t="0" r="17780" b="825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第三步：选择新增关联，可通过组织名称，设备名称，SN号来选择需要关联的设备。</w:t>
      </w:r>
    </w:p>
    <w:p>
      <w:r>
        <w:drawing>
          <wp:inline distT="0" distB="0" distL="114300" distR="114300">
            <wp:extent cx="5265420" cy="2693035"/>
            <wp:effectExtent l="0" t="0" r="11430" b="12065"/>
            <wp:docPr id="4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Theme="minorEastAsia" w:hAnsiTheme="minorEastAsia" w:cstheme="minorEastAsia"/>
          <w:sz w:val="32"/>
          <w:szCs w:val="32"/>
        </w:rPr>
      </w:pPr>
      <w:r>
        <w:drawing>
          <wp:inline distT="0" distB="0" distL="114300" distR="114300">
            <wp:extent cx="5273675" cy="2693035"/>
            <wp:effectExtent l="0" t="0" r="3175" b="12065"/>
            <wp:docPr id="4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jc w:val="left"/>
        <w:rPr>
          <w:rFonts w:hint="eastAsia" w:asciiTheme="minorEastAsia" w:hAnsiTheme="minorEastAsia" w:cstheme="minorEastAsia"/>
          <w:sz w:val="32"/>
          <w:szCs w:val="32"/>
        </w:rPr>
      </w:pPr>
    </w:p>
    <w:p>
      <w:pPr>
        <w:widowControl/>
        <w:spacing w:line="240" w:lineRule="auto"/>
        <w:jc w:val="left"/>
        <w:rPr>
          <w:rFonts w:hint="eastAsia" w:asciiTheme="minorEastAsia" w:hAnsiTheme="minorEastAsia" w:cstheme="minorEastAsia"/>
          <w:sz w:val="32"/>
          <w:szCs w:val="32"/>
        </w:rPr>
      </w:pPr>
    </w:p>
    <w:p>
      <w:p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b/>
          <w:bCs/>
          <w:sz w:val="28"/>
          <w:szCs w:val="28"/>
        </w:rPr>
        <w:t>举例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：以SN号举例搜索关联设备：</w:t>
      </w:r>
    </w:p>
    <w:p>
      <w:pPr>
        <w:pStyle w:val="22"/>
        <w:numPr>
          <w:ilvl w:val="0"/>
          <w:numId w:val="5"/>
        </w:num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使用SN号检索设备；</w:t>
      </w:r>
    </w:p>
    <w:p>
      <w:pPr>
        <w:pStyle w:val="22"/>
        <w:numPr>
          <w:ilvl w:val="0"/>
          <w:numId w:val="5"/>
        </w:num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检索到设备后选中该设备；</w:t>
      </w:r>
    </w:p>
    <w:p>
      <w:pPr>
        <w:pStyle w:val="22"/>
        <w:numPr>
          <w:ilvl w:val="0"/>
          <w:numId w:val="5"/>
        </w:num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选中设备后点击搜索；</w:t>
      </w:r>
    </w:p>
    <w:p>
      <w:pPr>
        <w:pStyle w:val="22"/>
        <w:numPr>
          <w:ilvl w:val="0"/>
          <w:numId w:val="5"/>
        </w:num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设备会自动定位并将设备添加到待关联设备栏；</w:t>
      </w:r>
    </w:p>
    <w:p>
      <w:pPr>
        <w:pStyle w:val="22"/>
        <w:numPr>
          <w:ilvl w:val="0"/>
          <w:numId w:val="5"/>
        </w:numPr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点击确认即可完成关联设备的添加。</w:t>
      </w:r>
    </w:p>
    <w:p>
      <w:r>
        <w:drawing>
          <wp:inline distT="0" distB="0" distL="114300" distR="114300">
            <wp:extent cx="5273040" cy="2686685"/>
            <wp:effectExtent l="0" t="0" r="3810" b="1841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第四步：返回至视频轮播页，选中“...”后点击开始轮巡，在直播框下方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默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30S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为一个轮播周期，可选择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30S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60S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90S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等。</w:t>
      </w:r>
    </w:p>
    <w:p>
      <w:r>
        <w:drawing>
          <wp:inline distT="0" distB="0" distL="114300" distR="114300">
            <wp:extent cx="5289550" cy="2696845"/>
            <wp:effectExtent l="0" t="0" r="6350" b="825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第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五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步：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当轮播方案中设备过多时（进入页面默认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分屏），可选择右下角分屏功能，支持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4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9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16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、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25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等分配。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支持清除分屏操作和全屏观看操作。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jc w:val="both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drawing>
          <wp:inline distT="0" distB="0" distL="114300" distR="114300">
            <wp:extent cx="5273040" cy="2680335"/>
            <wp:effectExtent l="0" t="0" r="3810" b="571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5" w:name="_Toc16437"/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应用中心</w:t>
      </w:r>
      <w:bookmarkEnd w:id="15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告警事件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bookmarkStart w:id="16" w:name="OLE_LINK2"/>
      <w:r>
        <w:rPr>
          <w:rFonts w:hint="default" w:ascii="Times New Roman" w:hAnsi="Times New Roman" w:eastAsia="方正仿宋_GBK" w:cs="Times New Roman"/>
          <w:sz w:val="28"/>
          <w:szCs w:val="28"/>
        </w:rPr>
        <w:t>显示当前账号下接收到的告警消息，可按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设备名称、SN号、所属默认组织、告警类型、算法来源、检测状态、告警时间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进行分类筛选</w:t>
      </w:r>
      <w:r>
        <w:rPr>
          <w:rFonts w:hint="eastAsia" w:ascii="Times New Roman" w:hAnsi="Times New Roman" w:eastAsia="方正仿宋_GBK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并可查看告警的回放视频。</w:t>
      </w:r>
    </w:p>
    <w:bookmarkEnd w:id="16"/>
    <w:p>
      <w:pP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040" cy="2682875"/>
            <wp:effectExtent l="0" t="0" r="3810" b="3175"/>
            <wp:docPr id="5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告警处理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正检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：选择处理结果（正检），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填写处理说明，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支持上传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图片说明（最多上传10张），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点击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“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确认</w:t>
      </w:r>
      <w:r>
        <w:rPr>
          <w:rFonts w:hint="eastAsia" w:ascii="Times New Roman" w:hAnsi="Times New Roman" w:eastAsia="方正仿宋_GBK" w:cs="Times New Roman"/>
          <w:sz w:val="28"/>
          <w:szCs w:val="28"/>
        </w:rPr>
        <w:t>”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后，完成告警事件处理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误检：选择处理结果（误检），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填写处理说明，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支持上传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图片说明（最多上传10张）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，可生成工单并选择处理人。</w:t>
      </w:r>
      <w:r>
        <w:rPr>
          <w:rFonts w:hint="eastAsia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（工单提交后转到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2.4.2</w:t>
      </w:r>
      <w:r>
        <w:rPr>
          <w:rFonts w:hint="eastAsia" w:ascii="Times New Roman" w:hAnsi="Times New Roman" w:eastAsia="方正仿宋_GBK" w:cs="Times New Roman"/>
          <w:b/>
          <w:bCs/>
          <w:color w:val="FF0000"/>
          <w:sz w:val="28"/>
          <w:szCs w:val="28"/>
          <w:lang w:val="en-US" w:eastAsia="zh-CN"/>
        </w:rPr>
        <w:t>工单管理）</w:t>
      </w:r>
    </w:p>
    <w:p>
      <w:pPr>
        <w:rPr>
          <w:color w:val="auto"/>
        </w:rPr>
      </w:pPr>
      <w:r>
        <w:drawing>
          <wp:inline distT="0" distB="0" distL="114300" distR="114300">
            <wp:extent cx="5263515" cy="2692400"/>
            <wp:effectExtent l="0" t="0" r="13335" b="12700"/>
            <wp:docPr id="5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color w:val="auto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设备布控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/>
          <w:color w:val="auto"/>
          <w:u w:val="non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显示当前账号下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创建的设备布控任务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，可按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/>
        </w:rPr>
        <w:t>AI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服务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任务状态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任务信息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任务时间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进行分类筛选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并可查看和删除布控的任务。</w:t>
      </w:r>
    </w:p>
    <w:p>
      <w:r>
        <w:drawing>
          <wp:inline distT="0" distB="0" distL="114300" distR="114300">
            <wp:extent cx="5271770" cy="2245360"/>
            <wp:effectExtent l="0" t="0" r="5080" b="2540"/>
            <wp:docPr id="6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新增布控任务：填写基础信息和处理策略，并关联相应设备。</w:t>
      </w:r>
      <w:r>
        <w:rPr>
          <w:rFonts w:hint="eastAsia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（关联设备可参考</w:t>
      </w:r>
      <w:r>
        <w:rPr>
          <w:rFonts w:hint="default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2.3.2</w:t>
      </w:r>
      <w:r>
        <w:rPr>
          <w:rFonts w:hint="eastAsia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视频轮播的设备关联步骤）</w:t>
      </w:r>
    </w:p>
    <w:p>
      <w:r>
        <w:drawing>
          <wp:inline distT="0" distB="0" distL="114300" distR="114300">
            <wp:extent cx="5265420" cy="2676525"/>
            <wp:effectExtent l="0" t="0" r="11430" b="9525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检测区域设置：关联的设备可设备检测区域，可选择全部区域、添加多边形框（自定义框选）、添加线段（根据人流方向），并可一键清除设定区域。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678430"/>
            <wp:effectExtent l="0" t="0" r="12065" b="7620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数据分析</w:t>
      </w:r>
    </w:p>
    <w:p>
      <w:pPr>
        <w:pStyle w:val="2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leftChars="0" w:firstLine="560" w:firstLineChars="200"/>
        <w:jc w:val="left"/>
        <w:textAlignment w:val="auto"/>
        <w:rPr>
          <w:rFonts w:hint="default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kern w:val="2"/>
          <w:sz w:val="28"/>
          <w:szCs w:val="28"/>
          <w:lang w:val="en-US" w:eastAsia="zh-CN" w:bidi="ar-SA"/>
        </w:rPr>
        <w:t>用于查看设备告警趋势、告警类型占比、告警频发设备分析、告警频发时段分析等，可按组织和时间（日、周、月等）进行检索展示。</w:t>
      </w:r>
    </w:p>
    <w:p>
      <w:r>
        <w:drawing>
          <wp:inline distT="0" distB="0" distL="114300" distR="114300">
            <wp:extent cx="5258435" cy="2548255"/>
            <wp:effectExtent l="0" t="0" r="18415" b="4445"/>
            <wp:docPr id="5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jc w:val="left"/>
        <w:textAlignment w:val="auto"/>
        <w:rPr>
          <w:rFonts w:hint="default"/>
          <w:lang w:val="en-US" w:eastAsia="zh-CN"/>
        </w:rPr>
      </w:pPr>
      <w:bookmarkStart w:id="17" w:name="_Toc29831"/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智能管理</w:t>
      </w:r>
      <w:bookmarkEnd w:id="17"/>
    </w:p>
    <w:bookmarkEnd w:id="10"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bookmarkStart w:id="18" w:name="_Toc31578"/>
      <w:bookmarkStart w:id="19" w:name="_Toc10231"/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定时点检</w:t>
      </w:r>
      <w:bookmarkEnd w:id="1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默认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显示当前账号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权限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下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全部点检任务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，可按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所属组织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设备名称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是否点检处理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是否合格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点检时间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进行分类筛选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69230" cy="2699385"/>
            <wp:effectExtent l="0" t="0" r="7620" b="5715"/>
            <wp:docPr id="6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点检合格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480" w:firstLineChars="200"/>
        <w:textAlignment w:val="auto"/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点击“未点检”的任务，选判定结果（为合格时）、填写判定说明、上传图片，点检完成后，任务状态变为“合格”。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4785" cy="2701290"/>
            <wp:effectExtent l="0" t="0" r="12065" b="3810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center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2590165"/>
            <wp:effectExtent l="0" t="0" r="5080" b="635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480" w:firstLineChars="200"/>
        <w:textAlignment w:val="auto"/>
        <w:rPr>
          <w:rFonts w:hint="default" w:ascii="Times New Roman" w:hAnsi="Times New Roman" w:eastAsia="方正仿宋_GBK" w:cs="Times New Roman"/>
          <w:sz w:val="24"/>
          <w:szCs w:val="24"/>
          <w:lang w:val="en-US" w:eastAsia="zh-CN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点检不合格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点击“未点检”的任务，选判定结果（为不合格时）、填写判定说明、上传图片，可生成工单并选择处理人（任务将提交至处理人工单管理待办中），任务状态相应变为“不合格”。</w:t>
      </w:r>
    </w:p>
    <w:p>
      <w:r>
        <w:drawing>
          <wp:inline distT="0" distB="0" distL="114300" distR="114300">
            <wp:extent cx="5273040" cy="2694940"/>
            <wp:effectExtent l="0" t="0" r="3810" b="10160"/>
            <wp:docPr id="6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56530" cy="2577465"/>
            <wp:effectExtent l="0" t="0" r="1270" b="13335"/>
            <wp:docPr id="6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lang w:val="en-US" w:eastAsia="zh-CN"/>
        </w:rPr>
      </w:pP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点检任务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显示当前账号下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创建和可查的点检任务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，可按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任务名称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创建人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状态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进行分类筛选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并可查看、删除、关闭点检任务。</w:t>
      </w:r>
    </w:p>
    <w:p>
      <w:r>
        <w:drawing>
          <wp:inline distT="0" distB="0" distL="114300" distR="114300">
            <wp:extent cx="5257800" cy="2494280"/>
            <wp:effectExtent l="0" t="0" r="0" b="1270"/>
            <wp:docPr id="6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8"/>
          <w:lang w:val="en-US" w:eastAsia="zh-CN" w:bidi="ar-SA"/>
        </w:rPr>
        <w:t>新增点检任务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新增点检任务：填写基础信息和绑定相关设备。</w:t>
      </w:r>
      <w:r>
        <w:rPr>
          <w:rFonts w:hint="eastAsia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（添加设备可参考</w:t>
      </w:r>
      <w:r>
        <w:rPr>
          <w:rFonts w:hint="default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2.2.2</w:t>
      </w:r>
      <w:r>
        <w:rPr>
          <w:rFonts w:hint="eastAsia" w:ascii="Times New Roman" w:hAnsi="Times New Roman" w:eastAsia="方正仿宋_GBK" w:cs="Times New Roman"/>
          <w:color w:val="FF0000"/>
          <w:sz w:val="28"/>
          <w:szCs w:val="28"/>
          <w:lang w:val="en-US" w:eastAsia="zh-CN"/>
        </w:rPr>
        <w:t>视频轮播的设备关联步骤）</w:t>
      </w:r>
    </w:p>
    <w:p>
      <w:r>
        <w:drawing>
          <wp:inline distT="0" distB="0" distL="114300" distR="114300">
            <wp:extent cx="5273040" cy="2696845"/>
            <wp:effectExtent l="0" t="0" r="3810" b="8255"/>
            <wp:docPr id="6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</w:pPr>
      <w:bookmarkStart w:id="20" w:name="_Toc31051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  <w:lang w:val="en-US" w:eastAsia="zh-CN"/>
        </w:rPr>
        <w:t>工单管理</w:t>
      </w:r>
      <w:bookmarkEnd w:id="2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默认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显示当前账号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权限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下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可查看全部工单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，可按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来源组织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来源设备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来源模块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工单状态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发起人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/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处理人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发起时间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、</w:t>
      </w:r>
      <w:r>
        <w:rPr>
          <w:rFonts w:hint="eastAsia" w:ascii="Times New Roman" w:hAnsi="Times New Roman" w:eastAsia="方正仿宋_GBK" w:cs="Times New Roman"/>
          <w:color w:val="auto"/>
          <w:sz w:val="28"/>
          <w:szCs w:val="28"/>
          <w:u w:val="none"/>
          <w:lang w:val="en-US" w:eastAsia="zh-CN"/>
        </w:rPr>
        <w:t>工单编号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进行分类筛选</w:t>
      </w:r>
      <w:r>
        <w:rPr>
          <w:rFonts w:hint="eastAsia" w:ascii="Times New Roman" w:hAnsi="Times New Roman" w:eastAsia="方正仿宋_GBK" w:cs="Times New Roman"/>
          <w:sz w:val="28"/>
          <w:szCs w:val="28"/>
          <w:lang w:eastAsia="zh-CN"/>
        </w:rPr>
        <w:t>，</w:t>
      </w: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并对工单进行详情查看、处理、关闭、删除等操作。</w:t>
      </w:r>
    </w:p>
    <w:p>
      <w:r>
        <w:drawing>
          <wp:inline distT="0" distB="0" distL="114300" distR="114300">
            <wp:extent cx="5267325" cy="2411730"/>
            <wp:effectExtent l="0" t="0" r="9525" b="7620"/>
            <wp:docPr id="6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bookmarkEnd w:id="19"/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default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bookmarkStart w:id="21" w:name="_Toc32683"/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工单处理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工单处理：待办中存放自己需处理的工单（进入详情后，点击“提交工单处理”，也可以发起工单处理流程），填写处理说明和上传图片后，点击“确认”按钮，完成工单的处理。（处理完的工单将会进入已办列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5268595" cy="2684780"/>
            <wp:effectExtent l="0" t="0" r="8255" b="1270"/>
            <wp:docPr id="69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65420" cy="2693035"/>
            <wp:effectExtent l="0" t="0" r="11430" b="12065"/>
            <wp:docPr id="7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8"/>
          <w:szCs w:val="28"/>
          <w:lang w:val="en-US" w:eastAsia="zh-CN"/>
        </w:rPr>
        <w:t>详情：可查看告警信息和工单处理流程状态。</w:t>
      </w:r>
    </w:p>
    <w:p>
      <w:r>
        <w:drawing>
          <wp:inline distT="0" distB="0" distL="114300" distR="114300">
            <wp:extent cx="5264785" cy="2682875"/>
            <wp:effectExtent l="0" t="0" r="12065" b="3175"/>
            <wp:docPr id="71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工单转交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点击“转交”按钮，选择转交人员、转交说明、上传图片提交后，任务将进入被转交人员工单管理待办中。</w:t>
      </w:r>
    </w:p>
    <w:p>
      <w:pPr>
        <w:rPr>
          <w:lang w:val="en-US" w:eastAsia="zh-CN"/>
        </w:rPr>
      </w:pPr>
      <w:r>
        <w:drawing>
          <wp:inline distT="0" distB="0" distL="114300" distR="114300">
            <wp:extent cx="5272405" cy="2707640"/>
            <wp:effectExtent l="0" t="0" r="4445" b="16510"/>
            <wp:docPr id="7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/>
        <w:textAlignment w:val="auto"/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</w:pPr>
      <w:r>
        <w:rPr>
          <w:rFonts w:hint="eastAsia" w:ascii="Times New Roman" w:hAnsi="Times New Roman" w:eastAsia="方正仿宋_GBK" w:cs="Times New Roman"/>
          <w:b w:val="0"/>
          <w:bCs/>
          <w:kern w:val="2"/>
          <w:sz w:val="28"/>
          <w:szCs w:val="24"/>
          <w:lang w:val="en-US" w:eastAsia="zh-CN" w:bidi="ar-SA"/>
        </w:rPr>
        <w:t>工单关闭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24"/>
          <w:szCs w:val="24"/>
          <w:lang w:val="en-US" w:eastAsia="zh-CN"/>
        </w:rPr>
        <w:t>点击“关闭”按钮，填写关闭原因、上传图片提交后，工单为关闭状态并进入已办列表。（已关闭的工单可删除）</w:t>
      </w:r>
    </w:p>
    <w:p>
      <w:r>
        <w:drawing>
          <wp:inline distT="0" distB="0" distL="114300" distR="114300">
            <wp:extent cx="5273040" cy="2705100"/>
            <wp:effectExtent l="0" t="0" r="3810" b="0"/>
            <wp:docPr id="7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jc w:val="left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22" w:name="_Toc22001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基础管理</w:t>
      </w:r>
      <w:bookmarkEnd w:id="21"/>
      <w:bookmarkEnd w:id="22"/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23" w:name="_Toc11302"/>
      <w:bookmarkStart w:id="24" w:name="_Toc21379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组织管理</w:t>
      </w:r>
      <w:bookmarkEnd w:id="23"/>
      <w:bookmarkEnd w:id="24"/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新增组织：点击【新增】—输入组织名称—选择所属上级—点击【确定】—组织新增完成。</w:t>
      </w:r>
    </w:p>
    <w:p>
      <w:r>
        <w:drawing>
          <wp:inline distT="0" distB="0" distL="114300" distR="114300">
            <wp:extent cx="5269230" cy="2694940"/>
            <wp:effectExtent l="0" t="0" r="7620" b="10160"/>
            <wp:docPr id="7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用户自定义组织：点击【新增】—输入组织名称—点击【确定】—组织新增完成。</w:t>
      </w:r>
    </w:p>
    <w:p>
      <w:r>
        <w:drawing>
          <wp:inline distT="0" distB="0" distL="114300" distR="114300">
            <wp:extent cx="5264785" cy="2693035"/>
            <wp:effectExtent l="0" t="0" r="12065" b="12065"/>
            <wp:docPr id="7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jc w:val="left"/>
        <w:textAlignment w:val="auto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hint="eastAsia" w:ascii="Times New Roman" w:hAnsi="Times New Roman" w:eastAsia="方正仿宋_GBK" w:cs="Times New Roman"/>
          <w:sz w:val="28"/>
          <w:szCs w:val="28"/>
        </w:rPr>
        <w:t>在用户自定义的组织下，可通过点击设备详情进行设备关联。</w:t>
      </w:r>
    </w:p>
    <w:p>
      <w:r>
        <w:drawing>
          <wp:inline distT="0" distB="0" distL="114300" distR="114300">
            <wp:extent cx="5268595" cy="2880995"/>
            <wp:effectExtent l="0" t="0" r="8255" b="14605"/>
            <wp:docPr id="7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865" cy="2857500"/>
            <wp:effectExtent l="0" t="0" r="6985" b="0"/>
            <wp:docPr id="7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25" w:name="_Toc7125"/>
      <w:bookmarkStart w:id="26" w:name="_Toc7020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设备管理</w:t>
      </w:r>
      <w:bookmarkEnd w:id="25"/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可通过</w:t>
      </w:r>
      <w:r>
        <w:rPr>
          <w:rFonts w:hint="default" w:ascii="Times New Roman" w:hAnsi="Times New Roman" w:eastAsia="方正仿宋_GBK" w:cs="Times New Roman"/>
          <w:color w:val="auto"/>
          <w:sz w:val="28"/>
          <w:szCs w:val="28"/>
          <w:u w:val="none"/>
        </w:rPr>
        <w:t>设备名称、所属组织、设备类型、设备型号、SN号、MAC号、设备状态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来筛选需要管理的设备，通过点击“设置”，可修改部分基础信息。</w:t>
      </w:r>
    </w:p>
    <w:p>
      <w:r>
        <w:drawing>
          <wp:inline distT="0" distB="0" distL="114300" distR="114300">
            <wp:extent cx="5273040" cy="2696845"/>
            <wp:effectExtent l="0" t="0" r="3810" b="8255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27" w:name="_Toc20543"/>
      <w:bookmarkStart w:id="28" w:name="_Toc3284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操作员管理</w:t>
      </w:r>
      <w:bookmarkEnd w:id="27"/>
      <w:bookmarkEnd w:id="2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该页面下可进行操作员的管理，可新增操作员、设置管辖范围、重置密码等操作。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新增操作员操作方法：点击【新增】—弹出操作员信息填写框—输入相关信息—点击【确定】—新建操作员完成</w:t>
      </w:r>
    </w:p>
    <w:p>
      <w:pPr>
        <w:jc w:val="center"/>
        <w:rPr>
          <w:rFonts w:asciiTheme="minorEastAsia" w:hAnsiTheme="minorEastAsia" w:cstheme="minorEastAsia"/>
        </w:rPr>
      </w:pPr>
      <w:r>
        <w:drawing>
          <wp:inline distT="0" distB="0" distL="114300" distR="114300">
            <wp:extent cx="5269230" cy="2703195"/>
            <wp:effectExtent l="0" t="0" r="7620" b="190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29" w:name="_Toc24784"/>
      <w:bookmarkStart w:id="30" w:name="_Toc23394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角色管理</w:t>
      </w:r>
      <w:bookmarkEnd w:id="29"/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该页面下可进行角色的管理，如新增角色、对已新增角色权限的编辑、删除角色</w:t>
      </w:r>
      <w:bookmarkStart w:id="31" w:name="OLE_LINK1"/>
      <w:r>
        <w:rPr>
          <w:rFonts w:hint="default" w:ascii="Times New Roman" w:hAnsi="Times New Roman" w:eastAsia="方正仿宋_GBK" w:cs="Times New Roman"/>
          <w:sz w:val="28"/>
          <w:szCs w:val="28"/>
        </w:rPr>
        <w:t>。</w:t>
      </w:r>
      <w:bookmarkEnd w:id="31"/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left="0"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新增角色操作方法：点击【新增】—弹出角色新增页面—输入角色名称并勾选需要赋予角色的权限—点击【确定】—角色新增完成。</w:t>
      </w:r>
    </w:p>
    <w:p>
      <w:r>
        <w:drawing>
          <wp:inline distT="0" distB="0" distL="114300" distR="114300">
            <wp:extent cx="5273040" cy="2701290"/>
            <wp:effectExtent l="0" t="0" r="3810" b="3810"/>
            <wp:docPr id="8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87" w:lineRule="exact"/>
        <w:ind w:left="0" w:firstLine="0" w:firstLineChars="0"/>
        <w:textAlignment w:val="auto"/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</w:pPr>
      <w:bookmarkStart w:id="32" w:name="_Toc9737"/>
      <w:bookmarkStart w:id="33" w:name="_Toc25590"/>
      <w:r>
        <w:rPr>
          <w:rFonts w:hint="eastAsia" w:ascii="Times New Roman" w:hAnsi="Times New Roman" w:eastAsia="方正仿宋_GBK" w:cs="Times New Roman"/>
          <w:b w:val="0"/>
          <w:bCs/>
          <w:sz w:val="28"/>
          <w:szCs w:val="28"/>
        </w:rPr>
        <w:t>操作日志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7" w:lineRule="exact"/>
        <w:ind w:firstLine="560" w:firstLineChars="200"/>
        <w:textAlignment w:val="auto"/>
        <w:rPr>
          <w:rFonts w:hint="default" w:ascii="Times New Roman" w:hAnsi="Times New Roman" w:eastAsia="方正仿宋_GBK" w:cs="Times New Roman"/>
          <w:sz w:val="28"/>
          <w:szCs w:val="28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>该页面可查看操作员对客户端的操作日志。</w:t>
      </w:r>
    </w:p>
    <w:p>
      <w:pPr>
        <w:rPr>
          <w:rFonts w:asciiTheme="minorEastAsia" w:hAnsiTheme="minorEastAsia" w:cstheme="minorEastAsia"/>
        </w:rPr>
      </w:pPr>
      <w:r>
        <w:drawing>
          <wp:inline distT="0" distB="0" distL="114300" distR="114300">
            <wp:extent cx="5269230" cy="2703195"/>
            <wp:effectExtent l="0" t="0" r="7620" b="1905"/>
            <wp:docPr id="8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t xml:space="preserve">第 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t xml:space="preserve"> 页 共 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  <w:lang w:val="en-US"/>
                            </w:rPr>
                            <w:t>20</w:t>
                          </w:r>
                          <w:r>
                            <w:rPr>
                              <w:rFonts w:hint="default" w:ascii="Times New Roman" w:hAnsi="Times New Roman" w:eastAsia="方正仿宋_GBK" w:cs="Times New Roman"/>
                              <w:sz w:val="18"/>
                              <w:szCs w:val="18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</w:pP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t xml:space="preserve">第 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t>1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t xml:space="preserve"> 页 共 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  <w:lang w:val="en-US"/>
                      </w:rPr>
                      <w:t>20</w:t>
                    </w:r>
                    <w:r>
                      <w:rPr>
                        <w:rFonts w:hint="default" w:ascii="Times New Roman" w:hAnsi="Times New Roman" w:eastAsia="方正仿宋_GBK" w:cs="Times New Roman"/>
                        <w:sz w:val="18"/>
                        <w:szCs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2F24AF"/>
    <w:multiLevelType w:val="multilevel"/>
    <w:tmpl w:val="C72F24A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F4F30FAB"/>
    <w:multiLevelType w:val="singleLevel"/>
    <w:tmpl w:val="F4F30FAB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C67E6C0"/>
    <w:multiLevelType w:val="singleLevel"/>
    <w:tmpl w:val="0C67E6C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2EE87889"/>
    <w:multiLevelType w:val="multilevel"/>
    <w:tmpl w:val="2EE87889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 w:ascii="Times New Roman" w:hAnsi="Times New Roman" w:eastAsia="方正楷体_GBK" w:cs="Times New Roman"/>
        <w:sz w:val="30"/>
        <w:szCs w:val="30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 w:ascii="Times New Roman" w:hAnsi="Times New Roman" w:eastAsia="方正仿宋_GBK" w:cs="Times New Roman"/>
        <w:b w:val="0"/>
        <w:bCs w:val="0"/>
        <w:sz w:val="28"/>
        <w:szCs w:val="28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 w:ascii="Times New Roman" w:hAnsi="Times New Roman" w:eastAsia="方正仿宋_GBK" w:cs="Times New Roman"/>
        <w:sz w:val="28"/>
        <w:szCs w:val="28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 w:ascii="Times New Roman" w:hAnsi="Times New Roman" w:eastAsia="方正仿宋_GBK" w:cs="Times New Roman"/>
        <w:b w:val="0"/>
        <w:bCs w:val="0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 w:ascii="宋体" w:hAnsi="宋体" w:eastAsia="宋体" w:cs="宋体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4">
    <w:nsid w:val="744C4F4B"/>
    <w:multiLevelType w:val="multilevel"/>
    <w:tmpl w:val="744C4F4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documentProtection w:enforcement="0"/>
  <w:defaultTabStop w:val="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hNGRmN2UzOTg1ZDdlMDRmYzFlOTdmNzZhZDJhMGUifQ=="/>
  </w:docVars>
  <w:rsids>
    <w:rsidRoot w:val="00000000"/>
    <w:rsid w:val="00530231"/>
    <w:rsid w:val="01131D12"/>
    <w:rsid w:val="01202447"/>
    <w:rsid w:val="01527170"/>
    <w:rsid w:val="01CA54D2"/>
    <w:rsid w:val="01E56D7D"/>
    <w:rsid w:val="023D29CD"/>
    <w:rsid w:val="028E074C"/>
    <w:rsid w:val="02AB27F8"/>
    <w:rsid w:val="02EB17DB"/>
    <w:rsid w:val="0512433E"/>
    <w:rsid w:val="05591755"/>
    <w:rsid w:val="058E5744"/>
    <w:rsid w:val="06EF6339"/>
    <w:rsid w:val="06F0726A"/>
    <w:rsid w:val="0787007E"/>
    <w:rsid w:val="07C61DB2"/>
    <w:rsid w:val="07E12EE0"/>
    <w:rsid w:val="08616B86"/>
    <w:rsid w:val="08DB6EC4"/>
    <w:rsid w:val="090768B3"/>
    <w:rsid w:val="09305E8C"/>
    <w:rsid w:val="09391647"/>
    <w:rsid w:val="0A561B07"/>
    <w:rsid w:val="0A5F5E88"/>
    <w:rsid w:val="0C2A28CD"/>
    <w:rsid w:val="0C584BF8"/>
    <w:rsid w:val="0CAA3921"/>
    <w:rsid w:val="0D076EA0"/>
    <w:rsid w:val="0E4C1F43"/>
    <w:rsid w:val="0ED4217F"/>
    <w:rsid w:val="0FB17A12"/>
    <w:rsid w:val="10057927"/>
    <w:rsid w:val="103F3FA1"/>
    <w:rsid w:val="10701589"/>
    <w:rsid w:val="108B5F5C"/>
    <w:rsid w:val="10B832B5"/>
    <w:rsid w:val="10C149EE"/>
    <w:rsid w:val="10EF1358"/>
    <w:rsid w:val="11323268"/>
    <w:rsid w:val="114E33F6"/>
    <w:rsid w:val="115C15ED"/>
    <w:rsid w:val="11A921B7"/>
    <w:rsid w:val="12135896"/>
    <w:rsid w:val="122B6DC3"/>
    <w:rsid w:val="124968CA"/>
    <w:rsid w:val="137F7CC1"/>
    <w:rsid w:val="139972AE"/>
    <w:rsid w:val="139B27F6"/>
    <w:rsid w:val="13D74D69"/>
    <w:rsid w:val="14F838F1"/>
    <w:rsid w:val="158C0215"/>
    <w:rsid w:val="161B1C1B"/>
    <w:rsid w:val="16A35356"/>
    <w:rsid w:val="16A56D46"/>
    <w:rsid w:val="16B05E10"/>
    <w:rsid w:val="16E42A1F"/>
    <w:rsid w:val="171E4A77"/>
    <w:rsid w:val="178F6468"/>
    <w:rsid w:val="179829A2"/>
    <w:rsid w:val="18046D8A"/>
    <w:rsid w:val="18540719"/>
    <w:rsid w:val="185E6BD7"/>
    <w:rsid w:val="18B42ED5"/>
    <w:rsid w:val="18BB79D6"/>
    <w:rsid w:val="18E81CD1"/>
    <w:rsid w:val="19296921"/>
    <w:rsid w:val="19991310"/>
    <w:rsid w:val="19EB2610"/>
    <w:rsid w:val="1A0648C6"/>
    <w:rsid w:val="1A3909CD"/>
    <w:rsid w:val="1A3F6827"/>
    <w:rsid w:val="1A545F9A"/>
    <w:rsid w:val="1A603FDE"/>
    <w:rsid w:val="1A970B45"/>
    <w:rsid w:val="1B77233A"/>
    <w:rsid w:val="1B7765F5"/>
    <w:rsid w:val="1B7C3716"/>
    <w:rsid w:val="1BC53347"/>
    <w:rsid w:val="1BC5777A"/>
    <w:rsid w:val="1BDF3245"/>
    <w:rsid w:val="1C084043"/>
    <w:rsid w:val="1C3776B7"/>
    <w:rsid w:val="1CD32BB6"/>
    <w:rsid w:val="1CFF3DE9"/>
    <w:rsid w:val="1DAE7AE1"/>
    <w:rsid w:val="1E133E4D"/>
    <w:rsid w:val="1E3D4A90"/>
    <w:rsid w:val="1E470DBB"/>
    <w:rsid w:val="1E51286F"/>
    <w:rsid w:val="1E9213A7"/>
    <w:rsid w:val="1EA73D93"/>
    <w:rsid w:val="1F0749FF"/>
    <w:rsid w:val="1F5073FC"/>
    <w:rsid w:val="1F5F794D"/>
    <w:rsid w:val="1FB74238"/>
    <w:rsid w:val="204C62C6"/>
    <w:rsid w:val="20D86F62"/>
    <w:rsid w:val="214409AA"/>
    <w:rsid w:val="2204485F"/>
    <w:rsid w:val="221529C2"/>
    <w:rsid w:val="22555FA8"/>
    <w:rsid w:val="230523B6"/>
    <w:rsid w:val="233B6218"/>
    <w:rsid w:val="23806BA7"/>
    <w:rsid w:val="238A17D7"/>
    <w:rsid w:val="238D540B"/>
    <w:rsid w:val="23C64DA2"/>
    <w:rsid w:val="23D101FA"/>
    <w:rsid w:val="24B124A2"/>
    <w:rsid w:val="24B25B06"/>
    <w:rsid w:val="25746334"/>
    <w:rsid w:val="259668B0"/>
    <w:rsid w:val="25B01450"/>
    <w:rsid w:val="25B1106F"/>
    <w:rsid w:val="25F40573"/>
    <w:rsid w:val="265126E6"/>
    <w:rsid w:val="26B007D7"/>
    <w:rsid w:val="26D24856"/>
    <w:rsid w:val="26E303EA"/>
    <w:rsid w:val="26F73612"/>
    <w:rsid w:val="27161AC2"/>
    <w:rsid w:val="274D7504"/>
    <w:rsid w:val="27BA3FEF"/>
    <w:rsid w:val="28A05933"/>
    <w:rsid w:val="28B267F2"/>
    <w:rsid w:val="28DF3110"/>
    <w:rsid w:val="28E20C40"/>
    <w:rsid w:val="295103D5"/>
    <w:rsid w:val="2A06263C"/>
    <w:rsid w:val="2A4043BB"/>
    <w:rsid w:val="2A4219D8"/>
    <w:rsid w:val="2A5171A4"/>
    <w:rsid w:val="2A9B590C"/>
    <w:rsid w:val="2AA34FE7"/>
    <w:rsid w:val="2B2E49B9"/>
    <w:rsid w:val="2B592329"/>
    <w:rsid w:val="2B683ADA"/>
    <w:rsid w:val="2B9D7F9D"/>
    <w:rsid w:val="2BE8233B"/>
    <w:rsid w:val="2BF12B23"/>
    <w:rsid w:val="2C063E72"/>
    <w:rsid w:val="2C34282D"/>
    <w:rsid w:val="2C977A14"/>
    <w:rsid w:val="2D0D3180"/>
    <w:rsid w:val="2D5D71D2"/>
    <w:rsid w:val="2DC051FE"/>
    <w:rsid w:val="2DFE5960"/>
    <w:rsid w:val="2E6B22CD"/>
    <w:rsid w:val="2ED11C94"/>
    <w:rsid w:val="2F3C189C"/>
    <w:rsid w:val="2F4664C6"/>
    <w:rsid w:val="2F521D9D"/>
    <w:rsid w:val="2F7E3B65"/>
    <w:rsid w:val="2F9C1405"/>
    <w:rsid w:val="315C1A73"/>
    <w:rsid w:val="31F905F7"/>
    <w:rsid w:val="325E63C0"/>
    <w:rsid w:val="32D62F0C"/>
    <w:rsid w:val="32D92F2D"/>
    <w:rsid w:val="32E37F83"/>
    <w:rsid w:val="3333494D"/>
    <w:rsid w:val="33423FDF"/>
    <w:rsid w:val="345166C2"/>
    <w:rsid w:val="349112E1"/>
    <w:rsid w:val="34CC6F2C"/>
    <w:rsid w:val="34EA11E4"/>
    <w:rsid w:val="355D7FF4"/>
    <w:rsid w:val="358608B3"/>
    <w:rsid w:val="35B235B1"/>
    <w:rsid w:val="368079A5"/>
    <w:rsid w:val="36A43C0D"/>
    <w:rsid w:val="37307FB2"/>
    <w:rsid w:val="3746265D"/>
    <w:rsid w:val="381259A2"/>
    <w:rsid w:val="381F032A"/>
    <w:rsid w:val="382172D9"/>
    <w:rsid w:val="382573BF"/>
    <w:rsid w:val="383F6A41"/>
    <w:rsid w:val="38427AED"/>
    <w:rsid w:val="38AC2E62"/>
    <w:rsid w:val="38AF2EFC"/>
    <w:rsid w:val="38F168D6"/>
    <w:rsid w:val="38FD18CA"/>
    <w:rsid w:val="39646A8C"/>
    <w:rsid w:val="39F0098A"/>
    <w:rsid w:val="3ADA44A3"/>
    <w:rsid w:val="3B0912F2"/>
    <w:rsid w:val="3B195FB8"/>
    <w:rsid w:val="3B801D54"/>
    <w:rsid w:val="3C547EB1"/>
    <w:rsid w:val="3C937818"/>
    <w:rsid w:val="3C9F0592"/>
    <w:rsid w:val="3D0711C2"/>
    <w:rsid w:val="3D2A26C7"/>
    <w:rsid w:val="3D65196D"/>
    <w:rsid w:val="3D930C0A"/>
    <w:rsid w:val="3DC04178"/>
    <w:rsid w:val="3E257F6E"/>
    <w:rsid w:val="4076468D"/>
    <w:rsid w:val="40B94144"/>
    <w:rsid w:val="41332CD6"/>
    <w:rsid w:val="415C4935"/>
    <w:rsid w:val="416A7EAC"/>
    <w:rsid w:val="420F002F"/>
    <w:rsid w:val="425033F2"/>
    <w:rsid w:val="42CA1A2B"/>
    <w:rsid w:val="431E1A53"/>
    <w:rsid w:val="433C3561"/>
    <w:rsid w:val="4342460C"/>
    <w:rsid w:val="43BA242C"/>
    <w:rsid w:val="43C33A9F"/>
    <w:rsid w:val="44A028E0"/>
    <w:rsid w:val="44B03A63"/>
    <w:rsid w:val="456F2687"/>
    <w:rsid w:val="45BA13E9"/>
    <w:rsid w:val="46085298"/>
    <w:rsid w:val="4625699A"/>
    <w:rsid w:val="46996535"/>
    <w:rsid w:val="46B07DFB"/>
    <w:rsid w:val="46E57A20"/>
    <w:rsid w:val="477950B7"/>
    <w:rsid w:val="48741324"/>
    <w:rsid w:val="48DF2C32"/>
    <w:rsid w:val="49036073"/>
    <w:rsid w:val="491F5EE7"/>
    <w:rsid w:val="498B5147"/>
    <w:rsid w:val="499019BB"/>
    <w:rsid w:val="499A0974"/>
    <w:rsid w:val="49DC75A5"/>
    <w:rsid w:val="4A100F9A"/>
    <w:rsid w:val="4A335C6A"/>
    <w:rsid w:val="4A6E577F"/>
    <w:rsid w:val="4B7361BD"/>
    <w:rsid w:val="4BA90C47"/>
    <w:rsid w:val="4BB720AC"/>
    <w:rsid w:val="4E066E21"/>
    <w:rsid w:val="4E831485"/>
    <w:rsid w:val="4F0D698B"/>
    <w:rsid w:val="4F1719E0"/>
    <w:rsid w:val="4F4754B6"/>
    <w:rsid w:val="4F5172C0"/>
    <w:rsid w:val="4FC93DE5"/>
    <w:rsid w:val="50313E85"/>
    <w:rsid w:val="5104755D"/>
    <w:rsid w:val="513656A0"/>
    <w:rsid w:val="51DE0814"/>
    <w:rsid w:val="52AD3204"/>
    <w:rsid w:val="5325594A"/>
    <w:rsid w:val="53A26BA7"/>
    <w:rsid w:val="53C86416"/>
    <w:rsid w:val="53FB141F"/>
    <w:rsid w:val="5416690F"/>
    <w:rsid w:val="544E1035"/>
    <w:rsid w:val="54B86C3C"/>
    <w:rsid w:val="558D139E"/>
    <w:rsid w:val="558D33BC"/>
    <w:rsid w:val="55EC56AF"/>
    <w:rsid w:val="57A81E79"/>
    <w:rsid w:val="57EC699C"/>
    <w:rsid w:val="58636AA7"/>
    <w:rsid w:val="586D2704"/>
    <w:rsid w:val="589607FD"/>
    <w:rsid w:val="58F2128B"/>
    <w:rsid w:val="59187F10"/>
    <w:rsid w:val="59294C5D"/>
    <w:rsid w:val="59715D07"/>
    <w:rsid w:val="59FC62B0"/>
    <w:rsid w:val="5A134A81"/>
    <w:rsid w:val="5A134EB2"/>
    <w:rsid w:val="5AD64C2B"/>
    <w:rsid w:val="5B180963"/>
    <w:rsid w:val="5B9D26A3"/>
    <w:rsid w:val="5B9E1F6D"/>
    <w:rsid w:val="5C4E68D3"/>
    <w:rsid w:val="5D362208"/>
    <w:rsid w:val="5D3C3CAC"/>
    <w:rsid w:val="5D570FD3"/>
    <w:rsid w:val="5DC97360"/>
    <w:rsid w:val="5E215C59"/>
    <w:rsid w:val="5E3B71C4"/>
    <w:rsid w:val="5E3F5F65"/>
    <w:rsid w:val="5EA95ABB"/>
    <w:rsid w:val="5EF4729D"/>
    <w:rsid w:val="6096566A"/>
    <w:rsid w:val="609A6871"/>
    <w:rsid w:val="60A448DF"/>
    <w:rsid w:val="60B34DDB"/>
    <w:rsid w:val="617E0E1B"/>
    <w:rsid w:val="618256CA"/>
    <w:rsid w:val="61855CD9"/>
    <w:rsid w:val="618C2DE7"/>
    <w:rsid w:val="62CF073A"/>
    <w:rsid w:val="6309791D"/>
    <w:rsid w:val="63657E59"/>
    <w:rsid w:val="63E81544"/>
    <w:rsid w:val="63F90EDD"/>
    <w:rsid w:val="647F176B"/>
    <w:rsid w:val="650B1103"/>
    <w:rsid w:val="65171310"/>
    <w:rsid w:val="658C0D37"/>
    <w:rsid w:val="65BA1448"/>
    <w:rsid w:val="65C51918"/>
    <w:rsid w:val="660A6598"/>
    <w:rsid w:val="66784AE1"/>
    <w:rsid w:val="667A2B12"/>
    <w:rsid w:val="670C2FEB"/>
    <w:rsid w:val="671111EB"/>
    <w:rsid w:val="674513B1"/>
    <w:rsid w:val="6809382A"/>
    <w:rsid w:val="68762CAD"/>
    <w:rsid w:val="688D7163"/>
    <w:rsid w:val="68AB0900"/>
    <w:rsid w:val="68F9090E"/>
    <w:rsid w:val="691549D9"/>
    <w:rsid w:val="6A3A3259"/>
    <w:rsid w:val="6A3E3ABD"/>
    <w:rsid w:val="6A6234E3"/>
    <w:rsid w:val="6A867032"/>
    <w:rsid w:val="6AD770A8"/>
    <w:rsid w:val="6AE836FE"/>
    <w:rsid w:val="6B020FF3"/>
    <w:rsid w:val="6C276282"/>
    <w:rsid w:val="6D0831ED"/>
    <w:rsid w:val="6E102D0E"/>
    <w:rsid w:val="6E634645"/>
    <w:rsid w:val="6EAB58CB"/>
    <w:rsid w:val="6ED01D2E"/>
    <w:rsid w:val="6EEB75B6"/>
    <w:rsid w:val="6F201839"/>
    <w:rsid w:val="6F954637"/>
    <w:rsid w:val="700A1EB1"/>
    <w:rsid w:val="708D1C97"/>
    <w:rsid w:val="70C47555"/>
    <w:rsid w:val="70F011BA"/>
    <w:rsid w:val="712A4778"/>
    <w:rsid w:val="716644C3"/>
    <w:rsid w:val="71844886"/>
    <w:rsid w:val="72CE6050"/>
    <w:rsid w:val="72CF0D39"/>
    <w:rsid w:val="72EF4C61"/>
    <w:rsid w:val="733C0E81"/>
    <w:rsid w:val="73536A81"/>
    <w:rsid w:val="73F072E8"/>
    <w:rsid w:val="74022C33"/>
    <w:rsid w:val="7402690F"/>
    <w:rsid w:val="74A51B4F"/>
    <w:rsid w:val="74E50156"/>
    <w:rsid w:val="74EC4EBB"/>
    <w:rsid w:val="75593B91"/>
    <w:rsid w:val="756E7BC8"/>
    <w:rsid w:val="759211EB"/>
    <w:rsid w:val="75AC7173"/>
    <w:rsid w:val="75CC26A8"/>
    <w:rsid w:val="75D64F86"/>
    <w:rsid w:val="76742AE2"/>
    <w:rsid w:val="76EF686A"/>
    <w:rsid w:val="76FE1A37"/>
    <w:rsid w:val="77056E9C"/>
    <w:rsid w:val="7774277D"/>
    <w:rsid w:val="777D34C9"/>
    <w:rsid w:val="77923BE8"/>
    <w:rsid w:val="77A477B0"/>
    <w:rsid w:val="77BD167A"/>
    <w:rsid w:val="78771A3B"/>
    <w:rsid w:val="78C8623F"/>
    <w:rsid w:val="78CE5BF6"/>
    <w:rsid w:val="78D040E1"/>
    <w:rsid w:val="7918776D"/>
    <w:rsid w:val="7A087871"/>
    <w:rsid w:val="7A3D019F"/>
    <w:rsid w:val="7AF55CE0"/>
    <w:rsid w:val="7AFC33C1"/>
    <w:rsid w:val="7B314D99"/>
    <w:rsid w:val="7B7F7852"/>
    <w:rsid w:val="7BD30EE4"/>
    <w:rsid w:val="7BD94024"/>
    <w:rsid w:val="7C2549F2"/>
    <w:rsid w:val="7C25669A"/>
    <w:rsid w:val="7CBF2AAB"/>
    <w:rsid w:val="7D012A36"/>
    <w:rsid w:val="7D294759"/>
    <w:rsid w:val="7D3D3921"/>
    <w:rsid w:val="7D9E370F"/>
    <w:rsid w:val="7DD7533E"/>
    <w:rsid w:val="7DF15BBC"/>
    <w:rsid w:val="7E3821E6"/>
    <w:rsid w:val="7E5D5CB3"/>
    <w:rsid w:val="7E881E8E"/>
    <w:rsid w:val="7E8A33FE"/>
    <w:rsid w:val="7EEE0F8E"/>
    <w:rsid w:val="7EFA13FD"/>
    <w:rsid w:val="7F8653B1"/>
    <w:rsid w:val="7FDC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/>
      <w:outlineLvl w:val="1"/>
    </w:pPr>
    <w:rPr>
      <w:rFonts w:ascii="Arial" w:hAnsi="Arial" w:eastAsia="宋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after="260"/>
      <w:outlineLvl w:val="2"/>
    </w:pPr>
    <w:rPr>
      <w:rFonts w:eastAsia="宋体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/>
      <w:outlineLvl w:val="3"/>
    </w:pPr>
    <w:rPr>
      <w:rFonts w:ascii="Arial" w:hAnsi="Arial" w:eastAsia="宋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/>
      <w:outlineLvl w:val="4"/>
    </w:pPr>
    <w:rPr>
      <w:rFonts w:eastAsia="宋体"/>
      <w:b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/>
      <w:outlineLvl w:val="5"/>
    </w:pPr>
    <w:rPr>
      <w:rFonts w:ascii="Arial" w:hAnsi="Arial" w:eastAsia="宋体"/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numPr>
        <w:ilvl w:val="6"/>
        <w:numId w:val="1"/>
      </w:numPr>
      <w:spacing w:before="240" w:after="64"/>
      <w:ind w:right="100" w:rightChars="100"/>
      <w:jc w:val="left"/>
      <w:outlineLvl w:val="6"/>
    </w:pPr>
    <w:rPr>
      <w:rFonts w:ascii="宋体" w:hAnsi="宋体" w:eastAsia="宋体"/>
      <w:b/>
      <w:bCs/>
    </w:rPr>
  </w:style>
  <w:style w:type="character" w:default="1" w:styleId="19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annotation text"/>
    <w:basedOn w:val="1"/>
    <w:qFormat/>
    <w:uiPriority w:val="0"/>
    <w:pPr>
      <w:jc w:val="left"/>
    </w:pPr>
  </w:style>
  <w:style w:type="paragraph" w:styleId="10">
    <w:name w:val="Body Text"/>
    <w:basedOn w:val="1"/>
    <w:unhideWhenUsed/>
    <w:qFormat/>
    <w:uiPriority w:val="99"/>
    <w:pPr>
      <w:spacing w:after="120"/>
    </w:pPr>
  </w:style>
  <w:style w:type="paragraph" w:styleId="11">
    <w:name w:val="toc 3"/>
    <w:basedOn w:val="1"/>
    <w:next w:val="1"/>
    <w:qFormat/>
    <w:uiPriority w:val="39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paragraph" w:styleId="16">
    <w:name w:val="Body Text First Indent"/>
    <w:basedOn w:val="10"/>
    <w:next w:val="1"/>
    <w:unhideWhenUsed/>
    <w:qFormat/>
    <w:uiPriority w:val="99"/>
    <w:pPr>
      <w:ind w:firstLine="420" w:firstLineChars="100"/>
    </w:p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Hyperlink"/>
    <w:basedOn w:val="19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9"/>
    <w:qFormat/>
    <w:uiPriority w:val="0"/>
    <w:rPr>
      <w:sz w:val="21"/>
      <w:szCs w:val="21"/>
    </w:rPr>
  </w:style>
  <w:style w:type="paragraph" w:customStyle="1" w:styleId="22">
    <w:name w:val="List Paragraph"/>
    <w:basedOn w:val="1"/>
    <w:qFormat/>
    <w:uiPriority w:val="34"/>
    <w:pPr>
      <w:widowControl/>
      <w:ind w:firstLine="420"/>
    </w:pPr>
    <w:rPr>
      <w:rFonts w:ascii="Calibri" w:hAnsi="Calibri" w:eastAsia="宋体" w:cs="宋体"/>
      <w:kern w:val="0"/>
      <w:szCs w:val="21"/>
    </w:rPr>
  </w:style>
  <w:style w:type="paragraph" w:customStyle="1" w:styleId="23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4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5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1337</Words>
  <Characters>1485</Characters>
  <Lines>19</Lines>
  <Paragraphs>5</Paragraphs>
  <TotalTime>0</TotalTime>
  <ScaleCrop>false</ScaleCrop>
  <LinksUpToDate>false</LinksUpToDate>
  <CharactersWithSpaces>1584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2023-12-07T11:29:00Z</dcterms:created>
  <dc:creator>大志</dc:creator>
  <cp:lastModifiedBy>13039</cp:lastModifiedBy>
  <dcterms:modified xsi:type="dcterms:W3CDTF">2025-11-17T08:37:52Z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6F1F7CA458C34E698F2CBB8A1A44D057_11</vt:lpwstr>
  </property>
</Properties>
</file>