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vnd.openxmlformats-officedocument.wordprocessingml.document.main+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image/png" PartName="/word/media/document_image_rId6.png"/>
  <Override ContentType="image/png" PartName="/word/media/document_image_rId7.png"/>
  <Override ContentType="image/png" PartName="/word/media/document_image_rId8.png"/>
  <Override ContentType="image/png" PartName="/word/media/document_image_rId9.png"/>
  <Override ContentType="image/png" PartName="/word/media/document_image_rId10.png"/>
  <Override ContentType="image/png" PartName="/word/media/document_image_rId11.png"/>
  <Override ContentType="image/png" PartName="/word/media/document_image_rId12.png"/>
  <Override ContentType="image/png" PartName="/word/media/document_image_rId13.png"/>
  <Override ContentType="image/png" PartName="/word/media/document_image_rId14.png"/>
  <Override ContentType="image/png" PartName="/word/media/document_image_rId15.png"/>
  <Override ContentType="image/png" PartName="/word/media/document_image_rId16.png"/>
  <Override ContentType="image/png" PartName="/word/media/document_image_rId17.png"/>
  <Override ContentType="image/png" PartName="/word/media/document_image_rId18.png"/>
  <Override ContentType="image/png" PartName="/word/media/document_image_rId19.png"/>
  <Override ContentType="image/png" PartName="/word/media/document_image_rId20.png"/>
  <Override ContentType="image/png" PartName="/word/media/document_image_rId21.png"/>
  <Override ContentType="image/png" PartName="/word/media/document_image_rId22.png"/>
  <Override ContentType="image/png" PartName="/word/media/document_image_rId23.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body>
    <!-- Created by docx4j 6.1.2 (Apache licensed) using ORACLE_JRE JAXB in Oracle Java 1.8.0_131 on Linux -->
    <w:p>
      <w:pPr>
        <w:pStyle w:val="Heading1"/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欢迎使用i人事</w:t>
      </w:r>
    </w:p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欢迎您使用“i人事”，阅读本文之前，相信您已通过</w:t>
      </w:r>
      <w:hyperlink r:id="rId4">
        <w:r>
          <w:rPr>
            <w:rFonts w:ascii="宋体" w:hAnsi="Times New Roman" w:eastAsia="宋体"/>
            <w:b w:val="false"/>
            <w:i w:val="false"/>
            <w:color w:val="0000ff"/>
            <w:sz w:val="21"/>
            <w:u w:val="single"/>
          </w:rPr>
          <w:t>i人事官网</w:t>
        </w:r>
      </w:hyperlink>
      <w:r>
        <w:rPr>
          <w:rFonts w:ascii="宋体" w:hAnsi="Times New Roman" w:eastAsia="宋体"/>
          <w:b w:val="false"/>
          <w:i w:val="false"/>
          <w:color w:val="262626"/>
          <w:sz w:val="21"/>
        </w:rPr>
        <w:t>等各种渠道了解了“i人事”系统。“i人事”是上海利唐信息科技有限公司依托Talent-Spot专业线下HR服务经验，专注打造的一款专业的HR线上服务平台。</w:t>
      </w:r>
    </w:p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“i人事”不仅仅是供HR使用，更是员工与HR之间的一个桥梁。除了有HR管理端，还有员工或领导自助服务端，用户可以通过下载APP或者通过钉钉或企业微信使用i人事应用。“i人事”不仅仅只有一个人事模块，还是一个全模块的产品，包含的模块有：组织、员工、福利、薪资、考勤、绩效、招聘、培训、行政、审批等等。</w:t>
      </w:r>
    </w:p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阅读本文的前提是您已经</w:t>
      </w:r>
      <w:hyperlink r:id="rId5">
        <w:r>
          <w:rPr>
            <w:rFonts w:ascii="宋体" w:hAnsi="Times New Roman" w:eastAsia="宋体"/>
            <w:b w:val="false"/>
            <w:i w:val="false"/>
            <w:color w:val="0000ff"/>
            <w:sz w:val="21"/>
            <w:u w:val="single"/>
          </w:rPr>
          <w:t>注册“i人事”账号</w:t>
        </w:r>
      </w:hyperlink>
      <w:r>
        <w:rPr>
          <w:rFonts w:ascii="宋体" w:hAnsi="Times New Roman" w:eastAsia="宋体"/>
          <w:b w:val="false"/>
          <w:i w:val="false"/>
          <w:color w:val="262626"/>
          <w:sz w:val="21"/>
        </w:rPr>
        <w:t>，并知道如何</w:t>
      </w:r>
      <w:r>
        <w:rPr>
          <w:rFonts w:ascii="宋体" w:hAnsi="Times New Roman" w:eastAsia="宋体"/>
          <w:b w:val="false"/>
          <w:i w:val="false"/>
          <w:color w:val="0000ff"/>
          <w:sz w:val="21"/>
          <w:u w:val="single"/>
        </w:rPr>
        <w:t>登录“i人事”系统</w:t>
      </w:r>
      <w:r>
        <w:rPr>
          <w:rFonts w:ascii="宋体" w:hAnsi="Times New Roman" w:eastAsia="宋体"/>
          <w:b w:val="false"/>
          <w:i w:val="false"/>
          <w:color w:val="262626"/>
          <w:sz w:val="21"/>
        </w:rPr>
        <w:t>。</w:t>
      </w:r>
      <w:r>
        <w:rPr>
          <w:rFonts w:ascii="宋体" w:hAnsi="Times New Roman" w:eastAsia="宋体"/>
          <w:b w:val="false"/>
          <w:i w:val="false"/>
          <w:color w:val="262626"/>
          <w:sz w:val="21"/>
        </w:rPr>
        <w:t>本文将带领您逐步了解系统...</w:t>
      </w:r>
    </w:p>
    <w:bookmarkStart w:name="ycpM5" w:id="0"/>
    <w:p>
      <w:pPr>
        <w:pStyle w:val="Heading1"/>
        <w:pBdr>
          <w:top w:space="5"/>
          <w:bottom w:space="5"/>
        </w:pBd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（1）快速入门</w:t>
      </w:r>
    </w:p>
    <w:bookmarkEnd w:id="0"/>
    <w:bookmarkStart w:name="DTNjT" w:id="1"/>
    <w:p>
      <w:pPr>
        <w:pStyle w:val="Heading2"/>
        <w:pBdr>
          <w:top w:space="5"/>
          <w:bottom w:space="5"/>
        </w:pBd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（1.1）快速创建组织架构</w:t>
      </w:r>
    </w:p>
    <w:bookmarkEnd w:id="1"/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方式一：通过系统快速导入现有组织架构；</w:t>
      </w:r>
    </w:p>
    <w:p>
      <w:pPr>
        <w:spacing w:after="50" w:line="360" w:lineRule="auto" w:beforeLines="100"/>
        <w:ind w:left="0"/>
        <w:jc w:val="left"/>
      </w:pPr>
      <w:r>
        <w:rPr>
          <w:rFonts w:eastAsia="宋体" w:ascii="宋体"/>
        </w:rPr>
        <w:drawing>
          <wp:inline distT="0" distB="0" distL="0" distR="0">
            <wp:extent cx="5841999" cy="3324070"/>
            <wp:effectExtent l="0" t="0" r="0" b="0"/>
            <wp:docPr id="0" name="" descr="imag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0" cy="1384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方式二：直接导入花名册，通过员工花名册部门信息自动生成树形组织架构图；</w:t>
      </w:r>
    </w:p>
    <w:bookmarkStart w:name="vSgOI" w:id="2"/>
    <w:p>
      <w:pPr>
        <w:pStyle w:val="Heading2"/>
        <w:pBdr>
          <w:top w:space="5"/>
          <w:bottom w:space="5"/>
        </w:pBd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（1.2）快速创建员工花名册</w:t>
      </w:r>
    </w:p>
    <w:bookmarkEnd w:id="2"/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导入批量新增员工花名册：</w:t>
      </w:r>
    </w:p>
    <w:p>
      <w:pPr>
        <w:spacing w:after="50" w:line="360" w:lineRule="auto" w:beforeLines="100"/>
        <w:ind w:left="0"/>
        <w:jc w:val="left"/>
      </w:pPr>
      <w:r>
        <w:rPr>
          <w:rFonts w:eastAsia="宋体" w:ascii="宋体"/>
        </w:rPr>
        <w:drawing>
          <wp:inline distT="0" distB="0" distL="0" distR="0">
            <wp:extent cx="5842000" cy="3312395"/>
            <wp:effectExtent l="0" t="0" r="0" b="0"/>
            <wp:docPr id="0" name="" descr="imag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50134" cy="13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50" w:line="360" w:lineRule="auto" w:beforeLines="100"/>
        <w:ind w:left="0"/>
        <w:jc w:val="left"/>
      </w:pPr>
      <w:r>
        <w:rPr>
          <w:rFonts w:eastAsia="宋体" w:ascii="宋体"/>
        </w:rPr>
        <w:drawing>
          <wp:inline distT="0" distB="0" distL="0" distR="0">
            <wp:extent cx="5841999" cy="3318228"/>
            <wp:effectExtent l="0" t="0" r="0" b="0"/>
            <wp:docPr id="0" name="" descr="imag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0" cy="1382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由于是导入员工花名册，请注意必须提供的字段（如：姓名、证件号、手机号等），并尽量将需要管理的信息都导入到i人事系统中；</w:t>
      </w:r>
    </w:p>
    <w:bookmarkStart w:name="bVQ5I" w:id="3"/>
    <w:p>
      <w:pPr>
        <w:pStyle w:val="Heading2"/>
        <w:pBdr>
          <w:top w:space="5"/>
          <w:bottom w:space="5"/>
        </w:pBd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（1.3）通知员工使用系统</w:t>
      </w:r>
    </w:p>
    <w:bookmarkEnd w:id="3"/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在花名册页面，您会看到有多少名员工未绑定i人事APP，可以点击直接【去邀请】员工使用；</w:t>
      </w:r>
    </w:p>
    <w:p>
      <w:pPr>
        <w:spacing w:after="50" w:line="360" w:lineRule="auto" w:beforeLines="100"/>
        <w:ind w:left="0"/>
        <w:jc w:val="left"/>
      </w:pPr>
      <w:r>
        <w:rPr>
          <w:rFonts w:eastAsia="宋体" w:ascii="宋体"/>
        </w:rPr>
        <w:drawing>
          <wp:inline distT="0" distB="0" distL="0" distR="0">
            <wp:extent cx="5842000" cy="2476967"/>
            <wp:effectExtent l="0" t="0" r="0" b="0"/>
            <wp:docPr id="0" name="" descr="imag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0" cy="1029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您也可以两个都不选，直接点击【发送】；员工进入“i人事APP”后也会收到您的加入邀请；</w:t>
      </w:r>
    </w:p>
    <w:bookmarkStart w:name="k5fHi" w:id="4"/>
    <w:p>
      <w:pPr>
        <w:pStyle w:val="Heading2"/>
        <w:pBdr>
          <w:top w:space="5"/>
          <w:bottom w:space="5"/>
        </w:pBd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（1.4）分配管理员账号</w:t>
      </w:r>
    </w:p>
    <w:bookmarkEnd w:id="4"/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通过自定义角色，定义不同HR智能，分配不同菜单、页面、按钮等功能权限；</w:t>
      </w:r>
    </w:p>
    <w:p>
      <w:pPr>
        <w:spacing w:after="50" w:line="360" w:lineRule="auto" w:beforeLines="100"/>
        <w:ind w:left="0"/>
        <w:jc w:val="left"/>
      </w:pPr>
      <w:r>
        <w:rPr>
          <w:rFonts w:eastAsia="宋体" w:ascii="宋体"/>
        </w:rPr>
        <w:drawing>
          <wp:inline distT="0" distB="0" distL="0" distR="0">
            <wp:extent cx="5841999" cy="3318228"/>
            <wp:effectExtent l="0" t="0" r="0" b="0"/>
            <wp:docPr id="0" name="" descr="imag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0" cy="1382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通过增加操作用户，并为用户分配角色，同时分配其管理的数据范围；（非部门方式的数据，可以通过自定义员工分组来统一方便管理）</w:t>
      </w:r>
    </w:p>
    <w:p>
      <w:pPr>
        <w:spacing w:after="50" w:line="360" w:lineRule="auto" w:beforeLines="100"/>
        <w:ind w:left="0"/>
        <w:jc w:val="left"/>
      </w:pPr>
      <w:r>
        <w:rPr>
          <w:rFonts w:eastAsia="宋体" w:ascii="宋体"/>
        </w:rPr>
        <w:drawing>
          <wp:inline distT="0" distB="0" distL="0" distR="0">
            <wp:extent cx="5841999" cy="3458451"/>
            <wp:effectExtent l="0" t="0" r="0" b="0"/>
            <wp:docPr id="0" name="" descr="imag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71067" cy="1081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RzFKf" w:id="5"/>
    <w:p>
      <w:pPr>
        <w:pStyle w:val="Heading1"/>
        <w:pBdr>
          <w:top w:space="5"/>
          <w:bottom w:space="5"/>
        </w:pBd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（2）日常使用</w:t>
      </w:r>
    </w:p>
    <w:bookmarkEnd w:id="5"/>
    <w:bookmarkStart w:name="RfRUJ" w:id="6"/>
    <w:p>
      <w:pPr>
        <w:pStyle w:val="Heading2"/>
        <w:pBdr>
          <w:top w:space="5"/>
          <w:bottom w:space="5"/>
        </w:pBd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（2.1）员工入离职</w:t>
      </w:r>
    </w:p>
    <w:bookmarkEnd w:id="6"/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员工入离职流程，可以在HR端快速直接发起：</w:t>
      </w:r>
    </w:p>
    <w:p>
      <w:pPr>
        <w:spacing w:after="50" w:line="360" w:lineRule="auto" w:beforeLines="100"/>
        <w:ind w:left="0"/>
        <w:jc w:val="left"/>
      </w:pPr>
      <w:r>
        <w:rPr>
          <w:rFonts w:eastAsia="宋体" w:ascii="宋体"/>
        </w:rPr>
        <w:drawing>
          <wp:inline distT="0" distB="0" distL="0" distR="0">
            <wp:extent cx="5842000" cy="3318237"/>
            <wp:effectExtent l="0" t="0" r="0" b="0"/>
            <wp:docPr id="0" name="" descr="imag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50134" cy="138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jiqIf" w:id="7"/>
    <w:p>
      <w:pPr>
        <w:pStyle w:val="Heading2"/>
        <w:pBdr>
          <w:top w:space="5"/>
          <w:bottom w:space="5"/>
        </w:pBd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（2.2）考勤打卡</w:t>
      </w:r>
    </w:p>
    <w:bookmarkEnd w:id="7"/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考勤地点的设置，请到“考勤”-&gt;“考勤设置”</w:t>
      </w:r>
      <w:r>
        <w:rPr>
          <w:rFonts w:ascii="宋体" w:hAnsi="Times New Roman" w:eastAsia="宋体"/>
          <w:b w:val="false"/>
          <w:i w:val="false"/>
          <w:color w:val="262626"/>
          <w:sz w:val="21"/>
        </w:rPr>
        <w:t>-&gt;“打卡方式”中添加；</w:t>
      </w:r>
    </w:p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员工可通过“i人事APP”、考勤机等多种方式打卡；</w:t>
      </w:r>
    </w:p>
    <w:p>
      <w:pPr>
        <w:spacing w:after="50" w:line="360" w:lineRule="auto" w:beforeLines="100"/>
        <w:ind w:left="0"/>
        <w:jc w:val="left"/>
      </w:pPr>
      <w:r>
        <w:rPr>
          <w:rFonts w:eastAsia="宋体" w:ascii="宋体"/>
        </w:rPr>
        <w:drawing>
          <wp:inline distT="0" distB="0" distL="0" distR="0">
            <wp:extent cx="4517205" cy="8031592"/>
            <wp:effectExtent l="0" t="0" r="0" b="0"/>
            <wp:docPr id="0" name="" descr="imag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2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ascii="宋体"/>
        </w:rPr>
        <w:drawing>
          <wp:inline distT="0" distB="0" distL="0" distR="0">
            <wp:extent cx="4517205" cy="8031592"/>
            <wp:effectExtent l="0" t="0" r="0" b="0"/>
            <wp:docPr id="0" name="" descr="imag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2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团队领导可在i人事APP中通过“团队考勤”汇总查看成员的考勤与打卡情况；</w:t>
      </w:r>
    </w:p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HR可在“考勤”</w:t>
      </w:r>
      <w:r>
        <w:rPr>
          <w:rFonts w:ascii="宋体" w:hAnsi="Times New Roman" w:eastAsia="宋体"/>
          <w:b w:val="false"/>
          <w:i w:val="false"/>
          <w:color w:val="262626"/>
          <w:sz w:val="21"/>
        </w:rPr>
        <w:t>-&gt;“出勤记录”中管理员工打卡、请假、加班等情况；</w:t>
      </w:r>
    </w:p>
    <w:bookmarkStart w:name="4zppd" w:id="8"/>
    <w:p>
      <w:pPr>
        <w:pStyle w:val="Heading2"/>
        <w:pBdr>
          <w:top w:space="5"/>
          <w:bottom w:space="5"/>
        </w:pBd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（2.3）档案维护与信息变更</w:t>
      </w:r>
    </w:p>
    <w:bookmarkEnd w:id="8"/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HR可以维护员工档案，比如：教育经历、工作经历、证书执照、个税申报...以及各种自定义信息子集；</w:t>
      </w:r>
    </w:p>
    <w:p>
      <w:pPr>
        <w:spacing w:after="50" w:line="360" w:lineRule="auto" w:beforeLines="100"/>
        <w:ind w:left="0"/>
        <w:jc w:val="left"/>
      </w:pPr>
      <w:r>
        <w:rPr>
          <w:rFonts w:eastAsia="宋体" w:ascii="宋体"/>
        </w:rPr>
        <w:drawing>
          <wp:inline distT="0" distB="0" distL="0" distR="0">
            <wp:extent cx="5841999" cy="3312386"/>
            <wp:effectExtent l="0" t="0" r="0" b="0"/>
            <wp:docPr id="0" name="" descr="imag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0" cy="1379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其中信息变更是指的员工主动变更个人信息；</w:t>
      </w:r>
    </w:p>
    <w:p>
      <w:pPr>
        <w:spacing w:after="50" w:line="360" w:lineRule="auto" w:beforeLines="100"/>
        <w:ind w:left="0"/>
        <w:jc w:val="left"/>
      </w:pPr>
      <w:r>
        <w:rPr>
          <w:rFonts w:eastAsia="宋体" w:ascii="宋体"/>
        </w:rPr>
        <w:drawing>
          <wp:inline distT="0" distB="0" distL="0" distR="0">
            <wp:extent cx="4517205" cy="8031592"/>
            <wp:effectExtent l="0" t="0" r="0" b="0"/>
            <wp:docPr id="0" name="" descr="imag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2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ascii="宋体"/>
        </w:rPr>
        <w:drawing>
          <wp:inline distT="0" distB="0" distL="0" distR="0">
            <wp:extent cx="4517205" cy="8031592"/>
            <wp:effectExtent l="0" t="0" r="0" b="0"/>
            <wp:docPr id="0" name="" descr="imag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2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OVu5b" w:id="9"/>
    <w:p>
      <w:pPr>
        <w:pStyle w:val="Heading2"/>
        <w:pBdr>
          <w:top w:space="5"/>
          <w:bottom w:space="5"/>
        </w:pBd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（2.4）申请与审批等各类记录</w:t>
      </w:r>
    </w:p>
    <w:bookmarkEnd w:id="9"/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HR配置各种日常流程；</w:t>
      </w:r>
    </w:p>
    <w:p>
      <w:pPr>
        <w:spacing w:after="50" w:line="360" w:lineRule="auto" w:beforeLines="100"/>
        <w:ind w:left="0"/>
        <w:jc w:val="left"/>
      </w:pPr>
      <w:r>
        <w:rPr>
          <w:rFonts w:eastAsia="宋体" w:ascii="宋体"/>
        </w:rPr>
        <w:drawing>
          <wp:inline distT="0" distB="0" distL="0" distR="0">
            <wp:extent cx="5842000" cy="3312395"/>
            <wp:effectExtent l="0" t="0" r="0" b="0"/>
            <wp:docPr id="0" name="" descr="imag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50134" cy="13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员工通过移动端发起申请，领导收到后直接审核；</w:t>
      </w:r>
    </w:p>
    <w:p>
      <w:pPr>
        <w:spacing w:after="50" w:line="360" w:lineRule="auto" w:beforeLines="100"/>
        <w:ind w:left="0"/>
        <w:jc w:val="left"/>
      </w:pPr>
      <w:r>
        <w:rPr>
          <w:rFonts w:eastAsia="宋体" w:ascii="宋体"/>
        </w:rPr>
        <w:drawing>
          <wp:inline distT="0" distB="0" distL="0" distR="0">
            <wp:extent cx="4517205" cy="8031592"/>
            <wp:effectExtent l="0" t="0" r="0" b="0"/>
            <wp:docPr id="0" name="" descr="imag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2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ascii="宋体"/>
        </w:rPr>
        <w:drawing>
          <wp:inline distT="0" distB="0" distL="0" distR="0">
            <wp:extent cx="4499744" cy="8031592"/>
            <wp:effectExtent l="0" t="0" r="0" b="0"/>
            <wp:docPr id="0" name="" descr="imag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RWxLO" w:id="10"/>
    <w:p>
      <w:pPr>
        <w:pStyle w:val="Heading1"/>
        <w:pBdr>
          <w:top w:space="5"/>
          <w:bottom w:space="5"/>
        </w:pBd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（3）周期性工作</w:t>
      </w:r>
    </w:p>
    <w:bookmarkEnd w:id="10"/>
    <w:bookmarkStart w:name="pgcGd" w:id="11"/>
    <w:p>
      <w:pPr>
        <w:pStyle w:val="Heading2"/>
        <w:pBdr>
          <w:top w:space="5"/>
          <w:bottom w:space="5"/>
        </w:pBd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（3.1）月度人员统计</w:t>
      </w:r>
    </w:p>
    <w:bookmarkEnd w:id="11"/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查询：“员工”-&gt;“花名册”-&gt;“更多/月度报表”</w:t>
      </w:r>
    </w:p>
    <w:p>
      <w:pPr>
        <w:spacing w:after="50" w:line="360" w:lineRule="auto" w:beforeLines="100"/>
        <w:ind w:left="0"/>
        <w:jc w:val="left"/>
      </w:pPr>
      <w:r>
        <w:rPr>
          <w:rFonts w:eastAsia="宋体" w:ascii="宋体"/>
        </w:rPr>
        <w:drawing>
          <wp:inline distT="0" distB="0" distL="0" distR="0">
            <wp:extent cx="5841999" cy="3306544"/>
            <wp:effectExtent l="0" t="0" r="0" b="0"/>
            <wp:docPr id="0" name="" descr="imag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0" cy="1377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KsZdu" w:id="12"/>
    <w:p>
      <w:pPr>
        <w:pStyle w:val="Heading2"/>
        <w:pBdr>
          <w:top w:space="5"/>
          <w:bottom w:space="5"/>
        </w:pBd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（3.2）月度考勤统计</w:t>
      </w:r>
    </w:p>
    <w:bookmarkEnd w:id="12"/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查询：</w:t>
      </w:r>
      <w:r>
        <w:rPr>
          <w:rFonts w:ascii="宋体" w:hAnsi="Times New Roman" w:eastAsia="宋体"/>
          <w:b w:val="false"/>
          <w:i w:val="false"/>
          <w:color w:val="262626"/>
          <w:sz w:val="21"/>
        </w:rPr>
        <w:t>“考勤”-&gt;“考勤报表”-&gt;“考勤月报”</w:t>
      </w:r>
    </w:p>
    <w:p>
      <w:pPr>
        <w:spacing w:after="50" w:line="360" w:lineRule="auto" w:beforeLines="100"/>
        <w:ind w:left="0"/>
        <w:jc w:val="left"/>
      </w:pPr>
      <w:r>
        <w:rPr>
          <w:rFonts w:eastAsia="宋体" w:ascii="宋体"/>
        </w:rPr>
        <w:drawing>
          <wp:inline distT="0" distB="0" distL="0" distR="0">
            <wp:extent cx="5842000" cy="3289010"/>
            <wp:effectExtent l="0" t="0" r="0" b="0"/>
            <wp:docPr id="0" name="" descr="imag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16266" cy="1368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V09ME" w:id="13"/>
    <w:p>
      <w:pPr>
        <w:pStyle w:val="Heading2"/>
        <w:pBdr>
          <w:top w:space="5"/>
          <w:bottom w:space="5"/>
        </w:pBd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（3.2）薪资核算与发放</w:t>
      </w:r>
    </w:p>
    <w:bookmarkEnd w:id="13"/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如果不需要特殊设置，可直接进入“薪资”-&gt;“薪资核算”，选择默认方案直接点击【核算】；</w:t>
      </w:r>
    </w:p>
    <w:p>
      <w:pPr>
        <w:spacing w:after="50" w:line="360" w:lineRule="auto" w:beforeLines="100"/>
        <w:ind w:left="0"/>
        <w:jc w:val="left"/>
      </w:pPr>
      <w:r>
        <w:rPr>
          <w:rFonts w:eastAsia="宋体" w:ascii="宋体"/>
        </w:rPr>
        <w:drawing>
          <wp:inline distT="0" distB="0" distL="0" distR="0">
            <wp:extent cx="5842000" cy="3318219"/>
            <wp:effectExtent l="0" t="0" r="0" b="0"/>
            <wp:docPr id="0" name="" descr="imag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16266" cy="1381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262626"/>
          <w:sz w:val="21"/>
        </w:rPr>
        <w:t>如有设置需要调整，请去“薪资项目”与“数据采集”等处进行调整；</w:t>
      </w:r>
    </w:p>
    <w:sectPr>
      <w:pgSz w:w="11907" w:h="16839" w:code="9"/>
      <w:pgMar w:top="1440" w:right="1440" w:bottom="1440" w:left="144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/>
</file>

<file path=word/settings.xml><?xml version="1.0" encoding="utf-8"?>
<w:settings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宋体" w:eastAsia="宋体"/>
      <w:b/>
      <w:bCs/>
      <w:color w:val="000000"/>
      <w:sz w:val="4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宋体" w:eastAsia="宋体"/>
      <w:b/>
      <w:bCs/>
      <w:color w:val="000000"/>
      <w:sz w:val="3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宋体" w:eastAsia="宋体"/>
      <w:b/>
      <w:bCs/>
      <w:color w:val="000000"/>
      <w:sz w:val="3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宋体" w:eastAsia="宋体"/>
      <w:b/>
      <w:bCs/>
      <w:color w:val="000000"/>
      <w:sz w:val="30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41CD9"/>
    <w:pPr>
      <w:keepNext/>
      <w:keepLines/>
      <w:spacing w:before="200"/>
      <w:outlineLvl w:val="4"/>
    </w:pPr>
    <w:rPr>
      <w:rFonts w:ascii="宋体" w:eastAsia="宋体"/>
      <w:b/>
      <w:bCs/>
      <w:color w:val="000000"/>
      <w:sz w:val="28"/>
    </w:rPr>
  </w:style>
  <w:style w:type="paragraph" w:styleId="ne-codeblock"/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document_image_rId10.png" Type="http://schemas.openxmlformats.org/officeDocument/2006/relationships/image"/><Relationship Id="rId11" Target="media/document_image_rId11.png" Type="http://schemas.openxmlformats.org/officeDocument/2006/relationships/image"/><Relationship Id="rId12" Target="media/document_image_rId12.png" Type="http://schemas.openxmlformats.org/officeDocument/2006/relationships/image"/><Relationship Id="rId13" Target="media/document_image_rId13.png" Type="http://schemas.openxmlformats.org/officeDocument/2006/relationships/image"/><Relationship Id="rId14" Target="media/document_image_rId14.png" Type="http://schemas.openxmlformats.org/officeDocument/2006/relationships/image"/><Relationship Id="rId15" Target="media/document_image_rId15.png" Type="http://schemas.openxmlformats.org/officeDocument/2006/relationships/image"/><Relationship Id="rId16" Target="media/document_image_rId16.png" Type="http://schemas.openxmlformats.org/officeDocument/2006/relationships/image"/><Relationship Id="rId17" Target="media/document_image_rId17.png" Type="http://schemas.openxmlformats.org/officeDocument/2006/relationships/image"/><Relationship Id="rId18" Target="media/document_image_rId18.png" Type="http://schemas.openxmlformats.org/officeDocument/2006/relationships/image"/><Relationship Id="rId19" Target="media/document_image_rId19.png" Type="http://schemas.openxmlformats.org/officeDocument/2006/relationships/image"/><Relationship Id="rId2" Target="settings.xml" Type="http://schemas.openxmlformats.org/officeDocument/2006/relationships/settings"/><Relationship Id="rId20" Target="media/document_image_rId20.png" Type="http://schemas.openxmlformats.org/officeDocument/2006/relationships/image"/><Relationship Id="rId21" Target="media/document_image_rId21.png" Type="http://schemas.openxmlformats.org/officeDocument/2006/relationships/image"/><Relationship Id="rId22" Target="media/document_image_rId22.png" Type="http://schemas.openxmlformats.org/officeDocument/2006/relationships/image"/><Relationship Id="rId23" Target="media/document_image_rId23.png" Type="http://schemas.openxmlformats.org/officeDocument/2006/relationships/image"/><Relationship Id="rId3" Target="numbering.xml" Type="http://schemas.openxmlformats.org/officeDocument/2006/relationships/numbering"/><Relationship Id="rId4" Target="https://www.ihr360.com" TargetMode="External" Type="http://schemas.openxmlformats.org/officeDocument/2006/relationships/hyperlink"/><Relationship Id="rId5" Target="http://invalid.uri" TargetMode="External" Type="http://schemas.openxmlformats.org/officeDocument/2006/relationships/hyperlink"/><Relationship Id="rId6" Target="media/document_image_rId6.png" Type="http://schemas.openxmlformats.org/officeDocument/2006/relationships/image"/><Relationship Id="rId7" Target="media/document_image_rId7.png" Type="http://schemas.openxmlformats.org/officeDocument/2006/relationships/image"/><Relationship Id="rId8" Target="media/document_image_rId8.png" Type="http://schemas.openxmlformats.org/officeDocument/2006/relationships/image"/><Relationship Id="rId9" Target="media/document_image_rId9.png" Type="http://schemas.openxmlformats.org/officeDocument/2006/relationships/image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