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C93A7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center"/>
        <w:rPr>
          <w:rFonts w:hint="eastAsia"/>
          <w:sz w:val="52"/>
          <w:szCs w:val="52"/>
          <w:lang w:val="en-US" w:eastAsia="zh-CN"/>
        </w:rPr>
      </w:pPr>
      <w:bookmarkStart w:id="0" w:name="_Toc31443"/>
      <w:bookmarkStart w:id="1" w:name="_Toc27344"/>
      <w:bookmarkStart w:id="2" w:name="_Toc9893"/>
      <w:bookmarkStart w:id="3" w:name="_Toc8353"/>
    </w:p>
    <w:p w14:paraId="0CC3C41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center"/>
        <w:rPr>
          <w:rFonts w:hint="eastAsia"/>
          <w:sz w:val="52"/>
          <w:szCs w:val="52"/>
          <w:lang w:val="en-US" w:eastAsia="zh-CN"/>
        </w:rPr>
      </w:pPr>
    </w:p>
    <w:bookmarkEnd w:id="0"/>
    <w:bookmarkEnd w:id="1"/>
    <w:bookmarkEnd w:id="2"/>
    <w:bookmarkEnd w:id="3"/>
    <w:p w14:paraId="62716A6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665" w:leftChars="50" w:right="105" w:rightChars="50" w:hanging="1560" w:hangingChars="300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内容安全</w:t>
      </w:r>
      <w:r>
        <w:rPr>
          <w:rFonts w:hint="eastAsia"/>
          <w:sz w:val="52"/>
          <w:szCs w:val="52"/>
          <w:lang w:val="en-US" w:eastAsia="zh-CN"/>
        </w:rPr>
        <w:t>审</w:t>
      </w:r>
      <w:r>
        <w:rPr>
          <w:rFonts w:hint="eastAsia"/>
          <w:sz w:val="52"/>
          <w:szCs w:val="52"/>
        </w:rPr>
        <w:t>核终端</w:t>
      </w:r>
    </w:p>
    <w:p w14:paraId="4D73D65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105" w:rightChars="50" w:firstLine="0" w:firstLineChars="0"/>
        <w:jc w:val="center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使用指南</w:t>
      </w:r>
    </w:p>
    <w:p w14:paraId="389CDC3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hint="eastAsia"/>
          <w:sz w:val="32"/>
          <w:szCs w:val="32"/>
        </w:rPr>
      </w:pPr>
    </w:p>
    <w:p w14:paraId="3C39A7C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hint="eastAsia"/>
          <w:sz w:val="32"/>
          <w:szCs w:val="32"/>
        </w:rPr>
      </w:pPr>
    </w:p>
    <w:p w14:paraId="186DC53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hint="eastAsia"/>
          <w:sz w:val="32"/>
          <w:szCs w:val="32"/>
        </w:rPr>
      </w:pPr>
    </w:p>
    <w:p w14:paraId="09A015B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hint="eastAsia"/>
          <w:sz w:val="32"/>
          <w:szCs w:val="32"/>
        </w:rPr>
      </w:pPr>
    </w:p>
    <w:p w14:paraId="6B6F7E2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ascii="Times New Roman"/>
          <w:spacing w:val="26"/>
          <w:position w:val="6"/>
          <w:sz w:val="20"/>
        </w:rPr>
      </w:pPr>
      <w:r>
        <w:rPr>
          <w:rFonts w:ascii="Times New Roman"/>
          <w:spacing w:val="26"/>
          <w:sz w:val="20"/>
        </w:rPr>
        <w:t xml:space="preserve"> </w:t>
      </w:r>
    </w:p>
    <w:p w14:paraId="45489C2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ascii="Times New Roman"/>
          <w:spacing w:val="26"/>
          <w:position w:val="6"/>
          <w:sz w:val="20"/>
        </w:rPr>
      </w:pPr>
    </w:p>
    <w:p w14:paraId="4026DAA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ascii="Times New Roman"/>
          <w:spacing w:val="26"/>
          <w:position w:val="6"/>
          <w:sz w:val="20"/>
        </w:rPr>
      </w:pPr>
    </w:p>
    <w:p w14:paraId="5A3859AC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ascii="Times New Roman"/>
          <w:spacing w:val="26"/>
          <w:position w:val="6"/>
          <w:sz w:val="20"/>
        </w:rPr>
      </w:pPr>
    </w:p>
    <w:p w14:paraId="3A284CE6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ascii="Times New Roman"/>
          <w:spacing w:val="26"/>
          <w:position w:val="6"/>
          <w:sz w:val="20"/>
        </w:rPr>
      </w:pPr>
    </w:p>
    <w:p w14:paraId="7CC2CC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ascii="Times New Roman"/>
          <w:spacing w:val="26"/>
          <w:position w:val="6"/>
          <w:sz w:val="20"/>
        </w:rPr>
      </w:pPr>
    </w:p>
    <w:p w14:paraId="1EE811C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ascii="Times New Roman"/>
          <w:spacing w:val="26"/>
          <w:position w:val="6"/>
          <w:sz w:val="20"/>
        </w:rPr>
      </w:pPr>
      <w:r>
        <w:rPr>
          <w:rFonts w:hint="eastAsia" w:ascii="Times New Roman"/>
          <w:sz w:val="20"/>
          <w:lang w:val="en-US" w:eastAsia="zh-CN"/>
        </w:rPr>
        <w:t xml:space="preserve">  </w:t>
      </w:r>
    </w:p>
    <w:p w14:paraId="394E902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jc w:val="both"/>
        <w:rPr>
          <w:rFonts w:hint="eastAsia"/>
          <w:sz w:val="32"/>
          <w:szCs w:val="32"/>
          <w:lang w:val="en-US" w:eastAsia="zh-CN"/>
        </w:rPr>
      </w:pPr>
    </w:p>
    <w:p w14:paraId="08B08792">
      <w:pPr>
        <w:pStyle w:val="11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3570" w:firstLineChars="1700"/>
        <w:rPr>
          <w:rFonts w:hint="eastAsia" w:ascii="Calibri" w:hAnsi="Calibri" w:eastAsia="宋体" w:cs="Times New Roman"/>
          <w:lang w:val="en-US" w:eastAsia="zh-CN"/>
        </w:rPr>
      </w:pPr>
    </w:p>
    <w:p w14:paraId="117B9369">
      <w:pPr>
        <w:pStyle w:val="11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3570" w:firstLineChars="1700"/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目录</w:t>
      </w:r>
    </w:p>
    <w:p w14:paraId="52832C5F">
      <w:pPr>
        <w:pStyle w:val="11"/>
        <w:tabs>
          <w:tab w:val="right" w:leader="dot" w:pos="8306"/>
        </w:tabs>
      </w:pP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TOC \o "1-2" \h \u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 HYPERLINK \l _Toc7785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hint="eastAsia" w:ascii="宋体" w:hAnsi="宋体" w:eastAsia="宋体" w:cs="宋体"/>
          <w:szCs w:val="30"/>
          <w:lang w:val="en-US" w:eastAsia="zh-CN"/>
        </w:rPr>
        <w:t>1 产品简介</w:t>
      </w:r>
      <w:r>
        <w:tab/>
      </w:r>
      <w:r>
        <w:fldChar w:fldCharType="begin"/>
      </w:r>
      <w:r>
        <w:instrText xml:space="preserve"> PAGEREF _Toc7785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eastAsia="宋体" w:cs="Times New Roman"/>
        </w:rPr>
        <w:fldChar w:fldCharType="end"/>
      </w:r>
    </w:p>
    <w:p w14:paraId="0CCD6DBF">
      <w:pPr>
        <w:pStyle w:val="12"/>
        <w:tabs>
          <w:tab w:val="right" w:leader="dot" w:pos="8306"/>
        </w:tabs>
      </w:pP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 HYPERLINK \l _Toc9291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1.1产品概述</w:t>
      </w:r>
      <w:r>
        <w:tab/>
      </w:r>
      <w:r>
        <w:fldChar w:fldCharType="begin"/>
      </w:r>
      <w:r>
        <w:instrText xml:space="preserve"> PAGEREF _Toc9291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eastAsia="宋体" w:cs="Times New Roman"/>
        </w:rPr>
        <w:fldChar w:fldCharType="end"/>
      </w:r>
    </w:p>
    <w:p w14:paraId="4DF6E7DD">
      <w:pPr>
        <w:pStyle w:val="12"/>
        <w:tabs>
          <w:tab w:val="right" w:leader="dot" w:pos="8306"/>
        </w:tabs>
      </w:pP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 HYPERLINK \l _Toc3219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1.</w:t>
      </w:r>
      <w:r>
        <w:rPr>
          <w:rFonts w:hint="eastAsia" w:ascii="宋体" w:hAnsi="宋体" w:cs="宋体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Cs w:val="28"/>
          <w:lang w:val="en-US" w:eastAsia="zh-CN"/>
        </w:rPr>
        <w:t>内容安全审核终端主要接口说明</w:t>
      </w:r>
      <w:r>
        <w:tab/>
      </w:r>
      <w:r>
        <w:fldChar w:fldCharType="begin"/>
      </w:r>
      <w:r>
        <w:instrText xml:space="preserve"> PAGEREF _Toc3219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eastAsia="宋体" w:cs="Times New Roman"/>
        </w:rPr>
        <w:fldChar w:fldCharType="end"/>
      </w:r>
    </w:p>
    <w:p w14:paraId="110EC7BF">
      <w:pPr>
        <w:pStyle w:val="11"/>
        <w:tabs>
          <w:tab w:val="right" w:leader="dot" w:pos="8306"/>
        </w:tabs>
      </w:pP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 HYPERLINK \l _Toc27686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hint="eastAsia" w:ascii="宋体" w:hAnsi="宋体" w:eastAsia="宋体" w:cs="宋体"/>
          <w:szCs w:val="30"/>
          <w:lang w:val="en-US" w:eastAsia="zh-CN"/>
        </w:rPr>
        <w:t>2产品特性</w:t>
      </w:r>
      <w:r>
        <w:tab/>
      </w:r>
      <w:r>
        <w:fldChar w:fldCharType="begin"/>
      </w:r>
      <w:r>
        <w:instrText xml:space="preserve"> PAGEREF _Toc27686 \h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eastAsia="宋体" w:cs="Times New Roman"/>
        </w:rPr>
        <w:fldChar w:fldCharType="end"/>
      </w:r>
    </w:p>
    <w:p w14:paraId="3F2CC2B8">
      <w:pPr>
        <w:pStyle w:val="11"/>
        <w:tabs>
          <w:tab w:val="right" w:leader="dot" w:pos="8306"/>
        </w:tabs>
      </w:pP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 HYPERLINK \l _Toc12696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hint="eastAsia" w:ascii="宋体" w:hAnsi="宋体" w:eastAsia="宋体" w:cs="宋体"/>
          <w:bCs w:val="0"/>
          <w:lang w:val="en-US" w:eastAsia="zh-CN"/>
        </w:rPr>
        <w:t>3 典型部署</w:t>
      </w:r>
      <w:r>
        <w:tab/>
      </w:r>
      <w:r>
        <w:fldChar w:fldCharType="begin"/>
      </w:r>
      <w:r>
        <w:instrText xml:space="preserve"> PAGEREF _Toc12696 \h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eastAsia="宋体" w:cs="Times New Roman"/>
        </w:rPr>
        <w:fldChar w:fldCharType="end"/>
      </w:r>
    </w:p>
    <w:p w14:paraId="0C9D4C2C">
      <w:pPr>
        <w:pStyle w:val="11"/>
        <w:tabs>
          <w:tab w:val="right" w:leader="dot" w:pos="8306"/>
        </w:tabs>
      </w:pPr>
      <w:r>
        <w:rPr>
          <w:rFonts w:ascii="Calibri" w:hAnsi="Calibri" w:eastAsia="宋体" w:cs="Times New Roman"/>
        </w:rPr>
        <w:fldChar w:fldCharType="begin"/>
      </w:r>
      <w:r>
        <w:rPr>
          <w:rFonts w:ascii="Calibri" w:hAnsi="Calibri" w:eastAsia="宋体" w:cs="Times New Roman"/>
        </w:rPr>
        <w:instrText xml:space="preserve"> HYPERLINK \l _Toc27764 </w:instrText>
      </w:r>
      <w:r>
        <w:rPr>
          <w:rFonts w:ascii="Calibri" w:hAnsi="Calibri" w:eastAsia="宋体" w:cs="Times New Roman"/>
        </w:rPr>
        <w:fldChar w:fldCharType="separate"/>
      </w:r>
      <w:r>
        <w:rPr>
          <w:rFonts w:hint="eastAsia" w:ascii="宋体" w:hAnsi="宋体" w:eastAsia="宋体" w:cs="宋体"/>
          <w:bCs w:val="0"/>
          <w:lang w:val="en-US" w:eastAsia="zh-CN"/>
        </w:rPr>
        <w:t>4产品配置</w:t>
      </w:r>
      <w:r>
        <w:tab/>
      </w:r>
      <w:r>
        <w:fldChar w:fldCharType="begin"/>
      </w:r>
      <w:r>
        <w:instrText xml:space="preserve"> PAGEREF _Toc27764 \h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eastAsia="宋体" w:cs="Times New Roman"/>
        </w:rPr>
        <w:fldChar w:fldCharType="end"/>
      </w:r>
    </w:p>
    <w:p w14:paraId="493F388E">
      <w:pPr>
        <w:pStyle w:val="11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hint="eastAsia" w:eastAsia="宋体"/>
          <w:b/>
          <w:lang w:eastAsia="zh-CN"/>
        </w:rPr>
      </w:pPr>
      <w:r>
        <w:rPr>
          <w:rFonts w:ascii="Calibri" w:hAnsi="Calibri" w:eastAsia="宋体" w:cs="Times New Roman"/>
        </w:rPr>
        <w:fldChar w:fldCharType="end"/>
      </w:r>
    </w:p>
    <w:p w14:paraId="714436C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b/>
        </w:rPr>
      </w:pPr>
    </w:p>
    <w:p w14:paraId="3CB86EE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b/>
        </w:rPr>
      </w:pPr>
    </w:p>
    <w:p w14:paraId="1C426B8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b/>
        </w:rPr>
      </w:pPr>
    </w:p>
    <w:p w14:paraId="01A14CE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center"/>
        <w:rPr>
          <w:rFonts w:hint="eastAsia"/>
          <w:szCs w:val="32"/>
          <w:lang w:val="en-US" w:eastAsia="zh-CN"/>
        </w:rPr>
      </w:pPr>
    </w:p>
    <w:p w14:paraId="664CF08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rPr>
          <w:rFonts w:hint="eastAsia"/>
          <w:lang w:val="en-US" w:eastAsia="zh-CN"/>
        </w:rPr>
      </w:pPr>
    </w:p>
    <w:p w14:paraId="2FB9215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center"/>
        <w:rPr>
          <w:rFonts w:hint="eastAsia"/>
          <w:sz w:val="32"/>
          <w:szCs w:val="32"/>
          <w:lang w:val="en-US" w:eastAsia="zh-CN"/>
        </w:rPr>
      </w:pPr>
    </w:p>
    <w:p w14:paraId="6487B6E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/>
          <w:lang w:val="en-US" w:eastAsia="zh-CN"/>
        </w:rPr>
        <w:sectPr>
          <w:headerReference r:id="rId5" w:type="default"/>
          <w:pgSz w:w="11906" w:h="16838"/>
          <w:pgMar w:top="1440" w:right="1800" w:bottom="1440" w:left="1800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titlePg/>
          <w:docGrid w:type="lines" w:linePitch="312" w:charSpace="0"/>
        </w:sectPr>
      </w:pPr>
    </w:p>
    <w:p w14:paraId="36A8347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outlineLvl w:val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4" w:name="_Toc16620"/>
      <w:bookmarkStart w:id="5" w:name="_Toc32368"/>
      <w:bookmarkStart w:id="6" w:name="_Toc24117"/>
      <w:bookmarkStart w:id="7" w:name="_Toc3565"/>
      <w:bookmarkStart w:id="8" w:name="_Toc31085"/>
      <w:bookmarkStart w:id="9" w:name="_Toc7785"/>
      <w:bookmarkStart w:id="10" w:name="_Toc16299"/>
      <w:bookmarkStart w:id="11" w:name="_Toc19538"/>
      <w:bookmarkStart w:id="12" w:name="_Toc25837"/>
      <w:bookmarkStart w:id="13" w:name="_Toc12506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 产品简介</w:t>
      </w:r>
      <w:bookmarkEnd w:id="4"/>
      <w:bookmarkEnd w:id="5"/>
      <w:bookmarkEnd w:id="6"/>
      <w:bookmarkEnd w:id="7"/>
      <w:bookmarkEnd w:id="8"/>
      <w:bookmarkEnd w:id="9"/>
    </w:p>
    <w:p w14:paraId="573FB76A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outlineLvl w:val="1"/>
        <w:rPr>
          <w:rFonts w:hint="default" w:ascii="宋体" w:hAnsi="宋体" w:eastAsia="宋体" w:cs="宋体"/>
          <w:b/>
          <w:sz w:val="28"/>
          <w:szCs w:val="28"/>
          <w:lang w:val="en-US" w:eastAsia="zh-CN"/>
        </w:rPr>
      </w:pPr>
      <w:bookmarkStart w:id="14" w:name="_Toc7664"/>
      <w:bookmarkStart w:id="15" w:name="_Toc27850"/>
      <w:bookmarkStart w:id="16" w:name="_Toc11952"/>
      <w:bookmarkStart w:id="17" w:name="_Toc31914"/>
      <w:bookmarkStart w:id="18" w:name="_Toc9291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1.1</w:t>
      </w:r>
      <w:bookmarkEnd w:id="14"/>
      <w:bookmarkEnd w:id="15"/>
      <w:bookmarkEnd w:id="16"/>
      <w:bookmarkEnd w:id="17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产品概述</w:t>
      </w:r>
      <w:bookmarkEnd w:id="18"/>
    </w:p>
    <w:p w14:paraId="5649C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480" w:firstLineChars="200"/>
        <w:textAlignment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CAG01-CAS系列的内容安全审核网关和CAG01-CAT系统的内容安全审核终端</w:t>
      </w:r>
      <w:r>
        <w:rPr>
          <w:rFonts w:hint="eastAsia" w:ascii="宋体" w:hAnsi="宋体" w:eastAsia="宋体" w:cs="宋体"/>
          <w:sz w:val="24"/>
          <w:szCs w:val="24"/>
        </w:rPr>
        <w:t>是针对全彩屏播放内容及播控安全审计的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专业安全</w:t>
      </w:r>
      <w:r>
        <w:rPr>
          <w:rFonts w:hint="eastAsia" w:ascii="宋体" w:hAnsi="宋体" w:eastAsia="宋体" w:cs="宋体"/>
          <w:sz w:val="24"/>
          <w:szCs w:val="24"/>
        </w:rPr>
        <w:t>设备，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配合前端内容安全终端</w:t>
      </w:r>
      <w:r>
        <w:rPr>
          <w:rFonts w:hint="eastAsia" w:ascii="宋体" w:hAnsi="宋体" w:eastAsia="宋体" w:cs="宋体"/>
          <w:sz w:val="24"/>
          <w:szCs w:val="24"/>
        </w:rPr>
        <w:t>采集、编码、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审核</w:t>
      </w:r>
      <w:r>
        <w:rPr>
          <w:rFonts w:hint="eastAsia" w:ascii="宋体" w:hAnsi="宋体" w:eastAsia="宋体" w:cs="宋体"/>
          <w:sz w:val="24"/>
          <w:szCs w:val="24"/>
        </w:rPr>
        <w:t>、及存储视频内容，经内置AI算法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预审和实时</w:t>
      </w:r>
      <w:r>
        <w:rPr>
          <w:rFonts w:hint="eastAsia" w:ascii="宋体" w:hAnsi="宋体" w:eastAsia="宋体" w:cs="宋体"/>
          <w:sz w:val="24"/>
          <w:szCs w:val="24"/>
        </w:rPr>
        <w:t>审核后，对播放内容中的不良信息进行阻断与恢复，解决公共大屏内容安全问题。</w:t>
      </w:r>
    </w:p>
    <w:p w14:paraId="7EC6C702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19" w:name="_Toc29154"/>
      <w:bookmarkStart w:id="20" w:name="_Toc19846"/>
      <w:bookmarkStart w:id="21" w:name="_Toc32667"/>
      <w:bookmarkStart w:id="22" w:name="_Toc321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内容安全审核终端</w:t>
      </w:r>
      <w:bookmarkEnd w:id="19"/>
      <w:bookmarkEnd w:id="20"/>
      <w:bookmarkEnd w:id="2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主要接口说明</w:t>
      </w:r>
      <w:bookmarkEnd w:id="22"/>
    </w:p>
    <w:p w14:paraId="038B5D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420" w:firstLineChars="20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46095" cy="2315845"/>
            <wp:effectExtent l="0" t="0" r="1905" b="8255"/>
            <wp:docPr id="5" name="图片 22" descr="前面板接口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前面板接口说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3721"/>
        <w:gridCol w:w="3450"/>
      </w:tblGrid>
      <w:tr w14:paraId="5C08B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noWrap w:val="0"/>
            <w:vAlign w:val="top"/>
          </w:tcPr>
          <w:p w14:paraId="71C2FB28">
            <w:pPr>
              <w:pStyle w:val="2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0" w:firstLineChars="0"/>
              <w:jc w:val="center"/>
              <w:rPr>
                <w:rFonts w:hint="default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noWrap w:val="0"/>
            <w:vAlign w:val="top"/>
          </w:tcPr>
          <w:p w14:paraId="1870C028">
            <w:pPr>
              <w:pStyle w:val="2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/>
              <w:jc w:val="center"/>
              <w:rPr>
                <w:rFonts w:hint="default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  <w:t>名称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noWrap w:val="0"/>
            <w:vAlign w:val="top"/>
          </w:tcPr>
          <w:p w14:paraId="3FC89ACC">
            <w:pPr>
              <w:pStyle w:val="2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/>
              <w:jc w:val="center"/>
              <w:rPr>
                <w:rFonts w:hint="default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  <w:t>功能</w:t>
            </w:r>
          </w:p>
        </w:tc>
      </w:tr>
      <w:tr w14:paraId="5DCFF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351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top"/>
          </w:tcPr>
          <w:p w14:paraId="32BAB6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721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top"/>
          </w:tcPr>
          <w:p w14:paraId="3A1FF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USB3.0</w:t>
            </w:r>
          </w:p>
        </w:tc>
        <w:tc>
          <w:tcPr>
            <w:tcW w:w="3450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top"/>
          </w:tcPr>
          <w:p w14:paraId="3E9974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可外接键盘鼠标</w:t>
            </w:r>
          </w:p>
        </w:tc>
      </w:tr>
      <w:tr w14:paraId="1C30E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top"/>
          </w:tcPr>
          <w:p w14:paraId="152E2E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top"/>
          </w:tcPr>
          <w:p w14:paraId="019E87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USB2.0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top"/>
          </w:tcPr>
          <w:p w14:paraId="5E96DA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可外接键盘鼠标</w:t>
            </w:r>
          </w:p>
        </w:tc>
      </w:tr>
      <w:tr w14:paraId="0C43C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top"/>
          </w:tcPr>
          <w:p w14:paraId="1E1C8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top"/>
          </w:tcPr>
          <w:p w14:paraId="7AD2E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USB2.0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top"/>
          </w:tcPr>
          <w:p w14:paraId="345CE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可外接键盘鼠标</w:t>
            </w:r>
          </w:p>
        </w:tc>
      </w:tr>
      <w:tr w14:paraId="438B7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top"/>
          </w:tcPr>
          <w:p w14:paraId="223D1F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top"/>
          </w:tcPr>
          <w:p w14:paraId="69A55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SIM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top"/>
          </w:tcPr>
          <w:p w14:paraId="17D4E4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可支持SIM卡</w:t>
            </w:r>
          </w:p>
        </w:tc>
      </w:tr>
      <w:tr w14:paraId="19D78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4D69F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2B050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AUDIO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2C0F7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音频接口</w:t>
            </w:r>
          </w:p>
        </w:tc>
      </w:tr>
      <w:tr w14:paraId="31E95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1C4DF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168E46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电源开关键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19DB6B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智能终端开机/关机按键</w:t>
            </w:r>
          </w:p>
        </w:tc>
      </w:tr>
      <w:tr w14:paraId="35D20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0C86F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18BF7B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TYPE-C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6973CA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设备升级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维护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口</w:t>
            </w:r>
          </w:p>
        </w:tc>
      </w:tr>
    </w:tbl>
    <w:p w14:paraId="59CA886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</w:pPr>
    </w:p>
    <w:p w14:paraId="3FEC225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90620" cy="2784475"/>
            <wp:effectExtent l="0" t="0" r="5080" b="6350"/>
            <wp:docPr id="6" name="图片 23" descr="后面板接口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后面板接口说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3721"/>
        <w:gridCol w:w="3450"/>
      </w:tblGrid>
      <w:tr w14:paraId="6C206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noWrap w:val="0"/>
            <w:vAlign w:val="top"/>
          </w:tcPr>
          <w:p w14:paraId="70883D24">
            <w:pPr>
              <w:pStyle w:val="2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0" w:firstLineChars="0"/>
              <w:jc w:val="center"/>
              <w:rPr>
                <w:rFonts w:hint="default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noWrap w:val="0"/>
            <w:vAlign w:val="top"/>
          </w:tcPr>
          <w:p w14:paraId="65A3D5FE">
            <w:pPr>
              <w:pStyle w:val="2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/>
              <w:jc w:val="center"/>
              <w:rPr>
                <w:rFonts w:hint="default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  <w:t>名称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noWrap w:val="0"/>
            <w:vAlign w:val="top"/>
          </w:tcPr>
          <w:p w14:paraId="74030AFF">
            <w:pPr>
              <w:pStyle w:val="2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/>
              <w:jc w:val="center"/>
              <w:rPr>
                <w:rFonts w:hint="default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color w:val="FFFFFF"/>
                <w:sz w:val="28"/>
                <w:szCs w:val="28"/>
                <w:vertAlign w:val="baseline"/>
                <w:lang w:val="en-US" w:eastAsia="zh-CN"/>
              </w:rPr>
              <w:t>功能</w:t>
            </w:r>
          </w:p>
        </w:tc>
      </w:tr>
      <w:tr w14:paraId="23DAF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7B34C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721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569C56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DC12V</w:t>
            </w:r>
          </w:p>
        </w:tc>
        <w:tc>
          <w:tcPr>
            <w:tcW w:w="3450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737C8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终端供电接口 12V</w:t>
            </w:r>
          </w:p>
        </w:tc>
      </w:tr>
      <w:tr w14:paraId="4960B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06DCD3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00C70B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HDMI IN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53E52B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视频输入口</w:t>
            </w:r>
          </w:p>
        </w:tc>
      </w:tr>
      <w:tr w14:paraId="364D7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73ADC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200EF9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HDMI OUT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47B3FD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视频输出口</w:t>
            </w:r>
          </w:p>
        </w:tc>
      </w:tr>
      <w:tr w14:paraId="10975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104B3A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42CB88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DP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052C0C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视频输出口</w:t>
            </w:r>
          </w:p>
        </w:tc>
      </w:tr>
      <w:tr w14:paraId="01581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1FD80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35D37D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  <w:t>LAN1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42BBA5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调试口</w:t>
            </w:r>
          </w:p>
        </w:tc>
      </w:tr>
      <w:tr w14:paraId="40601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07C279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1812A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LAN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1F6C6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业务网口</w:t>
            </w:r>
          </w:p>
        </w:tc>
      </w:tr>
      <w:tr w14:paraId="6D882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0AF25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39D5FF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工业接口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noWrap w:val="0"/>
            <w:vAlign w:val="center"/>
          </w:tcPr>
          <w:p w14:paraId="3F06E1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用于RS485、RS232 接口</w:t>
            </w:r>
          </w:p>
        </w:tc>
      </w:tr>
      <w:tr w14:paraId="548C4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60AA1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372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260991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17365D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WIFI接口</w:t>
            </w:r>
          </w:p>
        </w:tc>
        <w:tc>
          <w:tcPr>
            <w:tcW w:w="3450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noWrap w:val="0"/>
            <w:vAlign w:val="center"/>
          </w:tcPr>
          <w:p w14:paraId="006FBD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auto"/>
              <w:ind w:left="105" w:leftChars="50" w:right="105" w:rightChars="50" w:firstLine="420" w:firstLineChars="20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连接天线接口</w:t>
            </w:r>
          </w:p>
        </w:tc>
      </w:tr>
    </w:tbl>
    <w:p w14:paraId="7F54C972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105" w:rightChars="50" w:firstLine="0" w:firstLineChars="0"/>
        <w:outlineLvl w:val="0"/>
        <w:rPr>
          <w:rFonts w:hint="default" w:ascii="宋体" w:hAnsi="宋体" w:eastAsia="宋体" w:cs="宋体"/>
          <w:b/>
          <w:sz w:val="30"/>
          <w:szCs w:val="30"/>
          <w:lang w:val="en-US" w:eastAsia="zh-CN"/>
        </w:rPr>
      </w:pPr>
      <w:bookmarkStart w:id="23" w:name="_Toc27686"/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2产品特性</w:t>
      </w:r>
      <w:bookmarkEnd w:id="23"/>
    </w:p>
    <w:bookmarkEnd w:id="10"/>
    <w:bookmarkEnd w:id="11"/>
    <w:bookmarkEnd w:id="12"/>
    <w:bookmarkEnd w:id="13"/>
    <w:p w14:paraId="17170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8"/>
          <w:lang w:val="en-US" w:eastAsia="zh-CN"/>
        </w:rPr>
      </w:pPr>
      <w:bookmarkStart w:id="24" w:name="_Toc29316"/>
      <w:bookmarkStart w:id="25" w:name="_Toc1476"/>
      <w:bookmarkStart w:id="26" w:name="_Toc13853"/>
      <w:bookmarkStart w:id="27" w:name="_Toc25074"/>
      <w:r>
        <w:rPr>
          <w:rFonts w:hint="eastAsia" w:ascii="宋体" w:hAnsi="宋体" w:eastAsia="宋体" w:cs="宋体"/>
          <w:b/>
          <w:bCs/>
          <w:color w:val="auto"/>
          <w:sz w:val="24"/>
          <w:szCs w:val="28"/>
          <w:lang w:val="en-US" w:eastAsia="zh-CN"/>
        </w:rPr>
        <w:t>独创全周期防护体系</w:t>
      </w:r>
    </w:p>
    <w:p w14:paraId="255A142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事前审核</w:t>
      </w:r>
      <w:r>
        <w:rPr>
          <w:rFonts w:hint="eastAsia" w:ascii="宋体" w:hAnsi="宋体" w:eastAsia="宋体" w:cs="宋体"/>
          <w:b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支持节目预审的方式，上传待播放节目素材（视频、图片等），支持</w:t>
      </w:r>
      <w:r>
        <w:rPr>
          <w:rFonts w:hint="eastAsia" w:ascii="宋体" w:hAnsi="宋体" w:eastAsia="宋体" w:cs="宋体"/>
          <w:sz w:val="24"/>
          <w:szCs w:val="24"/>
        </w:rPr>
        <w:t>自动鉴别违规内容，记录违规详情，除传统的鉴黄审核能力外，还提供暴恐识别、政治敏感识别等能力。</w:t>
      </w:r>
    </w:p>
    <w:p w14:paraId="09B180A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事中防护：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终端设备部署于公共显示屏播控系统末端，对显示终端形成有效防护，在播放内容（视频、文字、图片等）传输到公共大屏过程中，调用内置AI算法审核，对播放内容中的不良信息进行审核和阻断，防止不良内容播出。</w:t>
      </w:r>
    </w:p>
    <w:p w14:paraId="4599AF0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事后溯源：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违规画面识别和防护告警、日志记录，视频信号破坏告警记录以及操作日志记录。</w:t>
      </w:r>
    </w:p>
    <w:p w14:paraId="0C20E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首创应急响应机制</w:t>
      </w:r>
    </w:p>
    <w:p w14:paraId="5610D1C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实时监控：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支持远程实时轮巡监视大屏播放画面，方便监管。</w:t>
      </w:r>
    </w:p>
    <w:p w14:paraId="463B00D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应急处置：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发现异常播放行为，远程一键关屏、重启、关机和应急画面替代。</w:t>
      </w:r>
    </w:p>
    <w:p w14:paraId="23933A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深化纵深防御技术</w:t>
      </w:r>
    </w:p>
    <w:p w14:paraId="36BDB73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联合内容安全审核终端以及软终端分层协同防御。</w:t>
      </w:r>
    </w:p>
    <w:p w14:paraId="43AF648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采用算力池负载均衡模式，深化核心防御能力。</w:t>
      </w:r>
    </w:p>
    <w:p w14:paraId="4E045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统一管理平台系统</w:t>
      </w:r>
    </w:p>
    <w:p w14:paraId="0822337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提供产品功能管理和防护告警功能。</w:t>
      </w:r>
    </w:p>
    <w:p w14:paraId="0CF8651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内置内容安全管理模块，无需额外硬件，实现集中管理功能，可以进行用户管理、策略管理、终端管理、审批管理、日志管理和告警。</w:t>
      </w:r>
    </w:p>
    <w:p w14:paraId="290D5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适配性</w:t>
      </w:r>
    </w:p>
    <w:p w14:paraId="62FD47A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支持适配任意厂家播控系统和任意分辨率的室内外大屏使用。</w:t>
      </w:r>
    </w:p>
    <w:p w14:paraId="7CE76E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可靠性</w:t>
      </w:r>
    </w:p>
    <w:p w14:paraId="3F749AB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525" w:leftChars="50" w:right="105" w:rightChars="50" w:hanging="42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支持旁路部署，不影响客户业务的前提下审核内容是否违规，系统是否安全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 w14:paraId="008175E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outlineLvl w:val="0"/>
        <w:rPr>
          <w:rFonts w:hint="default" w:ascii="宋体" w:hAnsi="宋体" w:eastAsia="宋体" w:cs="宋体"/>
          <w:b/>
          <w:bCs w:val="0"/>
          <w:lang w:val="en-US" w:eastAsia="zh-CN"/>
        </w:rPr>
      </w:pPr>
      <w:bookmarkStart w:id="28" w:name="_Toc12696"/>
      <w:r>
        <w:rPr>
          <w:rFonts w:hint="eastAsia" w:ascii="宋体" w:hAnsi="宋体" w:eastAsia="宋体" w:cs="宋体"/>
          <w:b/>
          <w:bCs w:val="0"/>
          <w:lang w:val="en-US" w:eastAsia="zh-CN"/>
        </w:rPr>
        <w:t xml:space="preserve">3 </w:t>
      </w:r>
      <w:bookmarkEnd w:id="24"/>
      <w:bookmarkEnd w:id="25"/>
      <w:bookmarkEnd w:id="26"/>
      <w:bookmarkEnd w:id="27"/>
      <w:r>
        <w:rPr>
          <w:rFonts w:hint="eastAsia" w:ascii="宋体" w:hAnsi="宋体" w:eastAsia="宋体" w:cs="宋体"/>
          <w:b/>
          <w:bCs w:val="0"/>
          <w:lang w:val="en-US" w:eastAsia="zh-CN"/>
        </w:rPr>
        <w:t>典型部署</w:t>
      </w:r>
      <w:bookmarkEnd w:id="28"/>
    </w:p>
    <w:p w14:paraId="04F51CD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内容安全审核终端部署：</w:t>
      </w:r>
    </w:p>
    <w:p w14:paraId="5311320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bookmarkStart w:id="29" w:name="OLE_LINK1"/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第一步：将电源适配器的DC端与终端DC接口连接。</w:t>
      </w:r>
    </w:p>
    <w:bookmarkEnd w:id="29"/>
    <w:p w14:paraId="1DA007A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第二步: 用hdmi-hmid视频线，将内容安全审核终端的视频输入口（hd in）与播控设备（电脑、播放盒、视频处理器等视频源）的hdmi输出口连接。</w:t>
      </w:r>
    </w:p>
    <w:p w14:paraId="65550B9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第三步：用hdmi-hmid视频线，将内容安全审核终端的视频输出口（hd out）与 视频处理器（显示屏、视频矩阵等中间设备）的hdmi输入口连接。</w:t>
      </w:r>
    </w:p>
    <w:p w14:paraId="115540F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第四步：将电源适配器的AC端接入交流220V插座，终端设备自动上电启动。</w:t>
      </w:r>
    </w:p>
    <w:p w14:paraId="312EE1DE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第五步：通电后，正面pwd灯常亮，即表示内容安全审核一体机启动成功。</w:t>
      </w:r>
    </w:p>
    <w:p w14:paraId="16214B9E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67250" cy="3410585"/>
            <wp:effectExtent l="0" t="0" r="0" b="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FD82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outlineLvl w:val="0"/>
        <w:rPr>
          <w:rFonts w:hint="eastAsia" w:ascii="宋体" w:hAnsi="宋体" w:eastAsia="宋体" w:cs="宋体"/>
          <w:b/>
          <w:bCs w:val="0"/>
          <w:lang w:val="en-US" w:eastAsia="zh-CN"/>
        </w:rPr>
      </w:pPr>
      <w:bookmarkStart w:id="30" w:name="_Toc12897"/>
      <w:bookmarkStart w:id="31" w:name="_Toc22362"/>
      <w:bookmarkStart w:id="32" w:name="_Toc3051"/>
      <w:bookmarkStart w:id="33" w:name="_Toc5882"/>
      <w:bookmarkStart w:id="34" w:name="_Toc27764"/>
      <w:r>
        <w:rPr>
          <w:rFonts w:hint="eastAsia" w:ascii="宋体" w:hAnsi="宋体" w:eastAsia="宋体" w:cs="宋体"/>
          <w:b/>
          <w:bCs w:val="0"/>
          <w:lang w:val="en-US" w:eastAsia="zh-CN"/>
        </w:rPr>
        <w:t>4产品配置</w:t>
      </w:r>
      <w:bookmarkEnd w:id="30"/>
      <w:bookmarkEnd w:id="31"/>
      <w:bookmarkEnd w:id="32"/>
      <w:bookmarkEnd w:id="33"/>
      <w:bookmarkEnd w:id="34"/>
    </w:p>
    <w:p w14:paraId="349FA34C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第一步：准备一台有网口的电脑，然后将内容安全审核终端通电，等POWER按钮灯常亮后，用一根网线连接内容审核终端的lan2口，网线另外一段接准备好的电脑。</w:t>
      </w:r>
    </w:p>
    <w:p w14:paraId="1C14D89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第二步：将电脑本机IP添加192.168.1段IP，与内容安全审核网关LAN1口192.168.1.118同一个网段。</w:t>
      </w:r>
    </w:p>
    <w:p w14:paraId="7875D0F6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</w:pPr>
      <w:r>
        <w:drawing>
          <wp:inline distT="0" distB="0" distL="114300" distR="114300">
            <wp:extent cx="3373120" cy="1108710"/>
            <wp:effectExtent l="0" t="0" r="8255" b="5715"/>
            <wp:docPr id="14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12A5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第三步：打开浏览器，登录：192.168.1.116，无需输入账号密码。</w:t>
      </w:r>
    </w:p>
    <w:p w14:paraId="3E2483FD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1054100"/>
            <wp:effectExtent l="0" t="0" r="5080" b="3175"/>
            <wp:docPr id="15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1633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第四步：输入服务器地址、MQTT地址、修改审核终端IP等信息后，点击保存。</w:t>
      </w:r>
    </w:p>
    <w:p w14:paraId="79AC0E5F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</w:pPr>
      <w:r>
        <w:drawing>
          <wp:inline distT="0" distB="0" distL="114300" distR="114300">
            <wp:extent cx="5266690" cy="1146810"/>
            <wp:effectExtent l="0" t="0" r="635" b="5715"/>
            <wp:docPr id="16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B708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</w:pPr>
    </w:p>
    <w:p w14:paraId="05C88CF6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</w:pPr>
    </w:p>
    <w:p w14:paraId="66039408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</w:pPr>
    </w:p>
    <w:p w14:paraId="4CAF36B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</w:pPr>
      <w:bookmarkStart w:id="35" w:name="_GoBack"/>
      <w:bookmarkEnd w:id="35"/>
    </w:p>
    <w:p w14:paraId="7A9EAD63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105" w:leftChars="50" w:right="105" w:rightChars="50" w:firstLine="0" w:firstLineChars="0"/>
        <w:rPr>
          <w:rFonts w:hint="default"/>
          <w:lang w:val="en-US" w:eastAsia="zh-CN"/>
        </w:rPr>
      </w:pPr>
    </w:p>
    <w:sectPr>
      <w:headerReference r:id="rId6" w:type="default"/>
      <w:footerReference r:id="rId7" w:type="default"/>
      <w:pgSz w:w="11906" w:h="16838"/>
      <w:pgMar w:top="1440" w:right="1800" w:bottom="1440" w:left="1800" w:header="85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105" w:right="105" w:firstLine="420"/>
      </w:pPr>
      <w:r>
        <w:separator/>
      </w:r>
    </w:p>
  </w:endnote>
  <w:endnote w:type="continuationSeparator" w:id="1">
    <w:p>
      <w:pPr>
        <w:spacing w:line="240" w:lineRule="auto"/>
        <w:ind w:left="105" w:righ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8F8D3">
    <w:pPr>
      <w:pStyle w:val="9"/>
      <w:spacing w:beforeLines="0" w:afterLines="0" w:line="240" w:lineRule="auto"/>
      <w:ind w:left="0" w:leftChars="0" w:right="0" w:righ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AD217"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FAD217"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5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D7FC13">
                          <w:pPr>
                            <w:pStyle w:val="9"/>
                            <w:spacing w:beforeLines="0" w:afterLines="0" w:line="240" w:lineRule="auto"/>
                            <w:ind w:left="0" w:leftChars="0" w:right="0" w:rightChars="0" w:firstLine="0" w:firstLineChars="0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TW9XccBAACa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3hJuDcHbc48cuP75efvy+/vpE6&#10;6zMEaDDtPmBiGt/6EXMXP6Az0x5VtPmLhAjGUd3zVV05JiLyo3pd1xWGBMaWC+Kzh+chQnonvSXZ&#10;aGnE8RVV+ekDpCl1ScnVnL/TxpQRGveXAzGzh+Xepx6zlcb9OBPa++6MfAacfEsdLjol5r1DYfOS&#10;LEZcjP1iHEPUh75sUa4H4c0xYROlt1xhgp0L48gKu3m98k48vpesh19q+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pTW9XccBAACa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D7FC13">
                    <w:pPr>
                      <w:pStyle w:val="9"/>
                      <w:spacing w:beforeLines="0" w:afterLines="0" w:line="240" w:lineRule="auto"/>
                      <w:ind w:left="0" w:leftChars="0" w:right="0" w:rightChars="0" w:firstLine="0" w:firstLineChars="0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left="105" w:right="105" w:firstLine="420"/>
      </w:pPr>
      <w:r>
        <w:separator/>
      </w:r>
    </w:p>
  </w:footnote>
  <w:footnote w:type="continuationSeparator" w:id="1">
    <w:p>
      <w:pPr>
        <w:spacing w:before="0" w:after="0" w:line="360" w:lineRule="auto"/>
        <w:ind w:left="105" w:righ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4B39CD">
    <w:pPr>
      <w:pStyle w:val="10"/>
      <w:pBdr>
        <w:bottom w:val="single" w:color="auto" w:sz="4" w:space="1"/>
      </w:pBdr>
      <w:spacing w:before="0" w:beforeLines="0" w:after="0" w:afterLines="0"/>
      <w:ind w:left="0" w:leftChars="0" w:right="0" w:rightChars="0" w:firstLine="0" w:firstLineChars="0"/>
      <w:jc w:val="right"/>
      <w:rPr>
        <w:rFonts w:hint="default" w:eastAsia="宋体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83CB4">
    <w:pPr>
      <w:pStyle w:val="10"/>
      <w:pBdr>
        <w:bottom w:val="single" w:color="auto" w:sz="4" w:space="1"/>
      </w:pBdr>
      <w:spacing w:beforeLines="0" w:afterLines="0"/>
      <w:ind w:left="0" w:leftChars="0" w:right="0" w:rightChars="0" w:firstLine="0" w:firstLineChars="0"/>
      <w:jc w:val="right"/>
      <w:rPr>
        <w:rFonts w:hint="default" w:eastAsia="宋体"/>
        <w:sz w:val="21"/>
        <w:szCs w:val="21"/>
        <w:lang w:val="en-US" w:eastAsia="zh-CN"/>
      </w:rPr>
    </w:pPr>
    <w:r>
      <w:rPr>
        <w:rFonts w:hint="eastAsia" w:eastAsia="宋体"/>
        <w:sz w:val="18"/>
        <w:szCs w:val="18"/>
        <w:lang w:val="en-US" w:eastAsia="zh-CN"/>
      </w:rPr>
      <w:t>内容安全审核网关以及内容安全审核终端快速交付手册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C37700"/>
    <w:multiLevelType w:val="singleLevel"/>
    <w:tmpl w:val="84C3770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5D80DA8"/>
    <w:multiLevelType w:val="singleLevel"/>
    <w:tmpl w:val="55D80DA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NGQ4MDY4NjMxYWVlMzc3ODM2NDE0MmU1ODUxYzYifQ=="/>
    <w:docVar w:name="KSO_WPS_MARK_KEY" w:val="fcc34826-900e-4073-94e7-5513b58167f9"/>
  </w:docVars>
  <w:rsids>
    <w:rsidRoot w:val="00000000"/>
    <w:rsid w:val="001D5FB4"/>
    <w:rsid w:val="004672B9"/>
    <w:rsid w:val="0082148F"/>
    <w:rsid w:val="0127533C"/>
    <w:rsid w:val="014B75D6"/>
    <w:rsid w:val="01AE15BA"/>
    <w:rsid w:val="01B7102D"/>
    <w:rsid w:val="01E26BF4"/>
    <w:rsid w:val="025056FA"/>
    <w:rsid w:val="0270061D"/>
    <w:rsid w:val="032E3E67"/>
    <w:rsid w:val="03343D40"/>
    <w:rsid w:val="0353518A"/>
    <w:rsid w:val="040F3E4E"/>
    <w:rsid w:val="04A42800"/>
    <w:rsid w:val="04AB1DE0"/>
    <w:rsid w:val="04B05649"/>
    <w:rsid w:val="051A0D14"/>
    <w:rsid w:val="055D0409"/>
    <w:rsid w:val="059705B7"/>
    <w:rsid w:val="05DE1521"/>
    <w:rsid w:val="0612421A"/>
    <w:rsid w:val="061A5470"/>
    <w:rsid w:val="063F4ED6"/>
    <w:rsid w:val="064E336B"/>
    <w:rsid w:val="06DF0467"/>
    <w:rsid w:val="070659F4"/>
    <w:rsid w:val="07111CDF"/>
    <w:rsid w:val="07612C2A"/>
    <w:rsid w:val="07B74F40"/>
    <w:rsid w:val="07BB2F2E"/>
    <w:rsid w:val="083A6017"/>
    <w:rsid w:val="0840356C"/>
    <w:rsid w:val="085B1D6F"/>
    <w:rsid w:val="08872B64"/>
    <w:rsid w:val="088D50D2"/>
    <w:rsid w:val="08CC0577"/>
    <w:rsid w:val="09811362"/>
    <w:rsid w:val="09B2776D"/>
    <w:rsid w:val="0A491EEB"/>
    <w:rsid w:val="0AFF4366"/>
    <w:rsid w:val="0B043FF8"/>
    <w:rsid w:val="0C061FF2"/>
    <w:rsid w:val="0C236700"/>
    <w:rsid w:val="0C33193E"/>
    <w:rsid w:val="0C34090D"/>
    <w:rsid w:val="0D0504FC"/>
    <w:rsid w:val="0D6E42F3"/>
    <w:rsid w:val="0E3055B6"/>
    <w:rsid w:val="0E323572"/>
    <w:rsid w:val="0E636A64"/>
    <w:rsid w:val="0F4C0664"/>
    <w:rsid w:val="0F865924"/>
    <w:rsid w:val="0F9F2542"/>
    <w:rsid w:val="0FE64614"/>
    <w:rsid w:val="10FE773C"/>
    <w:rsid w:val="112D5F41"/>
    <w:rsid w:val="120D52C6"/>
    <w:rsid w:val="123C676E"/>
    <w:rsid w:val="127A4016"/>
    <w:rsid w:val="12A762DD"/>
    <w:rsid w:val="12B74046"/>
    <w:rsid w:val="12E070F9"/>
    <w:rsid w:val="134578A4"/>
    <w:rsid w:val="136A44FA"/>
    <w:rsid w:val="13823AF7"/>
    <w:rsid w:val="14157276"/>
    <w:rsid w:val="14172FEE"/>
    <w:rsid w:val="143C2A55"/>
    <w:rsid w:val="14A423A8"/>
    <w:rsid w:val="14AD3953"/>
    <w:rsid w:val="14E153AA"/>
    <w:rsid w:val="14E66DB1"/>
    <w:rsid w:val="158C3568"/>
    <w:rsid w:val="1653052A"/>
    <w:rsid w:val="166D339A"/>
    <w:rsid w:val="168D3A3C"/>
    <w:rsid w:val="16A60564"/>
    <w:rsid w:val="16B03286"/>
    <w:rsid w:val="16CF5E02"/>
    <w:rsid w:val="172F4AF3"/>
    <w:rsid w:val="17345C65"/>
    <w:rsid w:val="174C1201"/>
    <w:rsid w:val="17A27073"/>
    <w:rsid w:val="17BC109E"/>
    <w:rsid w:val="17D31922"/>
    <w:rsid w:val="1853036D"/>
    <w:rsid w:val="18F338FE"/>
    <w:rsid w:val="1ADF05DE"/>
    <w:rsid w:val="1B252495"/>
    <w:rsid w:val="1B3721C8"/>
    <w:rsid w:val="1B721452"/>
    <w:rsid w:val="1B9238A2"/>
    <w:rsid w:val="1D5A4FA4"/>
    <w:rsid w:val="1E390005"/>
    <w:rsid w:val="1E4E3AB1"/>
    <w:rsid w:val="1E7A2AF8"/>
    <w:rsid w:val="1EBA1146"/>
    <w:rsid w:val="1ED57F6E"/>
    <w:rsid w:val="1EF630B4"/>
    <w:rsid w:val="1F073C5F"/>
    <w:rsid w:val="1F1F71FB"/>
    <w:rsid w:val="1F2157F2"/>
    <w:rsid w:val="1FAE524F"/>
    <w:rsid w:val="1FCF0C21"/>
    <w:rsid w:val="1FE06D7A"/>
    <w:rsid w:val="1FED10A7"/>
    <w:rsid w:val="209459C7"/>
    <w:rsid w:val="210743EB"/>
    <w:rsid w:val="22437883"/>
    <w:rsid w:val="236B0C61"/>
    <w:rsid w:val="23952182"/>
    <w:rsid w:val="23D22A8E"/>
    <w:rsid w:val="23ED3D6C"/>
    <w:rsid w:val="246D6C5B"/>
    <w:rsid w:val="24945F95"/>
    <w:rsid w:val="24DB4284"/>
    <w:rsid w:val="24F7645E"/>
    <w:rsid w:val="252743A6"/>
    <w:rsid w:val="2568139F"/>
    <w:rsid w:val="25B34B41"/>
    <w:rsid w:val="26630315"/>
    <w:rsid w:val="26D1527F"/>
    <w:rsid w:val="272E0923"/>
    <w:rsid w:val="27651E6B"/>
    <w:rsid w:val="27D1127A"/>
    <w:rsid w:val="27E2526A"/>
    <w:rsid w:val="281C46E0"/>
    <w:rsid w:val="285A5748"/>
    <w:rsid w:val="29183639"/>
    <w:rsid w:val="296F7BC6"/>
    <w:rsid w:val="29CF0977"/>
    <w:rsid w:val="2A1A6F3D"/>
    <w:rsid w:val="2AC62C21"/>
    <w:rsid w:val="2AFB6BEE"/>
    <w:rsid w:val="2B9D203E"/>
    <w:rsid w:val="2BE75544"/>
    <w:rsid w:val="2C432859"/>
    <w:rsid w:val="2DB11966"/>
    <w:rsid w:val="2E0A551A"/>
    <w:rsid w:val="2F436F36"/>
    <w:rsid w:val="2F6824F8"/>
    <w:rsid w:val="2FAA48BF"/>
    <w:rsid w:val="2FD656B4"/>
    <w:rsid w:val="2FE00D46"/>
    <w:rsid w:val="30240B15"/>
    <w:rsid w:val="306049AF"/>
    <w:rsid w:val="30717AD3"/>
    <w:rsid w:val="30FC739C"/>
    <w:rsid w:val="31DB5204"/>
    <w:rsid w:val="3216623C"/>
    <w:rsid w:val="32DB67EB"/>
    <w:rsid w:val="33467029"/>
    <w:rsid w:val="336E3E55"/>
    <w:rsid w:val="33C70135"/>
    <w:rsid w:val="33CB0D71"/>
    <w:rsid w:val="34B955A4"/>
    <w:rsid w:val="34C71A6F"/>
    <w:rsid w:val="34E645EB"/>
    <w:rsid w:val="35507AD8"/>
    <w:rsid w:val="357E0CC8"/>
    <w:rsid w:val="36FF1994"/>
    <w:rsid w:val="37EB1F18"/>
    <w:rsid w:val="39137979"/>
    <w:rsid w:val="39567866"/>
    <w:rsid w:val="39A46823"/>
    <w:rsid w:val="39B765E6"/>
    <w:rsid w:val="3AA0523C"/>
    <w:rsid w:val="3AD82C28"/>
    <w:rsid w:val="3AE7412C"/>
    <w:rsid w:val="3AEA6C56"/>
    <w:rsid w:val="3B2B6E50"/>
    <w:rsid w:val="3BC66F24"/>
    <w:rsid w:val="3CDD2778"/>
    <w:rsid w:val="3CF90C34"/>
    <w:rsid w:val="3D3E0D3C"/>
    <w:rsid w:val="3D69400B"/>
    <w:rsid w:val="3DF00B18"/>
    <w:rsid w:val="3DFC685D"/>
    <w:rsid w:val="3E9C21BE"/>
    <w:rsid w:val="3EE020AB"/>
    <w:rsid w:val="3F882BC7"/>
    <w:rsid w:val="41313092"/>
    <w:rsid w:val="417C16AA"/>
    <w:rsid w:val="41EF6674"/>
    <w:rsid w:val="42472441"/>
    <w:rsid w:val="42A653BA"/>
    <w:rsid w:val="42C65A5C"/>
    <w:rsid w:val="434F77FF"/>
    <w:rsid w:val="435D048F"/>
    <w:rsid w:val="43735791"/>
    <w:rsid w:val="4389053E"/>
    <w:rsid w:val="43DF18CE"/>
    <w:rsid w:val="442D02EE"/>
    <w:rsid w:val="44B6499C"/>
    <w:rsid w:val="44F5176C"/>
    <w:rsid w:val="4690085B"/>
    <w:rsid w:val="476117F4"/>
    <w:rsid w:val="477261B2"/>
    <w:rsid w:val="47BC11DC"/>
    <w:rsid w:val="47CA38F8"/>
    <w:rsid w:val="48013776"/>
    <w:rsid w:val="489D725F"/>
    <w:rsid w:val="48B3438D"/>
    <w:rsid w:val="49467FBD"/>
    <w:rsid w:val="496164DE"/>
    <w:rsid w:val="4990351C"/>
    <w:rsid w:val="49D1530D"/>
    <w:rsid w:val="4A201EF6"/>
    <w:rsid w:val="4A2D4613"/>
    <w:rsid w:val="4A861C05"/>
    <w:rsid w:val="4AF33166"/>
    <w:rsid w:val="4B9B6707"/>
    <w:rsid w:val="4BD65D80"/>
    <w:rsid w:val="4C0233B4"/>
    <w:rsid w:val="4C2D26A8"/>
    <w:rsid w:val="4C6F4A6E"/>
    <w:rsid w:val="4CBA5BF5"/>
    <w:rsid w:val="4CC254E6"/>
    <w:rsid w:val="4D2F41FE"/>
    <w:rsid w:val="4D961A76"/>
    <w:rsid w:val="4F027E1C"/>
    <w:rsid w:val="4F0C059E"/>
    <w:rsid w:val="4F691C49"/>
    <w:rsid w:val="4F8E16AF"/>
    <w:rsid w:val="4FF927CB"/>
    <w:rsid w:val="501871CB"/>
    <w:rsid w:val="5080010F"/>
    <w:rsid w:val="50F10A4A"/>
    <w:rsid w:val="5181771E"/>
    <w:rsid w:val="518B61DE"/>
    <w:rsid w:val="51A451BA"/>
    <w:rsid w:val="52214A5D"/>
    <w:rsid w:val="52790E61"/>
    <w:rsid w:val="52DB4C0C"/>
    <w:rsid w:val="530C3017"/>
    <w:rsid w:val="54336CC9"/>
    <w:rsid w:val="54993DDE"/>
    <w:rsid w:val="54994D7E"/>
    <w:rsid w:val="55621614"/>
    <w:rsid w:val="55AC288F"/>
    <w:rsid w:val="56562F98"/>
    <w:rsid w:val="56A812A9"/>
    <w:rsid w:val="56CB4F97"/>
    <w:rsid w:val="56EC5E93"/>
    <w:rsid w:val="570D1A54"/>
    <w:rsid w:val="57137E5D"/>
    <w:rsid w:val="571D68C4"/>
    <w:rsid w:val="58B55EFF"/>
    <w:rsid w:val="590007B6"/>
    <w:rsid w:val="595D6BCF"/>
    <w:rsid w:val="59653481"/>
    <w:rsid w:val="5966366C"/>
    <w:rsid w:val="5A032C9A"/>
    <w:rsid w:val="5B296730"/>
    <w:rsid w:val="5B8D433A"/>
    <w:rsid w:val="5BF1724E"/>
    <w:rsid w:val="5BFF1759"/>
    <w:rsid w:val="5C1473E0"/>
    <w:rsid w:val="5C2C0077"/>
    <w:rsid w:val="5DBE7604"/>
    <w:rsid w:val="5E086D76"/>
    <w:rsid w:val="5E4775F9"/>
    <w:rsid w:val="5E855B7C"/>
    <w:rsid w:val="5F236448"/>
    <w:rsid w:val="5F531FCE"/>
    <w:rsid w:val="5F6441DB"/>
    <w:rsid w:val="5F762387"/>
    <w:rsid w:val="60C969EB"/>
    <w:rsid w:val="60DA29A7"/>
    <w:rsid w:val="611A41FB"/>
    <w:rsid w:val="613A1803"/>
    <w:rsid w:val="617C31B6"/>
    <w:rsid w:val="618B6F9C"/>
    <w:rsid w:val="61DF5D9B"/>
    <w:rsid w:val="62B72874"/>
    <w:rsid w:val="62C534D2"/>
    <w:rsid w:val="62F12229"/>
    <w:rsid w:val="633F11E7"/>
    <w:rsid w:val="63585E05"/>
    <w:rsid w:val="63595F3C"/>
    <w:rsid w:val="641F6922"/>
    <w:rsid w:val="648B5802"/>
    <w:rsid w:val="64C0571D"/>
    <w:rsid w:val="64DE2339"/>
    <w:rsid w:val="658C79CE"/>
    <w:rsid w:val="65E971E8"/>
    <w:rsid w:val="66061B48"/>
    <w:rsid w:val="66197863"/>
    <w:rsid w:val="67A05FCC"/>
    <w:rsid w:val="6853303E"/>
    <w:rsid w:val="68CF4DBB"/>
    <w:rsid w:val="68D979E8"/>
    <w:rsid w:val="691D08B1"/>
    <w:rsid w:val="692A1FF1"/>
    <w:rsid w:val="69A62D59"/>
    <w:rsid w:val="6A0B3BD1"/>
    <w:rsid w:val="6A624A2F"/>
    <w:rsid w:val="6A627569"/>
    <w:rsid w:val="6A813E93"/>
    <w:rsid w:val="6A8271B5"/>
    <w:rsid w:val="6AB778B5"/>
    <w:rsid w:val="6AFE7291"/>
    <w:rsid w:val="6B8218B6"/>
    <w:rsid w:val="6B86587B"/>
    <w:rsid w:val="6CDE55CC"/>
    <w:rsid w:val="6CE40709"/>
    <w:rsid w:val="6CF44DF0"/>
    <w:rsid w:val="6CF90658"/>
    <w:rsid w:val="6D6C2BD8"/>
    <w:rsid w:val="6D9D3007"/>
    <w:rsid w:val="6DFB76C0"/>
    <w:rsid w:val="6E296D1B"/>
    <w:rsid w:val="6F3E67F6"/>
    <w:rsid w:val="6F696629"/>
    <w:rsid w:val="70AB487B"/>
    <w:rsid w:val="70B54896"/>
    <w:rsid w:val="70C13164"/>
    <w:rsid w:val="720D60DF"/>
    <w:rsid w:val="722F2426"/>
    <w:rsid w:val="72AC1CC9"/>
    <w:rsid w:val="731E54B9"/>
    <w:rsid w:val="732E0930"/>
    <w:rsid w:val="73A62BBC"/>
    <w:rsid w:val="73FE19F5"/>
    <w:rsid w:val="75671ED7"/>
    <w:rsid w:val="757C3BD5"/>
    <w:rsid w:val="75926848"/>
    <w:rsid w:val="75B0387E"/>
    <w:rsid w:val="75FB71EF"/>
    <w:rsid w:val="760342F6"/>
    <w:rsid w:val="76191423"/>
    <w:rsid w:val="768A0573"/>
    <w:rsid w:val="768C6099"/>
    <w:rsid w:val="771F5EF3"/>
    <w:rsid w:val="772269FE"/>
    <w:rsid w:val="773172AD"/>
    <w:rsid w:val="776963DA"/>
    <w:rsid w:val="77B043E6"/>
    <w:rsid w:val="77CD4BBB"/>
    <w:rsid w:val="781C4995"/>
    <w:rsid w:val="78C2155B"/>
    <w:rsid w:val="79825532"/>
    <w:rsid w:val="7A460C55"/>
    <w:rsid w:val="7A9814B1"/>
    <w:rsid w:val="7B8643F6"/>
    <w:rsid w:val="7BCB02A5"/>
    <w:rsid w:val="7C5B51BF"/>
    <w:rsid w:val="7D496A92"/>
    <w:rsid w:val="7DD648CC"/>
    <w:rsid w:val="7E186464"/>
    <w:rsid w:val="7E6B47E6"/>
    <w:rsid w:val="7EAD12A3"/>
    <w:rsid w:val="7EB944DE"/>
    <w:rsid w:val="7EF93FBE"/>
    <w:rsid w:val="7F062761"/>
    <w:rsid w:val="7F6A2CF0"/>
    <w:rsid w:val="7FFF57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50" w:beforeLines="50" w:after="50" w:afterLines="50" w:line="360" w:lineRule="auto"/>
      <w:ind w:left="105" w:leftChars="50" w:right="105" w:rightChars="50" w:firstLine="643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16"/>
      <w:szCs w:val="16"/>
    </w:rPr>
  </w:style>
  <w:style w:type="paragraph" w:styleId="7">
    <w:name w:val="Normal Indent"/>
    <w:basedOn w:val="1"/>
    <w:qFormat/>
    <w:uiPriority w:val="99"/>
    <w:pPr>
      <w:spacing w:before="100" w:beforeAutospacing="1" w:after="100" w:afterAutospacing="1"/>
      <w:ind w:firstLine="482"/>
    </w:pPr>
    <w:rPr>
      <w:rFonts w:ascii="Arial" w:hAnsi="Arial" w:cs="Times New Roman"/>
      <w:szCs w:val="20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2046</Words>
  <Characters>2384</Characters>
  <Lines>0</Lines>
  <Paragraphs>0</Paragraphs>
  <TotalTime>5</TotalTime>
  <ScaleCrop>false</ScaleCrop>
  <LinksUpToDate>false</LinksUpToDate>
  <CharactersWithSpaces>2410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2024-11-27T01:57:00Z</dcterms:created>
  <dc:creator>郑伟杰</dc:creator>
  <cp:lastModifiedBy>林剑锋</cp:lastModifiedBy>
  <dcterms:modified xsi:type="dcterms:W3CDTF">2025-09-01T07:27:27Z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0AA9425409E14111AAC1E15A81B5AA2E_13</vt:lpwstr>
  </property>
  <property fmtid="{D5CDD505-2E9C-101B-9397-08002B2CF9AE}" pid="4" name="KSOTemplateDocerSaveRecord">
    <vt:lpwstr>eyJoZGlkIjoiN2YzNjBkOTgyNWQ1YTMxYzM3MzMwNWFiODNmOWIzYWMiLCJ1c2VySWQiOiI2MTg1OTAxMDcifQ==</vt:lpwstr>
  </property>
</Properties>
</file>