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p>
      <w:pPr>
        <w:spacing w:line="420" w:lineRule="exact"/>
        <w:jc w:val="center"/>
        <w:rPr>
          <w:rFonts w:hint="eastAsia" w:eastAsia="宋体"/>
          <w:i/>
          <w:color w:val="FF0000"/>
          <w:lang w:eastAsia="zh-CN"/>
        </w:rPr>
      </w:pPr>
      <w:r>
        <w:rPr>
          <w:rFonts w:hint="eastAsia"/>
          <w:i/>
          <w:color w:val="FF0000"/>
        </w:rPr>
        <w:t>请列出使用的全部</w:t>
      </w:r>
      <w:r>
        <w:rPr>
          <w:rFonts w:hint="eastAsia"/>
          <w:i/>
          <w:color w:val="FF0000"/>
          <w:lang w:eastAsia="zh-CN"/>
        </w:rPr>
        <w:t>开源软件/组件</w:t>
      </w:r>
    </w:p>
    <w:p>
      <w:pPr>
        <w:spacing w:line="420" w:lineRule="exact"/>
        <w:jc w:val="center"/>
        <w:rPr>
          <w:i/>
          <w:color w:val="FF0000"/>
        </w:rPr>
      </w:pPr>
      <w:r>
        <w:rPr>
          <w:i/>
          <w:color w:val="FF0000"/>
        </w:rPr>
        <w:t>P</w:t>
      </w:r>
      <w:r>
        <w:rPr>
          <w:rFonts w:hint="eastAsia"/>
          <w:i/>
          <w:color w:val="FF0000"/>
        </w:rPr>
        <w:t xml:space="preserve">lease list all </w:t>
      </w:r>
      <w:r>
        <w:rPr>
          <w:rFonts w:hint="eastAsia"/>
          <w:i/>
          <w:color w:val="FF0000"/>
          <w:lang w:eastAsia="zh-CN"/>
        </w:rPr>
        <w:t>open source software/components</w:t>
      </w:r>
      <w:r>
        <w:rPr>
          <w:rFonts w:hint="eastAsia"/>
          <w:i/>
          <w:color w:val="FF0000"/>
        </w:rPr>
        <w:t xml:space="preserve"> used</w:t>
      </w:r>
    </w:p>
    <w:tbl>
      <w:tblPr>
        <w:tblStyle w:val="14"/>
        <w:tblW w:w="8750" w:type="dxa"/>
        <w:tblInd w:w="0" w:type="dxa"/>
        <w:tblLayout w:type="fixed"/>
        <w:tblCellMar>
          <w:top w:w="0" w:type="dxa"/>
          <w:left w:w="0" w:type="dxa"/>
          <w:bottom w:w="0" w:type="dxa"/>
          <w:right w:w="0" w:type="dxa"/>
        </w:tblCellMar>
      </w:tblPr>
      <w:tblGrid>
        <w:gridCol w:w="1720"/>
        <w:gridCol w:w="1401"/>
        <w:gridCol w:w="2115"/>
        <w:gridCol w:w="3514"/>
      </w:tblGrid>
      <w:tr>
        <w:tblPrEx>
          <w:tblCellMar>
            <w:top w:w="0" w:type="dxa"/>
            <w:left w:w="0" w:type="dxa"/>
            <w:bottom w:w="0" w:type="dxa"/>
            <w:right w:w="0" w:type="dxa"/>
          </w:tblCellMar>
        </w:tblPrEx>
        <w:tc>
          <w:tcPr>
            <w:tcW w:w="1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40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11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51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7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Websoft9微聚云应用托管平台</w:t>
            </w:r>
          </w:p>
        </w:tc>
        <w:tc>
          <w:tcPr>
            <w:tcW w:w="140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V2.1.5</w:t>
            </w:r>
          </w:p>
        </w:tc>
        <w:tc>
          <w:tcPr>
            <w:tcW w:w="211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rPr>
            </w:pPr>
            <w:r>
              <w:rPr>
                <w:rFonts w:hint="eastAsia"/>
                <w:lang w:val="en-US" w:eastAsia="zh-CN"/>
              </w:rPr>
              <w:t>LGPL v3</w:t>
            </w:r>
          </w:p>
        </w:tc>
        <w:tc>
          <w:tcPr>
            <w:tcW w:w="3514"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https://github.com/Websoft9/websoft9</w:t>
            </w:r>
          </w:p>
        </w:tc>
      </w:tr>
      <w:tr>
        <w:tblPrEx>
          <w:tblCellMar>
            <w:top w:w="0" w:type="dxa"/>
            <w:left w:w="0" w:type="dxa"/>
            <w:bottom w:w="0" w:type="dxa"/>
            <w:right w:w="0" w:type="dxa"/>
          </w:tblCellMar>
        </w:tblPrEx>
        <w:tc>
          <w:tcPr>
            <w:tcW w:w="172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40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11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3514"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rPr>
          <w:rFonts w:hint="default"/>
          <w:i/>
          <w:color w:val="FF0000"/>
          <w:lang w:val="en-US"/>
        </w:rPr>
      </w:pPr>
      <w:r>
        <w:rPr>
          <w:rFonts w:hint="eastAsia"/>
          <w:i/>
          <w:color w:val="FF0000"/>
          <w:lang w:val="en-US" w:eastAsia="zh-CN"/>
        </w:rPr>
        <w:t>Websoft9 微聚云应用托管平台 2.1.5</w:t>
      </w:r>
    </w:p>
    <w:p>
      <w:pPr>
        <w:pStyle w:val="2"/>
        <w:rPr>
          <w:i/>
        </w:rPr>
      </w:pPr>
      <w:r>
        <w:t xml:space="preserve">Copyright notice </w:t>
      </w:r>
      <w:r>
        <w:rPr>
          <w:rFonts w:hint="eastAsia" w:ascii="微软雅黑" w:hAnsi="微软雅黑" w:eastAsia="微软雅黑" w:cs="Arial"/>
        </w:rPr>
        <w:t>版权声明</w:t>
      </w:r>
    </w:p>
    <w:p>
      <w:pPr>
        <w:pStyle w:val="11"/>
        <w:keepNext w:val="0"/>
        <w:keepLines w:val="0"/>
        <w:widowControl/>
        <w:suppressLineNumbers w:val="0"/>
        <w:shd w:val="clear" w:fill="FFFFFF"/>
        <w:spacing w:before="0" w:beforeAutospacing="0" w:after="240" w:afterAutospacing="0"/>
        <w:ind w:left="0" w:firstLine="0"/>
        <w:rPr>
          <w:rFonts w:ascii="Segoe UI" w:hAnsi="Segoe UI" w:eastAsia="Segoe UI" w:cs="Segoe UI"/>
          <w:i w:val="0"/>
          <w:iCs w:val="0"/>
          <w:caps w:val="0"/>
          <w:color w:val="1F2328"/>
          <w:spacing w:val="0"/>
          <w:sz w:val="24"/>
          <w:szCs w:val="24"/>
        </w:rPr>
      </w:pPr>
      <w:r>
        <w:rPr>
          <w:rFonts w:hint="default" w:ascii="Segoe UI" w:hAnsi="Segoe UI" w:eastAsia="Segoe UI" w:cs="Segoe UI"/>
          <w:i w:val="0"/>
          <w:iCs w:val="0"/>
          <w:caps w:val="0"/>
          <w:color w:val="1F2328"/>
          <w:spacing w:val="0"/>
          <w:sz w:val="24"/>
          <w:szCs w:val="24"/>
          <w:shd w:val="clear" w:fill="FFFFFF"/>
        </w:rPr>
        <w:t>This program is released under LGPL-3.0 and with the additional Terms: Without authorization, it is not allowed to publish free or paid image based on this program in any Cloud platform's Marketplace.</w:t>
      </w:r>
    </w:p>
    <w:p>
      <w:pPr>
        <w:pStyle w:val="2"/>
        <w:rPr>
          <w:rFonts w:hint="eastAsia"/>
          <w:i/>
          <w:color w:val="FF0000"/>
        </w:rPr>
      </w:pPr>
      <w:r>
        <w:t xml:space="preserve">License </w:t>
      </w:r>
      <w:r>
        <w:rPr>
          <w:rFonts w:hint="eastAsia" w:ascii="微软雅黑" w:hAnsi="微软雅黑" w:eastAsia="微软雅黑" w:cs="Arial"/>
        </w:rPr>
        <w:t>许可证</w:t>
      </w:r>
      <w:bookmarkStart w:id="0" w:name="_GoBack"/>
      <w:bookmarkEnd w:id="0"/>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52" w:beforeAutospacing="0" w:after="168" w:afterAutospacing="0"/>
        <w:ind w:leftChars="0" w:right="0" w:rightChars="0"/>
        <w:jc w:val="both"/>
        <w:rPr>
          <w:rFonts w:hint="default" w:ascii="Times New Roman" w:hAnsi="Times New Roman" w:cs="Times New Roman"/>
          <w:b/>
          <w:bCs/>
          <w:i w:val="0"/>
          <w:iCs w:val="0"/>
          <w:caps w:val="0"/>
          <w:color w:val="333333"/>
          <w:spacing w:val="0"/>
          <w:sz w:val="29"/>
          <w:szCs w:val="29"/>
        </w:rPr>
      </w:pPr>
      <w:r>
        <w:rPr>
          <w:rFonts w:hint="default" w:ascii="Times New Roman" w:hAnsi="Times New Roman" w:cs="Times New Roman"/>
          <w:b/>
          <w:bCs/>
          <w:i w:val="0"/>
          <w:iCs w:val="0"/>
          <w:caps w:val="0"/>
          <w:color w:val="333333"/>
          <w:spacing w:val="0"/>
          <w:sz w:val="29"/>
          <w:szCs w:val="29"/>
          <w:bdr w:val="none" w:color="auto" w:sz="0" w:space="0"/>
          <w:shd w:val="clear" w:fill="FFFFFF"/>
        </w:rPr>
        <w:t>GNU LESSER GENERAL PUBLIC LICENSE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center"/>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Version 3, 29 June 2007</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Copyright © 2007 Free Software Foundation, Inc. &lt;</w:t>
      </w:r>
      <w:r>
        <w:rPr>
          <w:rFonts w:ascii="sans-serif" w:hAnsi="sans-serif" w:eastAsia="sans-serif" w:cs="sans-serif"/>
          <w:i w:val="0"/>
          <w:iCs w:val="0"/>
          <w:caps w:val="0"/>
          <w:color w:val="004499"/>
          <w:spacing w:val="0"/>
          <w:sz w:val="25"/>
          <w:szCs w:val="25"/>
          <w:bdr w:val="none" w:color="auto" w:sz="0" w:space="0"/>
          <w:shd w:val="clear" w:fill="FFFFFF"/>
        </w:rPr>
        <w:fldChar w:fldCharType="begin"/>
      </w:r>
      <w:r>
        <w:rPr>
          <w:rFonts w:ascii="sans-serif" w:hAnsi="sans-serif" w:eastAsia="sans-serif" w:cs="sans-serif"/>
          <w:i w:val="0"/>
          <w:iCs w:val="0"/>
          <w:caps w:val="0"/>
          <w:color w:val="004499"/>
          <w:spacing w:val="0"/>
          <w:sz w:val="25"/>
          <w:szCs w:val="25"/>
          <w:bdr w:val="none" w:color="auto" w:sz="0" w:space="0"/>
          <w:shd w:val="clear" w:fill="FFFFFF"/>
        </w:rPr>
        <w:instrText xml:space="preserve"> HYPERLINK "https://fsf.org/" </w:instrText>
      </w:r>
      <w:r>
        <w:rPr>
          <w:rFonts w:ascii="sans-serif" w:hAnsi="sans-serif" w:eastAsia="sans-serif" w:cs="sans-serif"/>
          <w:i w:val="0"/>
          <w:iCs w:val="0"/>
          <w:caps w:val="0"/>
          <w:color w:val="004499"/>
          <w:spacing w:val="0"/>
          <w:sz w:val="25"/>
          <w:szCs w:val="25"/>
          <w:bdr w:val="none" w:color="auto" w:sz="0" w:space="0"/>
          <w:shd w:val="clear" w:fill="FFFFFF"/>
        </w:rPr>
        <w:fldChar w:fldCharType="separate"/>
      </w:r>
      <w:r>
        <w:rPr>
          <w:rStyle w:val="17"/>
          <w:rFonts w:hint="default" w:ascii="sans-serif" w:hAnsi="sans-serif" w:eastAsia="sans-serif" w:cs="sans-serif"/>
          <w:i w:val="0"/>
          <w:iCs w:val="0"/>
          <w:caps w:val="0"/>
          <w:color w:val="004499"/>
          <w:spacing w:val="0"/>
          <w:sz w:val="25"/>
          <w:szCs w:val="25"/>
          <w:bdr w:val="none" w:color="auto" w:sz="0" w:space="0"/>
          <w:shd w:val="clear" w:fill="FFFFFF"/>
        </w:rPr>
        <w:t>https://fsf.org/</w:t>
      </w:r>
      <w:r>
        <w:rPr>
          <w:rFonts w:hint="default" w:ascii="sans-serif" w:hAnsi="sans-serif" w:eastAsia="sans-serif" w:cs="sans-serif"/>
          <w:i w:val="0"/>
          <w:iCs w:val="0"/>
          <w:caps w:val="0"/>
          <w:color w:val="004499"/>
          <w:spacing w:val="0"/>
          <w:sz w:val="25"/>
          <w:szCs w:val="25"/>
          <w:bdr w:val="none" w:color="auto" w:sz="0" w:space="0"/>
          <w:shd w:val="clear" w:fill="FFFFFF"/>
        </w:rPr>
        <w:fldChar w:fldCharType="end"/>
      </w:r>
      <w:r>
        <w:rPr>
          <w:rFonts w:hint="default" w:ascii="Times New Roman" w:hAnsi="Times New Roman" w:cs="Times New Roman"/>
          <w:i w:val="0"/>
          <w:iCs w:val="0"/>
          <w:caps w:val="0"/>
          <w:color w:val="222222"/>
          <w:spacing w:val="0"/>
          <w:sz w:val="25"/>
          <w:szCs w:val="25"/>
          <w:bdr w:val="none" w:color="auto" w:sz="0" w:space="0"/>
          <w:shd w:val="clear" w:fill="FFFFFF"/>
        </w:rPr>
        <w:t>&gt;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Everyone is permitted to copy and distribute verbatim copies of this license document, but changing it is not allowed.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This version of the GNU Lesser General Public License incorporates the terms and conditions of version 3 of the GNU General Public License, supplemented by the additional permissions listed below.</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0. Additional Definitions.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As used herein, “this License” refers to version 3 of the GNU Lesser General Public License, and the “GNU GPL” refers to version 3 of the GNU General Public License.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“The Library” refers to a covered work governed by this License, other than an Application or a Combined Work as defined below.</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An “Application” is any work that makes use of an interface provided by the Library, but which is not otherwise based on the Library. Defining a subclass of a class defined by the Library is deemed a mode of using an interface provided by the Library.</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A “Combined Work” is a work produced by combining or linking an Application with the Library. The particular version of the Library with which the Combined Work was made is also called the “Linked 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The “Minimal Corresponding Source” for a Combined Work means the Corresponding Source for the Combined Work, excluding any source code for portions of the Combined Work that, considered in isolation, are based on the Application, and not on the Linked 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1. Exception to Section 3 of the GNU GPL.</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You may convey a covered work under sections 3 and 4 of this License without being bound by section 3 of the GNU GPL.</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2. Conveying Modified Versions.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a) under this License, provided that you make a good faith effort to ensure that, in the event an Application does not supply the function or data, the facility still operates, and performs whatever part of its purpose remains meaningful, or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b) under the GNU GPL, with none of the additional permissions of this License applicable to that copy.</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3. Object Code Incorporating Material from Library Header Files.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a) Give prominent notice with each copy of the object code that the Library is used in it and that the Library and its use are covered by this License.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b) Accompany the object code with a copy of the GNU GPL and this license document.</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4. Combined Works.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a) Give prominent notice with each copy of the Combined Work that the Library is used in it and that the Library and its use are covered by this License.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b) Accompany the Combined Work with a copy of the GNU GPL and this license document.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c) For a Combined Work that displays copyright notices during execution, include the copyright notice for the Library among these notices, as well as a reference directing the user to the copies of the GNU GPL and this license document.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d) Do one of the following:</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63" w:beforeAutospacing="0" w:after="0" w:afterAutospacing="0" w:line="315" w:lineRule="atLeast"/>
        <w:ind w:left="546"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tabs>
          <w:tab w:val="left" w:pos="1440"/>
        </w:tabs>
        <w:spacing w:before="63" w:beforeAutospacing="0" w:after="0" w:afterAutospacing="0" w:line="315" w:lineRule="atLeast"/>
        <w:ind w:left="546"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5. Combined Libraries.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a) Accompany the combined library with a copy of the same work based on the Library, uncombined with any other library facilities, conveyed under the terms of this License.</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82" w:right="0" w:hanging="360"/>
        <w:jc w:val="left"/>
      </w:pPr>
      <w:r>
        <w:rPr>
          <w:rFonts w:hint="default" w:ascii="Times New Roman" w:hAnsi="Times New Roman" w:cs="Times New Roman"/>
          <w:i w:val="0"/>
          <w:iCs w:val="0"/>
          <w:caps w:val="0"/>
          <w:color w:val="222222"/>
          <w:spacing w:val="0"/>
          <w:sz w:val="25"/>
          <w:szCs w:val="25"/>
          <w:bdr w:val="none" w:color="auto" w:sz="0" w:space="0"/>
          <w:shd w:val="clear" w:fill="FFFFFF"/>
        </w:rPr>
        <w:t>b) Give prominent notice with the combined library that part of it is a work based on the Library, and explaining where to find the accompanying uncombined form of the same work.</w:t>
      </w:r>
    </w:p>
    <w:p>
      <w:pPr>
        <w:pStyle w:val="5"/>
        <w:keepNext w:val="0"/>
        <w:keepLines w:val="0"/>
        <w:widowControl/>
        <w:suppressLineNumbers w:val="0"/>
        <w:shd w:val="clear" w:fill="FFFFFF"/>
        <w:spacing w:before="252" w:beforeAutospacing="0" w:after="178" w:afterAutospacing="0"/>
        <w:ind w:left="0" w:right="0" w:firstLine="0"/>
        <w:jc w:val="left"/>
        <w:rPr>
          <w:rFonts w:hint="default" w:ascii="Times New Roman" w:hAnsi="Times New Roman" w:cs="Times New Roman"/>
          <w:b/>
          <w:bCs/>
          <w:i w:val="0"/>
          <w:iCs w:val="0"/>
          <w:caps w:val="0"/>
          <w:color w:val="505050"/>
          <w:spacing w:val="0"/>
          <w:sz w:val="24"/>
          <w:szCs w:val="24"/>
        </w:rPr>
      </w:pPr>
      <w:r>
        <w:rPr>
          <w:rFonts w:hint="default" w:ascii="Times New Roman" w:hAnsi="Times New Roman" w:cs="Times New Roman"/>
          <w:b/>
          <w:bCs/>
          <w:i w:val="0"/>
          <w:iCs w:val="0"/>
          <w:caps w:val="0"/>
          <w:color w:val="505050"/>
          <w:spacing w:val="0"/>
          <w:sz w:val="24"/>
          <w:szCs w:val="24"/>
          <w:shd w:val="clear" w:fill="FFFFFF"/>
        </w:rPr>
        <w:t>6. Revised Versions of the GNU Lesser General Public License.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The Free Software Foundation may publish revised and/or new versions of the GNU Lesser General Public License from time to time. Such new versions will be similar in spirit to the present version, but may differ in detail to address new problems or concerns.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default" w:ascii="Times New Roman" w:hAnsi="Times New Roman" w:cs="Times New Roman"/>
          <w:i w:val="0"/>
          <w:iCs w:val="0"/>
          <w:caps w:val="0"/>
          <w:color w:val="222222"/>
          <w:spacing w:val="0"/>
          <w:sz w:val="25"/>
          <w:szCs w:val="25"/>
        </w:rPr>
      </w:pPr>
      <w:r>
        <w:rPr>
          <w:rFonts w:hint="default" w:ascii="Times New Roman" w:hAnsi="Times New Roman" w:cs="Times New Roman"/>
          <w:i w:val="0"/>
          <w:iCs w:val="0"/>
          <w:caps w:val="0"/>
          <w:color w:val="222222"/>
          <w:spacing w:val="0"/>
          <w:sz w:val="25"/>
          <w:szCs w:val="25"/>
          <w:bdr w:val="none" w:color="auto" w:sz="0" w:space="0"/>
          <w:shd w:val="clear" w:fill="FFFFFF"/>
        </w:rP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pPr>
        <w:widowControl/>
        <w:shd w:val="clear" w:color="auto" w:fill="FFFFFF"/>
        <w:autoSpaceDE/>
        <w:autoSpaceDN/>
        <w:adjustRightInd/>
        <w:spacing w:line="180" w:lineRule="atLeast"/>
        <w:rPr>
          <w:rFonts w:hint="eastAsia"/>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t>
      </w:r>
    </w:p>
    <w:p>
      <w:pPr>
        <w:pStyle w:val="34"/>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monospace)">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Wingdings">
    <w:panose1 w:val="05000000000000000000"/>
    <w:charset w:val="00"/>
    <w:family w:val="auto"/>
    <w:pitch w:val="default"/>
    <w:sig w:usb0="00000000" w:usb1="00000000" w:usb2="00000000" w:usb3="00000000" w:csb0="80000000" w:csb1="00000000"/>
  </w:font>
  <w:font w:name="sans-serif">
    <w:altName w:val="Euphorigeni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1B729"/>
    <w:multiLevelType w:val="multilevel"/>
    <w:tmpl w:val="9FA1B72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DC3C471"/>
    <w:multiLevelType w:val="multilevel"/>
    <w:tmpl w:val="ADC3C471"/>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76F5A7E"/>
    <w:multiLevelType w:val="multilevel"/>
    <w:tmpl w:val="D76F5A7E"/>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D94147E"/>
    <w:multiLevelType w:val="multilevel"/>
    <w:tmpl w:val="ED94147E"/>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5">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ZDllNmU5MGY0NDFlMTQ4ODdhMTgwNDhmZDk0MzI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43C54A3"/>
    <w:rsid w:val="045004A9"/>
    <w:rsid w:val="08704792"/>
    <w:rsid w:val="17BE7AF5"/>
    <w:rsid w:val="1D0018E7"/>
    <w:rsid w:val="2B686881"/>
    <w:rsid w:val="331E65EF"/>
    <w:rsid w:val="38E42B66"/>
    <w:rsid w:val="3E4D677A"/>
    <w:rsid w:val="473E03F2"/>
    <w:rsid w:val="48C953CC"/>
    <w:rsid w:val="5A6A2548"/>
    <w:rsid w:val="5B552392"/>
    <w:rsid w:val="5DE004FC"/>
    <w:rsid w:val="5EFC3284"/>
    <w:rsid w:val="61266DE1"/>
    <w:rsid w:val="6D8E2FDC"/>
    <w:rsid w:val="7CA9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7"/>
    <w:semiHidden/>
    <w:unhideWhenUsed/>
    <w:qFormat/>
    <w:uiPriority w:val="0"/>
  </w:style>
  <w:style w:type="paragraph" w:styleId="7">
    <w:name w:val="Balloon Text"/>
    <w:basedOn w:val="1"/>
    <w:link w:val="33"/>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5"/>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8"/>
    <w:semiHidden/>
    <w:unhideWhenUsed/>
    <w:qFormat/>
    <w:uiPriority w:val="0"/>
    <w:rPr>
      <w:b/>
      <w:bCs/>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HTML Code"/>
    <w:basedOn w:val="16"/>
    <w:semiHidden/>
    <w:unhideWhenUsed/>
    <w:uiPriority w:val="0"/>
    <w:rPr>
      <w:rFonts w:ascii="Courier New" w:hAnsi="Courier New"/>
      <w:sz w:val="20"/>
    </w:rPr>
  </w:style>
  <w:style w:type="character" w:styleId="19">
    <w:name w:val="annotation reference"/>
    <w:basedOn w:val="16"/>
    <w:semiHidden/>
    <w:unhideWhenUsed/>
    <w:qFormat/>
    <w:uiPriority w:val="0"/>
    <w:rPr>
      <w:sz w:val="21"/>
      <w:szCs w:val="21"/>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6"/>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Balloon Text Char"/>
    <w:basedOn w:val="16"/>
    <w:link w:val="7"/>
    <w:qFormat/>
    <w:uiPriority w:val="0"/>
    <w:rPr>
      <w:snapToGrid w:val="0"/>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Title Char"/>
    <w:basedOn w:val="16"/>
    <w:link w:val="12"/>
    <w:qFormat/>
    <w:uiPriority w:val="0"/>
    <w:rPr>
      <w:rFonts w:ascii="Cambria" w:hAnsi="Cambria"/>
      <w:b/>
      <w:bCs/>
      <w:snapToGrid w:val="0"/>
      <w:sz w:val="32"/>
      <w:szCs w:val="32"/>
    </w:rPr>
  </w:style>
  <w:style w:type="paragraph" w:styleId="36">
    <w:name w:val="List Paragraph"/>
    <w:basedOn w:val="1"/>
    <w:qFormat/>
    <w:uiPriority w:val="34"/>
    <w:pPr>
      <w:ind w:firstLine="420" w:firstLineChars="200"/>
    </w:pPr>
  </w:style>
  <w:style w:type="character" w:customStyle="1" w:styleId="37">
    <w:name w:val="Comment Text Char"/>
    <w:basedOn w:val="16"/>
    <w:link w:val="6"/>
    <w:semiHidden/>
    <w:qFormat/>
    <w:uiPriority w:val="0"/>
    <w:rPr>
      <w:snapToGrid w:val="0"/>
      <w:sz w:val="21"/>
      <w:szCs w:val="21"/>
    </w:rPr>
  </w:style>
  <w:style w:type="character" w:customStyle="1" w:styleId="38">
    <w:name w:val="Comment Subject Char"/>
    <w:basedOn w:val="37"/>
    <w:link w:val="13"/>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5</Pages>
  <Words>317</Words>
  <Characters>1458</Characters>
  <Lines>150</Lines>
  <Paragraphs>42</Paragraphs>
  <TotalTime>154</TotalTime>
  <ScaleCrop>false</ScaleCrop>
  <LinksUpToDate>false</LinksUpToDate>
  <CharactersWithSpaces>1664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morningtx</cp:lastModifiedBy>
  <dcterms:modified xsi:type="dcterms:W3CDTF">2024-06-03T06:58:42Z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2052-12.1.0.16929</vt:lpwstr>
  </property>
  <property fmtid="{D5CDD505-2E9C-101B-9397-08002B2CF9AE}" pid="6" name="ICV">
    <vt:lpwstr>3CAAAEBF07C64D52B1100C4D205E7C19_13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