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2E494">
      <w:pPr>
        <w:pStyle w:val="2"/>
        <w:bidi w:val="0"/>
        <w:rPr>
          <w:rFonts w:hint="eastAsia"/>
          <w:sz w:val="32"/>
          <w:szCs w:val="32"/>
        </w:rPr>
      </w:pPr>
      <w:bookmarkStart w:id="0" w:name="_GoBack"/>
      <w:r>
        <w:rPr>
          <w:rFonts w:hint="eastAsia"/>
          <w:sz w:val="32"/>
          <w:szCs w:val="32"/>
        </w:rPr>
        <w:t>Magicsim云仿真平台任务调度系统产品使用手册</w:t>
      </w:r>
    </w:p>
    <w:bookmarkEnd w:id="0"/>
    <w:p w14:paraId="26F8CB19">
      <w:pPr>
        <w:spacing w:line="360" w:lineRule="auto"/>
        <w:rPr>
          <w:rFonts w:hint="eastAsia" w:ascii="宋体" w:hAnsi="宋体" w:eastAsia="宋体"/>
        </w:rPr>
      </w:pPr>
    </w:p>
    <w:p w14:paraId="42653E0F">
      <w:pPr>
        <w:spacing w:line="360" w:lineRule="auto"/>
        <w:rPr>
          <w:rFonts w:ascii="宋体" w:hAnsi="宋体" w:eastAsia="宋体"/>
        </w:rPr>
      </w:pPr>
      <w:r>
        <w:drawing>
          <wp:inline distT="0" distB="0" distL="114300" distR="114300">
            <wp:extent cx="5271135" cy="2810510"/>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2810510"/>
                    </a:xfrm>
                    <a:prstGeom prst="rect">
                      <a:avLst/>
                    </a:prstGeom>
                    <a:noFill/>
                    <a:ln>
                      <a:noFill/>
                    </a:ln>
                  </pic:spPr>
                </pic:pic>
              </a:graphicData>
            </a:graphic>
          </wp:inline>
        </w:drawing>
      </w:r>
    </w:p>
    <w:p w14:paraId="5122F2C2">
      <w:pPr>
        <w:spacing w:line="360" w:lineRule="auto"/>
        <w:rPr>
          <w:rFonts w:hint="eastAsia" w:ascii="宋体" w:hAnsi="宋体" w:eastAsia="宋体"/>
        </w:rPr>
      </w:pPr>
    </w:p>
    <w:p w14:paraId="68649603">
      <w:pPr>
        <w:spacing w:before="120" w:after="120" w:line="360" w:lineRule="auto"/>
        <w:rPr>
          <w:rFonts w:hint="eastAsia" w:ascii="宋体" w:hAnsi="宋体" w:eastAsia="宋体" w:cs="宋体"/>
          <w:iCs/>
          <w:sz w:val="24"/>
          <w:szCs w:val="24"/>
        </w:rPr>
      </w:pPr>
      <w:r>
        <w:rPr>
          <w:rFonts w:hint="eastAsia" w:ascii="宋体" w:hAnsi="宋体" w:eastAsia="宋体" w:cs="宋体"/>
          <w:b/>
          <w:bCs/>
          <w:color w:val="000000"/>
          <w:sz w:val="24"/>
          <w:szCs w:val="24"/>
        </w:rPr>
        <w:t>Magicsim云仿真平台任务调度系统</w:t>
      </w:r>
      <w:r>
        <w:rPr>
          <w:rFonts w:hint="eastAsia" w:ascii="宋体" w:hAnsi="宋体" w:eastAsia="宋体" w:cs="宋体"/>
          <w:color w:val="000000"/>
          <w:sz w:val="24"/>
          <w:szCs w:val="24"/>
        </w:rPr>
        <w:t>包含</w:t>
      </w:r>
      <w:r>
        <w:rPr>
          <w:rFonts w:hint="eastAsia" w:ascii="宋体" w:hAnsi="宋体" w:eastAsia="宋体" w:cs="宋体"/>
          <w:color w:val="000000"/>
          <w:sz w:val="24"/>
          <w:szCs w:val="24"/>
          <w:lang w:val="en-US" w:eastAsia="zh-CN"/>
        </w:rPr>
        <w:t>CICD</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ITSM</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CMDB资产管理</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ORK目标管理</w:t>
      </w:r>
      <w:r>
        <w:rPr>
          <w:rFonts w:hint="eastAsia" w:ascii="宋体" w:hAnsi="宋体" w:eastAsia="宋体" w:cs="宋体"/>
          <w:iCs/>
          <w:color w:val="000000"/>
          <w:sz w:val="24"/>
          <w:szCs w:val="24"/>
        </w:rPr>
        <w:t>等基础</w:t>
      </w:r>
      <w:r>
        <w:rPr>
          <w:rFonts w:hint="eastAsia" w:ascii="宋体" w:hAnsi="宋体" w:eastAsia="宋体" w:cs="宋体"/>
          <w:iCs/>
          <w:sz w:val="24"/>
          <w:szCs w:val="24"/>
        </w:rPr>
        <w:t>功能，支持集成其他应用，如：</w:t>
      </w:r>
      <w:r>
        <w:rPr>
          <w:rFonts w:hint="eastAsia" w:ascii="宋体" w:hAnsi="宋体" w:eastAsia="宋体" w:cs="宋体"/>
          <w:iCs/>
          <w:sz w:val="24"/>
          <w:szCs w:val="24"/>
          <w:lang w:val="en-US" w:eastAsia="zh-CN"/>
        </w:rPr>
        <w:t>Gitlab</w:t>
      </w:r>
      <w:r>
        <w:rPr>
          <w:rFonts w:hint="eastAsia" w:ascii="宋体" w:hAnsi="宋体" w:eastAsia="宋体" w:cs="宋体"/>
          <w:iCs/>
          <w:sz w:val="24"/>
          <w:szCs w:val="24"/>
        </w:rPr>
        <w:t>、</w:t>
      </w:r>
      <w:r>
        <w:rPr>
          <w:rFonts w:hint="eastAsia" w:ascii="宋体" w:hAnsi="宋体" w:eastAsia="宋体" w:cs="宋体"/>
          <w:iCs/>
          <w:sz w:val="24"/>
          <w:szCs w:val="24"/>
          <w:lang w:val="en-US" w:eastAsia="zh-CN"/>
        </w:rPr>
        <w:t>K8S</w:t>
      </w:r>
      <w:r>
        <w:rPr>
          <w:rFonts w:hint="eastAsia" w:ascii="宋体" w:hAnsi="宋体" w:eastAsia="宋体" w:cs="宋体"/>
          <w:iCs/>
          <w:sz w:val="24"/>
          <w:szCs w:val="24"/>
        </w:rPr>
        <w:t>、</w:t>
      </w:r>
      <w:r>
        <w:rPr>
          <w:rFonts w:hint="eastAsia" w:ascii="宋体" w:hAnsi="宋体" w:eastAsia="宋体" w:cs="宋体"/>
          <w:iCs/>
          <w:sz w:val="24"/>
          <w:szCs w:val="24"/>
          <w:lang w:val="en-US" w:eastAsia="zh-CN"/>
        </w:rPr>
        <w:t>Nacos</w:t>
      </w:r>
      <w:r>
        <w:rPr>
          <w:rFonts w:hint="eastAsia" w:ascii="宋体" w:hAnsi="宋体" w:eastAsia="宋体" w:cs="宋体"/>
          <w:iCs/>
          <w:sz w:val="24"/>
          <w:szCs w:val="24"/>
        </w:rPr>
        <w:t>、</w:t>
      </w:r>
      <w:r>
        <w:rPr>
          <w:rFonts w:hint="eastAsia" w:ascii="宋体" w:hAnsi="宋体" w:eastAsia="宋体" w:cs="宋体"/>
          <w:iCs/>
          <w:sz w:val="24"/>
          <w:szCs w:val="24"/>
          <w:lang w:val="en-US" w:eastAsia="zh-CN"/>
        </w:rPr>
        <w:t>PM</w:t>
      </w:r>
      <w:r>
        <w:rPr>
          <w:rFonts w:hint="eastAsia" w:ascii="宋体" w:hAnsi="宋体" w:eastAsia="宋体" w:cs="宋体"/>
          <w:iCs/>
          <w:sz w:val="24"/>
          <w:szCs w:val="24"/>
        </w:rPr>
        <w:t>等。</w:t>
      </w:r>
    </w:p>
    <w:p w14:paraId="3E1D89A6">
      <w:pPr>
        <w:spacing w:before="120" w:after="120" w:line="360" w:lineRule="auto"/>
        <w:rPr>
          <w:rFonts w:hint="eastAsia" w:ascii="宋体" w:hAnsi="宋体" w:eastAsia="宋体" w:cs="宋体"/>
          <w:iCs/>
          <w:sz w:val="24"/>
          <w:szCs w:val="24"/>
          <w:lang w:eastAsia="zh-CN"/>
        </w:rPr>
      </w:pPr>
      <w:r>
        <w:rPr>
          <w:rFonts w:hint="eastAsia" w:ascii="宋体" w:hAnsi="宋体" w:eastAsia="宋体" w:cs="宋体"/>
          <w:iCs/>
          <w:sz w:val="24"/>
          <w:szCs w:val="24"/>
          <w:lang w:eastAsia="zh-CN"/>
        </w:rPr>
        <w:drawing>
          <wp:inline distT="0" distB="0" distL="114300" distR="114300">
            <wp:extent cx="5261610" cy="2007870"/>
            <wp:effectExtent l="0" t="0" r="6350" b="0"/>
            <wp:docPr id="2" name="图片 2" descr="轮播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轮播图-1"/>
                    <pic:cNvPicPr>
                      <a:picLocks noChangeAspect="1"/>
                    </pic:cNvPicPr>
                  </pic:nvPicPr>
                  <pic:blipFill>
                    <a:blip r:embed="rId5"/>
                    <a:stretch>
                      <a:fillRect/>
                    </a:stretch>
                  </pic:blipFill>
                  <pic:spPr>
                    <a:xfrm>
                      <a:off x="0" y="0"/>
                      <a:ext cx="5261610" cy="2007870"/>
                    </a:xfrm>
                    <a:prstGeom prst="rect">
                      <a:avLst/>
                    </a:prstGeom>
                  </pic:spPr>
                </pic:pic>
              </a:graphicData>
            </a:graphic>
          </wp:inline>
        </w:drawing>
      </w:r>
    </w:p>
    <w:p w14:paraId="3AFA93AB">
      <w:pPr>
        <w:spacing w:before="120" w:after="120" w:line="360" w:lineRule="auto"/>
        <w:rPr>
          <w:rFonts w:hint="eastAsia" w:ascii="宋体" w:hAnsi="宋体" w:eastAsia="宋体" w:cs="宋体"/>
          <w:sz w:val="24"/>
          <w:szCs w:val="24"/>
        </w:rPr>
      </w:pPr>
    </w:p>
    <w:p w14:paraId="6BB76445">
      <w:pPr>
        <w:widowControl/>
        <w:spacing w:before="390" w:after="150" w:line="540" w:lineRule="atLeast"/>
        <w:jc w:val="left"/>
        <w:outlineLvl w:val="0"/>
        <w:rPr>
          <w:rFonts w:ascii="宋体" w:hAnsi="宋体" w:eastAsia="宋体" w:cs="宋体"/>
          <w:b/>
          <w:bCs/>
          <w:kern w:val="36"/>
          <w:sz w:val="42"/>
          <w:szCs w:val="42"/>
        </w:rPr>
      </w:pPr>
      <w:r>
        <w:rPr>
          <w:rFonts w:hint="eastAsia" w:ascii="宋体" w:hAnsi="宋体" w:eastAsia="宋体" w:cs="宋体"/>
          <w:b/>
          <w:bCs/>
          <w:color w:val="000000"/>
          <w:kern w:val="36"/>
          <w:sz w:val="42"/>
          <w:szCs w:val="42"/>
        </w:rPr>
        <w:t>Magicsim云仿真平台任务调度系统</w:t>
      </w:r>
      <w:r>
        <w:rPr>
          <w:rFonts w:ascii="宋体" w:hAnsi="宋体" w:eastAsia="宋体" w:cs="宋体"/>
          <w:b/>
          <w:bCs/>
          <w:color w:val="000000"/>
          <w:kern w:val="36"/>
          <w:sz w:val="42"/>
          <w:szCs w:val="42"/>
        </w:rPr>
        <w:t>介绍</w:t>
      </w:r>
    </w:p>
    <w:p w14:paraId="4BA95559">
      <w:pPr>
        <w:widowControl/>
        <w:jc w:val="left"/>
        <w:rPr>
          <w:rFonts w:ascii="宋体" w:hAnsi="宋体" w:eastAsia="宋体" w:cs="宋体"/>
          <w:kern w:val="0"/>
        </w:rPr>
      </w:pPr>
      <w:r>
        <w:rPr>
          <w:rFonts w:hint="eastAsia" w:ascii="宋体" w:hAnsi="宋体" w:eastAsia="宋体" w:cs="宋体"/>
          <w:color w:val="000000"/>
          <w:kern w:val="0"/>
        </w:rPr>
        <w:t>Magicsim云仿真平台任务调度系统</w:t>
      </w:r>
      <w:r>
        <w:rPr>
          <w:rFonts w:ascii="宋体" w:hAnsi="宋体" w:eastAsia="宋体" w:cs="宋体"/>
          <w:color w:val="000000"/>
          <w:kern w:val="0"/>
        </w:rPr>
        <w:t>是一款基于云架构的</w:t>
      </w:r>
      <w:r>
        <w:rPr>
          <w:rFonts w:hint="eastAsia"/>
        </w:rPr>
        <w:t>智能化研发工具链</w:t>
      </w:r>
      <w:r>
        <w:rPr>
          <w:rFonts w:ascii="宋体" w:hAnsi="宋体" w:eastAsia="宋体" w:cs="宋体"/>
          <w:color w:val="000000"/>
          <w:kern w:val="0"/>
        </w:rPr>
        <w:t>平台，为企业提供 DevOps、微服务治理、云管理的 IT 服务。</w:t>
      </w:r>
      <w:r>
        <w:rPr>
          <w:rFonts w:hint="eastAsia" w:ascii="宋体" w:hAnsi="宋体" w:eastAsia="宋体" w:cs="宋体"/>
          <w:color w:val="000000"/>
          <w:kern w:val="0"/>
          <w:lang w:val="en-US" w:eastAsia="zh-CN"/>
        </w:rPr>
        <w:t>平台</w:t>
      </w:r>
      <w:r>
        <w:rPr>
          <w:rFonts w:ascii="宋体" w:hAnsi="宋体" w:eastAsia="宋体" w:cs="宋体"/>
          <w:color w:val="000000"/>
          <w:kern w:val="0"/>
        </w:rPr>
        <w:t>是基于 Kubernetes 的容器编排和管理能力，整合 DevOps 工具链、微服务和持续集成及部署，来帮助企业实现敏捷化的应用交付和自动化的运营管理。</w:t>
      </w:r>
    </w:p>
    <w:p w14:paraId="2F1C4C8F">
      <w:pPr>
        <w:widowControl/>
        <w:rPr>
          <w:rFonts w:ascii="宋体" w:hAnsi="宋体" w:eastAsia="宋体" w:cs="宋体"/>
          <w:kern w:val="0"/>
        </w:rPr>
      </w:pPr>
      <w:r>
        <w:drawing>
          <wp:inline distT="0" distB="0" distL="114300" distR="114300">
            <wp:extent cx="5262245" cy="2949575"/>
            <wp:effectExtent l="0" t="0" r="5715" b="825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6"/>
                    <a:stretch>
                      <a:fillRect/>
                    </a:stretch>
                  </pic:blipFill>
                  <pic:spPr>
                    <a:xfrm>
                      <a:off x="0" y="0"/>
                      <a:ext cx="5262245" cy="2949575"/>
                    </a:xfrm>
                    <a:prstGeom prst="rect">
                      <a:avLst/>
                    </a:prstGeom>
                    <a:noFill/>
                    <a:ln>
                      <a:noFill/>
                    </a:ln>
                  </pic:spPr>
                </pic:pic>
              </a:graphicData>
            </a:graphic>
          </wp:inline>
        </w:drawing>
      </w:r>
    </w:p>
    <w:p w14:paraId="73B53D78">
      <w:pPr>
        <w:widowControl/>
        <w:spacing w:before="315" w:after="75" w:line="480" w:lineRule="atLeast"/>
        <w:jc w:val="left"/>
        <w:outlineLvl w:val="1"/>
        <w:rPr>
          <w:rFonts w:ascii="宋体" w:hAnsi="宋体" w:eastAsia="宋体" w:cs="宋体"/>
          <w:b/>
          <w:bCs/>
          <w:kern w:val="0"/>
          <w:sz w:val="36"/>
          <w:szCs w:val="36"/>
        </w:rPr>
      </w:pPr>
      <w:r>
        <w:rPr>
          <w:rFonts w:ascii="宋体" w:hAnsi="宋体" w:eastAsia="宋体" w:cs="宋体"/>
          <w:b/>
          <w:bCs/>
          <w:color w:val="000000"/>
          <w:kern w:val="0"/>
          <w:sz w:val="36"/>
          <w:szCs w:val="36"/>
        </w:rPr>
        <w:t>devops平台</w:t>
      </w:r>
    </w:p>
    <w:p w14:paraId="533D76B7">
      <w:pPr>
        <w:widowControl/>
        <w:jc w:val="left"/>
        <w:rPr>
          <w:rFonts w:ascii="宋体" w:hAnsi="宋体" w:eastAsia="宋体" w:cs="宋体"/>
          <w:kern w:val="0"/>
        </w:rPr>
      </w:pPr>
      <w:r>
        <w:rPr>
          <w:rFonts w:ascii="宋体" w:hAnsi="宋体" w:eastAsia="宋体" w:cs="宋体"/>
          <w:color w:val="000000"/>
          <w:kern w:val="0"/>
        </w:rPr>
        <w:t>传统企业采用瀑布式应用开发模式的时候，从需求到交付的周期往往需要数月之久，在当前要求应用开发节奏越来越快的背景下，这个矛盾越来越严重。另外一方面应用传统烟囱式架构，伴随企业数字化转型过程中软件规模和种类的增多，各应用系统之间完全孤立，业务和数据孤岛的问题层出不穷，后期想进行业务和数据打通的难度和成本都会非常高。</w:t>
      </w:r>
    </w:p>
    <w:p w14:paraId="352F567B">
      <w:pPr>
        <w:widowControl/>
        <w:jc w:val="left"/>
        <w:rPr>
          <w:rFonts w:ascii="宋体" w:hAnsi="宋体" w:eastAsia="宋体" w:cs="宋体"/>
          <w:kern w:val="0"/>
        </w:rPr>
      </w:pPr>
      <w:r>
        <w:rPr>
          <w:rFonts w:ascii="宋体" w:hAnsi="宋体" w:eastAsia="宋体" w:cs="宋体"/>
          <w:color w:val="000000"/>
          <w:kern w:val="0"/>
        </w:rPr>
        <w:t>为此，平台提供了企业级一站式 DevOps 解决方案，致力于成为数字企业的研发效能引擎！整个解决方案覆盖了项目应用管理、代码仓库管理、敏捷项目协作管理、CICD、自动化测试以及运维监控，有效提高企业的管理、研发、运维和运营效率，从而帮助企业在应对外界需求快速变化的情况下降低成本。</w:t>
      </w:r>
    </w:p>
    <w:p w14:paraId="708C7531">
      <w:pPr>
        <w:widowControl/>
        <w:jc w:val="left"/>
        <w:rPr>
          <w:rFonts w:ascii="宋体" w:hAnsi="宋体" w:eastAsia="宋体" w:cs="宋体"/>
          <w:kern w:val="0"/>
        </w:rPr>
      </w:pPr>
      <w:r>
        <w:rPr>
          <w:rFonts w:ascii="宋体" w:hAnsi="宋体" w:eastAsia="宋体" w:cs="宋体"/>
          <w:color w:val="000000"/>
          <w:kern w:val="0"/>
        </w:rPr>
        <w:t>平台提供了遵循 GitFlow 规范的代码托管机制；采用 Pipeline 模式实现了代码编译、测试、打包等一系列的构建流程；采用 helm标准规范管理Kubernetes包，实现基础设施的可编程性，从而遵循基础设施即代码的设计理念，实现企业的复杂 IT 软件、项目以及分布式服务、微服务等的一键编排部署和准确高效的监控运维。</w:t>
      </w:r>
    </w:p>
    <w:p w14:paraId="5FC34EDF">
      <w:pPr>
        <w:widowControl/>
        <w:spacing w:before="315" w:after="75" w:line="480" w:lineRule="atLeast"/>
        <w:jc w:val="left"/>
        <w:outlineLvl w:val="1"/>
        <w:rPr>
          <w:rFonts w:ascii="宋体" w:hAnsi="宋体" w:eastAsia="宋体" w:cs="宋体"/>
          <w:b/>
          <w:bCs/>
          <w:kern w:val="0"/>
          <w:sz w:val="36"/>
          <w:szCs w:val="36"/>
        </w:rPr>
      </w:pPr>
      <w:r>
        <w:rPr>
          <w:rFonts w:ascii="宋体" w:hAnsi="宋体" w:eastAsia="宋体" w:cs="宋体"/>
          <w:b/>
          <w:bCs/>
          <w:color w:val="000000"/>
          <w:kern w:val="0"/>
          <w:sz w:val="36"/>
          <w:szCs w:val="36"/>
        </w:rPr>
        <w:t>微服务治理平台</w:t>
      </w:r>
    </w:p>
    <w:p w14:paraId="6263B7B0">
      <w:pPr>
        <w:widowControl/>
        <w:rPr>
          <w:rFonts w:ascii="宋体" w:hAnsi="宋体" w:eastAsia="宋体" w:cs="宋体"/>
          <w:color w:val="000000"/>
          <w:kern w:val="0"/>
        </w:rPr>
      </w:pPr>
      <w:r>
        <w:rPr>
          <w:rFonts w:ascii="宋体" w:hAnsi="宋体" w:eastAsia="宋体" w:cs="宋体"/>
          <w:color w:val="000000"/>
          <w:kern w:val="0"/>
        </w:rPr>
        <w:t>基于 Nacos 的 Mesh 方案完全透明支持 Dubbo 和 SpringCloud 等平台框架，无侵入、无开发语言限制的完整服务治理，整体功能上覆盖微服务总览、注册中心、配置中心 ServiceMesh 的同时，还从多维度立体覆盖了微服务的运维监控及云资源监控。</w:t>
      </w:r>
    </w:p>
    <w:p w14:paraId="52EE4D48">
      <w:pPr>
        <w:widowControl/>
        <w:rPr>
          <w:rFonts w:ascii="宋体" w:hAnsi="宋体" w:eastAsia="宋体" w:cs="宋体"/>
          <w:color w:val="000000"/>
          <w:kern w:val="0"/>
        </w:rPr>
      </w:pPr>
      <w:r>
        <w:drawing>
          <wp:inline distT="0" distB="0" distL="114300" distR="114300">
            <wp:extent cx="5267960" cy="1802130"/>
            <wp:effectExtent l="0" t="0" r="0"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7"/>
                    <a:stretch>
                      <a:fillRect/>
                    </a:stretch>
                  </pic:blipFill>
                  <pic:spPr>
                    <a:xfrm>
                      <a:off x="0" y="0"/>
                      <a:ext cx="5267960" cy="1802130"/>
                    </a:xfrm>
                    <a:prstGeom prst="rect">
                      <a:avLst/>
                    </a:prstGeom>
                    <a:noFill/>
                    <a:ln>
                      <a:noFill/>
                    </a:ln>
                  </pic:spPr>
                </pic:pic>
              </a:graphicData>
            </a:graphic>
          </wp:inline>
        </w:drawing>
      </w:r>
    </w:p>
    <w:p w14:paraId="3DCFC95A">
      <w:pPr>
        <w:pStyle w:val="3"/>
        <w:keepNext w:val="0"/>
        <w:keepLines w:val="0"/>
        <w:widowControl/>
        <w:numPr>
          <w:ilvl w:val="1"/>
          <w:numId w:val="0"/>
        </w:numPr>
        <w:suppressLineNumbers w:val="0"/>
        <w:pBdr>
          <w:top w:val="none" w:color="auto" w:sz="0" w:space="0"/>
          <w:left w:val="none" w:color="auto" w:sz="0" w:space="0"/>
          <w:bottom w:val="none" w:color="FFFFFF" w:sz="0" w:space="0"/>
          <w:right w:val="none" w:color="auto" w:sz="0" w:space="0"/>
        </w:pBdr>
        <w:shd w:val="clear" w:fill="FFFFFF"/>
        <w:spacing w:before="257" w:beforeAutospacing="0" w:after="0" w:afterAutospacing="0" w:line="13" w:lineRule="atLeast"/>
        <w:ind w:leftChars="0" w:right="0" w:rightChars="0"/>
        <w:rPr>
          <w:rFonts w:ascii="Segoe UI" w:hAnsi="Segoe UI" w:eastAsia="Segoe UI" w:cs="Segoe UI"/>
          <w:b w:val="0"/>
          <w:bCs w:val="0"/>
          <w:i w:val="0"/>
          <w:iCs w:val="0"/>
          <w:caps w:val="0"/>
          <w:color w:val="172B4D"/>
          <w:spacing w:val="-2"/>
          <w:sz w:val="17"/>
          <w:szCs w:val="17"/>
        </w:rPr>
      </w:pPr>
      <w:r>
        <w:rPr>
          <w:rFonts w:hint="default" w:ascii="Segoe UI" w:hAnsi="Segoe UI" w:eastAsia="Segoe UI" w:cs="Segoe UI"/>
          <w:b w:val="0"/>
          <w:bCs w:val="0"/>
          <w:i w:val="0"/>
          <w:iCs w:val="0"/>
          <w:caps w:val="0"/>
          <w:color w:val="172B4D"/>
          <w:spacing w:val="-2"/>
          <w:sz w:val="17"/>
          <w:szCs w:val="17"/>
          <w:shd w:val="clear" w:fill="FFFFFF"/>
        </w:rPr>
        <w:t>DevOps 的工作原理：DevOps 生命周期</w:t>
      </w:r>
    </w:p>
    <w:p w14:paraId="171C7E3A">
      <w:pPr>
        <w:keepNext w:val="0"/>
        <w:keepLines w:val="0"/>
        <w:widowControl/>
        <w:suppressLineNumbers w:val="0"/>
        <w:pBdr>
          <w:top w:val="none" w:color="auto" w:sz="0" w:space="0"/>
          <w:left w:val="none" w:color="auto" w:sz="0" w:space="0"/>
          <w:bottom w:val="single" w:color="CCCCCC" w:sz="4" w:space="0"/>
          <w:right w:val="none" w:color="auto" w:sz="0" w:space="0"/>
        </w:pBdr>
        <w:shd w:val="clear" w:fill="FFFFFF"/>
        <w:ind w:left="0" w:firstLine="0"/>
        <w:rPr>
          <w:rFonts w:hint="default" w:ascii="Segoe UI" w:hAnsi="Segoe UI" w:eastAsia="Segoe UI" w:cs="Segoe UI"/>
          <w:i w:val="0"/>
          <w:iCs w:val="0"/>
          <w:caps w:val="0"/>
          <w:color w:val="172B4D"/>
          <w:spacing w:val="0"/>
          <w:sz w:val="12"/>
          <w:szCs w:val="12"/>
        </w:rPr>
      </w:pPr>
      <w:r>
        <w:rPr>
          <w:rFonts w:ascii="Segoe UI" w:hAnsi="Segoe UI" w:eastAsia="Segoe UI" w:cs="Segoe UI"/>
          <w:b w:val="0"/>
          <w:bCs w:val="0"/>
          <w:i w:val="0"/>
          <w:iCs w:val="0"/>
          <w:caps w:val="0"/>
          <w:color w:val="172B4D"/>
          <w:spacing w:val="-2"/>
          <w:sz w:val="17"/>
          <w:szCs w:val="17"/>
        </w:rPr>
        <w:pict>
          <v:rect id="_x0000_i1025" o:spt="1" style="height:1.5pt;width:432pt;" fillcolor="#172B4D" filled="t" stroked="f" coordsize="21600,21600" o:hr="t" o:hrstd="t" o:hrnoshade="t" o:hralign="center">
            <v:path/>
            <v:fill on="t" focussize="0,0"/>
            <v:stroke on="f"/>
            <v:imagedata o:title=""/>
            <o:lock v:ext="edit"/>
            <w10:wrap type="none"/>
            <w10:anchorlock/>
          </v:rect>
        </w:pict>
      </w:r>
    </w:p>
    <w:p w14:paraId="2DA86476">
      <w:pPr>
        <w:widowControl/>
        <w:rPr>
          <w:rFonts w:hint="default" w:ascii="宋体" w:hAnsi="宋体" w:eastAsia="宋体" w:cs="宋体"/>
          <w:color w:val="000000"/>
          <w:kern w:val="0"/>
        </w:rPr>
      </w:pPr>
      <w:r>
        <w:rPr>
          <w:rFonts w:hint="default" w:ascii="宋体" w:hAnsi="宋体" w:eastAsia="宋体" w:cs="宋体"/>
          <w:color w:val="000000"/>
          <w:kern w:val="0"/>
        </w:rPr>
        <w:t>DevOps 生命周期（以线性方式描述时，也称为持续交付管道）是一系列自动化的迭代式开发流程（也称工作流程），在更大的自动化迭代式开发生命周期内执行，旨在优化高质量软件的快速交付。 工作流程的名称和数量因人而异，但通常可归结为以下六类：</w:t>
      </w:r>
    </w:p>
    <w:p w14:paraId="4E539F42">
      <w:pPr>
        <w:widowControl/>
        <w:numPr>
          <w:ilvl w:val="0"/>
          <w:numId w:val="2"/>
        </w:numPr>
        <w:ind w:left="420" w:leftChars="0" w:hanging="420" w:firstLineChars="0"/>
        <w:rPr>
          <w:rFonts w:ascii="宋体" w:hAnsi="宋体" w:eastAsia="宋体" w:cs="宋体"/>
          <w:color w:val="000000"/>
          <w:kern w:val="0"/>
        </w:rPr>
      </w:pPr>
      <w:r>
        <w:rPr>
          <w:rFonts w:hint="default" w:ascii="宋体" w:hAnsi="宋体" w:eastAsia="宋体" w:cs="宋体"/>
          <w:color w:val="000000"/>
          <w:kern w:val="0"/>
        </w:rPr>
        <w:t>规划（或称为构思） 在这个工作流程中，团队会根据划分了优先级的最终用户反馈和案例研究，以及来自所有内部利益相关方的意见和建议，确定下一个发行版中新特性和新功能的范围。 规划阶段的目标是通过生成在交付后可实现预期成果和价值的功能的待办工作列表，最大程度地提高产品的业务价值。</w:t>
      </w:r>
    </w:p>
    <w:p w14:paraId="52F612C8">
      <w:pPr>
        <w:widowControl/>
        <w:numPr>
          <w:ilvl w:val="0"/>
          <w:numId w:val="2"/>
        </w:numPr>
        <w:ind w:left="420" w:leftChars="0" w:hanging="420" w:firstLineChars="0"/>
        <w:rPr>
          <w:rFonts w:ascii="宋体" w:hAnsi="宋体" w:eastAsia="宋体" w:cs="宋体"/>
          <w:color w:val="000000"/>
          <w:kern w:val="0"/>
        </w:rPr>
      </w:pPr>
      <w:r>
        <w:rPr>
          <w:rFonts w:hint="default" w:ascii="宋体" w:hAnsi="宋体" w:eastAsia="宋体" w:cs="宋体"/>
          <w:color w:val="000000"/>
          <w:kern w:val="0"/>
        </w:rPr>
        <w:t>开发 这是编程步骤，开发人员根据待办工作列表中的用户情景和工作项，测试、编码和构建新功能和增强功能。 常用的实践组合包括测试驱动的开发 (TDD)、配对编程和同级代码评审等。 开发人员通常使用本地工作站来执行代码编写和测试的“内部循环”，然后再将代码发送到持续交付管道。</w:t>
      </w:r>
    </w:p>
    <w:p w14:paraId="25E0147C">
      <w:pPr>
        <w:widowControl/>
        <w:numPr>
          <w:ilvl w:val="0"/>
          <w:numId w:val="2"/>
        </w:numPr>
        <w:ind w:left="420" w:leftChars="0" w:hanging="420" w:firstLineChars="0"/>
        <w:rPr>
          <w:rFonts w:ascii="宋体" w:hAnsi="宋体" w:eastAsia="宋体" w:cs="宋体"/>
          <w:color w:val="000000"/>
          <w:kern w:val="0"/>
        </w:rPr>
      </w:pPr>
      <w:r>
        <w:rPr>
          <w:rFonts w:hint="default" w:ascii="宋体" w:hAnsi="宋体" w:eastAsia="宋体" w:cs="宋体"/>
          <w:color w:val="000000"/>
          <w:kern w:val="0"/>
        </w:rPr>
        <w:t>集成（或称为构建，或持续集成和持续交付 (CI/CD)） 如上所述，在这个工作流程中，新代码集成到现有代码库中，然后测试并打包到可执行文件中以进行部署。 常见的自动化活动包括将代码变更合并到“主”副本中，从源代码存储库中检出代码，自动执行编译、单元测试然后打包为可执行文件。 最佳实践是将 CI 阶段的输出存储在二进制存储库中，用于下一阶段。</w:t>
      </w:r>
    </w:p>
    <w:p w14:paraId="442A41F5">
      <w:pPr>
        <w:widowControl/>
        <w:numPr>
          <w:ilvl w:val="0"/>
          <w:numId w:val="2"/>
        </w:numPr>
        <w:ind w:left="420" w:leftChars="0" w:hanging="420" w:firstLineChars="0"/>
        <w:rPr>
          <w:rFonts w:ascii="宋体" w:hAnsi="宋体" w:eastAsia="宋体" w:cs="宋体"/>
          <w:color w:val="000000"/>
          <w:kern w:val="0"/>
        </w:rPr>
      </w:pPr>
      <w:r>
        <w:rPr>
          <w:rFonts w:hint="default" w:ascii="宋体" w:hAnsi="宋体" w:eastAsia="宋体" w:cs="宋体"/>
          <w:color w:val="000000"/>
          <w:kern w:val="0"/>
        </w:rPr>
        <w:t>部署（通常称为持续部署） 将（来自集成的）运行时构建输出部署到运行时环境 - 通常是执行运行时测试的开发环境，旨在确保质量、合规性与安全性。 如果发现错误或缺陷，开发人员有机会在任何最终用户看到问题之前拦截并修复任何问题。 通常存在开发、测试和生产环境，每个环境都需要逐步“严格”的质量关口。 部署到生产环境的最佳实践通常是首先部署到最终用户的子集，然后在产品趋于稳定后最终向所有用户部署。</w:t>
      </w:r>
    </w:p>
    <w:p w14:paraId="58F63A74">
      <w:pPr>
        <w:widowControl/>
        <w:numPr>
          <w:ilvl w:val="0"/>
          <w:numId w:val="2"/>
        </w:numPr>
        <w:ind w:left="420" w:leftChars="0" w:hanging="420" w:firstLineChars="0"/>
        <w:rPr>
          <w:rFonts w:ascii="宋体" w:hAnsi="宋体" w:eastAsia="宋体" w:cs="宋体"/>
          <w:color w:val="000000"/>
          <w:kern w:val="0"/>
        </w:rPr>
      </w:pPr>
      <w:r>
        <w:rPr>
          <w:rFonts w:hint="default" w:ascii="宋体" w:hAnsi="宋体" w:eastAsia="宋体" w:cs="宋体"/>
          <w:color w:val="000000"/>
          <w:kern w:val="0"/>
        </w:rPr>
        <w:t>运营</w:t>
      </w:r>
      <w:r>
        <w:rPr>
          <w:rFonts w:hint="eastAsia" w:ascii="宋体" w:hAnsi="宋体" w:eastAsia="宋体" w:cs="宋体"/>
          <w:color w:val="000000"/>
          <w:kern w:val="0"/>
          <w:lang w:val="en-US" w:eastAsia="zh-CN"/>
        </w:rPr>
        <w:t xml:space="preserve">  </w:t>
      </w:r>
      <w:r>
        <w:rPr>
          <w:rFonts w:hint="default" w:ascii="宋体" w:hAnsi="宋体" w:eastAsia="宋体" w:cs="宋体"/>
          <w:color w:val="000000"/>
          <w:kern w:val="0"/>
        </w:rPr>
        <w:t>如果将功能交付到生产环境被描述为“第 1 天”， 那么这些功能在生产环境中运行时，即标志着“第 2 天”运营的开始。 监控功能的性能、行为和可用性可确保这些功能为最终用户增添价值。 运营旨在确保功能平稳运行，不会发生服务中断 - 必须确保网络、存储、平台、计算和安全资源一切正常！ 如果出错，运营可确保发现事件，提醒适当的人员，确定问题，并应用修复措施。</w:t>
      </w:r>
    </w:p>
    <w:p w14:paraId="335A86A8">
      <w:pPr>
        <w:widowControl/>
        <w:numPr>
          <w:ilvl w:val="0"/>
          <w:numId w:val="2"/>
        </w:numPr>
        <w:ind w:left="420" w:leftChars="0" w:hanging="420" w:firstLineChars="0"/>
        <w:rPr>
          <w:rFonts w:ascii="宋体" w:hAnsi="宋体" w:eastAsia="宋体" w:cs="宋体"/>
          <w:color w:val="000000"/>
          <w:kern w:val="0"/>
        </w:rPr>
      </w:pPr>
      <w:r>
        <w:rPr>
          <w:rFonts w:hint="default" w:ascii="宋体" w:hAnsi="宋体" w:eastAsia="宋体" w:cs="宋体"/>
          <w:color w:val="000000"/>
          <w:kern w:val="0"/>
        </w:rPr>
        <w:t>学习（有时称为持续反馈）</w:t>
      </w:r>
      <w:r>
        <w:rPr>
          <w:rFonts w:hint="eastAsia" w:ascii="宋体" w:hAnsi="宋体" w:eastAsia="宋体" w:cs="宋体"/>
          <w:color w:val="000000"/>
          <w:kern w:val="0"/>
          <w:lang w:val="en-US" w:eastAsia="zh-CN"/>
        </w:rPr>
        <w:t xml:space="preserve"> </w:t>
      </w:r>
      <w:r>
        <w:rPr>
          <w:rFonts w:hint="default" w:ascii="宋体" w:hAnsi="宋体" w:eastAsia="宋体" w:cs="宋体"/>
          <w:color w:val="000000"/>
          <w:kern w:val="0"/>
        </w:rPr>
        <w:t> 收集来自最终用户和客户对特性、功能、性能和业务价值的反馈，根据这些反馈，规划下一个发行版中的新功能和增强功能。 这还包括来自运营活动的任何学习和待办工作项，旨在帮助开发人员主动避免将来再次发生过去的任何事件。 这就是规划阶段的“总结”，我们“不断改进”！</w:t>
      </w:r>
    </w:p>
    <w:p w14:paraId="4E5BD9ED">
      <w:pPr>
        <w:widowControl/>
        <w:numPr>
          <w:ilvl w:val="0"/>
          <w:numId w:val="0"/>
        </w:numPr>
        <w:ind w:leftChars="0"/>
        <w:rPr>
          <w:rFonts w:hint="default" w:ascii="宋体" w:hAnsi="宋体" w:eastAsia="宋体" w:cs="宋体"/>
          <w:color w:val="000000"/>
          <w:kern w:val="0"/>
        </w:rPr>
      </w:pPr>
      <w:r>
        <w:rPr>
          <w:rFonts w:hint="default" w:ascii="宋体" w:hAnsi="宋体" w:eastAsia="宋体" w:cs="宋体"/>
          <w:color w:val="000000"/>
          <w:kern w:val="0"/>
        </w:rPr>
        <w:t>这些工作流程之间还另有三个重要的持续工作流程：</w:t>
      </w:r>
    </w:p>
    <w:p w14:paraId="2E6D1F78">
      <w:pPr>
        <w:widowControl/>
        <w:numPr>
          <w:ilvl w:val="0"/>
          <w:numId w:val="2"/>
        </w:numPr>
        <w:ind w:left="420" w:leftChars="0" w:hanging="420" w:firstLineChars="0"/>
        <w:rPr>
          <w:rFonts w:hint="default" w:ascii="宋体" w:hAnsi="宋体" w:eastAsia="宋体" w:cs="宋体"/>
          <w:color w:val="000000"/>
          <w:kern w:val="0"/>
        </w:rPr>
      </w:pPr>
      <w:r>
        <w:rPr>
          <w:rFonts w:hint="default" w:ascii="宋体" w:hAnsi="宋体" w:eastAsia="宋体" w:cs="宋体"/>
          <w:color w:val="000000"/>
          <w:kern w:val="0"/>
        </w:rPr>
        <w:t>持续测试：在典型的 DevOps 生命周期中，集成和部署之间有一个单独的“测试”阶段。 而 DevOps 更进一步，可以在各个工作流程中执行测试的某些要素，例如在规划中执行行为驱动的开发；在开发中执行单元测试与合同测试；在集成中执行静态代码扫描、CVE 扫描和 linting；在部署中执行烟雾测试、渗透测试、配置测试；在运营中执行混沌测试、合规性测试；在学习中执行 A/B 测试。 测试是一种强大的风险和漏洞发现方法，为 IT 提供接受、缓解或补救风险的机会。</w:t>
      </w:r>
    </w:p>
    <w:p w14:paraId="4DEA2EF2">
      <w:pPr>
        <w:widowControl/>
        <w:numPr>
          <w:ilvl w:val="0"/>
          <w:numId w:val="2"/>
        </w:numPr>
        <w:ind w:left="420" w:leftChars="0" w:hanging="420" w:firstLineChars="0"/>
        <w:rPr>
          <w:rFonts w:hint="default" w:ascii="宋体" w:hAnsi="宋体" w:eastAsia="宋体" w:cs="宋体"/>
          <w:color w:val="000000"/>
          <w:kern w:val="0"/>
        </w:rPr>
      </w:pPr>
      <w:r>
        <w:rPr>
          <w:rFonts w:hint="default" w:ascii="宋体" w:hAnsi="宋体" w:eastAsia="宋体" w:cs="宋体"/>
          <w:color w:val="000000"/>
          <w:kern w:val="0"/>
        </w:rPr>
        <w:t>安全性：瀑布方法和敏捷实现是在交付或部署后“附加”安全工作流程，而 DevOps 力求从一开始（规划）就融入安全措施，因为此时安全问题最容易解决，而且解决成本最低，然后在开发周期的其余阶段持续实施安全措施。 这种安全性方法称为左移（请参阅图 1 以便更轻松地理解这个概念）。 一些企业的左移工作不甚理想，这也导致了 DevSecOps 的兴起。</w:t>
      </w:r>
    </w:p>
    <w:p w14:paraId="20BB41E3">
      <w:pPr>
        <w:widowControl/>
        <w:numPr>
          <w:ilvl w:val="0"/>
          <w:numId w:val="2"/>
        </w:numPr>
        <w:ind w:left="420" w:leftChars="0" w:hanging="420" w:firstLineChars="0"/>
        <w:rPr>
          <w:rFonts w:hint="default" w:ascii="宋体" w:hAnsi="宋体" w:eastAsia="宋体" w:cs="宋体"/>
          <w:color w:val="000000"/>
          <w:kern w:val="0"/>
        </w:rPr>
      </w:pPr>
      <w:r>
        <w:rPr>
          <w:rFonts w:hint="default" w:ascii="宋体" w:hAnsi="宋体" w:eastAsia="宋体" w:cs="宋体"/>
          <w:color w:val="000000"/>
          <w:kern w:val="0"/>
        </w:rPr>
        <w:t>合规性</w:t>
      </w:r>
      <w:r>
        <w:rPr>
          <w:rFonts w:hint="eastAsia" w:ascii="宋体" w:hAnsi="宋体" w:eastAsia="宋体" w:cs="宋体"/>
          <w:color w:val="000000"/>
          <w:kern w:val="0"/>
          <w:lang w:eastAsia="zh-CN"/>
        </w:rPr>
        <w:t>：</w:t>
      </w:r>
      <w:r>
        <w:rPr>
          <w:rFonts w:hint="default" w:ascii="宋体" w:hAnsi="宋体" w:eastAsia="宋体" w:cs="宋体"/>
          <w:color w:val="000000"/>
          <w:kern w:val="0"/>
        </w:rPr>
        <w:t>合规性（治理和风险）也在开发生命周期的早期和整个过程中得到最有效的满足。 受监管行业通常必须强制性满足特定级别的可观察性、可跟踪性以及可访问性，以表明自己如何在运行时运营环境中交付和管理功能。 这需要在持续交付管道和运行时环境中规划、制定、测试和执行策略。 合规性措施的可审计性对于向第三方审计机构证明合规性而言极其重要。</w:t>
      </w:r>
    </w:p>
    <w:p w14:paraId="7A709AA6">
      <w:pPr>
        <w:widowControl/>
        <w:numPr>
          <w:ilvl w:val="0"/>
          <w:numId w:val="0"/>
        </w:numPr>
        <w:ind w:leftChars="0"/>
        <w:rPr>
          <w:rFonts w:hint="default" w:ascii="宋体" w:hAnsi="宋体" w:eastAsia="宋体" w:cs="宋体"/>
          <w:color w:val="000000"/>
          <w:kern w:val="0"/>
        </w:rPr>
      </w:pPr>
      <w:r>
        <w:drawing>
          <wp:inline distT="0" distB="0" distL="114300" distR="114300">
            <wp:extent cx="5266690" cy="2954020"/>
            <wp:effectExtent l="0" t="0" r="1270" b="381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8"/>
                    <a:stretch>
                      <a:fillRect/>
                    </a:stretch>
                  </pic:blipFill>
                  <pic:spPr>
                    <a:xfrm>
                      <a:off x="0" y="0"/>
                      <a:ext cx="5266690" cy="2954020"/>
                    </a:xfrm>
                    <a:prstGeom prst="rect">
                      <a:avLst/>
                    </a:prstGeom>
                    <a:noFill/>
                    <a:ln>
                      <a:noFill/>
                    </a:ln>
                  </pic:spPr>
                </pic:pic>
              </a:graphicData>
            </a:graphic>
          </wp:inline>
        </w:drawing>
      </w:r>
    </w:p>
    <w:p w14:paraId="67B70137">
      <w:pPr>
        <w:widowControl/>
        <w:rPr>
          <w:rFonts w:hint="eastAsia" w:ascii="宋体" w:hAnsi="宋体" w:eastAsia="宋体" w:cs="宋体"/>
          <w:color w:val="000000"/>
          <w:kern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177D40"/>
    <w:multiLevelType w:val="multilevel"/>
    <w:tmpl w:val="FF177D40"/>
    <w:lvl w:ilvl="0" w:tentative="0">
      <w:start w:val="1"/>
      <w:numFmt w:val="decimal"/>
      <w:lvlText w:val="%1."/>
      <w:lvlJc w:val="left"/>
      <w:pPr>
        <w:tabs>
          <w:tab w:val="left" w:pos="720"/>
        </w:tabs>
        <w:ind w:left="720" w:hanging="720"/>
      </w:pPr>
    </w:lvl>
    <w:lvl w:ilvl="1" w:tentative="0">
      <w:start w:val="1"/>
      <w:numFmt w:val="decimal"/>
      <w:pStyle w:val="3"/>
      <w:lvlText w:val="(%2)"/>
      <w:lvlJc w:val="left"/>
      <w:pPr>
        <w:tabs>
          <w:tab w:val="left" w:pos="840"/>
        </w:tabs>
        <w:ind w:left="840" w:hanging="420"/>
      </w:pPr>
      <w:rPr>
        <w:rFonts w:hint="default"/>
      </w:rPr>
    </w:lvl>
    <w:lvl w:ilvl="2" w:tentative="0">
      <w:start w:val="1"/>
      <w:numFmt w:val="decimalEnclosedCircleChinese"/>
      <w:pStyle w:val="4"/>
      <w:lvlText w:val="%3"/>
      <w:lvlJc w:val="left"/>
      <w:pPr>
        <w:tabs>
          <w:tab w:val="left" w:pos="1260"/>
        </w:tabs>
        <w:ind w:left="1260" w:hanging="420"/>
      </w:pPr>
      <w:rPr>
        <w:rFonts w:hint="default"/>
      </w:rPr>
    </w:lvl>
    <w:lvl w:ilvl="3" w:tentative="0">
      <w:start w:val="1"/>
      <w:numFmt w:val="decimal"/>
      <w:pStyle w:val="5"/>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765894B3"/>
    <w:multiLevelType w:val="singleLevel"/>
    <w:tmpl w:val="765894B3"/>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A34"/>
    <w:rsid w:val="00032869"/>
    <w:rsid w:val="00082585"/>
    <w:rsid w:val="00166313"/>
    <w:rsid w:val="00184603"/>
    <w:rsid w:val="001967D0"/>
    <w:rsid w:val="00204339"/>
    <w:rsid w:val="002761C9"/>
    <w:rsid w:val="003324B8"/>
    <w:rsid w:val="00356866"/>
    <w:rsid w:val="00361A34"/>
    <w:rsid w:val="00377DB2"/>
    <w:rsid w:val="003878A4"/>
    <w:rsid w:val="00392748"/>
    <w:rsid w:val="004C1CC2"/>
    <w:rsid w:val="005E00E4"/>
    <w:rsid w:val="005E562E"/>
    <w:rsid w:val="006676A0"/>
    <w:rsid w:val="00701C4C"/>
    <w:rsid w:val="008225B1"/>
    <w:rsid w:val="00A0109F"/>
    <w:rsid w:val="00A52216"/>
    <w:rsid w:val="00A522E4"/>
    <w:rsid w:val="00AC2841"/>
    <w:rsid w:val="00B255C9"/>
    <w:rsid w:val="00C50A14"/>
    <w:rsid w:val="00CC5336"/>
    <w:rsid w:val="00D16472"/>
    <w:rsid w:val="00D7009F"/>
    <w:rsid w:val="00DC241F"/>
    <w:rsid w:val="00EC486B"/>
    <w:rsid w:val="00FF1731"/>
    <w:rsid w:val="00FF4239"/>
    <w:rsid w:val="06AB4936"/>
    <w:rsid w:val="13B91ED8"/>
    <w:rsid w:val="14D1529C"/>
    <w:rsid w:val="2BD75F04"/>
    <w:rsid w:val="3E0C0163"/>
    <w:rsid w:val="3F8F73BF"/>
    <w:rsid w:val="40582115"/>
    <w:rsid w:val="484D6C60"/>
    <w:rsid w:val="4C80363F"/>
    <w:rsid w:val="57F43CA1"/>
    <w:rsid w:val="7CDE6751"/>
    <w:rsid w:val="7E16208B"/>
    <w:rsid w:val="7EBC5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5"/>
    <w:qFormat/>
    <w:uiPriority w:val="0"/>
    <w:pPr>
      <w:keepNext/>
      <w:keepLines/>
      <w:numPr>
        <w:ilvl w:val="1"/>
        <w:numId w:val="1"/>
      </w:numPr>
      <w:tabs>
        <w:tab w:val="left" w:pos="720"/>
        <w:tab w:val="clear" w:pos="840"/>
      </w:tabs>
      <w:spacing w:before="260" w:after="260" w:line="413" w:lineRule="auto"/>
      <w:outlineLvl w:val="1"/>
    </w:pPr>
    <w:rPr>
      <w:rFonts w:ascii="Arial" w:hAnsi="Arial" w:eastAsia="黑体" w:cs="等线"/>
      <w:b/>
      <w:sz w:val="32"/>
      <w14:ligatures w14:val="none"/>
    </w:rPr>
  </w:style>
  <w:style w:type="paragraph" w:styleId="4">
    <w:name w:val="heading 3"/>
    <w:basedOn w:val="1"/>
    <w:next w:val="1"/>
    <w:link w:val="16"/>
    <w:qFormat/>
    <w:uiPriority w:val="0"/>
    <w:pPr>
      <w:keepNext/>
      <w:keepLines/>
      <w:numPr>
        <w:ilvl w:val="2"/>
        <w:numId w:val="1"/>
      </w:numPr>
      <w:tabs>
        <w:tab w:val="left" w:pos="567"/>
        <w:tab w:val="left" w:pos="720"/>
        <w:tab w:val="clear" w:pos="1260"/>
      </w:tabs>
      <w:spacing w:before="260" w:after="260" w:line="413" w:lineRule="auto"/>
      <w:outlineLvl w:val="2"/>
    </w:pPr>
    <w:rPr>
      <w:rFonts w:ascii="Times New Roman" w:hAnsi="Times New Roman" w:eastAsia="宋体" w:cs="等线"/>
      <w:b/>
      <w:sz w:val="32"/>
      <w14:ligatures w14:val="none"/>
    </w:rPr>
  </w:style>
  <w:style w:type="paragraph" w:styleId="5">
    <w:name w:val="heading 4"/>
    <w:basedOn w:val="1"/>
    <w:next w:val="1"/>
    <w:link w:val="17"/>
    <w:qFormat/>
    <w:uiPriority w:val="0"/>
    <w:pPr>
      <w:keepNext/>
      <w:keepLines/>
      <w:numPr>
        <w:ilvl w:val="3"/>
        <w:numId w:val="1"/>
      </w:numPr>
      <w:tabs>
        <w:tab w:val="left" w:pos="0"/>
        <w:tab w:val="left" w:pos="567"/>
        <w:tab w:val="left" w:pos="720"/>
        <w:tab w:val="clear" w:pos="1680"/>
      </w:tabs>
      <w:spacing w:before="100" w:after="100" w:line="360" w:lineRule="auto"/>
      <w:outlineLvl w:val="3"/>
    </w:pPr>
    <w:rPr>
      <w:rFonts w:ascii="Arial" w:hAnsi="Arial" w:eastAsia="宋体" w:cs="等线"/>
      <w:b/>
      <w:bCs/>
      <w:sz w:val="28"/>
      <w:szCs w:val="28"/>
      <w14:ligatures w14:val="none"/>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8"/>
    <w:qFormat/>
    <w:uiPriority w:val="0"/>
    <w:pPr>
      <w:spacing w:before="156" w:beforeLines="50" w:after="156" w:afterLines="50" w:line="360" w:lineRule="auto"/>
      <w:jc w:val="left"/>
    </w:pPr>
    <w:rPr>
      <w:rFonts w:ascii="Times New Roman" w:hAnsi="Times New Roman" w:eastAsia="宋体" w:cs="等线"/>
      <w14:ligatures w14:val="none"/>
    </w:rPr>
  </w:style>
  <w:style w:type="paragraph" w:styleId="7">
    <w:name w:val="footer"/>
    <w:basedOn w:val="1"/>
    <w:link w:val="22"/>
    <w:unhideWhenUsed/>
    <w:qFormat/>
    <w:uiPriority w:val="99"/>
    <w:pPr>
      <w:tabs>
        <w:tab w:val="center" w:pos="4153"/>
        <w:tab w:val="right" w:pos="8306"/>
      </w:tabs>
      <w:snapToGrid w:val="0"/>
      <w:jc w:val="left"/>
    </w:pPr>
    <w:rPr>
      <w:sz w:val="18"/>
      <w:szCs w:val="18"/>
    </w:rPr>
  </w:style>
  <w:style w:type="paragraph" w:styleId="8">
    <w:name w:val="header"/>
    <w:basedOn w:val="1"/>
    <w:link w:val="21"/>
    <w:unhideWhenUsed/>
    <w:qFormat/>
    <w:uiPriority w:val="99"/>
    <w:pPr>
      <w:tabs>
        <w:tab w:val="center" w:pos="4153"/>
        <w:tab w:val="right" w:pos="8306"/>
      </w:tabs>
      <w:snapToGrid w:val="0"/>
      <w:jc w:val="center"/>
    </w:pPr>
    <w:rPr>
      <w:sz w:val="18"/>
      <w:szCs w:val="18"/>
    </w:rPr>
  </w:style>
  <w:style w:type="paragraph" w:styleId="9">
    <w:name w:val="Normal (Web)"/>
    <w:basedOn w:val="1"/>
    <w:qFormat/>
    <w:uiPriority w:val="99"/>
    <w:pPr>
      <w:widowControl/>
      <w:spacing w:beforeLines="50" w:afterLines="50"/>
    </w:pPr>
    <w:rPr>
      <w:rFonts w:hint="eastAsia" w:ascii="宋体" w:hAnsi="宋体" w:eastAsia="宋体" w:cs="Times New Roman"/>
      <w:kern w:val="0"/>
      <w:szCs w:val="21"/>
      <w14:ligatures w14:val="none"/>
    </w:r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annotation reference"/>
    <w:basedOn w:val="11"/>
    <w:qFormat/>
    <w:uiPriority w:val="99"/>
    <w:rPr>
      <w:sz w:val="21"/>
      <w:szCs w:val="21"/>
    </w:rPr>
  </w:style>
  <w:style w:type="character" w:customStyle="1" w:styleId="15">
    <w:name w:val="标题 2 字符"/>
    <w:basedOn w:val="11"/>
    <w:link w:val="3"/>
    <w:qFormat/>
    <w:uiPriority w:val="0"/>
    <w:rPr>
      <w:rFonts w:ascii="Arial" w:hAnsi="Arial" w:eastAsia="黑体" w:cs="等线"/>
      <w:b/>
      <w:sz w:val="32"/>
      <w14:ligatures w14:val="none"/>
    </w:rPr>
  </w:style>
  <w:style w:type="character" w:customStyle="1" w:styleId="16">
    <w:name w:val="标题 3 字符"/>
    <w:basedOn w:val="11"/>
    <w:link w:val="4"/>
    <w:qFormat/>
    <w:uiPriority w:val="0"/>
    <w:rPr>
      <w:rFonts w:ascii="Times New Roman" w:hAnsi="Times New Roman" w:eastAsia="宋体" w:cs="等线"/>
      <w:b/>
      <w:sz w:val="32"/>
      <w14:ligatures w14:val="none"/>
    </w:rPr>
  </w:style>
  <w:style w:type="character" w:customStyle="1" w:styleId="17">
    <w:name w:val="标题 4 字符"/>
    <w:basedOn w:val="11"/>
    <w:link w:val="5"/>
    <w:qFormat/>
    <w:uiPriority w:val="0"/>
    <w:rPr>
      <w:rFonts w:ascii="Arial" w:hAnsi="Arial" w:eastAsia="宋体" w:cs="等线"/>
      <w:b/>
      <w:bCs/>
      <w:sz w:val="28"/>
      <w:szCs w:val="28"/>
      <w14:ligatures w14:val="none"/>
    </w:rPr>
  </w:style>
  <w:style w:type="character" w:customStyle="1" w:styleId="18">
    <w:name w:val="批注文字 字符"/>
    <w:basedOn w:val="11"/>
    <w:link w:val="6"/>
    <w:qFormat/>
    <w:uiPriority w:val="0"/>
    <w:rPr>
      <w:rFonts w:ascii="Times New Roman" w:hAnsi="Times New Roman" w:eastAsia="宋体" w:cs="等线"/>
      <w14:ligatures w14:val="none"/>
    </w:rPr>
  </w:style>
  <w:style w:type="paragraph" w:styleId="19">
    <w:name w:val="List Paragraph"/>
    <w:basedOn w:val="1"/>
    <w:qFormat/>
    <w:uiPriority w:val="34"/>
    <w:pPr>
      <w:ind w:firstLine="420" w:firstLineChars="200"/>
    </w:pPr>
  </w:style>
  <w:style w:type="character" w:customStyle="1" w:styleId="20">
    <w:name w:val="ng-star-inserted"/>
    <w:basedOn w:val="11"/>
    <w:qFormat/>
    <w:uiPriority w:val="0"/>
  </w:style>
  <w:style w:type="character" w:customStyle="1" w:styleId="21">
    <w:name w:val="页眉 字符"/>
    <w:basedOn w:val="11"/>
    <w:link w:val="8"/>
    <w:qFormat/>
    <w:uiPriority w:val="99"/>
    <w:rPr>
      <w:sz w:val="18"/>
      <w:szCs w:val="18"/>
    </w:rPr>
  </w:style>
  <w:style w:type="character" w:customStyle="1" w:styleId="22">
    <w:name w:val="页脚 字符"/>
    <w:basedOn w:val="11"/>
    <w:link w:val="7"/>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2299</Words>
  <Characters>2500</Characters>
  <Lines>47</Lines>
  <Paragraphs>13</Paragraphs>
  <TotalTime>95</TotalTime>
  <ScaleCrop>false</ScaleCrop>
  <LinksUpToDate>false</LinksUpToDate>
  <CharactersWithSpaces>2589</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2024-08-16T10:01:00Z</dcterms:created>
  <dc:creator>俊 王</dc:creator>
  <cp:lastModifiedBy>张晓辉</cp:lastModifiedBy>
  <dcterms:modified xsi:type="dcterms:W3CDTF">2025-08-11T03:53:41Z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eyJoZGlkIjoiNTRhNmFhZGQwY2NiM2RkMGI4NmI1NjliNGEwYjg4ODEiLCJ1c2VySWQiOiIzOTM3NTQyNTgifQ==</vt:lpwstr>
  </property>
  <property fmtid="{D5CDD505-2E9C-101B-9397-08002B2CF9AE}" pid="3" name="KSOProductBuildVer">
    <vt:lpwstr>2052-12.1.0.22483</vt:lpwstr>
  </property>
  <property fmtid="{D5CDD505-2E9C-101B-9397-08002B2CF9AE}" pid="4" name="ICV">
    <vt:lpwstr>AE1231BA1B1C43F7862D031B5A057D61_12</vt:lpwstr>
  </property>
</Properties>
</file>