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F8F598">
      <w:pPr>
        <w:ind w:left="0" w:leftChars="0" w:firstLine="0" w:firstLineChars="0"/>
        <w:rPr>
          <w:rFonts w:hint="eastAsia"/>
          <w:b/>
          <w:bCs/>
          <w:kern w:val="44"/>
          <w:sz w:val="36"/>
          <w:szCs w:val="44"/>
          <w:lang w:val="en-US" w:eastAsia="zh-CN"/>
        </w:rPr>
      </w:pPr>
    </w:p>
    <w:p w14:paraId="24F1F76F">
      <w:pPr>
        <w:ind w:left="0" w:leftChars="0" w:firstLine="0" w:firstLineChars="0"/>
        <w:rPr>
          <w:rFonts w:hint="eastAsia"/>
          <w:b/>
          <w:bCs/>
          <w:kern w:val="44"/>
          <w:sz w:val="36"/>
          <w:szCs w:val="44"/>
          <w:lang w:val="en-US" w:eastAsia="zh-CN"/>
        </w:rPr>
      </w:pPr>
    </w:p>
    <w:p w14:paraId="076A9788">
      <w:pPr>
        <w:ind w:left="0" w:leftChars="0" w:firstLine="0" w:firstLineChars="0"/>
        <w:rPr>
          <w:rFonts w:hint="eastAsia"/>
          <w:b/>
          <w:bCs/>
          <w:kern w:val="44"/>
          <w:sz w:val="36"/>
          <w:szCs w:val="44"/>
          <w:lang w:val="en-US" w:eastAsia="zh-CN"/>
        </w:rPr>
      </w:pPr>
    </w:p>
    <w:p w14:paraId="7C19D617">
      <w:pPr>
        <w:ind w:left="0" w:leftChars="0" w:firstLine="0" w:firstLineChars="0"/>
        <w:rPr>
          <w:rFonts w:hint="eastAsia"/>
          <w:b/>
          <w:bCs/>
          <w:kern w:val="44"/>
          <w:sz w:val="36"/>
          <w:szCs w:val="44"/>
          <w:lang w:val="en-US" w:eastAsia="zh-CN"/>
        </w:rPr>
      </w:pPr>
    </w:p>
    <w:p w14:paraId="0B69F384">
      <w:pPr>
        <w:ind w:left="0" w:leftChars="0" w:firstLine="0" w:firstLineChars="0"/>
        <w:jc w:val="center"/>
        <w:rPr>
          <w:rFonts w:hint="eastAsia" w:asciiTheme="majorEastAsia" w:hAnsiTheme="majorEastAsia" w:eastAsiaTheme="majorEastAsia" w:cstheme="majorEastAsia"/>
          <w:b/>
          <w:bCs/>
          <w:kern w:val="44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kern w:val="44"/>
          <w:sz w:val="44"/>
          <w:szCs w:val="44"/>
          <w:lang w:val="en-US" w:eastAsia="zh-CN"/>
        </w:rPr>
        <w:t>MES</w:t>
      </w:r>
      <w:r>
        <w:rPr>
          <w:rFonts w:hint="eastAsia" w:asciiTheme="majorEastAsia" w:hAnsiTheme="majorEastAsia" w:eastAsiaTheme="majorEastAsia" w:cstheme="majorEastAsia"/>
          <w:b/>
          <w:bCs/>
          <w:kern w:val="44"/>
          <w:sz w:val="44"/>
          <w:szCs w:val="44"/>
        </w:rPr>
        <w:t>系统</w:t>
      </w:r>
    </w:p>
    <w:p w14:paraId="32E07813">
      <w:pPr>
        <w:ind w:left="0" w:leftChars="0" w:firstLine="0" w:firstLineChars="0"/>
        <w:jc w:val="center"/>
        <w:outlineLvl w:val="9"/>
        <w:rPr>
          <w:rFonts w:hint="eastAsia" w:asciiTheme="majorEastAsia" w:hAnsiTheme="majorEastAsia" w:eastAsiaTheme="majorEastAsia" w:cstheme="majorEastAsia"/>
          <w:b/>
          <w:bCs/>
          <w:kern w:val="44"/>
          <w:sz w:val="44"/>
          <w:szCs w:val="44"/>
        </w:rPr>
      </w:pPr>
      <w:bookmarkStart w:id="0" w:name="_Toc18264"/>
      <w:bookmarkStart w:id="1" w:name="_Toc25515"/>
      <w:r>
        <w:rPr>
          <w:rFonts w:hint="eastAsia" w:asciiTheme="majorEastAsia" w:hAnsiTheme="majorEastAsia" w:eastAsiaTheme="majorEastAsia" w:cstheme="majorEastAsia"/>
          <w:b/>
          <w:bCs/>
          <w:kern w:val="44"/>
          <w:sz w:val="44"/>
          <w:szCs w:val="44"/>
        </w:rPr>
        <w:t>用户</w:t>
      </w:r>
      <w:r>
        <w:rPr>
          <w:rFonts w:hint="eastAsia" w:asciiTheme="majorEastAsia" w:hAnsiTheme="majorEastAsia" w:eastAsiaTheme="majorEastAsia" w:cstheme="majorEastAsia"/>
          <w:b/>
          <w:bCs/>
          <w:kern w:val="44"/>
          <w:sz w:val="44"/>
          <w:szCs w:val="44"/>
          <w:lang w:val="en-US" w:eastAsia="zh-CN"/>
        </w:rPr>
        <w:t>操作</w:t>
      </w:r>
      <w:r>
        <w:rPr>
          <w:rFonts w:hint="eastAsia" w:asciiTheme="majorEastAsia" w:hAnsiTheme="majorEastAsia" w:eastAsiaTheme="majorEastAsia" w:cstheme="majorEastAsia"/>
          <w:b/>
          <w:bCs/>
          <w:kern w:val="44"/>
          <w:sz w:val="44"/>
          <w:szCs w:val="44"/>
        </w:rPr>
        <w:t>手册</w:t>
      </w:r>
      <w:bookmarkEnd w:id="0"/>
      <w:bookmarkEnd w:id="1"/>
    </w:p>
    <w:p w14:paraId="0A7EE50F">
      <w:pPr>
        <w:ind w:left="2520" w:leftChars="0" w:firstLine="420" w:firstLineChars="0"/>
        <w:rPr>
          <w:rFonts w:hint="eastAsia"/>
          <w:sz w:val="32"/>
          <w:szCs w:val="32"/>
          <w:lang w:val="en-US" w:eastAsia="zh-CN"/>
        </w:rPr>
      </w:pPr>
    </w:p>
    <w:p w14:paraId="6D8AF03E">
      <w:pPr>
        <w:ind w:left="2520" w:leftChars="0" w:firstLine="420" w:firstLineChars="0"/>
        <w:rPr>
          <w:rFonts w:hint="eastAsia"/>
          <w:sz w:val="32"/>
          <w:szCs w:val="32"/>
          <w:lang w:val="en-US" w:eastAsia="zh-CN"/>
        </w:rPr>
      </w:pPr>
    </w:p>
    <w:p w14:paraId="6F4541F9">
      <w:pPr>
        <w:ind w:left="2520" w:leftChars="0" w:firstLine="420" w:firstLineChars="0"/>
        <w:rPr>
          <w:rFonts w:hint="eastAsia"/>
          <w:sz w:val="32"/>
          <w:szCs w:val="32"/>
          <w:lang w:val="en-US" w:eastAsia="zh-CN"/>
        </w:rPr>
      </w:pPr>
    </w:p>
    <w:p w14:paraId="10C77EB2">
      <w:pPr>
        <w:ind w:left="2520" w:leftChars="0" w:firstLine="420" w:firstLineChars="0"/>
        <w:rPr>
          <w:rFonts w:hint="eastAsia"/>
          <w:sz w:val="32"/>
          <w:szCs w:val="32"/>
          <w:lang w:val="en-US" w:eastAsia="zh-CN"/>
        </w:rPr>
      </w:pPr>
    </w:p>
    <w:p w14:paraId="396FA025">
      <w:pPr>
        <w:ind w:left="2520" w:leftChars="0" w:firstLine="420" w:firstLineChars="0"/>
        <w:rPr>
          <w:rFonts w:hint="eastAsia"/>
          <w:sz w:val="32"/>
          <w:szCs w:val="32"/>
          <w:lang w:val="en-US" w:eastAsia="zh-CN"/>
        </w:rPr>
      </w:pPr>
    </w:p>
    <w:p w14:paraId="49EADB3A">
      <w:pPr>
        <w:ind w:left="2520" w:leftChars="0" w:firstLine="420" w:firstLineChars="0"/>
        <w:rPr>
          <w:rFonts w:hint="eastAsia"/>
          <w:sz w:val="32"/>
          <w:szCs w:val="32"/>
          <w:lang w:val="en-US" w:eastAsia="zh-CN"/>
        </w:rPr>
      </w:pPr>
    </w:p>
    <w:p w14:paraId="66C72344">
      <w:pPr>
        <w:ind w:left="2520" w:leftChars="0" w:firstLine="420" w:firstLineChars="0"/>
        <w:rPr>
          <w:rFonts w:hint="eastAsia"/>
          <w:sz w:val="32"/>
          <w:szCs w:val="32"/>
          <w:lang w:val="en-US" w:eastAsia="zh-CN"/>
        </w:rPr>
      </w:pPr>
    </w:p>
    <w:p w14:paraId="4C487BE6">
      <w:pPr>
        <w:ind w:left="2520" w:leftChars="0" w:firstLine="420" w:firstLineChars="0"/>
        <w:rPr>
          <w:rFonts w:hint="default"/>
          <w:sz w:val="32"/>
          <w:szCs w:val="32"/>
          <w:lang w:val="en-US" w:eastAsia="zh-CN"/>
        </w:rPr>
      </w:pPr>
    </w:p>
    <w:p w14:paraId="1AE2B699"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 w:eastAsiaTheme="minorEastAsia"/>
          <w:sz w:val="32"/>
          <w:szCs w:val="32"/>
          <w:lang w:val="en-US" w:eastAsia="zh-CN"/>
        </w:rPr>
        <w:br w:type="page"/>
      </w:r>
    </w:p>
    <w:sdt>
      <w:sdtPr>
        <w:rPr>
          <w:rFonts w:ascii="宋体" w:hAnsi="宋体" w:eastAsia="宋体" w:cs="Times New Roman"/>
          <w:kern w:val="2"/>
          <w:sz w:val="21"/>
          <w:szCs w:val="22"/>
          <w:lang w:val="en-US" w:eastAsia="zh-CN" w:bidi="ar-SA"/>
        </w:rPr>
        <w:id w:val="147478847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="Times New Roman"/>
          <w:kern w:val="2"/>
          <w:sz w:val="21"/>
          <w:szCs w:val="22"/>
          <w:lang w:val="en-US" w:eastAsia="zh-CN" w:bidi="ar-SA"/>
        </w:rPr>
      </w:sdtEndPr>
      <w:sdtContent>
        <w:p w14:paraId="03CB5B84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480" w:lineRule="auto"/>
            <w:ind w:left="0" w:leftChars="0" w:right="0" w:rightChars="0" w:firstLine="0" w:firstLineChars="0"/>
            <w:jc w:val="center"/>
            <w:textAlignment w:val="auto"/>
            <w:rPr>
              <w:b/>
              <w:bCs/>
              <w:sz w:val="32"/>
              <w:szCs w:val="32"/>
            </w:rPr>
          </w:pPr>
          <w:bookmarkStart w:id="2" w:name="_Toc1828"/>
          <w:r>
            <w:rPr>
              <w:rFonts w:ascii="宋体" w:hAnsi="宋体" w:eastAsia="宋体"/>
              <w:b/>
              <w:bCs/>
              <w:sz w:val="32"/>
              <w:szCs w:val="32"/>
            </w:rPr>
            <w:t>目录</w:t>
          </w:r>
        </w:p>
        <w:p w14:paraId="0058CC5A">
          <w:pPr>
            <w:pStyle w:val="31"/>
            <w:tabs>
              <w:tab w:val="right" w:leader="dot" w:pos="830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</w:p>
        <w:p w14:paraId="1CCD3391">
          <w:pPr>
            <w:pStyle w:val="31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_Toc27379 </w:instrText>
          </w:r>
          <w:r>
            <w:fldChar w:fldCharType="separate"/>
          </w:r>
          <w:r>
            <w:rPr>
              <w:rFonts w:hint="eastAsia" w:eastAsiaTheme="minorEastAsia"/>
              <w:szCs w:val="32"/>
              <w:lang w:val="en-US" w:eastAsia="zh-CN"/>
            </w:rPr>
            <w:t>一、 系统使用人员</w:t>
          </w:r>
          <w:r>
            <w:tab/>
          </w:r>
          <w:r>
            <w:fldChar w:fldCharType="begin"/>
          </w:r>
          <w:r>
            <w:instrText xml:space="preserve"> PAGEREF _Toc27379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0FA2253E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_Toc8927 </w:instrText>
          </w:r>
          <w: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1.1</w:t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系统管理人员</w:t>
          </w:r>
          <w:r>
            <w:tab/>
          </w:r>
          <w:r>
            <w:fldChar w:fldCharType="begin"/>
          </w:r>
          <w:r>
            <w:instrText xml:space="preserve"> PAGEREF _Toc8927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784E6049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_Toc8641 </w:instrText>
          </w:r>
          <w: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1.</w:t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2系统使用人员</w:t>
          </w:r>
          <w:r>
            <w:tab/>
          </w:r>
          <w:r>
            <w:fldChar w:fldCharType="begin"/>
          </w:r>
          <w:r>
            <w:instrText xml:space="preserve"> PAGEREF _Toc8641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55EFD05A">
          <w:pPr>
            <w:pStyle w:val="31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_Toc22141 </w:instrText>
          </w:r>
          <w:r>
            <w:fldChar w:fldCharType="separate"/>
          </w:r>
          <w:r>
            <w:rPr>
              <w:rFonts w:hint="eastAsia" w:eastAsiaTheme="minorEastAsia"/>
              <w:szCs w:val="32"/>
              <w:lang w:val="en-US" w:eastAsia="zh-CN"/>
            </w:rPr>
            <w:t>二、 系统功能</w:t>
          </w:r>
          <w:r>
            <w:tab/>
          </w:r>
          <w:r>
            <w:fldChar w:fldCharType="begin"/>
          </w:r>
          <w:r>
            <w:instrText xml:space="preserve"> PAGEREF _Toc22141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 w14:paraId="22F6CA69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_Toc26178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2.1系统管理</w:t>
          </w:r>
          <w:r>
            <w:tab/>
          </w:r>
          <w:r>
            <w:fldChar w:fldCharType="begin"/>
          </w:r>
          <w:r>
            <w:instrText xml:space="preserve"> PAGEREF _Toc26178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 w14:paraId="57068C43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_Toc1138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.1</w:t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.1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角色管理</w:t>
          </w:r>
          <w:r>
            <w:tab/>
          </w:r>
          <w:r>
            <w:fldChar w:fldCharType="begin"/>
          </w:r>
          <w:r>
            <w:instrText xml:space="preserve"> PAGEREF _Toc1138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4D29E198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_Toc22042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.</w:t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1.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2菜单管理</w:t>
          </w:r>
          <w:r>
            <w:tab/>
          </w:r>
          <w:r>
            <w:fldChar w:fldCharType="begin"/>
          </w:r>
          <w:r>
            <w:instrText xml:space="preserve"> PAGEREF _Toc22042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758166DD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_Toc24170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1.3用户管理</w:t>
          </w:r>
          <w:r>
            <w:tab/>
          </w:r>
          <w:r>
            <w:fldChar w:fldCharType="begin"/>
          </w:r>
          <w:r>
            <w:instrText xml:space="preserve"> PAGEREF _Toc24170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10672DE0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_Toc2000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2.1.4部门管理</w:t>
          </w:r>
          <w:r>
            <w:tab/>
          </w:r>
          <w:r>
            <w:fldChar w:fldCharType="begin"/>
          </w:r>
          <w:r>
            <w:instrText xml:space="preserve"> PAGEREF _Toc2000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 w14:paraId="63BAEF18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_Toc22030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2.1.5用户角色审批</w:t>
          </w:r>
          <w:r>
            <w:tab/>
          </w:r>
          <w:r>
            <w:fldChar w:fldCharType="begin"/>
          </w:r>
          <w:r>
            <w:instrText xml:space="preserve"> PAGEREF _Toc22030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695FBF91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_Toc6069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2.1.6角色权限审批</w:t>
          </w:r>
          <w:r>
            <w:tab/>
          </w:r>
          <w:r>
            <w:fldChar w:fldCharType="begin"/>
          </w:r>
          <w:r>
            <w:instrText xml:space="preserve"> PAGEREF _Toc6069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2CE833DB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_Toc27272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2.1.7日志管理</w:t>
          </w:r>
          <w:r>
            <w:tab/>
          </w:r>
          <w:r>
            <w:fldChar w:fldCharType="begin"/>
          </w:r>
          <w:r>
            <w:instrText xml:space="preserve"> PAGEREF _Toc27272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 w14:paraId="2518E83A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_Toc5095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2.1.8用户锁定</w:t>
          </w:r>
          <w:r>
            <w:tab/>
          </w:r>
          <w:r>
            <w:fldChar w:fldCharType="begin"/>
          </w:r>
          <w:r>
            <w:instrText xml:space="preserve"> PAGEREF _Toc5095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 w14:paraId="60533021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_Toc14007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2.2基础数据</w:t>
          </w:r>
          <w:r>
            <w:tab/>
          </w:r>
          <w:r>
            <w:fldChar w:fldCharType="begin"/>
          </w:r>
          <w:r>
            <w:instrText xml:space="preserve"> PAGEREF _Toc14007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 w14:paraId="01A96C51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_Toc9265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2.2.1设备管理</w:t>
          </w:r>
          <w:r>
            <w:tab/>
          </w:r>
          <w:r>
            <w:fldChar w:fldCharType="begin"/>
          </w:r>
          <w:r>
            <w:instrText xml:space="preserve"> PAGEREF _Toc9265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 w14:paraId="733334C7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_Toc502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.</w:t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2工位管理</w:t>
          </w:r>
          <w:r>
            <w:tab/>
          </w:r>
          <w:r>
            <w:fldChar w:fldCharType="begin"/>
          </w:r>
          <w:r>
            <w:instrText xml:space="preserve"> PAGEREF _Toc502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67A144BE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_Toc15931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.</w:t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3移动工装管理</w:t>
          </w:r>
          <w:r>
            <w:tab/>
          </w:r>
          <w:r>
            <w:fldChar w:fldCharType="begin"/>
          </w:r>
          <w:r>
            <w:instrText xml:space="preserve"> PAGEREF _Toc15931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 w14:paraId="1AD8E86E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_Toc28706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</w:t>
          </w:r>
          <w:r>
            <w:rPr>
              <w:rFonts w:hint="eastAsia" w:asciiTheme="minorEastAsia" w:hAnsiTheme="minorEastAsia" w:eastAsiaTheme="minorEastAsia" w:cstheme="minorEastAsia"/>
              <w:bCs/>
              <w:lang w:val="en-US" w:eastAsia="zh-CN"/>
            </w:rPr>
            <w:t>.</w:t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4班组管理</w:t>
          </w:r>
          <w:r>
            <w:tab/>
          </w:r>
          <w:r>
            <w:fldChar w:fldCharType="begin"/>
          </w:r>
          <w:r>
            <w:instrText xml:space="preserve"> PAGEREF _Toc28706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 w14:paraId="5DC95D3F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_Toc12280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2.2.5生产班制管理</w:t>
          </w:r>
          <w:r>
            <w:tab/>
          </w:r>
          <w:r>
            <w:fldChar w:fldCharType="begin"/>
          </w:r>
          <w:r>
            <w:instrText xml:space="preserve"> PAGEREF _Toc12280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 w14:paraId="13ABF19A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_Toc4804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2.2.6企业工作日历</w:t>
          </w:r>
          <w:r>
            <w:tab/>
          </w:r>
          <w:r>
            <w:fldChar w:fldCharType="begin"/>
          </w:r>
          <w:r>
            <w:instrText xml:space="preserve"> PAGEREF _Toc4804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 w14:paraId="764DAA97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_Toc23210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2.2.7设备工作日历</w:t>
          </w:r>
          <w:r>
            <w:tab/>
          </w:r>
          <w:r>
            <w:fldChar w:fldCharType="begin"/>
          </w:r>
          <w:r>
            <w:instrText xml:space="preserve"> PAGEREF _Toc23210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 w14:paraId="36B117FF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_Toc27780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2.2.8资源状态</w:t>
          </w:r>
          <w:r>
            <w:tab/>
          </w:r>
          <w:r>
            <w:fldChar w:fldCharType="begin"/>
          </w:r>
          <w:r>
            <w:instrText xml:space="preserve"> PAGEREF _Toc27780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 w14:paraId="3D020F52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_Toc2818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2.3订单管理</w:t>
          </w:r>
          <w:r>
            <w:tab/>
          </w:r>
          <w:r>
            <w:fldChar w:fldCharType="begin"/>
          </w:r>
          <w:r>
            <w:instrText xml:space="preserve"> PAGEREF _Toc2818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 w14:paraId="45B0050F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_Toc32533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2.3.1生产任务管理</w:t>
          </w:r>
          <w:r>
            <w:tab/>
          </w:r>
          <w:r>
            <w:fldChar w:fldCharType="begin"/>
          </w:r>
          <w:r>
            <w:instrText xml:space="preserve"> PAGEREF _Toc32533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 w14:paraId="1D011B68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_Toc8461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2.4工艺管理</w:t>
          </w:r>
          <w:r>
            <w:tab/>
          </w:r>
          <w:r>
            <w:fldChar w:fldCharType="begin"/>
          </w:r>
          <w:r>
            <w:instrText xml:space="preserve"> PAGEREF _Toc8461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 w14:paraId="3D5841BF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_Toc29003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2.4.1工艺任务管理</w:t>
          </w:r>
          <w:r>
            <w:tab/>
          </w:r>
          <w:r>
            <w:fldChar w:fldCharType="begin"/>
          </w:r>
          <w:r>
            <w:instrText xml:space="preserve"> PAGEREF _Toc29003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 w14:paraId="1C3DEBF5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_Toc18193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2.4.2工艺审批</w:t>
          </w:r>
          <w:r>
            <w:tab/>
          </w:r>
          <w:r>
            <w:fldChar w:fldCharType="begin"/>
          </w:r>
          <w:r>
            <w:instrText xml:space="preserve"> PAGEREF _Toc18193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fldChar w:fldCharType="end"/>
          </w:r>
        </w:p>
        <w:p w14:paraId="3E4B8E1D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_Toc30575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2.5智能调度</w:t>
          </w:r>
          <w:r>
            <w:tab/>
          </w:r>
          <w:r>
            <w:fldChar w:fldCharType="begin"/>
          </w:r>
          <w:r>
            <w:instrText xml:space="preserve"> PAGEREF _Toc30575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fldChar w:fldCharType="end"/>
          </w:r>
        </w:p>
        <w:p w14:paraId="28546184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_Toc434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2.5.1排产设置</w:t>
          </w:r>
          <w:r>
            <w:tab/>
          </w:r>
          <w:r>
            <w:fldChar w:fldCharType="begin"/>
          </w:r>
          <w:r>
            <w:instrText xml:space="preserve"> PAGEREF _Toc434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 w14:paraId="145046FE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_Toc16260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2.6排产结果</w:t>
          </w:r>
          <w:r>
            <w:tab/>
          </w:r>
          <w:r>
            <w:fldChar w:fldCharType="begin"/>
          </w:r>
          <w:r>
            <w:instrText xml:space="preserve"> PAGEREF _Toc16260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 w14:paraId="6FD17211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_Toc9259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2.6.1资源甘特图</w:t>
          </w:r>
          <w:r>
            <w:tab/>
          </w:r>
          <w:r>
            <w:fldChar w:fldCharType="begin"/>
          </w:r>
          <w:r>
            <w:instrText xml:space="preserve"> PAGEREF _Toc9259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 w14:paraId="746A7D0A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_Toc16403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2.6.2订单甘特图</w:t>
          </w:r>
          <w:r>
            <w:tab/>
          </w:r>
          <w:r>
            <w:fldChar w:fldCharType="begin"/>
          </w:r>
          <w:r>
            <w:instrText xml:space="preserve"> PAGEREF _Toc16403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37672A24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_Toc25136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2.6.3订单工序甘特图</w:t>
          </w:r>
          <w:r>
            <w:tab/>
          </w:r>
          <w:r>
            <w:fldChar w:fldCharType="begin"/>
          </w:r>
          <w:r>
            <w:instrText xml:space="preserve"> PAGEREF _Toc25136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7D7A84AF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_Toc24584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2.6.4订单工序甘特图</w:t>
          </w:r>
          <w:r>
            <w:tab/>
          </w:r>
          <w:r>
            <w:fldChar w:fldCharType="begin"/>
          </w:r>
          <w:r>
            <w:instrText xml:space="preserve"> PAGEREF _Toc24584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 w14:paraId="78415070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_Toc10467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2.6.5排产结果</w:t>
          </w:r>
          <w:r>
            <w:tab/>
          </w:r>
          <w:r>
            <w:fldChar w:fldCharType="begin"/>
          </w:r>
          <w:r>
            <w:instrText xml:space="preserve"> PAGEREF _Toc10467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 w14:paraId="7EC94A56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_Toc31323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2.7下发控制</w:t>
          </w:r>
          <w:r>
            <w:tab/>
          </w:r>
          <w:r>
            <w:fldChar w:fldCharType="begin"/>
          </w:r>
          <w:r>
            <w:instrText xml:space="preserve"> PAGEREF _Toc31323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 w14:paraId="5052F017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_Toc26702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2.7.1任务派工</w:t>
          </w:r>
          <w:r>
            <w:tab/>
          </w:r>
          <w:r>
            <w:fldChar w:fldCharType="begin"/>
          </w:r>
          <w:r>
            <w:instrText xml:space="preserve"> PAGEREF _Toc26702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 w14:paraId="5C245B8C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_Toc1043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2.8现场执行监控</w:t>
          </w:r>
          <w:r>
            <w:tab/>
          </w:r>
          <w:r>
            <w:fldChar w:fldCharType="begin"/>
          </w:r>
          <w:r>
            <w:instrText xml:space="preserve"> PAGEREF _Toc1043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 w14:paraId="7591B590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_Toc6619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2.8.1工人现场看板</w:t>
          </w:r>
          <w:r>
            <w:tab/>
          </w:r>
          <w:r>
            <w:fldChar w:fldCharType="begin"/>
          </w:r>
          <w:r>
            <w:instrText xml:space="preserve"> PAGEREF _Toc6619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 w14:paraId="12564F1D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_Toc3950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2.8.2组长现场看板</w:t>
          </w:r>
          <w:r>
            <w:tab/>
          </w:r>
          <w:r>
            <w:fldChar w:fldCharType="begin"/>
          </w:r>
          <w:r>
            <w:instrText xml:space="preserve"> PAGEREF _Toc3950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fldChar w:fldCharType="end"/>
          </w:r>
        </w:p>
        <w:p w14:paraId="61264DE0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_Toc29538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2.8.3执行看板</w:t>
          </w:r>
          <w:r>
            <w:tab/>
          </w:r>
          <w:r>
            <w:fldChar w:fldCharType="begin"/>
          </w:r>
          <w:r>
            <w:instrText xml:space="preserve"> PAGEREF _Toc29538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fldChar w:fldCharType="end"/>
          </w:r>
        </w:p>
        <w:p w14:paraId="3E10B4C4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_Toc32046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2.8.4生产预警信息</w:t>
          </w:r>
          <w:r>
            <w:tab/>
          </w:r>
          <w:r>
            <w:fldChar w:fldCharType="begin"/>
          </w:r>
          <w:r>
            <w:instrText xml:space="preserve"> PAGEREF _Toc32046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fldChar w:fldCharType="end"/>
          </w:r>
        </w:p>
        <w:p w14:paraId="0A6AA679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_Toc29631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2.8.5到料确认</w:t>
          </w:r>
          <w:r>
            <w:tab/>
          </w:r>
          <w:r>
            <w:fldChar w:fldCharType="begin"/>
          </w:r>
          <w:r>
            <w:instrText xml:space="preserve"> PAGEREF _Toc29631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fldChar w:fldCharType="end"/>
          </w:r>
        </w:p>
        <w:p w14:paraId="7B1829FF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_Toc30041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2.9库存管理</w:t>
          </w:r>
          <w:r>
            <w:tab/>
          </w:r>
          <w:r>
            <w:fldChar w:fldCharType="begin"/>
          </w:r>
          <w:r>
            <w:instrText xml:space="preserve"> PAGEREF _Toc30041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 w14:paraId="535A5EDE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_Toc7446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2.9.1物料库</w:t>
          </w:r>
          <w:r>
            <w:tab/>
          </w:r>
          <w:r>
            <w:fldChar w:fldCharType="begin"/>
          </w:r>
          <w:r>
            <w:instrText xml:space="preserve"> PAGEREF _Toc7446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 w14:paraId="657DF77B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_Toc19182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2.9.2托盘管理</w:t>
          </w:r>
          <w:r>
            <w:tab/>
          </w:r>
          <w:r>
            <w:fldChar w:fldCharType="begin"/>
          </w:r>
          <w:r>
            <w:instrText xml:space="preserve"> PAGEREF _Toc19182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 w14:paraId="31BE7287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_Toc4649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2.9.3工具库</w:t>
          </w:r>
          <w:r>
            <w:tab/>
          </w:r>
          <w:r>
            <w:fldChar w:fldCharType="begin"/>
          </w:r>
          <w:r>
            <w:instrText xml:space="preserve"> PAGEREF _Toc4649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fldChar w:fldCharType="end"/>
          </w:r>
        </w:p>
        <w:p w14:paraId="11D2A30A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_Toc19042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2.10齐套管理</w:t>
          </w:r>
          <w:r>
            <w:tab/>
          </w:r>
          <w:r>
            <w:fldChar w:fldCharType="begin"/>
          </w:r>
          <w:r>
            <w:instrText xml:space="preserve"> PAGEREF _Toc19042 \h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fldChar w:fldCharType="end"/>
          </w:r>
        </w:p>
        <w:p w14:paraId="4C6F9A98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_Toc14188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2.10.1齐套申请</w:t>
          </w:r>
          <w:r>
            <w:tab/>
          </w:r>
          <w:r>
            <w:fldChar w:fldCharType="begin"/>
          </w:r>
          <w:r>
            <w:instrText xml:space="preserve"> PAGEREF _Toc14188 \h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fldChar w:fldCharType="end"/>
          </w:r>
        </w:p>
        <w:p w14:paraId="4478A350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_Toc12510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2.10.2齐套申请审批</w:t>
          </w:r>
          <w:r>
            <w:tab/>
          </w:r>
          <w:r>
            <w:fldChar w:fldCharType="begin"/>
          </w:r>
          <w:r>
            <w:instrText xml:space="preserve"> PAGEREF _Toc12510 \h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fldChar w:fldCharType="end"/>
          </w:r>
        </w:p>
        <w:p w14:paraId="62C53AD3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_Toc15810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2.10.3缺料处理</w:t>
          </w:r>
          <w:r>
            <w:tab/>
          </w:r>
          <w:r>
            <w:fldChar w:fldCharType="begin"/>
          </w:r>
          <w:r>
            <w:instrText xml:space="preserve"> PAGEREF _Toc15810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fldChar w:fldCharType="end"/>
          </w:r>
        </w:p>
        <w:p w14:paraId="5A8136E7">
          <w:pPr>
            <w:pStyle w:val="3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_Toc15000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2.11工时管理</w:t>
          </w:r>
          <w:r>
            <w:tab/>
          </w:r>
          <w:r>
            <w:fldChar w:fldCharType="begin"/>
          </w:r>
          <w:r>
            <w:instrText xml:space="preserve"> PAGEREF _Toc15000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fldChar w:fldCharType="end"/>
          </w:r>
        </w:p>
        <w:p w14:paraId="50492120">
          <w:pPr>
            <w:pStyle w:val="3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fldChar w:fldCharType="begin"/>
          </w:r>
          <w:r>
            <w:instrText xml:space="preserve"> HYPERLINK \l _Toc27648 </w:instrText>
          </w:r>
          <w:r>
            <w:fldChar w:fldCharType="separate"/>
          </w:r>
          <w:r>
            <w:rPr>
              <w:rFonts w:hint="eastAsia" w:asciiTheme="minorEastAsia" w:hAnsiTheme="minorEastAsia" w:cstheme="minorEastAsia"/>
              <w:bCs/>
              <w:lang w:val="en-US" w:eastAsia="zh-CN"/>
            </w:rPr>
            <w:t>2.11.1工时管理</w:t>
          </w:r>
          <w:r>
            <w:tab/>
          </w:r>
          <w:r>
            <w:fldChar w:fldCharType="begin"/>
          </w:r>
          <w:r>
            <w:instrText xml:space="preserve"> PAGEREF _Toc27648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fldChar w:fldCharType="end"/>
          </w:r>
        </w:p>
        <w:p w14:paraId="18986D88">
          <w:pPr>
            <w:sectPr>
              <w:headerReference r:id="rId5" w:type="default"/>
              <w:footerReference r:id="rId6" w:type="default"/>
              <w:pgSz w:w="11906" w:h="16838"/>
              <w:pgMar w:top="1440" w:right="1800" w:bottom="1440" w:left="1800" w:header="935" w:footer="0" w:gutter="0"/>
              <w:pgBorders>
                <w:top w:val="none" w:sz="0" w:space="0"/>
                <w:left w:val="none" w:sz="0" w:space="0"/>
                <w:bottom w:val="none" w:sz="0" w:space="0"/>
                <w:right w:val="none" w:sz="0" w:space="0"/>
              </w:pgBorders>
              <w:cols w:space="425" w:num="1"/>
              <w:docGrid w:type="lines" w:linePitch="312" w:charSpace="0"/>
            </w:sectPr>
          </w:pPr>
          <w:r>
            <w:fldChar w:fldCharType="end"/>
          </w:r>
        </w:p>
      </w:sdtContent>
    </w:sdt>
    <w:p w14:paraId="54037ABA">
      <w:pPr>
        <w:pStyle w:val="2"/>
        <w:numPr>
          <w:ilvl w:val="0"/>
          <w:numId w:val="1"/>
        </w:numPr>
        <w:spacing w:before="156" w:line="440" w:lineRule="exact"/>
        <w:rPr>
          <w:rFonts w:hint="eastAsia" w:eastAsiaTheme="minorEastAsia"/>
          <w:sz w:val="32"/>
          <w:szCs w:val="32"/>
          <w:lang w:val="en-US" w:eastAsia="zh-CN"/>
        </w:rPr>
      </w:pPr>
      <w:bookmarkStart w:id="3" w:name="_Toc27379"/>
      <w:r>
        <w:rPr>
          <w:rFonts w:hint="eastAsia" w:eastAsiaTheme="minorEastAsia"/>
          <w:sz w:val="32"/>
          <w:szCs w:val="32"/>
          <w:lang w:val="en-US" w:eastAsia="zh-CN"/>
        </w:rPr>
        <w:t>系统使用人员</w:t>
      </w:r>
      <w:bookmarkEnd w:id="2"/>
      <w:bookmarkEnd w:id="3"/>
    </w:p>
    <w:p w14:paraId="4CACB659">
      <w:pPr>
        <w:outlineLvl w:val="1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4" w:name="_Toc28696"/>
      <w:bookmarkStart w:id="5" w:name="_Toc8927"/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1.1</w:t>
      </w:r>
      <w:r>
        <w:rPr>
          <w:rFonts w:hint="eastAsia" w:asciiTheme="minorEastAsia" w:hAnsiTheme="minorEastAsia" w:cstheme="minorEastAsia"/>
          <w:b/>
          <w:bCs/>
          <w:lang w:val="en-US" w:eastAsia="zh-CN"/>
        </w:rPr>
        <w:t>系统管理人员</w:t>
      </w:r>
      <w:bookmarkEnd w:id="4"/>
      <w:bookmarkEnd w:id="5"/>
    </w:p>
    <w:p w14:paraId="4681786B">
      <w:pPr>
        <w:outlineLvl w:val="9"/>
        <w:rPr>
          <w:rFonts w:hint="eastAsia" w:asciiTheme="minorEastAsia" w:hAnsiTheme="minorEastAsia" w:cstheme="minorEastAsia"/>
          <w:b w:val="0"/>
          <w:bCs w:val="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lang w:val="en-US" w:eastAsia="zh-CN"/>
        </w:rPr>
        <w:t>本系统默认由一名系统人员进行系统用户、角色、权限的管理，主要由企业担任系统管理员角色人员负责。</w:t>
      </w:r>
    </w:p>
    <w:p w14:paraId="6BD78E49">
      <w:pPr>
        <w:outlineLvl w:val="1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" w:name="_Toc8641"/>
      <w:bookmarkStart w:id="7" w:name="_Toc11880"/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1.</w:t>
      </w:r>
      <w:r>
        <w:rPr>
          <w:rFonts w:hint="eastAsia" w:asciiTheme="minorEastAsia" w:hAnsiTheme="minorEastAsia" w:cstheme="minorEastAsia"/>
          <w:b/>
          <w:bCs/>
          <w:lang w:val="en-US" w:eastAsia="zh-CN"/>
        </w:rPr>
        <w:t>2系统使用人员</w:t>
      </w:r>
      <w:bookmarkEnd w:id="6"/>
      <w:bookmarkEnd w:id="7"/>
    </w:p>
    <w:p w14:paraId="1980F923">
      <w:pPr>
        <w:outlineLvl w:val="9"/>
        <w:rPr>
          <w:rFonts w:hint="eastAsia" w:asciiTheme="minorEastAsia" w:hAnsiTheme="minorEastAsia" w:cstheme="minorEastAsia"/>
          <w:b w:val="0"/>
          <w:bCs w:val="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lang w:val="en-US" w:eastAsia="zh-CN"/>
        </w:rPr>
        <w:t>本系统由多角色、多用户进行操作，通过各角色分工不同来区分不同用户的系统使用权限，系统包含的角色见下表（后续仍可由系统管理员增加、删除角色）。</w:t>
      </w:r>
    </w:p>
    <w:tbl>
      <w:tblPr>
        <w:tblStyle w:val="1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8"/>
        <w:gridCol w:w="2167"/>
        <w:gridCol w:w="5217"/>
      </w:tblGrid>
      <w:tr w14:paraId="596928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  <w:jc w:val="center"/>
        </w:trPr>
        <w:tc>
          <w:tcPr>
            <w:tcW w:w="1138" w:type="dxa"/>
            <w:tcBorders>
              <w:top w:val="single" w:color="FEFEFE" w:sz="8" w:space="0"/>
              <w:left w:val="single" w:color="FEFEFE" w:sz="8" w:space="0"/>
              <w:bottom w:val="single" w:color="D1B661" w:sz="24" w:space="0"/>
              <w:right w:val="single" w:color="FEFEFE" w:sz="8" w:space="0"/>
            </w:tcBorders>
            <w:shd w:val="clear" w:color="auto" w:fill="FEFEFE"/>
            <w:vAlign w:val="center"/>
          </w:tcPr>
          <w:p w14:paraId="3DDD3AC1">
            <w:pPr>
              <w:ind w:left="0" w:leftChars="0" w:firstLine="0" w:firstLineChars="0"/>
              <w:jc w:val="center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8" w:name="_Toc16728"/>
            <w:bookmarkStart w:id="9" w:name="_Toc29028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序号</w:t>
            </w:r>
            <w:bookmarkEnd w:id="8"/>
            <w:bookmarkEnd w:id="9"/>
          </w:p>
        </w:tc>
        <w:tc>
          <w:tcPr>
            <w:tcW w:w="2167" w:type="dxa"/>
            <w:tcBorders>
              <w:top w:val="single" w:color="FEFEFE" w:sz="8" w:space="0"/>
              <w:left w:val="single" w:color="FEFEFE" w:sz="8" w:space="0"/>
              <w:bottom w:val="single" w:color="D1B661" w:sz="24" w:space="0"/>
              <w:right w:val="single" w:color="FEFEFE" w:sz="8" w:space="0"/>
            </w:tcBorders>
            <w:shd w:val="clear" w:color="auto" w:fill="FEFEFE"/>
            <w:vAlign w:val="center"/>
          </w:tcPr>
          <w:p w14:paraId="1585F153">
            <w:pPr>
              <w:ind w:left="0" w:leftChars="0" w:firstLine="0" w:firstLineChars="0"/>
              <w:jc w:val="center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10" w:name="_Toc7502"/>
            <w:bookmarkStart w:id="11" w:name="_Toc12888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系统角色</w:t>
            </w:r>
            <w:bookmarkEnd w:id="10"/>
            <w:bookmarkEnd w:id="11"/>
          </w:p>
        </w:tc>
        <w:tc>
          <w:tcPr>
            <w:tcW w:w="5217" w:type="dxa"/>
            <w:tcBorders>
              <w:top w:val="single" w:color="FEFEFE" w:sz="8" w:space="0"/>
              <w:left w:val="single" w:color="FEFEFE" w:sz="8" w:space="0"/>
              <w:bottom w:val="single" w:color="D1B661" w:sz="24" w:space="0"/>
              <w:right w:val="single" w:color="FEFEFE" w:sz="8" w:space="0"/>
            </w:tcBorders>
            <w:shd w:val="clear" w:color="auto" w:fill="FEFEFE"/>
            <w:vAlign w:val="center"/>
          </w:tcPr>
          <w:p w14:paraId="4950CC30">
            <w:pPr>
              <w:ind w:left="0" w:leftChars="0" w:firstLine="0" w:firstLineChars="0"/>
              <w:jc w:val="center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12" w:name="_Toc1714"/>
            <w:bookmarkStart w:id="13" w:name="_Toc27377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主要业务</w:t>
            </w:r>
            <w:bookmarkEnd w:id="12"/>
            <w:bookmarkEnd w:id="13"/>
          </w:p>
        </w:tc>
      </w:tr>
      <w:tr w14:paraId="7BC056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  <w:jc w:val="center"/>
        </w:trPr>
        <w:tc>
          <w:tcPr>
            <w:tcW w:w="1138" w:type="dxa"/>
            <w:tcBorders>
              <w:top w:val="single" w:color="D1B661" w:sz="24" w:space="0"/>
              <w:left w:val="single" w:color="FEFEFE" w:sz="8" w:space="0"/>
              <w:bottom w:val="nil"/>
              <w:right w:val="single" w:color="FEFEFE" w:sz="8" w:space="0"/>
            </w:tcBorders>
            <w:shd w:val="clear" w:color="auto" w:fill="EBEBEB"/>
            <w:vAlign w:val="center"/>
          </w:tcPr>
          <w:p w14:paraId="4D961179">
            <w:pPr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14" w:name="_Toc26726"/>
            <w:bookmarkStart w:id="15" w:name="_Toc25906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1</w:t>
            </w:r>
            <w:bookmarkEnd w:id="14"/>
            <w:bookmarkEnd w:id="15"/>
          </w:p>
        </w:tc>
        <w:tc>
          <w:tcPr>
            <w:tcW w:w="2167" w:type="dxa"/>
            <w:tcBorders>
              <w:top w:val="single" w:color="D1B661" w:sz="24" w:space="0"/>
              <w:left w:val="single" w:color="FEFEFE" w:sz="8" w:space="0"/>
              <w:bottom w:val="nil"/>
              <w:right w:val="single" w:color="FEFEFE" w:sz="8" w:space="0"/>
            </w:tcBorders>
            <w:shd w:val="clear" w:color="auto" w:fill="EBEBEB"/>
            <w:vAlign w:val="center"/>
          </w:tcPr>
          <w:p w14:paraId="198B9C6C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  <w:t>系统管理员</w:t>
            </w:r>
          </w:p>
        </w:tc>
        <w:tc>
          <w:tcPr>
            <w:tcW w:w="5217" w:type="dxa"/>
            <w:tcBorders>
              <w:top w:val="single" w:color="D1B661" w:sz="24" w:space="0"/>
              <w:left w:val="single" w:color="FEFEFE" w:sz="8" w:space="0"/>
              <w:bottom w:val="nil"/>
              <w:right w:val="single" w:color="FEFEFE" w:sz="8" w:space="0"/>
            </w:tcBorders>
            <w:shd w:val="clear" w:color="auto" w:fill="EBEBEB"/>
            <w:vAlign w:val="center"/>
          </w:tcPr>
          <w:p w14:paraId="7C347A4E">
            <w:pPr>
              <w:ind w:left="0" w:leftChars="0" w:firstLine="0" w:firstLineChars="0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16" w:name="_Toc4988"/>
            <w:bookmarkStart w:id="17" w:name="_Toc23581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负责系统用户、权限、基础数据的管理</w:t>
            </w:r>
            <w:bookmarkEnd w:id="16"/>
            <w:bookmarkEnd w:id="17"/>
          </w:p>
        </w:tc>
      </w:tr>
      <w:tr w14:paraId="117F25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  <w:jc w:val="center"/>
        </w:trPr>
        <w:tc>
          <w:tcPr>
            <w:tcW w:w="1138" w:type="dxa"/>
            <w:tcBorders>
              <w:top w:val="nil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1FCAC122">
            <w:pPr>
              <w:ind w:firstLine="420" w:firstLineChars="200"/>
              <w:outlineLvl w:val="1"/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18" w:name="_Toc7974"/>
            <w:bookmarkStart w:id="19" w:name="_Toc21997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2</w:t>
            </w:r>
            <w:bookmarkEnd w:id="18"/>
            <w:bookmarkEnd w:id="19"/>
          </w:p>
        </w:tc>
        <w:tc>
          <w:tcPr>
            <w:tcW w:w="2167" w:type="dxa"/>
            <w:tcBorders>
              <w:top w:val="nil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00BBBD46">
            <w:pPr>
              <w:ind w:left="0" w:leftChars="0" w:firstLine="0" w:firstLineChars="0"/>
              <w:jc w:val="left"/>
              <w:outlineLvl w:val="1"/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20" w:name="_Toc26269"/>
            <w:bookmarkStart w:id="21" w:name="_Toc5167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计划调度员</w:t>
            </w:r>
            <w:bookmarkEnd w:id="20"/>
            <w:bookmarkEnd w:id="21"/>
          </w:p>
        </w:tc>
        <w:tc>
          <w:tcPr>
            <w:tcW w:w="5217" w:type="dxa"/>
            <w:tcBorders>
              <w:top w:val="nil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1DE72620">
            <w:pPr>
              <w:ind w:left="0" w:leftChars="0" w:firstLine="0" w:firstLineChars="0"/>
              <w:jc w:val="left"/>
              <w:outlineLvl w:val="1"/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22" w:name="_Toc28823"/>
            <w:bookmarkStart w:id="23" w:name="_Toc11445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负责生产计划任务的管理、排产与分配</w:t>
            </w:r>
            <w:bookmarkEnd w:id="22"/>
            <w:bookmarkEnd w:id="23"/>
          </w:p>
        </w:tc>
      </w:tr>
      <w:tr w14:paraId="1C7056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8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EBEBEB"/>
            <w:vAlign w:val="center"/>
          </w:tcPr>
          <w:p w14:paraId="750B8DA8">
            <w:pPr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24" w:name="_Toc12642"/>
            <w:bookmarkStart w:id="25" w:name="_Toc1801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3</w:t>
            </w:r>
            <w:bookmarkEnd w:id="24"/>
            <w:bookmarkEnd w:id="25"/>
          </w:p>
        </w:tc>
        <w:tc>
          <w:tcPr>
            <w:tcW w:w="216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EBEBEB"/>
            <w:vAlign w:val="center"/>
          </w:tcPr>
          <w:p w14:paraId="36E99DA0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工艺部长</w:t>
            </w:r>
          </w:p>
        </w:tc>
        <w:tc>
          <w:tcPr>
            <w:tcW w:w="521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EBEBEB"/>
            <w:vAlign w:val="center"/>
          </w:tcPr>
          <w:p w14:paraId="6B0DBA5C">
            <w:pPr>
              <w:ind w:left="0" w:leftChars="0" w:firstLine="0" w:firstLineChars="0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26" w:name="_Toc8238"/>
            <w:bookmarkStart w:id="27" w:name="_Toc26148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负责工艺任务的完善审批</w:t>
            </w:r>
            <w:bookmarkEnd w:id="26"/>
            <w:bookmarkEnd w:id="27"/>
          </w:p>
        </w:tc>
      </w:tr>
      <w:tr w14:paraId="2B4543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8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1B1D9FB2">
            <w:pPr>
              <w:ind w:firstLine="420" w:firstLineChars="200"/>
              <w:outlineLvl w:val="1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28" w:name="_Toc12594"/>
            <w:bookmarkStart w:id="29" w:name="_Toc6212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4</w:t>
            </w:r>
            <w:bookmarkEnd w:id="28"/>
            <w:bookmarkEnd w:id="29"/>
          </w:p>
        </w:tc>
        <w:tc>
          <w:tcPr>
            <w:tcW w:w="216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3D11C9D3">
            <w:pPr>
              <w:ind w:left="0" w:leftChars="0" w:firstLine="0" w:firstLineChars="0"/>
              <w:outlineLvl w:val="1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30" w:name="_Toc26586"/>
            <w:bookmarkStart w:id="31" w:name="_Toc29123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工艺员</w:t>
            </w:r>
            <w:bookmarkEnd w:id="30"/>
            <w:bookmarkEnd w:id="31"/>
          </w:p>
        </w:tc>
        <w:tc>
          <w:tcPr>
            <w:tcW w:w="521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43646B03">
            <w:pPr>
              <w:ind w:left="0" w:leftChars="0" w:firstLine="0" w:firstLineChars="0"/>
              <w:outlineLvl w:val="1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32" w:name="_Toc12913"/>
            <w:bookmarkStart w:id="33" w:name="_Toc18845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负责工艺任务的检查与完善</w:t>
            </w:r>
            <w:bookmarkEnd w:id="32"/>
            <w:bookmarkEnd w:id="33"/>
          </w:p>
        </w:tc>
      </w:tr>
      <w:tr w14:paraId="4E4CED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8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EBEBEB"/>
            <w:vAlign w:val="center"/>
          </w:tcPr>
          <w:p w14:paraId="6F6FC2F5">
            <w:pPr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34" w:name="_Toc4502"/>
            <w:bookmarkStart w:id="35" w:name="_Toc27538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5</w:t>
            </w:r>
            <w:bookmarkEnd w:id="34"/>
            <w:bookmarkEnd w:id="35"/>
          </w:p>
        </w:tc>
        <w:tc>
          <w:tcPr>
            <w:tcW w:w="216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EBEBEB"/>
            <w:vAlign w:val="center"/>
          </w:tcPr>
          <w:p w14:paraId="37278032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库房主管</w:t>
            </w:r>
          </w:p>
        </w:tc>
        <w:tc>
          <w:tcPr>
            <w:tcW w:w="521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EBEBEB"/>
            <w:vAlign w:val="center"/>
          </w:tcPr>
          <w:p w14:paraId="4218CADF">
            <w:pPr>
              <w:ind w:left="0" w:leftChars="0" w:firstLine="0" w:firstLineChars="0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36" w:name="_Toc26281"/>
            <w:bookmarkStart w:id="37" w:name="_Toc13958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负责库房物料的管理、生产任务齐套审批与物料配送</w:t>
            </w:r>
            <w:bookmarkEnd w:id="36"/>
            <w:bookmarkEnd w:id="37"/>
          </w:p>
        </w:tc>
      </w:tr>
      <w:tr w14:paraId="6DF2A2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8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7F56B481">
            <w:pPr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38" w:name="_Toc28272"/>
            <w:bookmarkStart w:id="39" w:name="_Toc20172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6</w:t>
            </w:r>
            <w:bookmarkEnd w:id="38"/>
            <w:bookmarkEnd w:id="39"/>
          </w:p>
        </w:tc>
        <w:tc>
          <w:tcPr>
            <w:tcW w:w="216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0704478A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操作工人</w:t>
            </w:r>
          </w:p>
        </w:tc>
        <w:tc>
          <w:tcPr>
            <w:tcW w:w="5217" w:type="dxa"/>
            <w:tcBorders>
              <w:top w:val="single" w:color="FEFEFE" w:sz="8" w:space="0"/>
              <w:left w:val="single" w:color="FEFEFE" w:sz="8" w:space="0"/>
              <w:bottom w:val="single" w:color="FEFEFE" w:sz="8" w:space="0"/>
              <w:right w:val="single" w:color="FEFEFE" w:sz="8" w:space="0"/>
            </w:tcBorders>
            <w:shd w:val="clear" w:color="auto" w:fill="CFCECE" w:themeFill="background2" w:themeFillShade="E5"/>
            <w:vAlign w:val="center"/>
          </w:tcPr>
          <w:p w14:paraId="733B2DA3">
            <w:pPr>
              <w:ind w:left="0" w:leftChars="0" w:firstLine="0" w:firstLineChars="0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40" w:name="_Toc22563"/>
            <w:bookmarkStart w:id="41" w:name="_Toc17959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负责工序、工步级生产任务的接收与汇报</w:t>
            </w:r>
            <w:bookmarkEnd w:id="40"/>
            <w:bookmarkEnd w:id="41"/>
          </w:p>
        </w:tc>
      </w:tr>
      <w:tr w14:paraId="48A9CD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8" w:type="dxa"/>
            <w:tcBorders>
              <w:top w:val="single" w:color="FEFEFE" w:sz="8" w:space="0"/>
              <w:left w:val="single" w:color="FEFEFE" w:sz="8" w:space="0"/>
              <w:bottom w:val="single" w:color="auto" w:sz="4" w:space="0"/>
              <w:right w:val="single" w:color="FEFEFE" w:sz="8" w:space="0"/>
            </w:tcBorders>
            <w:shd w:val="clear" w:color="auto" w:fill="EBEBEB"/>
            <w:vAlign w:val="center"/>
          </w:tcPr>
          <w:p w14:paraId="61A3D471">
            <w:pPr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42" w:name="_Toc24387"/>
            <w:bookmarkStart w:id="43" w:name="_Toc4962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7</w:t>
            </w:r>
            <w:bookmarkEnd w:id="42"/>
            <w:bookmarkEnd w:id="43"/>
          </w:p>
        </w:tc>
        <w:tc>
          <w:tcPr>
            <w:tcW w:w="2167" w:type="dxa"/>
            <w:tcBorders>
              <w:top w:val="single" w:color="FEFEFE" w:sz="8" w:space="0"/>
              <w:left w:val="single" w:color="FEFEFE" w:sz="8" w:space="0"/>
              <w:bottom w:val="single" w:color="auto" w:sz="4" w:space="0"/>
              <w:right w:val="single" w:color="FEFEFE" w:sz="8" w:space="0"/>
            </w:tcBorders>
            <w:shd w:val="clear" w:color="auto" w:fill="EBEBEB"/>
            <w:vAlign w:val="center"/>
          </w:tcPr>
          <w:p w14:paraId="7D3B2EC1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  <w:t>无权限人员</w:t>
            </w:r>
          </w:p>
        </w:tc>
        <w:tc>
          <w:tcPr>
            <w:tcW w:w="5217" w:type="dxa"/>
            <w:tcBorders>
              <w:top w:val="single" w:color="FEFEFE" w:sz="8" w:space="0"/>
              <w:left w:val="single" w:color="FEFEFE" w:sz="8" w:space="0"/>
              <w:bottom w:val="single" w:color="auto" w:sz="4" w:space="0"/>
              <w:right w:val="single" w:color="FEFEFE" w:sz="8" w:space="0"/>
            </w:tcBorders>
            <w:shd w:val="clear" w:color="auto" w:fill="EBEBEB"/>
            <w:vAlign w:val="center"/>
          </w:tcPr>
          <w:p w14:paraId="587B5160">
            <w:pPr>
              <w:ind w:left="0" w:leftChars="0" w:firstLine="0" w:firstLineChars="0"/>
              <w:outlineLvl w:val="1"/>
              <w:rPr>
                <w:rFonts w:hint="default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bookmarkStart w:id="44" w:name="_Toc5980"/>
            <w:bookmarkStart w:id="45" w:name="_Toc17999"/>
            <w:r>
              <w:rPr>
                <w:rFonts w:hint="eastAsia" w:asciiTheme="minorEastAsia" w:hAnsiTheme="minorEastAsia" w:cstheme="minorEastAsia"/>
                <w:b w:val="0"/>
                <w:bCs w:val="0"/>
                <w:color w:val="000000"/>
                <w:sz w:val="21"/>
                <w:szCs w:val="21"/>
                <w:vertAlign w:val="baseline"/>
                <w:lang w:val="en-US" w:eastAsia="zh-CN"/>
              </w:rPr>
              <w:t>查看系统看板，了解车间生产情况</w:t>
            </w:r>
            <w:bookmarkEnd w:id="44"/>
            <w:bookmarkEnd w:id="45"/>
          </w:p>
        </w:tc>
      </w:tr>
    </w:tbl>
    <w:p w14:paraId="21D2B17F"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 w:eastAsiaTheme="minorEastAsia"/>
          <w:sz w:val="32"/>
          <w:szCs w:val="32"/>
          <w:lang w:val="en-US" w:eastAsia="zh-CN"/>
        </w:rPr>
        <w:br w:type="page"/>
      </w:r>
    </w:p>
    <w:p w14:paraId="07FAB96A">
      <w:pPr>
        <w:pStyle w:val="2"/>
        <w:numPr>
          <w:ilvl w:val="0"/>
          <w:numId w:val="1"/>
        </w:numPr>
        <w:spacing w:before="156" w:line="440" w:lineRule="exact"/>
        <w:rPr>
          <w:rFonts w:hint="eastAsia" w:eastAsiaTheme="minorEastAsia"/>
          <w:sz w:val="32"/>
          <w:szCs w:val="32"/>
          <w:lang w:val="en-US" w:eastAsia="zh-CN"/>
        </w:rPr>
      </w:pPr>
      <w:bookmarkStart w:id="46" w:name="_Toc8695"/>
      <w:bookmarkStart w:id="47" w:name="_Toc22141"/>
      <w:r>
        <w:rPr>
          <w:rFonts w:hint="eastAsia" w:eastAsiaTheme="minorEastAsia"/>
          <w:sz w:val="32"/>
          <w:szCs w:val="32"/>
          <w:lang w:val="en-US" w:eastAsia="zh-CN"/>
        </w:rPr>
        <w:t>系统功能</w:t>
      </w:r>
      <w:bookmarkEnd w:id="46"/>
      <w:bookmarkEnd w:id="47"/>
    </w:p>
    <w:p w14:paraId="7054122A">
      <w:pPr>
        <w:ind w:left="0" w:leftChars="0" w:firstLine="420" w:firstLineChars="0"/>
        <w:rPr>
          <w:rFonts w:hint="default"/>
          <w:lang w:val="en-US" w:eastAsia="zh-CN"/>
        </w:rPr>
      </w:pPr>
      <w:bookmarkStart w:id="108" w:name="_GoBack"/>
      <w:bookmarkEnd w:id="108"/>
      <w:r>
        <w:rPr>
          <w:rFonts w:hint="eastAsia"/>
          <w:lang w:val="en-US" w:eastAsia="zh-CN"/>
        </w:rPr>
        <w:t>MES系统，通过用户名、密码登录系统。如图1所示；</w:t>
      </w:r>
    </w:p>
    <w:p w14:paraId="310BC646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5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4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98C2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  <w:lang w:eastAsia="zh-CN"/>
        </w:rPr>
        <w:t xml:space="preserve"> 系统登录</w:t>
      </w:r>
    </w:p>
    <w:p w14:paraId="1B0BC45A">
      <w:pPr>
        <w:ind w:left="0" w:leftChars="0" w:firstLine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登录系统后，进入车间看板，通过点击最上方“生产车间看板”进入系统导航。如图2所示；</w:t>
      </w:r>
    </w:p>
    <w:p w14:paraId="253CA8FB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6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8694C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</w:t>
      </w:r>
      <w:r>
        <w:fldChar w:fldCharType="end"/>
      </w:r>
      <w:r>
        <w:rPr>
          <w:rFonts w:hint="eastAsia"/>
          <w:lang w:eastAsia="zh-CN"/>
        </w:rPr>
        <w:t xml:space="preserve"> 系统首页</w:t>
      </w:r>
    </w:p>
    <w:p w14:paraId="5AF02735">
      <w:pPr>
        <w:ind w:left="0" w:leftChars="0" w:firstLine="0" w:firstLineChars="0"/>
        <w:outlineLvl w:val="1"/>
        <w:rPr>
          <w:rFonts w:hint="default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</w:pPr>
      <w:bookmarkStart w:id="48" w:name="_Toc29152"/>
      <w:bookmarkStart w:id="49" w:name="_Toc26178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2.1系统管理</w:t>
      </w:r>
      <w:bookmarkEnd w:id="48"/>
      <w:bookmarkEnd w:id="49"/>
    </w:p>
    <w:p w14:paraId="59337275">
      <w:pPr>
        <w:outlineLvl w:val="2"/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</w:pPr>
      <w:bookmarkStart w:id="50" w:name="_Toc1138"/>
      <w:r>
        <w:rPr>
          <w:rFonts w:hint="eastAsia" w:asciiTheme="minorEastAsia" w:hAnsiTheme="minorEastAsia" w:cstheme="minorEastAsia"/>
          <w:b/>
          <w:bCs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.1</w:t>
      </w:r>
      <w:r>
        <w:rPr>
          <w:rFonts w:hint="eastAsia" w:asciiTheme="minorEastAsia" w:hAnsiTheme="minorEastAsia" w:cstheme="minorEastAsia"/>
          <w:b/>
          <w:bCs/>
          <w:lang w:val="en-US" w:eastAsia="zh-CN"/>
        </w:rPr>
        <w:t>.1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角色管理</w:t>
      </w:r>
      <w:bookmarkEnd w:id="50"/>
    </w:p>
    <w:p w14:paraId="6B2F404F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A1290">
      <w:pPr>
        <w:pStyle w:val="7"/>
        <w:ind w:left="0" w:leftChars="0" w:firstLine="0" w:firstLineChars="0"/>
        <w:jc w:val="center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</w:t>
      </w:r>
      <w:r>
        <w:fldChar w:fldCharType="end"/>
      </w:r>
      <w:r>
        <w:rPr>
          <w:rFonts w:hint="eastAsia"/>
          <w:lang w:val="en-US" w:eastAsia="zh-CN"/>
        </w:rPr>
        <w:t xml:space="preserve"> 角色管理</w:t>
      </w:r>
    </w:p>
    <w:p w14:paraId="1EBCA5BD">
      <w:pPr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如图3所示，系统中可设定系统角色信息，通过角色管理针对不同的用户职位进行各个职位的权限管理。</w:t>
      </w:r>
    </w:p>
    <w:p w14:paraId="53C73243">
      <w:pPr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主要功能如下：</w:t>
      </w:r>
    </w:p>
    <w:p w14:paraId="790E475A">
      <w:pPr>
        <w:numPr>
          <w:ilvl w:val="0"/>
          <w:numId w:val="2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723F1575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通过点击“修改”功能，实现选择项的内容修改，如图4所示；</w:t>
      </w:r>
    </w:p>
    <w:p w14:paraId="3D30C32E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1CE2C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</w:t>
      </w:r>
      <w:r>
        <w:fldChar w:fldCharType="end"/>
      </w:r>
      <w:r>
        <w:rPr>
          <w:rFonts w:hint="eastAsia"/>
          <w:lang w:eastAsia="zh-CN"/>
        </w:rPr>
        <w:t xml:space="preserve"> 角色修改</w:t>
      </w:r>
    </w:p>
    <w:p w14:paraId="5EFCC8F5">
      <w:pPr>
        <w:numPr>
          <w:ilvl w:val="0"/>
          <w:numId w:val="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菜单权限</w:t>
      </w:r>
    </w:p>
    <w:p w14:paraId="75E42D27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通过点击“菜单权限”，可查询所选项的角色权限并提交权限申请。如图5所示；</w:t>
      </w:r>
    </w:p>
    <w:p w14:paraId="03FED08B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E527A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</w:t>
      </w:r>
      <w:r>
        <w:fldChar w:fldCharType="end"/>
      </w:r>
      <w:r>
        <w:rPr>
          <w:rFonts w:hint="eastAsia"/>
          <w:lang w:eastAsia="zh-CN"/>
        </w:rPr>
        <w:t xml:space="preserve"> 菜单权限</w:t>
      </w:r>
    </w:p>
    <w:p w14:paraId="4B600219">
      <w:pPr>
        <w:numPr>
          <w:ilvl w:val="0"/>
          <w:numId w:val="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649C710D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通过点击“新增”，添加系统角色。如图6所示；</w:t>
      </w:r>
    </w:p>
    <w:p w14:paraId="373CDCA0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12A5A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</w:t>
      </w:r>
      <w:r>
        <w:fldChar w:fldCharType="end"/>
      </w:r>
      <w:r>
        <w:rPr>
          <w:rFonts w:hint="eastAsia"/>
          <w:lang w:eastAsia="zh-CN"/>
        </w:rPr>
        <w:t xml:space="preserve"> 新增角色</w:t>
      </w:r>
    </w:p>
    <w:p w14:paraId="6F4EF47D">
      <w:pPr>
        <w:numPr>
          <w:ilvl w:val="0"/>
          <w:numId w:val="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5E297274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通过选择角色并点击删除按钮后，可删除所选的角色信息，提示内容如图7所示；</w:t>
      </w:r>
    </w:p>
    <w:p w14:paraId="5CB16304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66690" cy="2522220"/>
            <wp:effectExtent l="0" t="0" r="3810" b="5080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4909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</w:t>
      </w:r>
      <w:r>
        <w:fldChar w:fldCharType="end"/>
      </w:r>
      <w:r>
        <w:rPr>
          <w:rFonts w:hint="eastAsia"/>
          <w:lang w:eastAsia="zh-CN"/>
        </w:rPr>
        <w:t xml:space="preserve"> 删除角色</w:t>
      </w:r>
    </w:p>
    <w:p w14:paraId="1E4556CA">
      <w:pPr>
        <w:outlineLvl w:val="2"/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</w:pPr>
      <w:bookmarkStart w:id="51" w:name="_Toc22042"/>
      <w:r>
        <w:rPr>
          <w:rFonts w:hint="eastAsia" w:asciiTheme="minorEastAsia" w:hAnsiTheme="minorEastAsia" w:cstheme="minorEastAsia"/>
          <w:b/>
          <w:bCs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2菜单管理</w:t>
      </w:r>
      <w:bookmarkEnd w:id="51"/>
    </w:p>
    <w:p w14:paraId="3BAED986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BB210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</w:t>
      </w:r>
      <w:r>
        <w:fldChar w:fldCharType="end"/>
      </w:r>
      <w:r>
        <w:rPr>
          <w:rFonts w:hint="eastAsia"/>
          <w:lang w:eastAsia="zh-CN"/>
        </w:rPr>
        <w:t xml:space="preserve"> 菜单管理</w:t>
      </w:r>
    </w:p>
    <w:p w14:paraId="3FFAEE08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如图8所示，菜单管理为设置系统所具备的功能菜单，主要功能为菜单的使用、信息编辑、删除、启用与隐藏等操作，为系统开发使用。</w:t>
      </w:r>
    </w:p>
    <w:p w14:paraId="7D1D7D73">
      <w:pPr>
        <w:outlineLvl w:val="2"/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</w:pPr>
      <w:bookmarkStart w:id="52" w:name="_Toc24170"/>
      <w:r>
        <w:rPr>
          <w:rFonts w:hint="eastAsia" w:asciiTheme="minorEastAsia" w:hAnsiTheme="minorEastAsia" w:cstheme="minorEastAsia"/>
          <w:b/>
          <w:bCs/>
          <w:lang w:val="en-US" w:eastAsia="zh-CN"/>
        </w:rPr>
        <w:t>2.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1.3用户管理</w:t>
      </w:r>
      <w:bookmarkEnd w:id="52"/>
    </w:p>
    <w:p w14:paraId="0C727644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DFBE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</w:t>
      </w:r>
      <w:r>
        <w:fldChar w:fldCharType="end"/>
      </w:r>
      <w:r>
        <w:rPr>
          <w:rFonts w:hint="eastAsia"/>
          <w:lang w:eastAsia="zh-CN"/>
        </w:rPr>
        <w:t xml:space="preserve"> 用户管理</w:t>
      </w:r>
    </w:p>
    <w:p w14:paraId="212F1CC1">
      <w:pPr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如图9所示，用户管理主要管理系统的使用人员，设置人员的用户、密码等基础信息。</w:t>
      </w:r>
    </w:p>
    <w:p w14:paraId="6532FC07">
      <w:pPr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主要功能如下：</w:t>
      </w:r>
    </w:p>
    <w:p w14:paraId="77737861">
      <w:pPr>
        <w:numPr>
          <w:ilvl w:val="0"/>
          <w:numId w:val="3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4FAE916A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通过点击“修改”，展开所选用户的基本信息，并进行信息修改，如图10所示；</w:t>
      </w:r>
    </w:p>
    <w:p w14:paraId="3B0BC2C8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D8864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</w:t>
      </w:r>
      <w:r>
        <w:fldChar w:fldCharType="end"/>
      </w:r>
      <w:r>
        <w:rPr>
          <w:rFonts w:hint="eastAsia"/>
          <w:lang w:eastAsia="zh-CN"/>
        </w:rPr>
        <w:t xml:space="preserve"> 修改信息</w:t>
      </w:r>
    </w:p>
    <w:p w14:paraId="7D455258">
      <w:pPr>
        <w:numPr>
          <w:ilvl w:val="0"/>
          <w:numId w:val="3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角色申请</w:t>
      </w:r>
    </w:p>
    <w:p w14:paraId="06287E37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通过点击“角色申请”，为所选用户申请角色请求，选择对应角色后点击请求，如图11所示；</w:t>
      </w:r>
    </w:p>
    <w:p w14:paraId="31DB8B62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12F9E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</w:t>
      </w:r>
      <w:r>
        <w:fldChar w:fldCharType="end"/>
      </w:r>
      <w:r>
        <w:rPr>
          <w:rFonts w:hint="eastAsia"/>
          <w:lang w:eastAsia="zh-CN"/>
        </w:rPr>
        <w:t xml:space="preserve"> 用户角色申请</w:t>
      </w:r>
    </w:p>
    <w:p w14:paraId="17195480">
      <w:pPr>
        <w:numPr>
          <w:ilvl w:val="0"/>
          <w:numId w:val="3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7D633B06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通过点击“删除”，弹出删除确认信息，可删除所选用户，如图12所示；</w:t>
      </w:r>
    </w:p>
    <w:p w14:paraId="1617DB6B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66690" cy="2522220"/>
            <wp:effectExtent l="0" t="0" r="0" b="6350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6CC0D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</w:t>
      </w:r>
      <w:r>
        <w:fldChar w:fldCharType="end"/>
      </w:r>
      <w:r>
        <w:rPr>
          <w:rFonts w:hint="eastAsia"/>
          <w:lang w:eastAsia="zh-CN"/>
        </w:rPr>
        <w:t xml:space="preserve"> 删除用户</w:t>
      </w:r>
    </w:p>
    <w:p w14:paraId="04841282">
      <w:pPr>
        <w:numPr>
          <w:ilvl w:val="0"/>
          <w:numId w:val="3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重置</w:t>
      </w:r>
    </w:p>
    <w:p w14:paraId="42EBD552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通过点击“重置”，可重置所选用户登录口令，由管理员重新输入口令，如图13所示；</w:t>
      </w:r>
    </w:p>
    <w:p w14:paraId="3E17C61C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62A14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13</w:t>
      </w:r>
      <w:r>
        <w:fldChar w:fldCharType="end"/>
      </w:r>
      <w:r>
        <w:rPr>
          <w:rFonts w:hint="eastAsia"/>
          <w:lang w:eastAsia="zh-CN"/>
        </w:rPr>
        <w:t xml:space="preserve"> 登录密码重置</w:t>
      </w:r>
    </w:p>
    <w:p w14:paraId="489293A9">
      <w:pPr>
        <w:numPr>
          <w:ilvl w:val="0"/>
          <w:numId w:val="3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4AA83CF3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通过点击“新增”，可弹出添加用户窗体，填写用户信息后点击确认，可新增系统用户，如图14所示。</w:t>
      </w:r>
    </w:p>
    <w:p w14:paraId="194BBAFA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B6DB5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14</w:t>
      </w:r>
      <w:r>
        <w:fldChar w:fldCharType="end"/>
      </w:r>
      <w:r>
        <w:rPr>
          <w:rFonts w:hint="eastAsia"/>
          <w:lang w:eastAsia="zh-CN"/>
        </w:rPr>
        <w:t xml:space="preserve"> 新增用户</w:t>
      </w:r>
    </w:p>
    <w:p w14:paraId="4FE9964B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53" w:name="_Toc2000"/>
      <w:r>
        <w:rPr>
          <w:rFonts w:hint="eastAsia" w:asciiTheme="minorEastAsia" w:hAnsiTheme="minorEastAsia" w:cstheme="minorEastAsia"/>
          <w:b/>
          <w:bCs/>
          <w:lang w:val="en-US" w:eastAsia="zh-CN"/>
        </w:rPr>
        <w:t>2.1.4部门管理</w:t>
      </w:r>
      <w:bookmarkEnd w:id="53"/>
    </w:p>
    <w:p w14:paraId="33DAD83E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8A4EB">
      <w:pPr>
        <w:pStyle w:val="7"/>
        <w:ind w:left="0" w:leftChars="0" w:firstLine="0" w:firstLineChars="0"/>
        <w:jc w:val="center"/>
        <w:outlineLvl w:val="9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15</w:t>
      </w:r>
      <w:r>
        <w:fldChar w:fldCharType="end"/>
      </w:r>
      <w:r>
        <w:rPr>
          <w:rFonts w:hint="eastAsia"/>
          <w:lang w:eastAsia="zh-CN"/>
        </w:rPr>
        <w:t xml:space="preserve"> 部门管理</w:t>
      </w:r>
    </w:p>
    <w:p w14:paraId="105672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50" w:beforeLines="50" w:line="360" w:lineRule="auto"/>
        <w:ind w:firstLine="420" w:firstLineChars="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如图15所示，可通过部门管理，维护企业的部门数据，并可以为用户进行部门的匹配。部门管理为树形数据结构，可根据树形结构数据展示多部门组织；</w:t>
      </w:r>
    </w:p>
    <w:p w14:paraId="4D3C7F1B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54" w:name="_Toc22030"/>
      <w:r>
        <w:rPr>
          <w:rFonts w:hint="eastAsia" w:asciiTheme="minorEastAsia" w:hAnsiTheme="minorEastAsia" w:cstheme="minorEastAsia"/>
          <w:b/>
          <w:bCs/>
          <w:lang w:val="en-US" w:eastAsia="zh-CN"/>
        </w:rPr>
        <w:t>2.1.5用户角色审批</w:t>
      </w:r>
      <w:bookmarkEnd w:id="54"/>
    </w:p>
    <w:p w14:paraId="76187F0E">
      <w:pPr>
        <w:ind w:left="0" w:leftChars="0" w:firstLine="0" w:firstLineChars="0"/>
      </w:pPr>
      <w:r>
        <w:drawing>
          <wp:inline distT="0" distB="0" distL="114300" distR="114300">
            <wp:extent cx="5266690" cy="2522220"/>
            <wp:effectExtent l="0" t="0" r="3810" b="5080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369CC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16</w:t>
      </w:r>
      <w:r>
        <w:fldChar w:fldCharType="end"/>
      </w:r>
      <w:r>
        <w:rPr>
          <w:rFonts w:hint="eastAsia"/>
          <w:lang w:eastAsia="zh-CN"/>
        </w:rPr>
        <w:t xml:space="preserve"> 用户角色审批</w:t>
      </w:r>
    </w:p>
    <w:p w14:paraId="4B866AC9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如图16所示，用户角色审批界面主要管理系统用户对角色的申请审批，当审批同意后该用户拥有所申请角色的权限。</w:t>
      </w:r>
    </w:p>
    <w:p w14:paraId="3A9D54F8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主要功能有各条审批的同意、驳回。</w:t>
      </w:r>
    </w:p>
    <w:p w14:paraId="396A8EAD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55" w:name="_Toc6069"/>
      <w:r>
        <w:rPr>
          <w:rFonts w:hint="eastAsia" w:asciiTheme="minorEastAsia" w:hAnsiTheme="minorEastAsia" w:cstheme="minorEastAsia"/>
          <w:b/>
          <w:bCs/>
          <w:lang w:val="en-US" w:eastAsia="zh-CN"/>
        </w:rPr>
        <w:t>2.1.6角色权限审批</w:t>
      </w:r>
      <w:bookmarkEnd w:id="55"/>
    </w:p>
    <w:p w14:paraId="0B143D91">
      <w:pPr>
        <w:ind w:left="0" w:leftChars="0" w:firstLine="0" w:firstLineChars="0"/>
      </w:pPr>
      <w:r>
        <w:drawing>
          <wp:inline distT="0" distB="0" distL="114300" distR="114300">
            <wp:extent cx="5266690" cy="2522220"/>
            <wp:effectExtent l="0" t="0" r="3810" b="5080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B3060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17</w:t>
      </w:r>
      <w:r>
        <w:fldChar w:fldCharType="end"/>
      </w:r>
      <w:r>
        <w:rPr>
          <w:rFonts w:hint="eastAsia"/>
          <w:lang w:eastAsia="zh-CN"/>
        </w:rPr>
        <w:t xml:space="preserve"> 角色权限审批</w:t>
      </w:r>
    </w:p>
    <w:p w14:paraId="2FA6F7C6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如图17所示，角色权限审批界面主要管理系统角色的权限审批，当审批同意后该角色拥有所申请的权限。</w:t>
      </w:r>
    </w:p>
    <w:p w14:paraId="35942B0C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主要功能有各条审批的同意、驳回。</w:t>
      </w:r>
    </w:p>
    <w:p w14:paraId="49EBFE9C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56" w:name="_Toc27272"/>
      <w:r>
        <w:rPr>
          <w:rFonts w:hint="eastAsia" w:asciiTheme="minorEastAsia" w:hAnsiTheme="minorEastAsia" w:cstheme="minorEastAsia"/>
          <w:b/>
          <w:bCs/>
          <w:lang w:val="en-US" w:eastAsia="zh-CN"/>
        </w:rPr>
        <w:t>2.1.7日志管理</w:t>
      </w:r>
      <w:bookmarkEnd w:id="56"/>
    </w:p>
    <w:p w14:paraId="439D2FCE">
      <w:pPr>
        <w:ind w:left="0" w:leftChars="0" w:firstLine="0" w:firstLineChars="0"/>
      </w:pPr>
      <w:r>
        <w:drawing>
          <wp:inline distT="0" distB="0" distL="114300" distR="114300">
            <wp:extent cx="5266690" cy="2522220"/>
            <wp:effectExtent l="0" t="0" r="0" b="6350"/>
            <wp:docPr id="3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5585B">
      <w:pPr>
        <w:pStyle w:val="7"/>
        <w:ind w:left="0" w:leftChars="0" w:firstLine="0" w:firstLineChars="0"/>
        <w:jc w:val="center"/>
        <w:rPr>
          <w:rFonts w:hint="default" w:ascii="黑体" w:hAnsi="黑体" w:eastAsia="黑体" w:cs="黑体"/>
          <w:sz w:val="21"/>
          <w:szCs w:val="21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18</w:t>
      </w:r>
      <w:r>
        <w:fldChar w:fldCharType="end"/>
      </w:r>
      <w:r>
        <w:rPr>
          <w:rFonts w:hint="eastAsia"/>
          <w:lang w:eastAsia="zh-CN"/>
        </w:rPr>
        <w:t xml:space="preserve"> 日志管理</w:t>
      </w:r>
    </w:p>
    <w:p w14:paraId="1AFD2F81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18所示，日志管理中分为三个类别记录该系统的所有操作日志，其中业务日志为人员对于数据的操作，系统日志为系统人员的登录、退出的时间记录等，审计日志为系统管理员、系统安全员的操作记录。并具备日志导出功能。</w:t>
      </w:r>
    </w:p>
    <w:p w14:paraId="4B957626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57" w:name="_Toc5095"/>
      <w:r>
        <w:rPr>
          <w:rFonts w:hint="eastAsia" w:asciiTheme="minorEastAsia" w:hAnsiTheme="minorEastAsia" w:cstheme="minorEastAsia"/>
          <w:b/>
          <w:bCs/>
          <w:lang w:val="en-US" w:eastAsia="zh-CN"/>
        </w:rPr>
        <w:t>2.1.8用户锁定</w:t>
      </w:r>
      <w:bookmarkEnd w:id="57"/>
    </w:p>
    <w:p w14:paraId="3377804A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66690" cy="2522220"/>
            <wp:effectExtent l="0" t="0" r="0" b="6350"/>
            <wp:docPr id="3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4298B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19</w:t>
      </w:r>
      <w:r>
        <w:fldChar w:fldCharType="end"/>
      </w:r>
      <w:r>
        <w:rPr>
          <w:rFonts w:hint="eastAsia"/>
          <w:lang w:eastAsia="zh-CN"/>
        </w:rPr>
        <w:t xml:space="preserve"> 用户锁定</w:t>
      </w:r>
    </w:p>
    <w:p w14:paraId="0804FF22">
      <w:pPr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如图19所示，用户锁定中可查询到该系统的所有使用人员，并可查询用户使用状态，通过状态的打开或关闭，可实现用户对系统的正常使用或锁定。</w:t>
      </w:r>
    </w:p>
    <w:p w14:paraId="5C2DBE9A">
      <w:pPr>
        <w:ind w:left="0" w:leftChars="0" w:firstLine="0" w:firstLineChars="0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58" w:name="_Toc22951"/>
      <w:bookmarkStart w:id="59" w:name="_Toc14007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2.2基础数据</w:t>
      </w:r>
      <w:bookmarkEnd w:id="58"/>
      <w:bookmarkEnd w:id="59"/>
    </w:p>
    <w:p w14:paraId="49D6D4B0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0" w:name="_Toc9265"/>
      <w:r>
        <w:rPr>
          <w:rFonts w:hint="eastAsia" w:asciiTheme="minorEastAsia" w:hAnsiTheme="minorEastAsia" w:cstheme="minorEastAsia"/>
          <w:b/>
          <w:bCs/>
          <w:lang w:val="en-US" w:eastAsia="zh-CN"/>
        </w:rPr>
        <w:t>2.2.1设备管理</w:t>
      </w:r>
      <w:bookmarkEnd w:id="60"/>
    </w:p>
    <w:p w14:paraId="3DBD84E2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173E5">
      <w:pPr>
        <w:pStyle w:val="7"/>
        <w:ind w:left="0" w:leftChars="0" w:firstLine="0" w:firstLineChars="0"/>
        <w:jc w:val="center"/>
        <w:outlineLvl w:val="9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20</w:t>
      </w:r>
      <w:r>
        <w:fldChar w:fldCharType="end"/>
      </w:r>
      <w:r>
        <w:rPr>
          <w:rFonts w:hint="eastAsia"/>
          <w:lang w:eastAsia="zh-CN"/>
        </w:rPr>
        <w:t xml:space="preserve"> 设备管理</w:t>
      </w:r>
    </w:p>
    <w:p w14:paraId="52E28BF4">
      <w:pPr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如图20所示，通过设备管理模块，在系统中维护厂内的设备信息，并具备设备的增加、修改、删除等功能。</w:t>
      </w:r>
    </w:p>
    <w:p w14:paraId="313DA827">
      <w:pPr>
        <w:numPr>
          <w:ilvl w:val="0"/>
          <w:numId w:val="4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54B02620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通过点击“新增”，可根据提示的信息填写设备信息，填写后点击保存完成设备模型的创建，如图21所示；</w:t>
      </w:r>
    </w:p>
    <w:p w14:paraId="2AC2800F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A412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21</w:t>
      </w:r>
      <w:r>
        <w:fldChar w:fldCharType="end"/>
      </w:r>
      <w:r>
        <w:rPr>
          <w:rFonts w:hint="eastAsia"/>
          <w:lang w:eastAsia="zh-CN"/>
        </w:rPr>
        <w:t xml:space="preserve"> 添加设备</w:t>
      </w:r>
    </w:p>
    <w:p w14:paraId="07FF5413">
      <w:pPr>
        <w:numPr>
          <w:ilvl w:val="0"/>
          <w:numId w:val="4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31142D0F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通过点击“修改”按钮，可根据提示的信息填写设备信息，填写后点击保存完成设备模型的修改，如图22所示；</w:t>
      </w:r>
    </w:p>
    <w:p w14:paraId="73F76F9C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854DB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22</w:t>
      </w:r>
      <w:r>
        <w:fldChar w:fldCharType="end"/>
      </w:r>
      <w:r>
        <w:rPr>
          <w:rFonts w:hint="eastAsia"/>
          <w:lang w:eastAsia="zh-CN"/>
        </w:rPr>
        <w:t xml:space="preserve"> 修改设备信息</w:t>
      </w:r>
    </w:p>
    <w:p w14:paraId="2D3AF532">
      <w:pPr>
        <w:numPr>
          <w:ilvl w:val="0"/>
          <w:numId w:val="4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7CC75A40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通过点击“删除”按钮，弹出删除确认信息，可删除所选设备信息；如图23所示；</w:t>
      </w:r>
    </w:p>
    <w:p w14:paraId="6E8804AC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CD92F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23</w:t>
      </w:r>
      <w:r>
        <w:fldChar w:fldCharType="end"/>
      </w:r>
      <w:r>
        <w:rPr>
          <w:rFonts w:hint="eastAsia"/>
          <w:lang w:eastAsia="zh-CN"/>
        </w:rPr>
        <w:t xml:space="preserve"> 删除设备</w:t>
      </w:r>
    </w:p>
    <w:p w14:paraId="0474A583">
      <w:pPr>
        <w:numPr>
          <w:ilvl w:val="0"/>
          <w:numId w:val="4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检测结果</w:t>
      </w:r>
    </w:p>
    <w:p w14:paraId="24A0013C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MES系统和物联网系统进行集成，可通过MES系统的“检测结果”按钮，查看该设备的检测记录信息。如图24所示；</w:t>
      </w:r>
    </w:p>
    <w:p w14:paraId="120CDF37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883C0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24</w:t>
      </w:r>
      <w:r>
        <w:fldChar w:fldCharType="end"/>
      </w:r>
      <w:r>
        <w:rPr>
          <w:rFonts w:hint="eastAsia"/>
          <w:lang w:eastAsia="zh-CN"/>
        </w:rPr>
        <w:t xml:space="preserve"> 设备检测结果查询</w:t>
      </w:r>
    </w:p>
    <w:p w14:paraId="18DDD973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1" w:name="_Toc502"/>
      <w:r>
        <w:rPr>
          <w:rFonts w:hint="eastAsia" w:asciiTheme="minorEastAsia" w:hAnsiTheme="minorEastAsia" w:cstheme="minorEastAsia"/>
          <w:b/>
          <w:bCs/>
          <w:lang w:val="en-US" w:eastAsia="zh-CN"/>
        </w:rPr>
        <w:t>2.2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lang w:val="en-US" w:eastAsia="zh-CN"/>
        </w:rPr>
        <w:t>2工位管理</w:t>
      </w:r>
      <w:bookmarkEnd w:id="61"/>
    </w:p>
    <w:p w14:paraId="233321F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系统中针对车间实际布局，对车间的工位进行编号、位置、工位机IP的管理，为后续的计划排产、任务汇报提供数据支撑。如图25所示；</w:t>
      </w:r>
    </w:p>
    <w:p w14:paraId="5EC1B91E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91AFF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25</w:t>
      </w:r>
      <w:r>
        <w:fldChar w:fldCharType="end"/>
      </w:r>
      <w:r>
        <w:rPr>
          <w:rFonts w:hint="eastAsia"/>
          <w:lang w:eastAsia="zh-CN"/>
        </w:rPr>
        <w:t xml:space="preserve"> 工位管理</w:t>
      </w:r>
    </w:p>
    <w:p w14:paraId="3E7801AA">
      <w:pPr>
        <w:numPr>
          <w:ilvl w:val="0"/>
          <w:numId w:val="5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172EE801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通过点击“新增”，可根据提示的信息填写工位信息，填写后点击保存完成工位模型的创建，如图26所示；</w:t>
      </w:r>
    </w:p>
    <w:p w14:paraId="4657BD50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5E572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26</w:t>
      </w:r>
      <w:r>
        <w:fldChar w:fldCharType="end"/>
      </w:r>
      <w:r>
        <w:rPr>
          <w:rFonts w:hint="eastAsia"/>
          <w:lang w:eastAsia="zh-CN"/>
        </w:rPr>
        <w:t xml:space="preserve"> 工位管理</w:t>
      </w:r>
    </w:p>
    <w:p w14:paraId="09742D7F">
      <w:pPr>
        <w:numPr>
          <w:ilvl w:val="0"/>
          <w:numId w:val="5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73337C84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通过点击“修改”按钮，可根据提示的信息填写工位信息，填写后点击保存完成工位模型的修改，如图27所示；</w:t>
      </w:r>
    </w:p>
    <w:p w14:paraId="67B65B75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13A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27</w:t>
      </w:r>
      <w:r>
        <w:fldChar w:fldCharType="end"/>
      </w:r>
      <w:r>
        <w:rPr>
          <w:rFonts w:hint="eastAsia"/>
          <w:lang w:eastAsia="zh-CN"/>
        </w:rPr>
        <w:t xml:space="preserve"> 修改工位</w:t>
      </w:r>
    </w:p>
    <w:p w14:paraId="121F056A">
      <w:pPr>
        <w:numPr>
          <w:ilvl w:val="0"/>
          <w:numId w:val="5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5C08D052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通过点击“删除”按钮，弹出删除确认信息，可删除所选设备信息；如图28所示；</w:t>
      </w:r>
    </w:p>
    <w:p w14:paraId="2EB7BB1F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2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ED697">
      <w:pPr>
        <w:pStyle w:val="7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28</w:t>
      </w:r>
      <w:r>
        <w:fldChar w:fldCharType="end"/>
      </w:r>
      <w:r>
        <w:rPr>
          <w:rFonts w:hint="eastAsia"/>
          <w:lang w:eastAsia="zh-CN"/>
        </w:rPr>
        <w:t xml:space="preserve"> 删除工位</w:t>
      </w:r>
    </w:p>
    <w:p w14:paraId="50737B4B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2" w:name="_Toc15931"/>
      <w:r>
        <w:rPr>
          <w:rFonts w:hint="eastAsia" w:asciiTheme="minorEastAsia" w:hAnsiTheme="minorEastAsia" w:cstheme="minorEastAsia"/>
          <w:b/>
          <w:bCs/>
          <w:lang w:val="en-US" w:eastAsia="zh-CN"/>
        </w:rPr>
        <w:t>2.2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lang w:val="en-US" w:eastAsia="zh-CN"/>
        </w:rPr>
        <w:t>3移动工装管理</w:t>
      </w:r>
      <w:bookmarkEnd w:id="62"/>
    </w:p>
    <w:p w14:paraId="4CA94640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MES系统通过与物联网、产线总控系统的集成，获取移动工装的位置、状态、基础信息并展示。如图29所示；</w:t>
      </w:r>
    </w:p>
    <w:p w14:paraId="3FFF7A2D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2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16C8F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29</w:t>
      </w:r>
      <w:r>
        <w:fldChar w:fldCharType="end"/>
      </w:r>
      <w:r>
        <w:rPr>
          <w:rFonts w:hint="eastAsia"/>
          <w:lang w:eastAsia="zh-CN"/>
        </w:rPr>
        <w:t xml:space="preserve"> 移动工装管理</w:t>
      </w:r>
    </w:p>
    <w:p w14:paraId="2B3222FA">
      <w:pPr>
        <w:numPr>
          <w:ilvl w:val="0"/>
          <w:numId w:val="6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6EC70B46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通过点击“新增”，可根据提示的信息填写移动工装信息，填写后点击保存完成移动工装模型的创建，如图30所示；</w:t>
      </w:r>
    </w:p>
    <w:p w14:paraId="0656C5FD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3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EAA7C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30</w:t>
      </w:r>
      <w:r>
        <w:fldChar w:fldCharType="end"/>
      </w:r>
      <w:r>
        <w:rPr>
          <w:rFonts w:hint="eastAsia"/>
          <w:lang w:eastAsia="zh-CN"/>
        </w:rPr>
        <w:t xml:space="preserve"> 新增移动工装</w:t>
      </w:r>
    </w:p>
    <w:p w14:paraId="68B7E828">
      <w:pPr>
        <w:numPr>
          <w:ilvl w:val="0"/>
          <w:numId w:val="6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5497E85D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通过点击“修改”按钮，可根据提示的信息填写移动工装信息，填写后点击保存完成移动工装模型的修改，如图31所示；</w:t>
      </w:r>
    </w:p>
    <w:p w14:paraId="6E55D7B8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F572E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31</w:t>
      </w:r>
      <w:r>
        <w:fldChar w:fldCharType="end"/>
      </w:r>
      <w:r>
        <w:rPr>
          <w:rFonts w:hint="eastAsia"/>
          <w:lang w:eastAsia="zh-CN"/>
        </w:rPr>
        <w:t xml:space="preserve"> 修改移动工装信息</w:t>
      </w:r>
    </w:p>
    <w:p w14:paraId="479DCD0A">
      <w:pPr>
        <w:numPr>
          <w:ilvl w:val="0"/>
          <w:numId w:val="6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5387B1FB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通过点击“删除”按钮，弹出删除确认信息，可删除所选设备信息；如图32所示；</w:t>
      </w:r>
    </w:p>
    <w:p w14:paraId="79BC674B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4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25B3F">
      <w:pPr>
        <w:pStyle w:val="7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32</w:t>
      </w:r>
      <w:r>
        <w:fldChar w:fldCharType="end"/>
      </w:r>
      <w:r>
        <w:rPr>
          <w:rFonts w:hint="eastAsia"/>
          <w:lang w:eastAsia="zh-CN"/>
        </w:rPr>
        <w:t xml:space="preserve"> 删除移动工装</w:t>
      </w:r>
    </w:p>
    <w:p w14:paraId="2EE6BC92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3" w:name="_Toc28706"/>
      <w:r>
        <w:rPr>
          <w:rFonts w:hint="eastAsia" w:asciiTheme="minorEastAsia" w:hAnsiTheme="minorEastAsia" w:cstheme="minorEastAsia"/>
          <w:b/>
          <w:bCs/>
          <w:lang w:val="en-US" w:eastAsia="zh-CN"/>
        </w:rPr>
        <w:t>2.2</w:t>
      </w:r>
      <w:r>
        <w:rPr>
          <w:rFonts w:hint="eastAsia" w:asciiTheme="minorEastAsia" w:hAnsiTheme="minorEastAsia" w:eastAsiaTheme="minorEastAsia" w:cstheme="minorEastAsia"/>
          <w:b/>
          <w:bCs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lang w:val="en-US" w:eastAsia="zh-CN"/>
        </w:rPr>
        <w:t>4班组管理</w:t>
      </w:r>
      <w:bookmarkEnd w:id="63"/>
    </w:p>
    <w:p w14:paraId="082B4692">
      <w:pPr>
        <w:ind w:left="0" w:leftChars="0" w:firstLine="420" w:firstLineChars="0"/>
        <w:outlineLvl w:val="9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在MES系统的班组管理模块，定义生产班组信息并可定义班组的成员信息。如图33所示；</w:t>
      </w:r>
    </w:p>
    <w:p w14:paraId="07BCE062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4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C49DE">
      <w:pPr>
        <w:pStyle w:val="7"/>
        <w:ind w:left="0" w:leftChars="0" w:firstLine="0" w:firstLineChars="0"/>
        <w:jc w:val="center"/>
        <w:outlineLvl w:val="9"/>
        <w:rPr>
          <w:rFonts w:hint="default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33</w:t>
      </w:r>
      <w:r>
        <w:fldChar w:fldCharType="end"/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val="en-US" w:eastAsia="zh-CN"/>
        </w:rPr>
        <w:t>班组管理</w:t>
      </w:r>
    </w:p>
    <w:p w14:paraId="286330AF">
      <w:pPr>
        <w:numPr>
          <w:ilvl w:val="0"/>
          <w:numId w:val="7"/>
        </w:numPr>
        <w:ind w:left="0" w:leftChars="0"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5A9941E6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通过点击“新增”，可根据提示的信息填写班组信息，填写后点击保存完成班组的创建，如图34所示；</w:t>
      </w:r>
    </w:p>
    <w:p w14:paraId="3A39BCDB">
      <w:pPr>
        <w:widowControl w:val="0"/>
        <w:numPr>
          <w:ilvl w:val="0"/>
          <w:numId w:val="0"/>
        </w:numPr>
        <w:spacing w:before="50" w:beforeLines="50" w:line="360" w:lineRule="auto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4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2F460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34</w:t>
      </w:r>
      <w:r>
        <w:fldChar w:fldCharType="end"/>
      </w:r>
      <w:r>
        <w:rPr>
          <w:rFonts w:hint="eastAsia"/>
          <w:lang w:eastAsia="zh-CN"/>
        </w:rPr>
        <w:t xml:space="preserve"> 新建班组</w:t>
      </w:r>
    </w:p>
    <w:p w14:paraId="28C7CDA5">
      <w:pPr>
        <w:numPr>
          <w:ilvl w:val="0"/>
          <w:numId w:val="7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65921458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通过点击“修改”，可根据提示的信息修改班组信息，填写后点击确认完成班组信息的修改，如图35所示；</w:t>
      </w:r>
    </w:p>
    <w:p w14:paraId="178FD26D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4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90492">
      <w:pPr>
        <w:pStyle w:val="7"/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35</w:t>
      </w:r>
      <w:r>
        <w:fldChar w:fldCharType="end"/>
      </w:r>
      <w:r>
        <w:rPr>
          <w:rFonts w:hint="eastAsia"/>
          <w:lang w:eastAsia="zh-CN"/>
        </w:rPr>
        <w:t xml:space="preserve"> 修改班组信息</w:t>
      </w:r>
    </w:p>
    <w:p w14:paraId="06B3693C">
      <w:pPr>
        <w:numPr>
          <w:ilvl w:val="0"/>
          <w:numId w:val="7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6CB286B1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center"/>
      </w:pPr>
      <w:r>
        <w:rPr>
          <w:rFonts w:hint="eastAsia"/>
          <w:lang w:val="en-US" w:eastAsia="zh-CN"/>
        </w:rPr>
        <w:t>通过点击“删除”，弹出删除确认信息，可删除所选班组，如图36所示；</w:t>
      </w:r>
      <w:r>
        <w:drawing>
          <wp:inline distT="0" distB="0" distL="114300" distR="114300">
            <wp:extent cx="5257800" cy="2581910"/>
            <wp:effectExtent l="0" t="0" r="8890" b="2540"/>
            <wp:docPr id="4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52062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default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36</w:t>
      </w:r>
      <w:r>
        <w:fldChar w:fldCharType="end"/>
      </w:r>
      <w:r>
        <w:rPr>
          <w:rFonts w:hint="eastAsia"/>
          <w:lang w:eastAsia="zh-CN"/>
        </w:rPr>
        <w:t xml:space="preserve"> 删除班组</w:t>
      </w:r>
    </w:p>
    <w:p w14:paraId="084CC4F1">
      <w:pPr>
        <w:numPr>
          <w:ilvl w:val="0"/>
          <w:numId w:val="7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组员管理</w:t>
      </w:r>
    </w:p>
    <w:p w14:paraId="231AE8D9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default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通过点击“组员管理”，弹出班组组员界面，可操作组员的添加与删除。如图37所示；</w:t>
      </w:r>
    </w:p>
    <w:p w14:paraId="436B8F82">
      <w:pPr>
        <w:ind w:left="0" w:leftChars="0" w:firstLine="0" w:firstLineChars="0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4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2D331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37</w:t>
      </w:r>
      <w:r>
        <w:fldChar w:fldCharType="end"/>
      </w:r>
      <w:r>
        <w:rPr>
          <w:rFonts w:hint="eastAsia"/>
          <w:lang w:eastAsia="zh-CN"/>
        </w:rPr>
        <w:t xml:space="preserve"> 组员管理</w:t>
      </w:r>
    </w:p>
    <w:p w14:paraId="345C838E">
      <w:pPr>
        <w:ind w:left="0" w:leftChars="0" w:firstLine="420" w:firstLineChars="0"/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64" w:name="_Toc12280"/>
      <w:r>
        <w:rPr>
          <w:rFonts w:hint="eastAsia" w:asciiTheme="minorEastAsia" w:hAnsiTheme="minorEastAsia" w:cstheme="minorEastAsia"/>
          <w:b/>
          <w:bCs/>
          <w:lang w:val="en-US" w:eastAsia="zh-CN"/>
        </w:rPr>
        <w:t>2.2.5生产班制管理</w:t>
      </w:r>
      <w:bookmarkEnd w:id="64"/>
    </w:p>
    <w:p w14:paraId="7E24BD67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4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C0A8F">
      <w:pPr>
        <w:pStyle w:val="7"/>
        <w:ind w:left="0" w:leftChars="0" w:firstLine="0" w:firstLineChars="0"/>
        <w:jc w:val="center"/>
        <w:outlineLvl w:val="9"/>
        <w:rPr>
          <w:rFonts w:hint="default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38</w:t>
      </w:r>
      <w:r>
        <w:fldChar w:fldCharType="end"/>
      </w:r>
      <w:r>
        <w:rPr>
          <w:rFonts w:hint="eastAsia"/>
          <w:lang w:eastAsia="zh-CN"/>
        </w:rPr>
        <w:t xml:space="preserve"> 生产</w:t>
      </w:r>
      <w:r>
        <w:rPr>
          <w:rFonts w:hint="eastAsia"/>
          <w:lang w:val="en-US" w:eastAsia="zh-CN"/>
        </w:rPr>
        <w:t>班制管理</w:t>
      </w:r>
    </w:p>
    <w:p w14:paraId="3E41FFE3">
      <w:pPr>
        <w:ind w:left="0" w:leftChars="0" w:firstLine="420" w:firstLineChars="0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如图38所示，该界面设定企业的工作日生产班次内容，通过新增班次可增加班次信息。</w:t>
      </w:r>
    </w:p>
    <w:p w14:paraId="7F5813C1">
      <w:pPr>
        <w:numPr>
          <w:ilvl w:val="0"/>
          <w:numId w:val="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新增班制</w:t>
      </w:r>
    </w:p>
    <w:p w14:paraId="312459C2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通过点击“新增班制”按钮，可根据提示内容填写班制信息，填写后点击确认完成班制信息的创建。如图39所示；</w:t>
      </w:r>
    </w:p>
    <w:p w14:paraId="2E61AF8C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5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64A27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39</w:t>
      </w:r>
      <w:r>
        <w:fldChar w:fldCharType="end"/>
      </w:r>
      <w:r>
        <w:rPr>
          <w:rFonts w:hint="eastAsia"/>
          <w:lang w:eastAsia="zh-CN"/>
        </w:rPr>
        <w:t xml:space="preserve"> 新增班制</w:t>
      </w:r>
    </w:p>
    <w:p w14:paraId="7835CB37">
      <w:pPr>
        <w:numPr>
          <w:ilvl w:val="0"/>
          <w:numId w:val="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修改班制</w:t>
      </w:r>
    </w:p>
    <w:p w14:paraId="5C5D7855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通过点击“修改”按钮，可根据提示内容填写班制信息，填写后点击确认完成班制信息的修改。如图40所示；</w:t>
      </w:r>
    </w:p>
    <w:p w14:paraId="5EB14439">
      <w:pPr>
        <w:widowControl w:val="0"/>
        <w:numPr>
          <w:ilvl w:val="0"/>
          <w:numId w:val="0"/>
        </w:numPr>
        <w:spacing w:before="50" w:beforeLines="50" w:line="360" w:lineRule="auto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5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CBE39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40</w:t>
      </w:r>
      <w:r>
        <w:fldChar w:fldCharType="end"/>
      </w:r>
      <w:r>
        <w:rPr>
          <w:rFonts w:hint="eastAsia"/>
          <w:lang w:eastAsia="zh-CN"/>
        </w:rPr>
        <w:t xml:space="preserve"> 修改班制</w:t>
      </w:r>
    </w:p>
    <w:p w14:paraId="5103DEDB">
      <w:pPr>
        <w:numPr>
          <w:ilvl w:val="0"/>
          <w:numId w:val="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6436766D">
      <w:pPr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通过点击“删除”，弹出删除确认信息，可删除所选班制信息，如图41所示；</w:t>
      </w:r>
    </w:p>
    <w:p w14:paraId="068EBAE7">
      <w:pPr>
        <w:ind w:left="0" w:leftChars="0" w:firstLine="0" w:firstLineChars="0"/>
        <w:jc w:val="center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5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1407F">
      <w:pPr>
        <w:pStyle w:val="7"/>
        <w:ind w:left="0" w:leftChars="0" w:firstLine="0" w:firstLineChars="0"/>
        <w:jc w:val="center"/>
        <w:outlineLvl w:val="9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41</w:t>
      </w:r>
      <w:r>
        <w:fldChar w:fldCharType="end"/>
      </w:r>
      <w:r>
        <w:rPr>
          <w:rFonts w:hint="eastAsia"/>
          <w:lang w:eastAsia="zh-CN"/>
        </w:rPr>
        <w:t xml:space="preserve"> 删除班制</w:t>
      </w:r>
    </w:p>
    <w:p w14:paraId="7B88AEB7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5" w:name="_Toc4804"/>
      <w:r>
        <w:rPr>
          <w:rFonts w:hint="eastAsia" w:asciiTheme="minorEastAsia" w:hAnsiTheme="minorEastAsia" w:cstheme="minorEastAsia"/>
          <w:b/>
          <w:bCs/>
          <w:lang w:val="en-US" w:eastAsia="zh-CN"/>
        </w:rPr>
        <w:t>2.2.6企业工作日历</w:t>
      </w:r>
      <w:bookmarkEnd w:id="65"/>
    </w:p>
    <w:p w14:paraId="471CE332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5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096E1">
      <w:pPr>
        <w:pStyle w:val="7"/>
        <w:ind w:left="0" w:leftChars="0" w:firstLine="0" w:firstLineChars="0"/>
        <w:jc w:val="center"/>
        <w:outlineLvl w:val="9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42</w:t>
      </w:r>
      <w:r>
        <w:fldChar w:fldCharType="end"/>
      </w:r>
      <w:r>
        <w:rPr>
          <w:rFonts w:hint="eastAsia"/>
          <w:lang w:eastAsia="zh-CN"/>
        </w:rPr>
        <w:t xml:space="preserve"> 企业工作日历</w:t>
      </w:r>
    </w:p>
    <w:p w14:paraId="14C9694B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如图42所示，在企业工作日历中设定企业的工作日、休息日信息，针对特定假期也可通过特殊日期进行休息日的设定；</w:t>
      </w:r>
    </w:p>
    <w:p w14:paraId="1071747F">
      <w:pPr>
        <w:numPr>
          <w:ilvl w:val="0"/>
          <w:numId w:val="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新增日历</w:t>
      </w:r>
    </w:p>
    <w:p w14:paraId="642D2C5F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通过点击“新增”按钮，可根据提示内容填写日历信息，填写后点击确认完成日历信息的创建。如图43所示；</w:t>
      </w:r>
    </w:p>
    <w:p w14:paraId="5C3092FF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5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FC419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43</w:t>
      </w:r>
      <w:r>
        <w:fldChar w:fldCharType="end"/>
      </w:r>
      <w:r>
        <w:rPr>
          <w:rFonts w:hint="eastAsia"/>
          <w:lang w:eastAsia="zh-CN"/>
        </w:rPr>
        <w:t xml:space="preserve"> 企业工作日历</w:t>
      </w:r>
    </w:p>
    <w:p w14:paraId="2095B4E0">
      <w:pPr>
        <w:numPr>
          <w:ilvl w:val="0"/>
          <w:numId w:val="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修改日历</w:t>
      </w:r>
    </w:p>
    <w:p w14:paraId="0222F0BF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通过点击“修改日历”按钮，可根据提示内容填写日历信息，填写后点击确认完成日历信息的创建。如图44所示；</w:t>
      </w:r>
    </w:p>
    <w:p w14:paraId="361247CA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5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6D7CF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44</w:t>
      </w:r>
      <w:r>
        <w:fldChar w:fldCharType="end"/>
      </w:r>
      <w:r>
        <w:rPr>
          <w:rFonts w:hint="eastAsia"/>
          <w:lang w:eastAsia="zh-CN"/>
        </w:rPr>
        <w:t xml:space="preserve"> 修改日历信息</w:t>
      </w:r>
    </w:p>
    <w:p w14:paraId="364D1424">
      <w:pPr>
        <w:numPr>
          <w:ilvl w:val="0"/>
          <w:numId w:val="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删除日历</w:t>
      </w:r>
    </w:p>
    <w:p w14:paraId="372E7F79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通过点击“删除”按钮，可删除所选中的日历信息，如图45所示；</w:t>
      </w:r>
    </w:p>
    <w:p w14:paraId="385145E8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5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F84BF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45</w:t>
      </w:r>
      <w:r>
        <w:fldChar w:fldCharType="end"/>
      </w:r>
      <w:r>
        <w:rPr>
          <w:rFonts w:hint="eastAsia"/>
          <w:lang w:eastAsia="zh-CN"/>
        </w:rPr>
        <w:t xml:space="preserve"> 删除日历信息</w:t>
      </w:r>
    </w:p>
    <w:p w14:paraId="3EF15B69">
      <w:pPr>
        <w:numPr>
          <w:ilvl w:val="0"/>
          <w:numId w:val="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创建特殊日期</w:t>
      </w:r>
    </w:p>
    <w:p w14:paraId="1D8F877B">
      <w:pPr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通过点击“创建特殊日期”按钮，可根据提示内容填写特殊日期信息，填写后点击确认完成特殊日期信息的创建。如图46所示；</w:t>
      </w:r>
    </w:p>
    <w:p w14:paraId="0C350975">
      <w:pPr>
        <w:ind w:left="0" w:leftChars="0" w:firstLine="0" w:firstLineChars="0"/>
        <w:jc w:val="center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5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124DC">
      <w:pPr>
        <w:pStyle w:val="7"/>
        <w:ind w:left="0" w:leftChars="0" w:firstLine="0" w:firstLineChars="0"/>
        <w:jc w:val="center"/>
        <w:outlineLvl w:val="9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46</w:t>
      </w:r>
      <w:r>
        <w:fldChar w:fldCharType="end"/>
      </w:r>
      <w:r>
        <w:rPr>
          <w:rFonts w:hint="eastAsia"/>
          <w:lang w:eastAsia="zh-CN"/>
        </w:rPr>
        <w:t xml:space="preserve"> 创建特殊日期</w:t>
      </w:r>
    </w:p>
    <w:p w14:paraId="031E530F">
      <w:pPr>
        <w:outlineLvl w:val="9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通过点击“删除特殊日期”按钮，可查看到当前所有创建过的特殊日期，并通过点击“删除”按钮，可删除该特殊日期。如图47所示；</w:t>
      </w:r>
    </w:p>
    <w:p w14:paraId="63C5AD9C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5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67682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47</w:t>
      </w:r>
      <w:r>
        <w:fldChar w:fldCharType="end"/>
      </w:r>
      <w:r>
        <w:rPr>
          <w:rFonts w:hint="eastAsia"/>
          <w:lang w:eastAsia="zh-CN"/>
        </w:rPr>
        <w:t xml:space="preserve"> 删除特殊日期</w:t>
      </w:r>
    </w:p>
    <w:p w14:paraId="599E9984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6" w:name="_Toc23210"/>
      <w:r>
        <w:rPr>
          <w:rFonts w:hint="eastAsia" w:asciiTheme="minorEastAsia" w:hAnsiTheme="minorEastAsia" w:cstheme="minorEastAsia"/>
          <w:b/>
          <w:bCs/>
          <w:lang w:val="en-US" w:eastAsia="zh-CN"/>
        </w:rPr>
        <w:t>2.2.7设备工作日历</w:t>
      </w:r>
      <w:bookmarkEnd w:id="66"/>
    </w:p>
    <w:p w14:paraId="7A91FFF4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outlineLvl w:val="9"/>
      </w:pPr>
      <w:r>
        <w:rPr>
          <w:rFonts w:hint="eastAsia"/>
          <w:lang w:val="en-US" w:eastAsia="zh-CN"/>
        </w:rPr>
        <w:t>该界面可根据生产班制中设定的班制对设备进行工作班制的管理，在该界面进行查看与设备班制调整。如图48所示；</w:t>
      </w:r>
    </w:p>
    <w:p w14:paraId="37F13BCB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5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7C5B7">
      <w:pPr>
        <w:pStyle w:val="7"/>
        <w:ind w:left="0" w:leftChars="0" w:firstLine="0" w:firstLineChars="0"/>
        <w:jc w:val="center"/>
        <w:outlineLvl w:val="9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48</w:t>
      </w:r>
      <w:r>
        <w:fldChar w:fldCharType="end"/>
      </w:r>
      <w:r>
        <w:rPr>
          <w:rFonts w:hint="eastAsia"/>
          <w:lang w:eastAsia="zh-CN"/>
        </w:rPr>
        <w:t xml:space="preserve"> 设备工作日历</w:t>
      </w:r>
    </w:p>
    <w:p w14:paraId="548A500A">
      <w:pPr>
        <w:numPr>
          <w:ilvl w:val="0"/>
          <w:numId w:val="10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设备工作班制设置</w:t>
      </w:r>
    </w:p>
    <w:p w14:paraId="121F9038">
      <w:pPr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通过选择所需调整班制的设备后，点击“设置”按钮，可根据提示内容完善设备班制设置，填写后点击确认完成设备班制信息的设置。如图49所示；</w:t>
      </w:r>
    </w:p>
    <w:p w14:paraId="3F15E401">
      <w:pPr>
        <w:ind w:left="0" w:leftChars="0" w:firstLine="0" w:firstLineChars="0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6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2F075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49</w:t>
      </w:r>
      <w:r>
        <w:fldChar w:fldCharType="end"/>
      </w:r>
      <w:r>
        <w:rPr>
          <w:rFonts w:hint="eastAsia"/>
          <w:lang w:eastAsia="zh-CN"/>
        </w:rPr>
        <w:t xml:space="preserve"> 设备工作班制设置</w:t>
      </w:r>
    </w:p>
    <w:p w14:paraId="715C5A10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67" w:name="_Toc27780"/>
      <w:r>
        <w:rPr>
          <w:rFonts w:hint="eastAsia" w:asciiTheme="minorEastAsia" w:hAnsiTheme="minorEastAsia" w:cstheme="minorEastAsia"/>
          <w:b/>
          <w:bCs/>
          <w:lang w:val="en-US" w:eastAsia="zh-CN"/>
        </w:rPr>
        <w:t>2.2.8资源状态</w:t>
      </w:r>
      <w:bookmarkEnd w:id="67"/>
    </w:p>
    <w:p w14:paraId="7A3FAF4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该界面可管理设备资源的故障状态，通过该界面对设备资源的可用状态进行调整，为生产任务的排产提供数据支撑。如图49所示；</w:t>
      </w:r>
    </w:p>
    <w:p w14:paraId="1EBB063C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6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FF3E5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50</w:t>
      </w:r>
      <w:r>
        <w:fldChar w:fldCharType="end"/>
      </w:r>
      <w:r>
        <w:rPr>
          <w:rFonts w:hint="eastAsia"/>
          <w:lang w:eastAsia="zh-CN"/>
        </w:rPr>
        <w:t xml:space="preserve"> 资源状态</w:t>
      </w:r>
    </w:p>
    <w:p w14:paraId="4D906C3D">
      <w:pPr>
        <w:numPr>
          <w:ilvl w:val="0"/>
          <w:numId w:val="11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新增资源状态</w:t>
      </w:r>
    </w:p>
    <w:p w14:paraId="2D14C80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通过点击“新增”按钮，可根据提示内容完善设备故障信息，填写后点击确认完成设备状态的新增。如图51所示；</w:t>
      </w:r>
    </w:p>
    <w:p w14:paraId="6AFF42EB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6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889C7">
      <w:pPr>
        <w:pStyle w:val="7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51</w:t>
      </w:r>
      <w:r>
        <w:fldChar w:fldCharType="end"/>
      </w:r>
      <w:r>
        <w:rPr>
          <w:rFonts w:hint="eastAsia"/>
          <w:lang w:eastAsia="zh-CN"/>
        </w:rPr>
        <w:t xml:space="preserve"> 新增设备故障</w:t>
      </w:r>
      <w:r>
        <w:rPr>
          <w:rFonts w:hint="eastAsia"/>
          <w:lang w:val="en-US" w:eastAsia="zh-CN"/>
        </w:rPr>
        <w:t>状态</w:t>
      </w:r>
    </w:p>
    <w:p w14:paraId="4824B3C5">
      <w:pPr>
        <w:numPr>
          <w:ilvl w:val="0"/>
          <w:numId w:val="11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故障资源状态恢复</w:t>
      </w:r>
    </w:p>
    <w:p w14:paraId="3AE901C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当处于故障状态的设备完成维修并可重新进入排产工作中时，通过点击“维修完成”按钮，将设备故障状态取消，重新进入正常排产资源中。如图52所示；</w:t>
      </w:r>
    </w:p>
    <w:p w14:paraId="3E5D0A88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6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F9461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52</w:t>
      </w:r>
      <w:r>
        <w:fldChar w:fldCharType="end"/>
      </w:r>
      <w:r>
        <w:rPr>
          <w:rFonts w:hint="eastAsia"/>
          <w:lang w:eastAsia="zh-CN"/>
        </w:rPr>
        <w:t xml:space="preserve"> 故障资源</w:t>
      </w:r>
      <w:r>
        <w:rPr>
          <w:rFonts w:hint="eastAsia"/>
          <w:lang w:val="en-US" w:eastAsia="zh-CN"/>
        </w:rPr>
        <w:t>状态</w:t>
      </w:r>
      <w:r>
        <w:rPr>
          <w:rFonts w:hint="eastAsia"/>
          <w:lang w:eastAsia="zh-CN"/>
        </w:rPr>
        <w:t>恢复</w:t>
      </w:r>
    </w:p>
    <w:p w14:paraId="49677ED6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68" w:name="_Toc2818"/>
      <w:bookmarkStart w:id="69" w:name="_Toc26556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2.3订单管理</w:t>
      </w:r>
      <w:bookmarkEnd w:id="68"/>
      <w:bookmarkEnd w:id="69"/>
    </w:p>
    <w:p w14:paraId="0317EC78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70" w:name="_Toc32533"/>
      <w:r>
        <w:rPr>
          <w:rFonts w:hint="eastAsia" w:asciiTheme="minorEastAsia" w:hAnsiTheme="minorEastAsia" w:cstheme="minorEastAsia"/>
          <w:b/>
          <w:bCs/>
          <w:lang w:val="en-US" w:eastAsia="zh-CN"/>
        </w:rPr>
        <w:t>2.3.1生产任务管理</w:t>
      </w:r>
      <w:bookmarkEnd w:id="70"/>
    </w:p>
    <w:p w14:paraId="39BE19F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生产任务管理模块负责系统中生产任务的创建、工艺完善、订单拆分等工作。如图53所示；</w:t>
      </w:r>
    </w:p>
    <w:p w14:paraId="754D885A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6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5ECBB">
      <w:pPr>
        <w:pStyle w:val="7"/>
        <w:ind w:left="0" w:leftChars="0" w:firstLine="0" w:firstLineChars="0"/>
        <w:jc w:val="center"/>
        <w:outlineLvl w:val="9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53</w:t>
      </w:r>
      <w:r>
        <w:fldChar w:fldCharType="end"/>
      </w:r>
      <w:r>
        <w:rPr>
          <w:rFonts w:hint="eastAsia"/>
          <w:lang w:eastAsia="zh-CN"/>
        </w:rPr>
        <w:t xml:space="preserve"> 生产任务管理</w:t>
      </w:r>
    </w:p>
    <w:p w14:paraId="6BCF5CCF">
      <w:pPr>
        <w:numPr>
          <w:ilvl w:val="0"/>
          <w:numId w:val="1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006822E9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通过点击“新增”按钮，根据提示内容完善生产任务信息，填写后点击确认完成生产任务的创建。如图54所示；</w:t>
      </w:r>
    </w:p>
    <w:p w14:paraId="1A953C1A">
      <w:pPr>
        <w:widowControl w:val="0"/>
        <w:numPr>
          <w:ilvl w:val="0"/>
          <w:numId w:val="0"/>
        </w:numPr>
        <w:spacing w:before="50" w:beforeLines="50" w:line="360" w:lineRule="auto"/>
        <w:jc w:val="center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6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6DF10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outlineLvl w:val="9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54</w:t>
      </w:r>
      <w:r>
        <w:fldChar w:fldCharType="end"/>
      </w:r>
      <w:r>
        <w:rPr>
          <w:rFonts w:hint="eastAsia"/>
          <w:lang w:eastAsia="zh-CN"/>
        </w:rPr>
        <w:t xml:space="preserve"> 生产任务创建</w:t>
      </w:r>
    </w:p>
    <w:p w14:paraId="6CC6CD14">
      <w:pPr>
        <w:numPr>
          <w:ilvl w:val="0"/>
          <w:numId w:val="1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308CBCE2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通过点击生产任务上的“修改”按钮，根据提示内容完善生产任务信息，填写后点击确认完成生产任务的修改。如图55所示；</w:t>
      </w:r>
    </w:p>
    <w:p w14:paraId="2FB047A6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6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FF31A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55</w:t>
      </w:r>
      <w:r>
        <w:fldChar w:fldCharType="end"/>
      </w:r>
      <w:r>
        <w:rPr>
          <w:rFonts w:hint="eastAsia"/>
          <w:lang w:eastAsia="zh-CN"/>
        </w:rPr>
        <w:t xml:space="preserve"> 生产任务信息修改</w:t>
      </w:r>
    </w:p>
    <w:p w14:paraId="34225000">
      <w:pPr>
        <w:numPr>
          <w:ilvl w:val="0"/>
          <w:numId w:val="1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工艺导入</w:t>
      </w:r>
    </w:p>
    <w:p w14:paraId="609CD78F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通过点击生产任务上的“工艺导入”按钮，导入厂内提供的工艺Excel文件，点击确认完成生产任务的工艺完善，工序文件同理。如图56所示；</w:t>
      </w:r>
    </w:p>
    <w:p w14:paraId="261D1A51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37CAA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56</w:t>
      </w:r>
      <w:r>
        <w:fldChar w:fldCharType="end"/>
      </w:r>
      <w:r>
        <w:rPr>
          <w:rFonts w:hint="eastAsia"/>
          <w:lang w:eastAsia="zh-CN"/>
        </w:rPr>
        <w:t xml:space="preserve"> 工艺文件Excel导入</w:t>
      </w:r>
    </w:p>
    <w:p w14:paraId="57577C59">
      <w:pPr>
        <w:numPr>
          <w:ilvl w:val="0"/>
          <w:numId w:val="1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任务拆分</w:t>
      </w:r>
    </w:p>
    <w:p w14:paraId="2779DC92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通过点击生产任务上的“任务拆分”按钮，可将数量大于1的生产任务进行拆分，并必须具备唯一性质的信息。如图57所示；</w:t>
      </w:r>
    </w:p>
    <w:p w14:paraId="0EBD6556">
      <w:pPr>
        <w:widowControl w:val="0"/>
        <w:numPr>
          <w:ilvl w:val="0"/>
          <w:numId w:val="0"/>
        </w:numPr>
        <w:spacing w:before="50" w:beforeLines="50" w:line="360" w:lineRule="auto"/>
        <w:jc w:val="both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7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5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AC269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outlineLvl w:val="9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57</w:t>
      </w:r>
      <w:r>
        <w:fldChar w:fldCharType="end"/>
      </w:r>
      <w:r>
        <w:rPr>
          <w:rFonts w:hint="eastAsia"/>
          <w:lang w:eastAsia="zh-CN"/>
        </w:rPr>
        <w:t xml:space="preserve"> 任务拆分</w:t>
      </w:r>
    </w:p>
    <w:p w14:paraId="13C10052">
      <w:pPr>
        <w:numPr>
          <w:ilvl w:val="0"/>
          <w:numId w:val="1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6A6382A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通过点击生产任务上的“删除”按钮，可将选定的生产任务进行删除，但是必须确保该任务未处于生产中状态。如图58所示；</w:t>
      </w:r>
    </w:p>
    <w:p w14:paraId="146392E5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2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5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CD3D9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58</w:t>
      </w:r>
      <w:r>
        <w:fldChar w:fldCharType="end"/>
      </w:r>
      <w:r>
        <w:rPr>
          <w:rFonts w:hint="eastAsia"/>
          <w:lang w:eastAsia="zh-CN"/>
        </w:rPr>
        <w:t xml:space="preserve"> 生产任务删除</w:t>
      </w:r>
    </w:p>
    <w:p w14:paraId="55CB0BAA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71" w:name="_Toc18801"/>
      <w:bookmarkStart w:id="72" w:name="_Toc8461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2.4工艺管理</w:t>
      </w:r>
      <w:bookmarkEnd w:id="71"/>
      <w:bookmarkEnd w:id="72"/>
    </w:p>
    <w:p w14:paraId="668E4ACD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73" w:name="_Toc29003"/>
      <w:r>
        <w:rPr>
          <w:rFonts w:hint="eastAsia" w:asciiTheme="minorEastAsia" w:hAnsiTheme="minorEastAsia" w:cstheme="minorEastAsia"/>
          <w:b/>
          <w:bCs/>
          <w:lang w:val="en-US" w:eastAsia="zh-CN"/>
        </w:rPr>
        <w:t>2.4.1工艺任务管理</w:t>
      </w:r>
      <w:bookmarkEnd w:id="73"/>
    </w:p>
    <w:p w14:paraId="4A04122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工艺管理模块负责展示生产任务管理中导入的工艺信息，进行级工艺管理，对级生产任务的工艺信息进行确认、修改、审批等工作。如图59所示；</w:t>
      </w:r>
    </w:p>
    <w:p w14:paraId="53B3FD06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C27B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59</w:t>
      </w:r>
      <w:r>
        <w:fldChar w:fldCharType="end"/>
      </w:r>
      <w:r>
        <w:rPr>
          <w:rFonts w:hint="eastAsia"/>
          <w:lang w:eastAsia="zh-CN"/>
        </w:rPr>
        <w:t xml:space="preserve"> 工艺任务管理</w:t>
      </w:r>
    </w:p>
    <w:p w14:paraId="55D344D9">
      <w:pPr>
        <w:numPr>
          <w:ilvl w:val="0"/>
          <w:numId w:val="13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修改工艺</w:t>
      </w:r>
    </w:p>
    <w:p w14:paraId="58920281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通过点击生产任务上的“修改”按钮，可进入该的工艺信息编辑界面，在完善工艺信息后点击确认完成工艺的修改并提交审批。如图60所示；</w:t>
      </w:r>
    </w:p>
    <w:p w14:paraId="71AAFE76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56FAA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60</w:t>
      </w:r>
      <w:r>
        <w:fldChar w:fldCharType="end"/>
      </w:r>
      <w:r>
        <w:rPr>
          <w:rFonts w:hint="eastAsia"/>
          <w:lang w:eastAsia="zh-CN"/>
        </w:rPr>
        <w:t xml:space="preserve"> 修改工艺</w:t>
      </w:r>
    </w:p>
    <w:p w14:paraId="2052DF7A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通过点击生产任务上的“确认”按钮，代表该的工艺已经完善，可以进入排产、派工环节。如图61所示；</w:t>
      </w:r>
    </w:p>
    <w:p w14:paraId="2FDD6BB3">
      <w:pPr>
        <w:widowControl w:val="0"/>
        <w:numPr>
          <w:ilvl w:val="0"/>
          <w:numId w:val="0"/>
        </w:numPr>
        <w:spacing w:before="50" w:beforeLines="50" w:line="360" w:lineRule="auto"/>
        <w:jc w:val="both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7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94492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outlineLvl w:val="9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61</w:t>
      </w:r>
      <w:r>
        <w:fldChar w:fldCharType="end"/>
      </w:r>
      <w:r>
        <w:rPr>
          <w:rFonts w:hint="eastAsia"/>
          <w:lang w:eastAsia="zh-CN"/>
        </w:rPr>
        <w:t xml:space="preserve"> 工艺确认</w:t>
      </w:r>
    </w:p>
    <w:p w14:paraId="14F1BC2A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74" w:name="_Toc18193"/>
      <w:r>
        <w:rPr>
          <w:rFonts w:hint="eastAsia" w:asciiTheme="minorEastAsia" w:hAnsiTheme="minorEastAsia" w:cstheme="minorEastAsia"/>
          <w:b/>
          <w:bCs/>
          <w:lang w:val="en-US" w:eastAsia="zh-CN"/>
        </w:rPr>
        <w:t>2.4.2工艺审批</w:t>
      </w:r>
      <w:bookmarkEnd w:id="74"/>
    </w:p>
    <w:p w14:paraId="673FB39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通过工艺审批界面对修改的工艺进行审批，审批通过后完成工艺的修改。如图62所示；</w:t>
      </w:r>
    </w:p>
    <w:p w14:paraId="014E5254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5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4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48B42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62</w:t>
      </w:r>
      <w:r>
        <w:fldChar w:fldCharType="end"/>
      </w:r>
      <w:r>
        <w:rPr>
          <w:rFonts w:hint="eastAsia"/>
          <w:lang w:eastAsia="zh-CN"/>
        </w:rPr>
        <w:t xml:space="preserve"> 工艺审批</w:t>
      </w:r>
    </w:p>
    <w:p w14:paraId="4E6DD265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75" w:name="_Toc11236"/>
      <w:bookmarkStart w:id="76" w:name="_Toc30575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2.5智能调度</w:t>
      </w:r>
      <w:bookmarkEnd w:id="75"/>
      <w:bookmarkEnd w:id="76"/>
    </w:p>
    <w:p w14:paraId="196196F3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77" w:name="_Toc434"/>
      <w:r>
        <w:rPr>
          <w:rFonts w:hint="eastAsia" w:asciiTheme="minorEastAsia" w:hAnsiTheme="minorEastAsia" w:cstheme="minorEastAsia"/>
          <w:b/>
          <w:bCs/>
          <w:lang w:val="en-US" w:eastAsia="zh-CN"/>
        </w:rPr>
        <w:t>2.5.1排产设置</w:t>
      </w:r>
      <w:bookmarkEnd w:id="77"/>
    </w:p>
    <w:p w14:paraId="5ADF5428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排产设置界面为已完善工艺的级生产任务提供智能排产功能，并针对历史排产记录进行查看。如图63所示；</w:t>
      </w:r>
    </w:p>
    <w:p w14:paraId="57F1D960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21FD3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63</w:t>
      </w:r>
      <w:r>
        <w:fldChar w:fldCharType="end"/>
      </w:r>
      <w:r>
        <w:rPr>
          <w:rFonts w:hint="eastAsia"/>
          <w:lang w:eastAsia="zh-CN"/>
        </w:rPr>
        <w:t xml:space="preserve"> 排产设置</w:t>
      </w:r>
    </w:p>
    <w:p w14:paraId="51B3DDF7">
      <w:pPr>
        <w:numPr>
          <w:ilvl w:val="0"/>
          <w:numId w:val="14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2B27C42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通过点击“新增”按钮，弹出订单选择与规则选择窗口，根据提示信息完善排产设置，点击确认完成所需排产订单批次的设置。如图64所示；</w:t>
      </w:r>
    </w:p>
    <w:p w14:paraId="6614A547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59EC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64</w:t>
      </w:r>
      <w:r>
        <w:fldChar w:fldCharType="end"/>
      </w:r>
      <w:r>
        <w:rPr>
          <w:rFonts w:hint="eastAsia"/>
          <w:lang w:eastAsia="zh-CN"/>
        </w:rPr>
        <w:t xml:space="preserve"> 新增排产任务</w:t>
      </w:r>
    </w:p>
    <w:p w14:paraId="7D2838EE">
      <w:pPr>
        <w:numPr>
          <w:ilvl w:val="0"/>
          <w:numId w:val="14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查看排产订单</w:t>
      </w:r>
    </w:p>
    <w:p w14:paraId="7CBF48A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通过点击“查看排产订单”按钮，可查看该排产任务中将排产的订单信息。如图65所示；</w:t>
      </w:r>
    </w:p>
    <w:p w14:paraId="26D72DB4">
      <w:pPr>
        <w:numPr>
          <w:ilvl w:val="0"/>
          <w:numId w:val="0"/>
        </w:numPr>
        <w:jc w:val="both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7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6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4F4E1">
      <w:pPr>
        <w:pStyle w:val="7"/>
        <w:numPr>
          <w:ilvl w:val="0"/>
          <w:numId w:val="0"/>
        </w:numPr>
        <w:jc w:val="center"/>
        <w:outlineLvl w:val="9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65</w:t>
      </w:r>
      <w:r>
        <w:fldChar w:fldCharType="end"/>
      </w:r>
      <w:r>
        <w:rPr>
          <w:rFonts w:hint="eastAsia"/>
          <w:lang w:eastAsia="zh-CN"/>
        </w:rPr>
        <w:t xml:space="preserve"> 查看排产订单</w:t>
      </w:r>
    </w:p>
    <w:p w14:paraId="536ABDF7">
      <w:pPr>
        <w:numPr>
          <w:ilvl w:val="0"/>
          <w:numId w:val="14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进行排产</w:t>
      </w:r>
    </w:p>
    <w:p w14:paraId="10BB61D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通过点击“进行”按钮，为所选的排产任务开始进行排产。如图66所示；</w:t>
      </w:r>
    </w:p>
    <w:p w14:paraId="03DF63A5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6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E7A23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66</w:t>
      </w:r>
      <w:r>
        <w:fldChar w:fldCharType="end"/>
      </w:r>
      <w:r>
        <w:rPr>
          <w:rFonts w:hint="eastAsia"/>
          <w:lang w:eastAsia="zh-CN"/>
        </w:rPr>
        <w:t xml:space="preserve"> 任务排产</w:t>
      </w:r>
    </w:p>
    <w:p w14:paraId="7273BA42">
      <w:pPr>
        <w:numPr>
          <w:ilvl w:val="0"/>
          <w:numId w:val="14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查看排产记录</w:t>
      </w:r>
    </w:p>
    <w:p w14:paraId="661E41F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每一条排产任务可进行多次排产，会根据所选规则的不同，在排产结果中有不同的体现，并且我们可以通过点击“查看排产记录”按钮，查看每一次的排产结果。如图67所示；</w:t>
      </w:r>
    </w:p>
    <w:p w14:paraId="461758DA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6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5363A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67</w:t>
      </w:r>
      <w:r>
        <w:fldChar w:fldCharType="end"/>
      </w:r>
      <w:r>
        <w:rPr>
          <w:rFonts w:hint="eastAsia"/>
          <w:lang w:eastAsia="zh-CN"/>
        </w:rPr>
        <w:t xml:space="preserve"> 查看排产记录</w:t>
      </w:r>
    </w:p>
    <w:p w14:paraId="0784BD01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78" w:name="_Toc16260"/>
      <w:bookmarkStart w:id="79" w:name="_Toc11137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2.6排产结果</w:t>
      </w:r>
      <w:bookmarkEnd w:id="78"/>
      <w:bookmarkEnd w:id="79"/>
    </w:p>
    <w:p w14:paraId="1E57B28C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80" w:name="_Toc9259"/>
      <w:r>
        <w:rPr>
          <w:rFonts w:hint="eastAsia" w:asciiTheme="minorEastAsia" w:hAnsiTheme="minorEastAsia" w:cstheme="minorEastAsia"/>
          <w:b/>
          <w:bCs/>
          <w:lang w:val="en-US" w:eastAsia="zh-CN"/>
        </w:rPr>
        <w:t>2.6.1资源甘特图</w:t>
      </w:r>
      <w:bookmarkEnd w:id="80"/>
    </w:p>
    <w:p w14:paraId="21116375">
      <w:pPr>
        <w:outlineLvl w:val="9"/>
        <w:rPr>
          <w:rFonts w:hint="default" w:asciiTheme="minorEastAsia" w:hAnsiTheme="minorEastAsia" w:cstheme="minor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资源甘特图界面，展示当前排产结果的资源预计占用情况与预计开始、结束时间。如图68所示；</w:t>
      </w:r>
    </w:p>
    <w:p w14:paraId="21A59F02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6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6817E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68</w:t>
      </w:r>
      <w:r>
        <w:fldChar w:fldCharType="end"/>
      </w:r>
      <w:r>
        <w:rPr>
          <w:rFonts w:hint="eastAsia"/>
          <w:lang w:eastAsia="zh-CN"/>
        </w:rPr>
        <w:t xml:space="preserve"> 资源甘特图</w:t>
      </w:r>
    </w:p>
    <w:p w14:paraId="5EFB242D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81" w:name="_Toc16403"/>
      <w:r>
        <w:rPr>
          <w:rFonts w:hint="eastAsia" w:asciiTheme="minorEastAsia" w:hAnsiTheme="minorEastAsia" w:cstheme="minorEastAsia"/>
          <w:b/>
          <w:bCs/>
          <w:lang w:val="en-US" w:eastAsia="zh-CN"/>
        </w:rPr>
        <w:t>2.6.2订单甘特图</w:t>
      </w:r>
      <w:bookmarkEnd w:id="81"/>
    </w:p>
    <w:p w14:paraId="5BEB6CCE">
      <w:pPr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订单甘特图界面，展示当前排产订单结果的完成时间。如图69所示；</w:t>
      </w:r>
    </w:p>
    <w:p w14:paraId="6032C24B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8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20FBD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69</w:t>
      </w:r>
      <w:r>
        <w:fldChar w:fldCharType="end"/>
      </w:r>
      <w:r>
        <w:rPr>
          <w:rFonts w:hint="eastAsia"/>
          <w:lang w:eastAsia="zh-CN"/>
        </w:rPr>
        <w:t xml:space="preserve"> 订单甘特图</w:t>
      </w:r>
    </w:p>
    <w:p w14:paraId="6406B4D1">
      <w:pPr>
        <w:outlineLvl w:val="2"/>
        <w:rPr>
          <w:rFonts w:hint="eastAsia"/>
          <w:lang w:val="en-US" w:eastAsia="zh-CN"/>
        </w:rPr>
      </w:pPr>
      <w:bookmarkStart w:id="82" w:name="_Toc25136"/>
      <w:r>
        <w:rPr>
          <w:rFonts w:hint="eastAsia" w:asciiTheme="minorEastAsia" w:hAnsiTheme="minorEastAsia" w:cstheme="minorEastAsia"/>
          <w:b/>
          <w:bCs/>
          <w:lang w:val="en-US" w:eastAsia="zh-CN"/>
        </w:rPr>
        <w:t>2.6.3订单工序甘特图</w:t>
      </w:r>
      <w:bookmarkEnd w:id="82"/>
    </w:p>
    <w:p w14:paraId="67C0FC6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订单工序甘特图，通过可视化甘特图图形展示每个订单下，工序的开始到完成的时间轴。如图70所示；</w:t>
      </w:r>
    </w:p>
    <w:p w14:paraId="6F96D526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A98D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70</w:t>
      </w:r>
      <w:r>
        <w:fldChar w:fldCharType="end"/>
      </w:r>
      <w:r>
        <w:rPr>
          <w:rFonts w:hint="eastAsia"/>
          <w:lang w:eastAsia="zh-CN"/>
        </w:rPr>
        <w:t xml:space="preserve"> 订单工序甘特图</w:t>
      </w:r>
    </w:p>
    <w:p w14:paraId="74D55314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83" w:name="_Toc24584"/>
      <w:r>
        <w:rPr>
          <w:rFonts w:hint="eastAsia" w:asciiTheme="minorEastAsia" w:hAnsiTheme="minorEastAsia" w:cstheme="minorEastAsia"/>
          <w:b/>
          <w:bCs/>
          <w:lang w:val="en-US" w:eastAsia="zh-CN"/>
        </w:rPr>
        <w:t>2.6.4订单工序甘特图</w:t>
      </w:r>
      <w:bookmarkEnd w:id="83"/>
    </w:p>
    <w:p w14:paraId="136E4E17">
      <w:pPr>
        <w:outlineLvl w:val="9"/>
        <w:rPr>
          <w:rFonts w:hint="default" w:asciiTheme="minorEastAsia" w:hAnsiTheme="minorEastAsia" w:cstheme="minor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APS排产后，会根据任务的所需物料生成物料需求计划。如图71所示；</w:t>
      </w:r>
    </w:p>
    <w:p w14:paraId="0CBCD627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6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3DAAD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71</w:t>
      </w:r>
      <w:r>
        <w:fldChar w:fldCharType="end"/>
      </w:r>
      <w:r>
        <w:rPr>
          <w:rFonts w:hint="eastAsia"/>
          <w:lang w:eastAsia="zh-CN"/>
        </w:rPr>
        <w:t xml:space="preserve"> 物料计划</w:t>
      </w:r>
    </w:p>
    <w:p w14:paraId="53F8E47B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84" w:name="_Toc10467"/>
      <w:r>
        <w:rPr>
          <w:rFonts w:hint="eastAsia" w:asciiTheme="minorEastAsia" w:hAnsiTheme="minorEastAsia" w:cstheme="minorEastAsia"/>
          <w:b/>
          <w:bCs/>
          <w:lang w:val="en-US" w:eastAsia="zh-CN"/>
        </w:rPr>
        <w:t>2.6.5排产结果</w:t>
      </w:r>
      <w:bookmarkEnd w:id="84"/>
    </w:p>
    <w:p w14:paraId="438DF2B4">
      <w:pPr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此界面为排产结果的信息展示，并可导出Excel文件。如图72所示；</w:t>
      </w:r>
    </w:p>
    <w:p w14:paraId="27C5C7CD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68595" cy="2362200"/>
            <wp:effectExtent l="0" t="0" r="12065" b="12700"/>
            <wp:docPr id="8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EDE07">
      <w:pPr>
        <w:pStyle w:val="7"/>
        <w:ind w:left="0" w:leftChars="0" w:firstLine="0" w:firstLineChars="0"/>
        <w:jc w:val="center"/>
        <w:outlineLvl w:val="9"/>
        <w:rPr>
          <w:rFonts w:hint="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72</w:t>
      </w:r>
      <w:r>
        <w:fldChar w:fldCharType="end"/>
      </w:r>
      <w:r>
        <w:rPr>
          <w:rFonts w:hint="eastAsia"/>
          <w:lang w:eastAsia="zh-CN"/>
        </w:rPr>
        <w:t xml:space="preserve"> 排产结果信息</w:t>
      </w:r>
    </w:p>
    <w:p w14:paraId="11160C7A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85" w:name="_Toc31323"/>
      <w:bookmarkStart w:id="86" w:name="_Toc16061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2.7下发控制</w:t>
      </w:r>
      <w:bookmarkEnd w:id="85"/>
      <w:bookmarkEnd w:id="86"/>
    </w:p>
    <w:p w14:paraId="464CDD68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87" w:name="_Toc26702"/>
      <w:r>
        <w:rPr>
          <w:rFonts w:hint="eastAsia" w:asciiTheme="minorEastAsia" w:hAnsiTheme="minorEastAsia" w:cstheme="minorEastAsia"/>
          <w:b/>
          <w:bCs/>
          <w:lang w:val="en-US" w:eastAsia="zh-CN"/>
        </w:rPr>
        <w:t>2.7.1任务派工</w:t>
      </w:r>
      <w:bookmarkEnd w:id="87"/>
    </w:p>
    <w:p w14:paraId="419AFAE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通过任务派工界面，可展示系统中生产任务的执行状态，并可执行任务的派工。如图73所示；</w:t>
      </w:r>
    </w:p>
    <w:p w14:paraId="1526CAF5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1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2B64A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73</w:t>
      </w:r>
      <w:r>
        <w:fldChar w:fldCharType="end"/>
      </w:r>
      <w:r>
        <w:rPr>
          <w:rFonts w:hint="eastAsia"/>
          <w:lang w:eastAsia="zh-CN"/>
        </w:rPr>
        <w:t xml:space="preserve"> 任务派工</w:t>
      </w:r>
    </w:p>
    <w:p w14:paraId="60F2B8DC">
      <w:pPr>
        <w:numPr>
          <w:ilvl w:val="0"/>
          <w:numId w:val="15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派工</w:t>
      </w:r>
    </w:p>
    <w:p w14:paraId="6D2C032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通过点击“派工”按钮，进入任务派工界面。通过勾选所需派工的工序任务，选择要派工到的工位信息并规定任务的预计开工、完工时间，将任务下发到工位中。如图74所示；</w:t>
      </w:r>
    </w:p>
    <w:p w14:paraId="6CCB6E6E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7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0B62A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74</w:t>
      </w:r>
      <w:r>
        <w:fldChar w:fldCharType="end"/>
      </w:r>
      <w:r>
        <w:rPr>
          <w:rFonts w:hint="eastAsia"/>
          <w:lang w:eastAsia="zh-CN"/>
        </w:rPr>
        <w:t xml:space="preserve"> 任务派工</w:t>
      </w:r>
    </w:p>
    <w:p w14:paraId="0C3BF0A6">
      <w:pPr>
        <w:numPr>
          <w:ilvl w:val="0"/>
          <w:numId w:val="15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订单停工</w:t>
      </w:r>
    </w:p>
    <w:p w14:paraId="6BFDF79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通过点击“订单停工”按钮，将此生产任务进行停工操作，在任务停工后如果需要再次启动，可点击“创建订单”生成该的生产任务重新派工。如图75所示；</w:t>
      </w:r>
    </w:p>
    <w:p w14:paraId="77B9FCDE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4F51B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75</w:t>
      </w:r>
      <w:r>
        <w:fldChar w:fldCharType="end"/>
      </w:r>
      <w:r>
        <w:rPr>
          <w:rFonts w:hint="eastAsia"/>
          <w:lang w:eastAsia="zh-CN"/>
        </w:rPr>
        <w:t xml:space="preserve"> 订单停工</w:t>
      </w:r>
    </w:p>
    <w:p w14:paraId="2CCDD520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88" w:name="_Toc1043"/>
      <w:bookmarkStart w:id="89" w:name="_Toc31237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2.8现场执行监控</w:t>
      </w:r>
      <w:bookmarkEnd w:id="88"/>
      <w:bookmarkEnd w:id="89"/>
    </w:p>
    <w:p w14:paraId="4D328191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90" w:name="_Toc6619"/>
      <w:r>
        <w:rPr>
          <w:rFonts w:hint="eastAsia" w:asciiTheme="minorEastAsia" w:hAnsiTheme="minorEastAsia" w:cstheme="minorEastAsia"/>
          <w:b/>
          <w:bCs/>
          <w:lang w:val="en-US" w:eastAsia="zh-CN"/>
        </w:rPr>
        <w:t>2.8.1工人现场看板</w:t>
      </w:r>
      <w:bookmarkEnd w:id="90"/>
    </w:p>
    <w:p w14:paraId="51DF470B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工人现场看板为工位上工人使用，后台通过工位IP匹配下发到工位的任务，工人可进行任务的查看、汇报、预警操作。如图76所示；</w:t>
      </w:r>
    </w:p>
    <w:p w14:paraId="6585A0C1">
      <w:pPr>
        <w:ind w:left="0" w:leftChars="0" w:firstLine="0" w:firstLineChars="0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90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7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4D33A">
      <w:pPr>
        <w:pStyle w:val="7"/>
        <w:ind w:left="0" w:leftChars="0" w:firstLine="0" w:firstLineChars="0"/>
        <w:jc w:val="center"/>
        <w:outlineLvl w:val="9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76</w:t>
      </w:r>
      <w:r>
        <w:fldChar w:fldCharType="end"/>
      </w:r>
      <w:r>
        <w:rPr>
          <w:rFonts w:hint="eastAsia"/>
          <w:lang w:eastAsia="zh-CN"/>
        </w:rPr>
        <w:t xml:space="preserve"> 工人现场看板</w:t>
      </w:r>
    </w:p>
    <w:p w14:paraId="232B5F2B">
      <w:pPr>
        <w:numPr>
          <w:ilvl w:val="0"/>
          <w:numId w:val="16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派工</w:t>
      </w:r>
    </w:p>
    <w:p w14:paraId="141FB84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通过点击还未开工任务的“开工”按钮，使任务进入开工状态。如图77所示；</w:t>
      </w:r>
    </w:p>
    <w:p w14:paraId="5FDCC289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9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7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3E3FC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77</w:t>
      </w:r>
      <w:r>
        <w:fldChar w:fldCharType="end"/>
      </w:r>
      <w:r>
        <w:rPr>
          <w:rFonts w:hint="eastAsia"/>
          <w:lang w:eastAsia="zh-CN"/>
        </w:rPr>
        <w:t xml:space="preserve"> 任务开工</w:t>
      </w:r>
    </w:p>
    <w:p w14:paraId="4A37F5EC">
      <w:pPr>
        <w:numPr>
          <w:ilvl w:val="0"/>
          <w:numId w:val="16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任务汇报</w:t>
      </w:r>
    </w:p>
    <w:p w14:paraId="6D1B9F2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通过点击正在开工中任务的“任务汇报”按钮，弹出任务汇报窗口，针对该工序的工步级完工情况进行汇报。如图78所示；</w:t>
      </w:r>
    </w:p>
    <w:p w14:paraId="2A033D48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92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7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F4AF1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78</w:t>
      </w:r>
      <w:r>
        <w:fldChar w:fldCharType="end"/>
      </w:r>
      <w:r>
        <w:rPr>
          <w:rFonts w:hint="eastAsia"/>
          <w:lang w:eastAsia="zh-CN"/>
        </w:rPr>
        <w:t xml:space="preserve"> 任务汇报</w:t>
      </w:r>
    </w:p>
    <w:p w14:paraId="00D317F7">
      <w:pPr>
        <w:numPr>
          <w:ilvl w:val="0"/>
          <w:numId w:val="16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查看详情</w:t>
      </w:r>
    </w:p>
    <w:p w14:paraId="4AC169A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通过点击任务的“查看详情”按钮，弹出任务汇报记录窗口，查看该工序的工步级汇报记录。如图79所示；</w:t>
      </w:r>
    </w:p>
    <w:p w14:paraId="5D15D6F8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9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7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3A1E5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79</w:t>
      </w:r>
      <w:r>
        <w:fldChar w:fldCharType="end"/>
      </w:r>
      <w:r>
        <w:rPr>
          <w:rFonts w:hint="eastAsia"/>
          <w:lang w:eastAsia="zh-CN"/>
        </w:rPr>
        <w:t xml:space="preserve"> 查看详情</w:t>
      </w:r>
    </w:p>
    <w:p w14:paraId="101FC9E4">
      <w:pPr>
        <w:numPr>
          <w:ilvl w:val="0"/>
          <w:numId w:val="16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预警</w:t>
      </w:r>
    </w:p>
    <w:p w14:paraId="29743F3F"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通过点击任务的“预警”按钮，针对该工序任务发起预警信息，可人工填写预警内容，提供给预警处理人员解决。如图80所示；</w:t>
      </w:r>
    </w:p>
    <w:p w14:paraId="242FC1AF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94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A5D45">
      <w:pPr>
        <w:pStyle w:val="7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80</w:t>
      </w:r>
      <w:r>
        <w:fldChar w:fldCharType="end"/>
      </w:r>
      <w:r>
        <w:rPr>
          <w:rFonts w:hint="eastAsia"/>
          <w:lang w:eastAsia="zh-CN"/>
        </w:rPr>
        <w:t xml:space="preserve"> 任务预警</w:t>
      </w:r>
    </w:p>
    <w:p w14:paraId="294A438F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91" w:name="_Toc3950"/>
      <w:r>
        <w:rPr>
          <w:rFonts w:hint="eastAsia" w:asciiTheme="minorEastAsia" w:hAnsiTheme="minorEastAsia" w:cstheme="minorEastAsia"/>
          <w:b/>
          <w:bCs/>
          <w:lang w:val="en-US" w:eastAsia="zh-CN"/>
        </w:rPr>
        <w:t>2.8.2组长现场看板</w:t>
      </w:r>
      <w:bookmarkEnd w:id="91"/>
    </w:p>
    <w:p w14:paraId="2A8EB46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组长现场看板为班组长使用，可通过该看板查看到该工位所有任务及查看汇报记录。如图81所示；</w:t>
      </w:r>
    </w:p>
    <w:p w14:paraId="51C6AE7B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95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7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23E08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81</w:t>
      </w:r>
      <w:r>
        <w:fldChar w:fldCharType="end"/>
      </w:r>
      <w:r>
        <w:rPr>
          <w:rFonts w:hint="eastAsia"/>
          <w:lang w:eastAsia="zh-CN"/>
        </w:rPr>
        <w:t xml:space="preserve"> 组长现场看板</w:t>
      </w:r>
    </w:p>
    <w:p w14:paraId="41B6FDA9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96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7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F4816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82</w:t>
      </w:r>
      <w:r>
        <w:fldChar w:fldCharType="end"/>
      </w:r>
      <w:r>
        <w:rPr>
          <w:rFonts w:hint="eastAsia"/>
          <w:lang w:eastAsia="zh-CN"/>
        </w:rPr>
        <w:t xml:space="preserve"> 查看详情</w:t>
      </w:r>
    </w:p>
    <w:p w14:paraId="3B5AF40D">
      <w:pPr>
        <w:outlineLvl w:val="2"/>
        <w:rPr>
          <w:rFonts w:hint="default"/>
          <w:lang w:val="en-US" w:eastAsia="zh-CN"/>
        </w:rPr>
      </w:pPr>
      <w:bookmarkStart w:id="92" w:name="_Toc29538"/>
      <w:r>
        <w:rPr>
          <w:rFonts w:hint="eastAsia" w:asciiTheme="minorEastAsia" w:hAnsiTheme="minorEastAsia" w:cstheme="minorEastAsia"/>
          <w:b/>
          <w:bCs/>
          <w:lang w:val="en-US" w:eastAsia="zh-CN"/>
        </w:rPr>
        <w:t>2.8.3执行看板</w:t>
      </w:r>
      <w:bookmarkEnd w:id="92"/>
    </w:p>
    <w:p w14:paraId="5655D034">
      <w:pPr>
        <w:ind w:left="0" w:leftChars="0" w:firstLine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执行看板为任务生产中的工序可视化看板，可通过该看板掌握工位执行进度与汇报记录，并支持产品的电子履历表生成。如图83所示；</w:t>
      </w:r>
    </w:p>
    <w:p w14:paraId="6E24C114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33804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83</w:t>
      </w:r>
      <w:r>
        <w:fldChar w:fldCharType="end"/>
      </w:r>
      <w:r>
        <w:rPr>
          <w:rFonts w:hint="eastAsia"/>
          <w:lang w:eastAsia="zh-CN"/>
        </w:rPr>
        <w:t xml:space="preserve"> 执行看板</w:t>
      </w:r>
    </w:p>
    <w:p w14:paraId="64657DB7">
      <w:pPr>
        <w:numPr>
          <w:ilvl w:val="0"/>
          <w:numId w:val="17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详情</w:t>
      </w:r>
    </w:p>
    <w:p w14:paraId="7478054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通过点击任务的“详情”按钮，可进入该的工序级详情查看，并通过点击工序级“查看详情”按钮，可查看工步汇报记录。如图84所示；</w:t>
      </w:r>
    </w:p>
    <w:p w14:paraId="0D1C60BD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FD27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84</w:t>
      </w:r>
      <w:r>
        <w:fldChar w:fldCharType="end"/>
      </w:r>
      <w:r>
        <w:rPr>
          <w:rFonts w:hint="eastAsia"/>
          <w:lang w:eastAsia="zh-CN"/>
        </w:rPr>
        <w:t xml:space="preserve"> 查看详情</w:t>
      </w:r>
    </w:p>
    <w:p w14:paraId="2DA0C201">
      <w:pPr>
        <w:numPr>
          <w:ilvl w:val="0"/>
          <w:numId w:val="17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详情</w:t>
      </w:r>
    </w:p>
    <w:p w14:paraId="0D8F6C0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通过点击任务的“电子履历表”按钮，可进入该的电子履历表记录，并可以通过点击“导出Word”或“导出PDF”按钮，生成对应格式的电子履历文件。如图85所示；</w:t>
      </w:r>
    </w:p>
    <w:p w14:paraId="26CCB41D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41AB7">
      <w:pPr>
        <w:pStyle w:val="7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85</w:t>
      </w:r>
      <w:r>
        <w:fldChar w:fldCharType="end"/>
      </w:r>
      <w:r>
        <w:rPr>
          <w:rFonts w:hint="eastAsia"/>
          <w:lang w:eastAsia="zh-CN"/>
        </w:rPr>
        <w:t xml:space="preserve"> 电子履历表</w:t>
      </w:r>
    </w:p>
    <w:p w14:paraId="048FECCD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93" w:name="_Toc32046"/>
      <w:r>
        <w:rPr>
          <w:rFonts w:hint="eastAsia" w:asciiTheme="minorEastAsia" w:hAnsiTheme="minorEastAsia" w:cstheme="minorEastAsia"/>
          <w:b/>
          <w:bCs/>
          <w:lang w:val="en-US" w:eastAsia="zh-CN"/>
        </w:rPr>
        <w:t>2.8.4生产预警信息</w:t>
      </w:r>
      <w:bookmarkEnd w:id="93"/>
    </w:p>
    <w:p w14:paraId="06EC782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该界面记录所有生产过程中工人提起的预警信息，并通过该界面进行预警的处理与追溯。如图86所示；</w:t>
      </w:r>
    </w:p>
    <w:p w14:paraId="3A7FAD18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9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7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DFE70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86</w:t>
      </w:r>
      <w:r>
        <w:fldChar w:fldCharType="end"/>
      </w:r>
      <w:r>
        <w:rPr>
          <w:rFonts w:hint="eastAsia"/>
          <w:lang w:eastAsia="zh-CN"/>
        </w:rPr>
        <w:t xml:space="preserve"> 生产预警信息</w:t>
      </w:r>
    </w:p>
    <w:p w14:paraId="54C285C4">
      <w:pPr>
        <w:ind w:left="0" w:leftChars="0" w:firstLine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当现场人员处理完预警后，可点击“解除”按钮，解除该项预警，并记录预警事件处理人与处理时间。如图87所示；</w:t>
      </w:r>
    </w:p>
    <w:p w14:paraId="7C1383A2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98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F72E3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87</w:t>
      </w:r>
      <w:r>
        <w:fldChar w:fldCharType="end"/>
      </w:r>
      <w:r>
        <w:rPr>
          <w:rFonts w:hint="eastAsia"/>
          <w:lang w:eastAsia="zh-CN"/>
        </w:rPr>
        <w:t xml:space="preserve"> 预警状态解除</w:t>
      </w:r>
    </w:p>
    <w:p w14:paraId="33931ECC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94" w:name="_Toc29631"/>
      <w:r>
        <w:rPr>
          <w:rFonts w:hint="eastAsia" w:asciiTheme="minorEastAsia" w:hAnsiTheme="minorEastAsia" w:cstheme="minorEastAsia"/>
          <w:b/>
          <w:bCs/>
          <w:lang w:val="en-US" w:eastAsia="zh-CN"/>
        </w:rPr>
        <w:t>2.8.5到料确认</w:t>
      </w:r>
      <w:bookmarkEnd w:id="94"/>
    </w:p>
    <w:p w14:paraId="2BB1811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对于物料库配送到现场的物料配送任务，操作工人在工位通过系统进行物料的接收与缺料反馈。如图88所示；</w:t>
      </w:r>
    </w:p>
    <w:p w14:paraId="44DC2035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12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3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4AA4D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88</w:t>
      </w:r>
      <w:r>
        <w:fldChar w:fldCharType="end"/>
      </w:r>
      <w:r>
        <w:rPr>
          <w:rFonts w:hint="eastAsia"/>
          <w:lang w:eastAsia="zh-CN"/>
        </w:rPr>
        <w:t xml:space="preserve"> 到料确认</w:t>
      </w:r>
    </w:p>
    <w:p w14:paraId="6886731D">
      <w:pPr>
        <w:numPr>
          <w:ilvl w:val="0"/>
          <w:numId w:val="1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确认接收</w:t>
      </w:r>
    </w:p>
    <w:p w14:paraId="6C8E156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通过点击配送任务的“确认接收”按钮，可确认接收该托盘上的物料信息，如图89所示；</w:t>
      </w:r>
    </w:p>
    <w:p w14:paraId="266EEBB2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2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4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DF641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89</w:t>
      </w:r>
      <w:r>
        <w:fldChar w:fldCharType="end"/>
      </w:r>
      <w:r>
        <w:rPr>
          <w:rFonts w:hint="eastAsia"/>
          <w:lang w:eastAsia="zh-CN"/>
        </w:rPr>
        <w:t xml:space="preserve"> 确认接收</w:t>
      </w:r>
    </w:p>
    <w:p w14:paraId="6D2F99A2">
      <w:pPr>
        <w:numPr>
          <w:ilvl w:val="0"/>
          <w:numId w:val="1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缺料反馈</w:t>
      </w:r>
    </w:p>
    <w:p w14:paraId="164B7E2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通过点击配送任务的“缺料反馈”按钮，可进入该托盘物料信息的缺料反馈绑定界面，在该界面中选择所缺少的物料类型与数量，提交物料缺料反馈任务。如图90、91所示；</w:t>
      </w:r>
    </w:p>
    <w:p w14:paraId="6E08F2FB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2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35B1F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90</w:t>
      </w:r>
      <w:r>
        <w:fldChar w:fldCharType="end"/>
      </w:r>
      <w:r>
        <w:rPr>
          <w:rFonts w:hint="eastAsia"/>
          <w:lang w:eastAsia="zh-CN"/>
        </w:rPr>
        <w:t xml:space="preserve"> 缺料选择</w:t>
      </w:r>
    </w:p>
    <w:p w14:paraId="32AA2EA1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2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A4070">
      <w:pPr>
        <w:pStyle w:val="7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91</w:t>
      </w:r>
      <w:r>
        <w:fldChar w:fldCharType="end"/>
      </w:r>
      <w:r>
        <w:rPr>
          <w:rFonts w:hint="eastAsia"/>
          <w:lang w:eastAsia="zh-CN"/>
        </w:rPr>
        <w:t xml:space="preserve"> 缺料</w:t>
      </w:r>
      <w:r>
        <w:rPr>
          <w:rFonts w:hint="eastAsia"/>
          <w:lang w:val="en-US" w:eastAsia="zh-CN"/>
        </w:rPr>
        <w:t>数量</w:t>
      </w:r>
      <w:r>
        <w:rPr>
          <w:rFonts w:hint="eastAsia"/>
          <w:lang w:eastAsia="zh-CN"/>
        </w:rPr>
        <w:t>填充</w:t>
      </w:r>
    </w:p>
    <w:p w14:paraId="1E235BBE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95" w:name="_Toc10148"/>
      <w:bookmarkStart w:id="96" w:name="_Toc30041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2.9库存管理</w:t>
      </w:r>
      <w:bookmarkEnd w:id="95"/>
      <w:bookmarkEnd w:id="96"/>
    </w:p>
    <w:p w14:paraId="611E91E6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97" w:name="_Toc7446"/>
      <w:r>
        <w:rPr>
          <w:rFonts w:hint="eastAsia" w:asciiTheme="minorEastAsia" w:hAnsiTheme="minorEastAsia" w:cstheme="minorEastAsia"/>
          <w:b/>
          <w:bCs/>
          <w:lang w:val="en-US" w:eastAsia="zh-CN"/>
        </w:rPr>
        <w:t>2.9.1物料库</w:t>
      </w:r>
      <w:bookmarkEnd w:id="97"/>
    </w:p>
    <w:p w14:paraId="56B3BAEC">
      <w:pPr>
        <w:ind w:left="0" w:leftChars="0" w:firstLine="420" w:firstLineChars="0"/>
        <w:outlineLvl w:val="9"/>
        <w:rPr>
          <w:rFonts w:hint="default" w:asciiTheme="minorEastAsia" w:hAnsiTheme="minorEastAsia" w:cstheme="minorEastAsia"/>
          <w:b w:val="0"/>
          <w:bCs w:val="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lang w:val="en-US" w:eastAsia="zh-CN"/>
        </w:rPr>
        <w:t>物料库中存放车间生产所需物料信息，通过与国密MES系统集成，工控MES系统的物料库具备物料的追加入库、同步国密MES等功能，以保证物料台账的信息统一。如图92所示；</w:t>
      </w:r>
    </w:p>
    <w:p w14:paraId="2F771E8D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0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CA1A3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92</w:t>
      </w:r>
      <w:r>
        <w:fldChar w:fldCharType="end"/>
      </w:r>
      <w:r>
        <w:rPr>
          <w:rFonts w:hint="eastAsia"/>
          <w:lang w:eastAsia="zh-CN"/>
        </w:rPr>
        <w:t xml:space="preserve"> 物料台账</w:t>
      </w:r>
    </w:p>
    <w:p w14:paraId="7F69A02A">
      <w:pPr>
        <w:ind w:left="0" w:leftChars="0" w:firstLine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MES系统中具备物料的入库记录、出库记录、删除记录的信息追溯。如图93所示；</w:t>
      </w:r>
    </w:p>
    <w:p w14:paraId="26A72D1D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0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8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74BB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93</w:t>
      </w:r>
      <w:r>
        <w:fldChar w:fldCharType="end"/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val="en-US" w:eastAsia="zh-CN"/>
        </w:rPr>
        <w:t>物料</w:t>
      </w:r>
      <w:r>
        <w:rPr>
          <w:rFonts w:hint="eastAsia"/>
          <w:lang w:eastAsia="zh-CN"/>
        </w:rPr>
        <w:t>入库记录</w:t>
      </w:r>
    </w:p>
    <w:p w14:paraId="7C9353B7">
      <w:pPr>
        <w:numPr>
          <w:ilvl w:val="0"/>
          <w:numId w:val="1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出库</w:t>
      </w:r>
    </w:p>
    <w:p w14:paraId="0EFD9E9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通过点击物料的“出库”按钮，可进入该物料的出库窗口，根据提示内容完善出库信息，并点击“保存”按钮，完成物料的出库操作，如图94所示；</w:t>
      </w:r>
    </w:p>
    <w:p w14:paraId="30CCBE18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21EA8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94</w:t>
      </w:r>
      <w:r>
        <w:fldChar w:fldCharType="end"/>
      </w:r>
      <w:r>
        <w:rPr>
          <w:rFonts w:hint="eastAsia"/>
          <w:lang w:eastAsia="zh-CN"/>
        </w:rPr>
        <w:t xml:space="preserve"> 物料出库</w:t>
      </w:r>
    </w:p>
    <w:p w14:paraId="02D77215">
      <w:pPr>
        <w:numPr>
          <w:ilvl w:val="0"/>
          <w:numId w:val="1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打印条码</w:t>
      </w:r>
    </w:p>
    <w:p w14:paraId="4CB6F89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通过点击物料的“打印条码”按钮，可进入该物料的条码打印设置窗口，根据提示内容完善信息，并点击“保存”按钮，完成物料的条码打印操作，如图95、96所示；</w:t>
      </w:r>
    </w:p>
    <w:p w14:paraId="4669AFBF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AAE3B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95</w:t>
      </w:r>
      <w:r>
        <w:fldChar w:fldCharType="end"/>
      </w:r>
      <w:r>
        <w:rPr>
          <w:rFonts w:hint="eastAsia"/>
          <w:lang w:eastAsia="zh-CN"/>
        </w:rPr>
        <w:t xml:space="preserve"> 条码打印设置</w:t>
      </w:r>
    </w:p>
    <w:p w14:paraId="0DA73A9B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81F68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96</w:t>
      </w:r>
      <w:r>
        <w:fldChar w:fldCharType="end"/>
      </w:r>
      <w:r>
        <w:rPr>
          <w:rFonts w:hint="eastAsia"/>
          <w:lang w:eastAsia="zh-CN"/>
        </w:rPr>
        <w:t xml:space="preserve"> 条码打印预览</w:t>
      </w:r>
    </w:p>
    <w:p w14:paraId="1F0AF53F">
      <w:pPr>
        <w:numPr>
          <w:ilvl w:val="0"/>
          <w:numId w:val="1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锁定记录</w:t>
      </w:r>
    </w:p>
    <w:p w14:paraId="4339DCB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通过点击物料的“锁定记录”按钮，可进入该物料的锁定记录窗口，查看该项物料的锁定任务与数量信息，如图97所示；</w:t>
      </w:r>
    </w:p>
    <w:p w14:paraId="73ED5CBF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0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03CB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97</w:t>
      </w:r>
      <w:r>
        <w:fldChar w:fldCharType="end"/>
      </w:r>
      <w:r>
        <w:rPr>
          <w:rFonts w:hint="eastAsia"/>
          <w:lang w:eastAsia="zh-CN"/>
        </w:rPr>
        <w:t xml:space="preserve"> 物料锁定记录</w:t>
      </w:r>
    </w:p>
    <w:p w14:paraId="1A29DFE2">
      <w:pPr>
        <w:numPr>
          <w:ilvl w:val="0"/>
          <w:numId w:val="1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Excel导入</w:t>
      </w:r>
    </w:p>
    <w:p w14:paraId="149059F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通过点击“Excel”按钮，选择固定的Excel导入模板，将Excel中填写的物料信息导入到MES系统中。如图98所示；</w:t>
      </w:r>
    </w:p>
    <w:p w14:paraId="48A882E7">
      <w:pPr>
        <w:ind w:left="0" w:leftChars="0" w:firstLine="0" w:firstLineChars="0"/>
      </w:pPr>
      <w:r>
        <w:drawing>
          <wp:inline distT="0" distB="0" distL="114300" distR="114300">
            <wp:extent cx="5257800" cy="2842260"/>
            <wp:effectExtent l="0" t="0" r="8890" b="7620"/>
            <wp:docPr id="10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F7FA9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98</w:t>
      </w:r>
      <w:r>
        <w:fldChar w:fldCharType="end"/>
      </w:r>
      <w:r>
        <w:rPr>
          <w:rFonts w:hint="eastAsia"/>
          <w:lang w:eastAsia="zh-CN"/>
        </w:rPr>
        <w:t xml:space="preserve"> Excel导入</w:t>
      </w:r>
    </w:p>
    <w:p w14:paraId="4E8D2E1D">
      <w:pPr>
        <w:numPr>
          <w:ilvl w:val="0"/>
          <w:numId w:val="18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导入同步</w:t>
      </w:r>
    </w:p>
    <w:p w14:paraId="4D4EDEC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通过点击“导入同步”按钮，选择固定的Excel导入模板，将Excel中填写的物料信息同步到MES系统中，同时将清空物料库的入库、出库记录。如图99所示；</w:t>
      </w:r>
    </w:p>
    <w:p w14:paraId="31C8C9CF">
      <w:pPr>
        <w:ind w:left="0" w:leftChars="0" w:firstLine="0" w:firstLineChars="0"/>
      </w:pPr>
      <w:r>
        <w:drawing>
          <wp:inline distT="0" distB="0" distL="114300" distR="114300">
            <wp:extent cx="5257800" cy="2842260"/>
            <wp:effectExtent l="0" t="0" r="8890" b="7620"/>
            <wp:docPr id="10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FD19C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99</w:t>
      </w:r>
      <w:r>
        <w:fldChar w:fldCharType="end"/>
      </w:r>
      <w:r>
        <w:rPr>
          <w:rFonts w:hint="eastAsia"/>
          <w:lang w:eastAsia="zh-CN"/>
        </w:rPr>
        <w:t xml:space="preserve"> 导入同步</w:t>
      </w:r>
    </w:p>
    <w:p w14:paraId="1298896A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98" w:name="_Toc19182"/>
      <w:r>
        <w:rPr>
          <w:rFonts w:hint="eastAsia" w:asciiTheme="minorEastAsia" w:hAnsiTheme="minorEastAsia" w:cstheme="minorEastAsia"/>
          <w:b/>
          <w:bCs/>
          <w:lang w:val="en-US" w:eastAsia="zh-CN"/>
        </w:rPr>
        <w:t>2.9.2托盘管理</w:t>
      </w:r>
      <w:bookmarkEnd w:id="98"/>
    </w:p>
    <w:p w14:paraId="42A753ED">
      <w:pPr>
        <w:outlineLvl w:val="9"/>
        <w:rPr>
          <w:rFonts w:hint="default" w:asciiTheme="minorEastAsia" w:hAnsiTheme="minorEastAsia" w:cstheme="minorEastAsia"/>
          <w:b w:val="0"/>
          <w:bCs w:val="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lang w:val="en-US" w:eastAsia="zh-CN"/>
        </w:rPr>
        <w:t>MES系统中维护托盘基础信息，并支持托盘与物料的绑定、解绑、配送单生成与托盘配送功能。如图100所示；</w:t>
      </w:r>
    </w:p>
    <w:p w14:paraId="1805BE35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0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7D304">
      <w:pPr>
        <w:pStyle w:val="7"/>
        <w:ind w:left="0" w:leftChars="0" w:firstLine="0" w:firstLineChars="0"/>
        <w:jc w:val="center"/>
        <w:rPr>
          <w:rFonts w:hint="eastAsia" w:eastAsiaTheme="minor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100</w:t>
      </w:r>
      <w:r>
        <w:fldChar w:fldCharType="end"/>
      </w:r>
      <w:r>
        <w:rPr>
          <w:rFonts w:hint="eastAsia"/>
          <w:lang w:eastAsia="zh-CN"/>
        </w:rPr>
        <w:t xml:space="preserve"> 托盘管理</w:t>
      </w:r>
    </w:p>
    <w:p w14:paraId="461A4CFB">
      <w:pPr>
        <w:numPr>
          <w:ilvl w:val="0"/>
          <w:numId w:val="1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添加托盘</w:t>
      </w:r>
    </w:p>
    <w:p w14:paraId="74C4DD31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通过点击“添加托盘”按钮，可根据提示的信息填写托盘信息，填写后点击保存完成托盘的创建，如图101所示；</w:t>
      </w:r>
    </w:p>
    <w:p w14:paraId="03FDEBDB">
      <w:pPr>
        <w:numPr>
          <w:ilvl w:val="0"/>
          <w:numId w:val="0"/>
        </w:numPr>
        <w:jc w:val="both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11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5A0B3">
      <w:pPr>
        <w:pStyle w:val="7"/>
        <w:numPr>
          <w:ilvl w:val="0"/>
          <w:numId w:val="0"/>
        </w:numPr>
        <w:jc w:val="center"/>
        <w:outlineLvl w:val="9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101</w:t>
      </w:r>
      <w:r>
        <w:fldChar w:fldCharType="end"/>
      </w:r>
      <w:r>
        <w:rPr>
          <w:rFonts w:hint="eastAsia"/>
          <w:lang w:eastAsia="zh-CN"/>
        </w:rPr>
        <w:t xml:space="preserve"> 添加托盘</w:t>
      </w:r>
    </w:p>
    <w:p w14:paraId="1C4090B0">
      <w:pPr>
        <w:numPr>
          <w:ilvl w:val="0"/>
          <w:numId w:val="1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打印条码</w:t>
      </w:r>
    </w:p>
    <w:p w14:paraId="701469A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通过点击托盘的“打印条码”按钮，可进入该托盘的条码打印设置窗口，根据提示内容完善信息，并点击“保存”按钮，完成托盘的条码打印操作，如图102、103所示；</w:t>
      </w:r>
    </w:p>
    <w:p w14:paraId="4CF73B8A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637BA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102</w:t>
      </w:r>
      <w:r>
        <w:fldChar w:fldCharType="end"/>
      </w:r>
      <w:r>
        <w:rPr>
          <w:rFonts w:hint="eastAsia"/>
          <w:lang w:eastAsia="zh-CN"/>
        </w:rPr>
        <w:t xml:space="preserve"> 条码打印设置</w:t>
      </w:r>
    </w:p>
    <w:p w14:paraId="02F05CCE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A7C00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103</w:t>
      </w:r>
      <w:r>
        <w:fldChar w:fldCharType="end"/>
      </w:r>
      <w:r>
        <w:rPr>
          <w:rFonts w:hint="eastAsia"/>
          <w:lang w:eastAsia="zh-CN"/>
        </w:rPr>
        <w:t xml:space="preserve"> 条码打印预览</w:t>
      </w:r>
    </w:p>
    <w:p w14:paraId="5A47C8B4">
      <w:pPr>
        <w:numPr>
          <w:ilvl w:val="0"/>
          <w:numId w:val="1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呼回</w:t>
      </w:r>
    </w:p>
    <w:p w14:paraId="5B7A5B93">
      <w:pPr>
        <w:numPr>
          <w:ilvl w:val="0"/>
          <w:numId w:val="0"/>
        </w:numPr>
        <w:ind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通过点击托盘的“呼回”按钮，可通过MES系统调用物流系统，将托盘呼回至仓库。如图104所示</w:t>
      </w:r>
    </w:p>
    <w:p w14:paraId="0CFE8FBC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1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C593B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104</w:t>
      </w:r>
      <w:r>
        <w:fldChar w:fldCharType="end"/>
      </w:r>
      <w:r>
        <w:rPr>
          <w:rFonts w:hint="eastAsia"/>
          <w:lang w:eastAsia="zh-CN"/>
        </w:rPr>
        <w:t xml:space="preserve"> 托盘呼回</w:t>
      </w:r>
    </w:p>
    <w:p w14:paraId="797B76FF">
      <w:pPr>
        <w:numPr>
          <w:ilvl w:val="0"/>
          <w:numId w:val="1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绑定物料</w:t>
      </w:r>
    </w:p>
    <w:p w14:paraId="52164818">
      <w:pPr>
        <w:numPr>
          <w:ilvl w:val="0"/>
          <w:numId w:val="0"/>
        </w:numPr>
        <w:ind w:firstLine="420" w:firstLineChars="0"/>
        <w:jc w:val="both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通过点击托盘的“绑定物料”按钮，可在托盘上通过选择或扫码的方式绑定物料。如图105、106所示</w:t>
      </w:r>
    </w:p>
    <w:p w14:paraId="37E50DF7">
      <w:pPr>
        <w:numPr>
          <w:ilvl w:val="0"/>
          <w:numId w:val="0"/>
        </w:numPr>
        <w:jc w:val="both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11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DB259">
      <w:pPr>
        <w:pStyle w:val="7"/>
        <w:numPr>
          <w:ilvl w:val="0"/>
          <w:numId w:val="0"/>
        </w:numPr>
        <w:jc w:val="center"/>
        <w:outlineLvl w:val="9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105</w:t>
      </w:r>
      <w:r>
        <w:fldChar w:fldCharType="end"/>
      </w:r>
      <w:r>
        <w:rPr>
          <w:rFonts w:hint="eastAsia"/>
          <w:lang w:eastAsia="zh-CN"/>
        </w:rPr>
        <w:t xml:space="preserve"> 选择物料</w:t>
      </w:r>
    </w:p>
    <w:p w14:paraId="5B5F8BD0">
      <w:pPr>
        <w:numPr>
          <w:ilvl w:val="0"/>
          <w:numId w:val="0"/>
        </w:numPr>
        <w:jc w:val="both"/>
        <w:outlineLvl w:val="9"/>
      </w:pPr>
      <w:r>
        <w:drawing>
          <wp:inline distT="0" distB="0" distL="114300" distR="114300">
            <wp:extent cx="5257800" cy="2581910"/>
            <wp:effectExtent l="0" t="0" r="8890" b="2540"/>
            <wp:docPr id="11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A3CDE">
      <w:pPr>
        <w:pStyle w:val="7"/>
        <w:numPr>
          <w:ilvl w:val="0"/>
          <w:numId w:val="0"/>
        </w:numPr>
        <w:jc w:val="center"/>
        <w:outlineLvl w:val="9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106</w:t>
      </w:r>
      <w:r>
        <w:fldChar w:fldCharType="end"/>
      </w:r>
      <w:r>
        <w:rPr>
          <w:rFonts w:hint="eastAsia"/>
          <w:lang w:eastAsia="zh-CN"/>
        </w:rPr>
        <w:t xml:space="preserve"> 物料数量调整</w:t>
      </w:r>
    </w:p>
    <w:p w14:paraId="79DA4EE0">
      <w:pPr>
        <w:numPr>
          <w:ilvl w:val="0"/>
          <w:numId w:val="19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托盘配送</w:t>
      </w:r>
    </w:p>
    <w:p w14:paraId="22226D08">
      <w:pPr>
        <w:numPr>
          <w:ilvl w:val="0"/>
          <w:numId w:val="0"/>
        </w:numPr>
        <w:ind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通过点击托盘的“配送”按钮，填写配送信息，可通过MES系统调用物流系统，将托盘配送至所需工位。如图107所示；</w:t>
      </w:r>
    </w:p>
    <w:p w14:paraId="11F287DB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1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93706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107</w:t>
      </w:r>
      <w:r>
        <w:fldChar w:fldCharType="end"/>
      </w:r>
      <w:r>
        <w:rPr>
          <w:rFonts w:hint="eastAsia"/>
          <w:lang w:eastAsia="zh-CN"/>
        </w:rPr>
        <w:t xml:space="preserve"> 托盘配送</w:t>
      </w:r>
    </w:p>
    <w:p w14:paraId="5BE6EC0E">
      <w:pPr>
        <w:outlineLvl w:val="2"/>
        <w:rPr>
          <w:rFonts w:hint="eastAsia" w:asciiTheme="minorEastAsia" w:hAnsiTheme="minorEastAsia" w:cstheme="minorEastAsia"/>
          <w:b/>
          <w:bCs/>
          <w:lang w:val="en-US" w:eastAsia="zh-CN"/>
        </w:rPr>
      </w:pPr>
      <w:bookmarkStart w:id="99" w:name="_Toc4649"/>
      <w:r>
        <w:rPr>
          <w:rFonts w:hint="eastAsia" w:asciiTheme="minorEastAsia" w:hAnsiTheme="minorEastAsia" w:cstheme="minorEastAsia"/>
          <w:b/>
          <w:bCs/>
          <w:lang w:val="en-US" w:eastAsia="zh-CN"/>
        </w:rPr>
        <w:t>2.9.3工具库</w:t>
      </w:r>
      <w:bookmarkEnd w:id="99"/>
    </w:p>
    <w:p w14:paraId="54F21513">
      <w:pPr>
        <w:outlineLvl w:val="9"/>
        <w:rPr>
          <w:rFonts w:hint="default" w:asciiTheme="minorEastAsia" w:hAnsiTheme="minorEastAsia" w:cstheme="minorEastAsia"/>
          <w:b w:val="0"/>
          <w:bCs w:val="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lang w:val="en-US" w:eastAsia="zh-CN"/>
        </w:rPr>
        <w:t>MES系统中维护工具基础信息，并支持对工具的管理与检修。如图108所示；</w:t>
      </w:r>
    </w:p>
    <w:p w14:paraId="250FD0C3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1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D3355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108</w:t>
      </w:r>
      <w:r>
        <w:fldChar w:fldCharType="end"/>
      </w:r>
      <w:r>
        <w:rPr>
          <w:rFonts w:hint="eastAsia"/>
          <w:lang w:eastAsia="zh-CN"/>
        </w:rPr>
        <w:t xml:space="preserve"> 工具管理</w:t>
      </w:r>
    </w:p>
    <w:p w14:paraId="6EB85A4A">
      <w:pPr>
        <w:numPr>
          <w:ilvl w:val="0"/>
          <w:numId w:val="20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68DD60EC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通过点击“新增”按钮，可根据提示的信息填写，填写后点击保存完成工具的创建，如图109所示；</w:t>
      </w:r>
    </w:p>
    <w:p w14:paraId="2643A974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8AA8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109</w:t>
      </w:r>
      <w:r>
        <w:fldChar w:fldCharType="end"/>
      </w:r>
      <w:r>
        <w:rPr>
          <w:rFonts w:hint="eastAsia"/>
          <w:lang w:eastAsia="zh-CN"/>
        </w:rPr>
        <w:t xml:space="preserve"> 添加工具</w:t>
      </w:r>
    </w:p>
    <w:p w14:paraId="301D3CDB">
      <w:pPr>
        <w:numPr>
          <w:ilvl w:val="0"/>
          <w:numId w:val="20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 w14:paraId="10BDE12C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通过点击“修改”按钮，可根据提示的信息填写，点击保存完成工具信息的修改，如图110所示；</w:t>
      </w:r>
    </w:p>
    <w:p w14:paraId="0B01825D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2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E639A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110</w:t>
      </w:r>
      <w:r>
        <w:fldChar w:fldCharType="end"/>
      </w:r>
      <w:r>
        <w:rPr>
          <w:rFonts w:hint="eastAsia"/>
          <w:lang w:eastAsia="zh-CN"/>
        </w:rPr>
        <w:t xml:space="preserve"> 修改工具信息</w:t>
      </w:r>
    </w:p>
    <w:p w14:paraId="18E9FCB2">
      <w:pPr>
        <w:numPr>
          <w:ilvl w:val="0"/>
          <w:numId w:val="20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检修</w:t>
      </w:r>
    </w:p>
    <w:p w14:paraId="1D2ACAAA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在工具检修完成后点击“检修”按钮，可根据工具的定检周期，自动计算工具的下次定检时间与更改工具可用状态。如图111所示；</w:t>
      </w:r>
    </w:p>
    <w:p w14:paraId="2AE1C2D7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1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D57B8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111</w:t>
      </w:r>
      <w:r>
        <w:fldChar w:fldCharType="end"/>
      </w:r>
      <w:r>
        <w:rPr>
          <w:rFonts w:hint="eastAsia"/>
          <w:lang w:eastAsia="zh-CN"/>
        </w:rPr>
        <w:t xml:space="preserve"> 工具检修</w:t>
      </w:r>
    </w:p>
    <w:p w14:paraId="7B14606F">
      <w:pPr>
        <w:numPr>
          <w:ilvl w:val="0"/>
          <w:numId w:val="20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出库</w:t>
      </w:r>
    </w:p>
    <w:p w14:paraId="227ACEB4">
      <w:pPr>
        <w:widowControl w:val="0"/>
        <w:numPr>
          <w:ilvl w:val="0"/>
          <w:numId w:val="0"/>
        </w:numPr>
        <w:spacing w:before="50" w:beforeLines="50" w:line="360" w:lineRule="auto"/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通过点击工具的“出库”按钮，根据弹出窗体内的信息进行数据完善，点击“保存”完成工具的出库操作。如图112所示；</w:t>
      </w:r>
    </w:p>
    <w:p w14:paraId="2D04D25E">
      <w:pPr>
        <w:widowControl w:val="0"/>
        <w:numPr>
          <w:ilvl w:val="0"/>
          <w:numId w:val="0"/>
        </w:numPr>
        <w:spacing w:before="50" w:beforeLines="50" w:line="360" w:lineRule="auto"/>
        <w:jc w:val="both"/>
      </w:pPr>
      <w:r>
        <w:drawing>
          <wp:inline distT="0" distB="0" distL="114300" distR="114300">
            <wp:extent cx="5257800" cy="2581910"/>
            <wp:effectExtent l="0" t="0" r="8890" b="2540"/>
            <wp:docPr id="12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8A5E1">
      <w:pPr>
        <w:pStyle w:val="7"/>
        <w:widowControl w:val="0"/>
        <w:numPr>
          <w:ilvl w:val="0"/>
          <w:numId w:val="0"/>
        </w:numPr>
        <w:spacing w:before="50" w:beforeLines="50" w:line="360" w:lineRule="auto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112</w:t>
      </w:r>
      <w:r>
        <w:fldChar w:fldCharType="end"/>
      </w:r>
      <w:r>
        <w:rPr>
          <w:rFonts w:hint="eastAsia"/>
          <w:lang w:eastAsia="zh-CN"/>
        </w:rPr>
        <w:t xml:space="preserve"> 工具出库</w:t>
      </w:r>
    </w:p>
    <w:p w14:paraId="544B1C0A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通过点击工具的“报废”按钮，将选定的工具执行报废操作，无法再继续出库使用。如图113所示；</w:t>
      </w:r>
    </w:p>
    <w:p w14:paraId="73BA7E41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2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0FFD3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113</w:t>
      </w:r>
      <w:r>
        <w:fldChar w:fldCharType="end"/>
      </w:r>
      <w:r>
        <w:rPr>
          <w:rFonts w:hint="eastAsia"/>
          <w:lang w:eastAsia="zh-CN"/>
        </w:rPr>
        <w:t xml:space="preserve"> 工具报废</w:t>
      </w:r>
    </w:p>
    <w:p w14:paraId="209A58B2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在工具库中，具备工具的出库历史与报废记录的信息追溯。如图114、115所示；</w:t>
      </w:r>
    </w:p>
    <w:p w14:paraId="7402D459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5F08F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114</w:t>
      </w:r>
      <w:r>
        <w:fldChar w:fldCharType="end"/>
      </w:r>
      <w:r>
        <w:rPr>
          <w:rFonts w:hint="eastAsia"/>
          <w:lang w:eastAsia="zh-CN"/>
        </w:rPr>
        <w:t xml:space="preserve"> 出库历史</w:t>
      </w:r>
    </w:p>
    <w:p w14:paraId="1E08AABD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2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878A3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115</w:t>
      </w:r>
      <w:r>
        <w:fldChar w:fldCharType="end"/>
      </w:r>
      <w:r>
        <w:rPr>
          <w:rFonts w:hint="eastAsia"/>
          <w:lang w:eastAsia="zh-CN"/>
        </w:rPr>
        <w:t xml:space="preserve"> 报废记录</w:t>
      </w:r>
    </w:p>
    <w:p w14:paraId="1EE25FAD">
      <w:pPr>
        <w:ind w:left="0" w:leftChars="0" w:firstLine="0" w:firstLineChars="0"/>
        <w:outlineLvl w:val="1"/>
        <w:rPr>
          <w:rFonts w:hint="default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100" w:name="_Toc19042"/>
      <w:bookmarkStart w:id="101" w:name="_Toc1291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2.10齐套管理</w:t>
      </w:r>
      <w:bookmarkEnd w:id="100"/>
      <w:bookmarkEnd w:id="101"/>
    </w:p>
    <w:p w14:paraId="2B9B5062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102" w:name="_Toc14188"/>
      <w:r>
        <w:rPr>
          <w:rFonts w:hint="eastAsia" w:asciiTheme="minorEastAsia" w:hAnsiTheme="minorEastAsia" w:cstheme="minorEastAsia"/>
          <w:b/>
          <w:bCs/>
          <w:lang w:val="en-US" w:eastAsia="zh-CN"/>
        </w:rPr>
        <w:t>2.10.1齐套申请</w:t>
      </w:r>
      <w:bookmarkEnd w:id="102"/>
    </w:p>
    <w:p w14:paraId="510C1A3D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MES系统将APS系统排产得到的物料需求计划，根据任务的工位级需求进提出齐套申请。如图116所示；</w:t>
      </w:r>
    </w:p>
    <w:p w14:paraId="771251E8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3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86F0E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116</w:t>
      </w:r>
      <w:r>
        <w:fldChar w:fldCharType="end"/>
      </w:r>
      <w:r>
        <w:rPr>
          <w:rFonts w:hint="eastAsia"/>
          <w:lang w:eastAsia="zh-CN"/>
        </w:rPr>
        <w:t xml:space="preserve"> 工位级齐套申请</w:t>
      </w:r>
    </w:p>
    <w:p w14:paraId="7EB4AE9F">
      <w:pPr>
        <w:numPr>
          <w:ilvl w:val="0"/>
          <w:numId w:val="21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查看详情</w:t>
      </w:r>
    </w:p>
    <w:p w14:paraId="6342534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通过点击齐套申请的“查看详情”按钮，可查看该工位所需物料详情。如图117所示；</w:t>
      </w:r>
    </w:p>
    <w:p w14:paraId="7BBC7D59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0F3E9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117</w:t>
      </w:r>
      <w:r>
        <w:fldChar w:fldCharType="end"/>
      </w:r>
      <w:r>
        <w:rPr>
          <w:rFonts w:hint="eastAsia"/>
          <w:lang w:eastAsia="zh-CN"/>
        </w:rPr>
        <w:t xml:space="preserve"> 工位级物料</w:t>
      </w:r>
      <w:r>
        <w:rPr>
          <w:rFonts w:hint="eastAsia"/>
          <w:lang w:val="en-US" w:eastAsia="zh-CN"/>
        </w:rPr>
        <w:t>需求</w:t>
      </w:r>
      <w:r>
        <w:rPr>
          <w:rFonts w:hint="eastAsia"/>
          <w:lang w:eastAsia="zh-CN"/>
        </w:rPr>
        <w:t>详情</w:t>
      </w:r>
    </w:p>
    <w:p w14:paraId="1972BD10">
      <w:pPr>
        <w:numPr>
          <w:ilvl w:val="0"/>
          <w:numId w:val="21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提交申请</w:t>
      </w:r>
    </w:p>
    <w:p w14:paraId="07A4CA7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通过勾选齐套申请任务或点击齐套申请的“提交申请”按钮，可提交该齐套申请任务。如图118所示；</w:t>
      </w:r>
    </w:p>
    <w:p w14:paraId="37B467CF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C47C8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118</w:t>
      </w:r>
      <w:r>
        <w:fldChar w:fldCharType="end"/>
      </w:r>
      <w:r>
        <w:rPr>
          <w:rFonts w:hint="eastAsia"/>
          <w:lang w:eastAsia="zh-CN"/>
        </w:rPr>
        <w:t xml:space="preserve"> 齐套任务</w:t>
      </w:r>
      <w:r>
        <w:rPr>
          <w:rFonts w:hint="eastAsia"/>
          <w:lang w:val="en-US" w:eastAsia="zh-CN"/>
        </w:rPr>
        <w:t>申请</w:t>
      </w:r>
      <w:r>
        <w:rPr>
          <w:rFonts w:hint="eastAsia"/>
          <w:lang w:eastAsia="zh-CN"/>
        </w:rPr>
        <w:t>提交</w:t>
      </w:r>
    </w:p>
    <w:p w14:paraId="60D01961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103" w:name="_Toc12510"/>
      <w:r>
        <w:rPr>
          <w:rFonts w:hint="eastAsia" w:asciiTheme="minorEastAsia" w:hAnsiTheme="minorEastAsia" w:cstheme="minorEastAsia"/>
          <w:b/>
          <w:bCs/>
          <w:lang w:val="en-US" w:eastAsia="zh-CN"/>
        </w:rPr>
        <w:t>2.10.2齐套申请审批</w:t>
      </w:r>
      <w:bookmarkEnd w:id="103"/>
    </w:p>
    <w:p w14:paraId="530BBCA2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该界面对齐套申请进行审批并对通过审批的物料进行锁定。如图119所示；</w:t>
      </w:r>
    </w:p>
    <w:p w14:paraId="6A4CD428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4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9A0A4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119</w:t>
      </w:r>
      <w:r>
        <w:fldChar w:fldCharType="end"/>
      </w:r>
      <w:r>
        <w:rPr>
          <w:rFonts w:hint="eastAsia"/>
          <w:lang w:eastAsia="zh-CN"/>
        </w:rPr>
        <w:t xml:space="preserve"> 齐套申请审批</w:t>
      </w:r>
    </w:p>
    <w:p w14:paraId="0CAAB01B">
      <w:pPr>
        <w:numPr>
          <w:ilvl w:val="0"/>
          <w:numId w:val="2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查看详情</w:t>
      </w:r>
    </w:p>
    <w:p w14:paraId="1E3E842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通过点击齐套申请的“查看详情”按钮，可查看该工位所需物料详情。如图120所示；</w:t>
      </w:r>
    </w:p>
    <w:p w14:paraId="3484FDD9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6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EC9B8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120</w:t>
      </w:r>
      <w:r>
        <w:fldChar w:fldCharType="end"/>
      </w:r>
      <w:r>
        <w:rPr>
          <w:rFonts w:hint="eastAsia"/>
          <w:lang w:eastAsia="zh-CN"/>
        </w:rPr>
        <w:t xml:space="preserve"> 查看详情</w:t>
      </w:r>
    </w:p>
    <w:p w14:paraId="7606410B">
      <w:pPr>
        <w:numPr>
          <w:ilvl w:val="0"/>
          <w:numId w:val="2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审批驳回</w:t>
      </w:r>
    </w:p>
    <w:p w14:paraId="5DE8E38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通过点击齐套申请任务的“审批驳回”按钮，可对该齐套申请任务执行驳回操作。如图121所示；</w:t>
      </w:r>
    </w:p>
    <w:p w14:paraId="0781D876">
      <w:pPr>
        <w:ind w:left="0" w:leftChars="0" w:firstLine="0" w:firstLineChars="0"/>
        <w:jc w:val="center"/>
      </w:pPr>
      <w:r>
        <w:drawing>
          <wp:inline distT="0" distB="0" distL="114300" distR="114300">
            <wp:extent cx="5257800" cy="2581910"/>
            <wp:effectExtent l="0" t="0" r="8890" b="2540"/>
            <wp:docPr id="6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FED5A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121</w:t>
      </w:r>
      <w:r>
        <w:fldChar w:fldCharType="end"/>
      </w:r>
      <w:r>
        <w:rPr>
          <w:rFonts w:hint="eastAsia"/>
          <w:lang w:eastAsia="zh-CN"/>
        </w:rPr>
        <w:t xml:space="preserve"> 齐套申请驳回</w:t>
      </w:r>
    </w:p>
    <w:p w14:paraId="3C0772F1">
      <w:pPr>
        <w:numPr>
          <w:ilvl w:val="0"/>
          <w:numId w:val="22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审批通过</w:t>
      </w:r>
    </w:p>
    <w:p w14:paraId="791E456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齐套申请任务的“审批通过”按钮，可计算所需物料的满足情况，点击“确认”按钮后，将对对应物料的数量进行锁定，对于库存中不满足的物料，可以通过点击“生成缺料清单”导出缺料信息。如图122所示；</w:t>
      </w:r>
    </w:p>
    <w:p w14:paraId="258A6A4B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8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94165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122</w:t>
      </w:r>
      <w:r>
        <w:fldChar w:fldCharType="end"/>
      </w:r>
      <w:r>
        <w:rPr>
          <w:rFonts w:hint="eastAsia"/>
          <w:lang w:eastAsia="zh-CN"/>
        </w:rPr>
        <w:t xml:space="preserve"> 审批通过</w:t>
      </w:r>
    </w:p>
    <w:p w14:paraId="6FB7F831">
      <w:pPr>
        <w:outlineLvl w:val="2"/>
        <w:rPr>
          <w:rFonts w:hint="default" w:asciiTheme="minorEastAsia" w:hAnsiTheme="minorEastAsia" w:cstheme="minorEastAsia"/>
          <w:b/>
          <w:bCs/>
          <w:lang w:val="en-US" w:eastAsia="zh-CN"/>
        </w:rPr>
      </w:pPr>
      <w:bookmarkStart w:id="104" w:name="_Toc15810"/>
      <w:r>
        <w:rPr>
          <w:rFonts w:hint="eastAsia" w:asciiTheme="minorEastAsia" w:hAnsiTheme="minorEastAsia" w:cstheme="minorEastAsia"/>
          <w:b/>
          <w:bCs/>
          <w:lang w:val="en-US" w:eastAsia="zh-CN"/>
        </w:rPr>
        <w:t>2.10.3缺料处理</w:t>
      </w:r>
      <w:bookmarkEnd w:id="104"/>
    </w:p>
    <w:p w14:paraId="56A05D25">
      <w:p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该界面对工人在现场接收到托盘物料时，提起的缺料反馈生成缺料任务。如图123所示；</w:t>
      </w:r>
    </w:p>
    <w:p w14:paraId="11293930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47B85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123</w:t>
      </w:r>
      <w:r>
        <w:fldChar w:fldCharType="end"/>
      </w:r>
      <w:r>
        <w:rPr>
          <w:rFonts w:hint="eastAsia"/>
          <w:lang w:eastAsia="zh-CN"/>
        </w:rPr>
        <w:t xml:space="preserve"> 缺料处理</w:t>
      </w:r>
    </w:p>
    <w:p w14:paraId="21B88FDD">
      <w:pPr>
        <w:numPr>
          <w:ilvl w:val="0"/>
          <w:numId w:val="23"/>
        </w:numPr>
        <w:ind w:left="0" w:leftChars="0" w:firstLine="420" w:firstLineChars="0"/>
        <w:jc w:val="both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配送</w:t>
      </w:r>
    </w:p>
    <w:p w14:paraId="7390187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通过点击缺料任务的“配送”按钮，实现缺料的重新配送，完成该缺料任务。如图124所示；</w:t>
      </w:r>
    </w:p>
    <w:p w14:paraId="4A373AEF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13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4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95912">
      <w:pPr>
        <w:pStyle w:val="7"/>
        <w:ind w:left="0" w:leftChars="0" w:firstLine="0" w:firstLineChars="0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124</w:t>
      </w:r>
      <w:r>
        <w:fldChar w:fldCharType="end"/>
      </w:r>
      <w:r>
        <w:rPr>
          <w:rFonts w:hint="eastAsia"/>
          <w:lang w:eastAsia="zh-CN"/>
        </w:rPr>
        <w:t xml:space="preserve"> 缺料任务配送</w:t>
      </w:r>
    </w:p>
    <w:p w14:paraId="1AE20723">
      <w:pPr>
        <w:ind w:left="0" w:leftChars="0" w:firstLine="0" w:firstLineChars="0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105" w:name="_Toc15000"/>
      <w:bookmarkStart w:id="106" w:name="_Toc27643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2.11工时管理</w:t>
      </w:r>
      <w:bookmarkEnd w:id="105"/>
      <w:bookmarkEnd w:id="106"/>
    </w:p>
    <w:p w14:paraId="64F975A7">
      <w:pPr>
        <w:outlineLvl w:val="2"/>
        <w:rPr>
          <w:rFonts w:hint="eastAsia"/>
          <w:lang w:val="en-US" w:eastAsia="zh-CN"/>
        </w:rPr>
      </w:pPr>
      <w:bookmarkStart w:id="107" w:name="_Toc27648"/>
      <w:r>
        <w:rPr>
          <w:rFonts w:hint="eastAsia" w:asciiTheme="minorEastAsia" w:hAnsiTheme="minorEastAsia" w:cstheme="minorEastAsia"/>
          <w:b/>
          <w:bCs/>
          <w:lang w:val="en-US" w:eastAsia="zh-CN"/>
        </w:rPr>
        <w:t>2.11.1工时管理</w:t>
      </w:r>
      <w:bookmarkEnd w:id="107"/>
    </w:p>
    <w:p w14:paraId="17A67D4B">
      <w:pPr>
        <w:ind w:left="0" w:leftChars="0" w:firstLine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MES系统中针对完成的工序级任务，将对产生的工时进行汇总。提供工人级、班组级、型号级及自定义的工时统计汇总。如图125所示；</w:t>
      </w:r>
    </w:p>
    <w:p w14:paraId="1DA7CCCE">
      <w:pPr>
        <w:ind w:left="0" w:leftChars="0" w:firstLine="0" w:firstLineChars="0"/>
      </w:pPr>
      <w:r>
        <w:drawing>
          <wp:inline distT="0" distB="0" distL="114300" distR="114300">
            <wp:extent cx="5257800" cy="2581910"/>
            <wp:effectExtent l="0" t="0" r="8890" b="2540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2ED3E">
      <w:pPr>
        <w:pStyle w:val="7"/>
        <w:ind w:left="0" w:leftChars="0" w:firstLine="0" w:firstLineChars="0"/>
        <w:jc w:val="center"/>
        <w:rPr>
          <w:rFonts w:hint="eastAsia" w:eastAsiaTheme="minorEastAsia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125</w:t>
      </w:r>
      <w:r>
        <w:fldChar w:fldCharType="end"/>
      </w:r>
      <w:r>
        <w:rPr>
          <w:rFonts w:hint="eastAsia"/>
          <w:lang w:eastAsia="zh-CN"/>
        </w:rPr>
        <w:t xml:space="preserve"> 工时管理</w:t>
      </w:r>
    </w:p>
    <w:sectPr>
      <w:footerReference r:id="rId7" w:type="default"/>
      <w:pgSz w:w="11906" w:h="16838"/>
      <w:pgMar w:top="1440" w:right="1800" w:bottom="1440" w:left="1800" w:header="935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????Bold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????Regular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90F610">
    <w:pPr>
      <w:pStyle w:val="10"/>
      <w:spacing w:before="120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C27EB4">
    <w:pPr>
      <w:pStyle w:val="10"/>
      <w:spacing w:before="120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2" name="文本框 1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46DB968">
                          <w:pPr>
                            <w:pStyle w:val="1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hG3d4zAgAAZQ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hG3d4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46DB968">
                    <w:pPr>
                      <w:pStyle w:val="1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60" w:lineRule="auto"/>
        <w:ind w:firstLine="480"/>
      </w:pPr>
      <w:r>
        <w:separator/>
      </w:r>
    </w:p>
  </w:footnote>
  <w:footnote w:type="continuationSeparator" w:id="1">
    <w:p>
      <w:pPr>
        <w:spacing w:before="0" w:after="0"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6468AF">
    <w:pPr>
      <w:pStyle w:val="11"/>
      <w:spacing w:before="120"/>
      <w:ind w:firstLine="360"/>
      <w:jc w:val="right"/>
      <w:rPr>
        <w:rFonts w:hint="default" w:eastAsiaTheme="minorEastAsia"/>
        <w:lang w:val="en-US" w:eastAsia="zh-CN"/>
      </w:rPr>
    </w:pPr>
    <w:r>
      <w:rPr>
        <w:rFonts w:hint="eastAsia"/>
        <w:lang w:val="en-US" w:eastAsia="zh-CN"/>
      </w:rPr>
      <w:t>MES</w:t>
    </w:r>
    <w:r>
      <w:rPr>
        <w:rFonts w:hint="eastAsia"/>
      </w:rPr>
      <w:t>系统</w:t>
    </w:r>
    <w:r>
      <w:rPr>
        <w:rFonts w:hint="eastAsia"/>
        <w:lang w:val="en-US" w:eastAsia="zh-CN"/>
      </w:rPr>
      <w:t>用户操作手册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04029A"/>
    <w:multiLevelType w:val="singleLevel"/>
    <w:tmpl w:val="8004029A"/>
    <w:lvl w:ilvl="0" w:tentative="0">
      <w:start w:val="1"/>
      <w:numFmt w:val="decimal"/>
      <w:suff w:val="nothing"/>
      <w:lvlText w:val="%1）"/>
      <w:lvlJc w:val="left"/>
    </w:lvl>
  </w:abstractNum>
  <w:abstractNum w:abstractNumId="1">
    <w:nsid w:val="8745463E"/>
    <w:multiLevelType w:val="singleLevel"/>
    <w:tmpl w:val="8745463E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8F855F13"/>
    <w:multiLevelType w:val="singleLevel"/>
    <w:tmpl w:val="8F855F13"/>
    <w:lvl w:ilvl="0" w:tentative="0">
      <w:start w:val="1"/>
      <w:numFmt w:val="decimal"/>
      <w:suff w:val="nothing"/>
      <w:lvlText w:val="%1）"/>
      <w:lvlJc w:val="left"/>
    </w:lvl>
  </w:abstractNum>
  <w:abstractNum w:abstractNumId="3">
    <w:nsid w:val="94C6D3FC"/>
    <w:multiLevelType w:val="singleLevel"/>
    <w:tmpl w:val="94C6D3FC"/>
    <w:lvl w:ilvl="0" w:tentative="0">
      <w:start w:val="1"/>
      <w:numFmt w:val="decimal"/>
      <w:suff w:val="nothing"/>
      <w:lvlText w:val="%1）"/>
      <w:lvlJc w:val="left"/>
    </w:lvl>
  </w:abstractNum>
  <w:abstractNum w:abstractNumId="4">
    <w:nsid w:val="A41DAA2F"/>
    <w:multiLevelType w:val="singleLevel"/>
    <w:tmpl w:val="A41DAA2F"/>
    <w:lvl w:ilvl="0" w:tentative="0">
      <w:start w:val="1"/>
      <w:numFmt w:val="decimal"/>
      <w:suff w:val="nothing"/>
      <w:lvlText w:val="%1）"/>
      <w:lvlJc w:val="left"/>
    </w:lvl>
  </w:abstractNum>
  <w:abstractNum w:abstractNumId="5">
    <w:nsid w:val="A4706E27"/>
    <w:multiLevelType w:val="singleLevel"/>
    <w:tmpl w:val="A4706E27"/>
    <w:lvl w:ilvl="0" w:tentative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6">
    <w:nsid w:val="B1114C6B"/>
    <w:multiLevelType w:val="singleLevel"/>
    <w:tmpl w:val="B1114C6B"/>
    <w:lvl w:ilvl="0" w:tentative="0">
      <w:start w:val="1"/>
      <w:numFmt w:val="decimal"/>
      <w:suff w:val="nothing"/>
      <w:lvlText w:val="%1）"/>
      <w:lvlJc w:val="left"/>
    </w:lvl>
  </w:abstractNum>
  <w:abstractNum w:abstractNumId="7">
    <w:nsid w:val="BFAAAF1C"/>
    <w:multiLevelType w:val="singleLevel"/>
    <w:tmpl w:val="BFAAAF1C"/>
    <w:lvl w:ilvl="0" w:tentative="0">
      <w:start w:val="1"/>
      <w:numFmt w:val="decimal"/>
      <w:suff w:val="nothing"/>
      <w:lvlText w:val="%1）"/>
      <w:lvlJc w:val="left"/>
    </w:lvl>
  </w:abstractNum>
  <w:abstractNum w:abstractNumId="8">
    <w:nsid w:val="C1D793EC"/>
    <w:multiLevelType w:val="singleLevel"/>
    <w:tmpl w:val="C1D793EC"/>
    <w:lvl w:ilvl="0" w:tentative="0">
      <w:start w:val="1"/>
      <w:numFmt w:val="decimal"/>
      <w:suff w:val="nothing"/>
      <w:lvlText w:val="%1）"/>
      <w:lvlJc w:val="left"/>
    </w:lvl>
  </w:abstractNum>
  <w:abstractNum w:abstractNumId="9">
    <w:nsid w:val="CAE4566E"/>
    <w:multiLevelType w:val="singleLevel"/>
    <w:tmpl w:val="CAE4566E"/>
    <w:lvl w:ilvl="0" w:tentative="0">
      <w:start w:val="1"/>
      <w:numFmt w:val="decimal"/>
      <w:suff w:val="nothing"/>
      <w:lvlText w:val="%1）"/>
      <w:lvlJc w:val="left"/>
    </w:lvl>
  </w:abstractNum>
  <w:abstractNum w:abstractNumId="10">
    <w:nsid w:val="D9FA328D"/>
    <w:multiLevelType w:val="singleLevel"/>
    <w:tmpl w:val="D9FA328D"/>
    <w:lvl w:ilvl="0" w:tentative="0">
      <w:start w:val="1"/>
      <w:numFmt w:val="decimal"/>
      <w:suff w:val="nothing"/>
      <w:lvlText w:val="%1）"/>
      <w:lvlJc w:val="left"/>
    </w:lvl>
  </w:abstractNum>
  <w:abstractNum w:abstractNumId="11">
    <w:nsid w:val="D9FD7A63"/>
    <w:multiLevelType w:val="singleLevel"/>
    <w:tmpl w:val="D9FD7A63"/>
    <w:lvl w:ilvl="0" w:tentative="0">
      <w:start w:val="1"/>
      <w:numFmt w:val="decimal"/>
      <w:suff w:val="nothing"/>
      <w:lvlText w:val="%1）"/>
      <w:lvlJc w:val="left"/>
    </w:lvl>
  </w:abstractNum>
  <w:abstractNum w:abstractNumId="12">
    <w:nsid w:val="E8407A83"/>
    <w:multiLevelType w:val="singleLevel"/>
    <w:tmpl w:val="E8407A83"/>
    <w:lvl w:ilvl="0" w:tentative="0">
      <w:start w:val="1"/>
      <w:numFmt w:val="decimal"/>
      <w:suff w:val="nothing"/>
      <w:lvlText w:val="%1）"/>
      <w:lvlJc w:val="left"/>
    </w:lvl>
  </w:abstractNum>
  <w:abstractNum w:abstractNumId="13">
    <w:nsid w:val="EAFE1AA9"/>
    <w:multiLevelType w:val="singleLevel"/>
    <w:tmpl w:val="EAFE1AA9"/>
    <w:lvl w:ilvl="0" w:tentative="0">
      <w:start w:val="1"/>
      <w:numFmt w:val="decimal"/>
      <w:suff w:val="nothing"/>
      <w:lvlText w:val="%1）"/>
      <w:lvlJc w:val="left"/>
    </w:lvl>
  </w:abstractNum>
  <w:abstractNum w:abstractNumId="14">
    <w:nsid w:val="09B43E1F"/>
    <w:multiLevelType w:val="singleLevel"/>
    <w:tmpl w:val="09B43E1F"/>
    <w:lvl w:ilvl="0" w:tentative="0">
      <w:start w:val="1"/>
      <w:numFmt w:val="decimal"/>
      <w:suff w:val="nothing"/>
      <w:lvlText w:val="%1）"/>
      <w:lvlJc w:val="left"/>
    </w:lvl>
  </w:abstractNum>
  <w:abstractNum w:abstractNumId="15">
    <w:nsid w:val="10B1842A"/>
    <w:multiLevelType w:val="singleLevel"/>
    <w:tmpl w:val="10B1842A"/>
    <w:lvl w:ilvl="0" w:tentative="0">
      <w:start w:val="1"/>
      <w:numFmt w:val="decimal"/>
      <w:suff w:val="nothing"/>
      <w:lvlText w:val="%1）"/>
      <w:lvlJc w:val="left"/>
    </w:lvl>
  </w:abstractNum>
  <w:abstractNum w:abstractNumId="16">
    <w:nsid w:val="2B6320AE"/>
    <w:multiLevelType w:val="singleLevel"/>
    <w:tmpl w:val="2B6320AE"/>
    <w:lvl w:ilvl="0" w:tentative="0">
      <w:start w:val="1"/>
      <w:numFmt w:val="decimal"/>
      <w:suff w:val="nothing"/>
      <w:lvlText w:val="%1）"/>
      <w:lvlJc w:val="left"/>
    </w:lvl>
  </w:abstractNum>
  <w:abstractNum w:abstractNumId="17">
    <w:nsid w:val="379DD9F8"/>
    <w:multiLevelType w:val="singleLevel"/>
    <w:tmpl w:val="379DD9F8"/>
    <w:lvl w:ilvl="0" w:tentative="0">
      <w:start w:val="1"/>
      <w:numFmt w:val="decimal"/>
      <w:suff w:val="nothing"/>
      <w:lvlText w:val="%1）"/>
      <w:lvlJc w:val="left"/>
    </w:lvl>
  </w:abstractNum>
  <w:abstractNum w:abstractNumId="18">
    <w:nsid w:val="44446948"/>
    <w:multiLevelType w:val="singleLevel"/>
    <w:tmpl w:val="44446948"/>
    <w:lvl w:ilvl="0" w:tentative="0">
      <w:start w:val="1"/>
      <w:numFmt w:val="decimal"/>
      <w:suff w:val="nothing"/>
      <w:lvlText w:val="%1）"/>
      <w:lvlJc w:val="left"/>
    </w:lvl>
  </w:abstractNum>
  <w:abstractNum w:abstractNumId="19">
    <w:nsid w:val="4B2A821C"/>
    <w:multiLevelType w:val="singleLevel"/>
    <w:tmpl w:val="4B2A821C"/>
    <w:lvl w:ilvl="0" w:tentative="0">
      <w:start w:val="1"/>
      <w:numFmt w:val="decimal"/>
      <w:suff w:val="nothing"/>
      <w:lvlText w:val="%1）"/>
      <w:lvlJc w:val="left"/>
    </w:lvl>
  </w:abstractNum>
  <w:abstractNum w:abstractNumId="20">
    <w:nsid w:val="55090411"/>
    <w:multiLevelType w:val="singleLevel"/>
    <w:tmpl w:val="55090411"/>
    <w:lvl w:ilvl="0" w:tentative="0">
      <w:start w:val="1"/>
      <w:numFmt w:val="decimal"/>
      <w:suff w:val="nothing"/>
      <w:lvlText w:val="%1）"/>
      <w:lvlJc w:val="left"/>
    </w:lvl>
  </w:abstractNum>
  <w:abstractNum w:abstractNumId="21">
    <w:nsid w:val="5FAF227F"/>
    <w:multiLevelType w:val="singleLevel"/>
    <w:tmpl w:val="5FAF227F"/>
    <w:lvl w:ilvl="0" w:tentative="0">
      <w:start w:val="1"/>
      <w:numFmt w:val="decimal"/>
      <w:suff w:val="nothing"/>
      <w:lvlText w:val="%1）"/>
      <w:lvlJc w:val="left"/>
    </w:lvl>
  </w:abstractNum>
  <w:abstractNum w:abstractNumId="22">
    <w:nsid w:val="6D7E915B"/>
    <w:multiLevelType w:val="singleLevel"/>
    <w:tmpl w:val="6D7E915B"/>
    <w:lvl w:ilvl="0" w:tentative="0">
      <w:start w:val="1"/>
      <w:numFmt w:val="decimal"/>
      <w:suff w:val="nothing"/>
      <w:lvlText w:val="%1）"/>
      <w:lvlJc w:val="left"/>
    </w:lvl>
  </w:abstractNum>
  <w:num w:numId="1">
    <w:abstractNumId w:val="1"/>
  </w:num>
  <w:num w:numId="2">
    <w:abstractNumId w:val="5"/>
  </w:num>
  <w:num w:numId="3">
    <w:abstractNumId w:val="18"/>
  </w:num>
  <w:num w:numId="4">
    <w:abstractNumId w:val="11"/>
  </w:num>
  <w:num w:numId="5">
    <w:abstractNumId w:val="19"/>
  </w:num>
  <w:num w:numId="6">
    <w:abstractNumId w:val="6"/>
  </w:num>
  <w:num w:numId="7">
    <w:abstractNumId w:val="21"/>
  </w:num>
  <w:num w:numId="8">
    <w:abstractNumId w:val="3"/>
  </w:num>
  <w:num w:numId="9">
    <w:abstractNumId w:val="2"/>
  </w:num>
  <w:num w:numId="10">
    <w:abstractNumId w:val="7"/>
  </w:num>
  <w:num w:numId="11">
    <w:abstractNumId w:val="10"/>
  </w:num>
  <w:num w:numId="12">
    <w:abstractNumId w:val="22"/>
  </w:num>
  <w:num w:numId="13">
    <w:abstractNumId w:val="14"/>
  </w:num>
  <w:num w:numId="14">
    <w:abstractNumId w:val="13"/>
  </w:num>
  <w:num w:numId="15">
    <w:abstractNumId w:val="4"/>
  </w:num>
  <w:num w:numId="16">
    <w:abstractNumId w:val="20"/>
  </w:num>
  <w:num w:numId="17">
    <w:abstractNumId w:val="0"/>
  </w:num>
  <w:num w:numId="18">
    <w:abstractNumId w:val="17"/>
  </w:num>
  <w:num w:numId="19">
    <w:abstractNumId w:val="12"/>
  </w:num>
  <w:num w:numId="20">
    <w:abstractNumId w:val="8"/>
  </w:num>
  <w:num w:numId="21">
    <w:abstractNumId w:val="16"/>
  </w:num>
  <w:num w:numId="22">
    <w:abstractNumId w:val="15"/>
  </w:num>
  <w:num w:numId="2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FmODE1OGRlMmNlOTJhODQ0M2I2NmI0NmJiYzUzYTQifQ=="/>
  </w:docVars>
  <w:rsids>
    <w:rsidRoot w:val="000C2352"/>
    <w:rsid w:val="00010B3F"/>
    <w:rsid w:val="000451B4"/>
    <w:rsid w:val="000456F8"/>
    <w:rsid w:val="00051461"/>
    <w:rsid w:val="00051B61"/>
    <w:rsid w:val="00063FA9"/>
    <w:rsid w:val="00092102"/>
    <w:rsid w:val="00093AB3"/>
    <w:rsid w:val="000A620A"/>
    <w:rsid w:val="000C2352"/>
    <w:rsid w:val="000F0178"/>
    <w:rsid w:val="000F0BF4"/>
    <w:rsid w:val="000F6A8A"/>
    <w:rsid w:val="001056FC"/>
    <w:rsid w:val="0010790E"/>
    <w:rsid w:val="00115625"/>
    <w:rsid w:val="00127C1A"/>
    <w:rsid w:val="00132C4F"/>
    <w:rsid w:val="001517DD"/>
    <w:rsid w:val="0015390C"/>
    <w:rsid w:val="001554E6"/>
    <w:rsid w:val="00166D0E"/>
    <w:rsid w:val="00167B30"/>
    <w:rsid w:val="00177313"/>
    <w:rsid w:val="00190AE3"/>
    <w:rsid w:val="001B14F5"/>
    <w:rsid w:val="001D1BF9"/>
    <w:rsid w:val="001E3193"/>
    <w:rsid w:val="001F16AC"/>
    <w:rsid w:val="001F3BDF"/>
    <w:rsid w:val="00200D5B"/>
    <w:rsid w:val="00201A79"/>
    <w:rsid w:val="002161B8"/>
    <w:rsid w:val="0022352A"/>
    <w:rsid w:val="00236103"/>
    <w:rsid w:val="00240376"/>
    <w:rsid w:val="0024773C"/>
    <w:rsid w:val="00247A7D"/>
    <w:rsid w:val="0025058F"/>
    <w:rsid w:val="0026718D"/>
    <w:rsid w:val="0027180B"/>
    <w:rsid w:val="00293008"/>
    <w:rsid w:val="00294454"/>
    <w:rsid w:val="002B0FED"/>
    <w:rsid w:val="002C1B66"/>
    <w:rsid w:val="002C4CDD"/>
    <w:rsid w:val="002D658C"/>
    <w:rsid w:val="002E3486"/>
    <w:rsid w:val="002F36A4"/>
    <w:rsid w:val="003042D9"/>
    <w:rsid w:val="003145C2"/>
    <w:rsid w:val="0033377E"/>
    <w:rsid w:val="00337F53"/>
    <w:rsid w:val="003415D7"/>
    <w:rsid w:val="00342030"/>
    <w:rsid w:val="00351F26"/>
    <w:rsid w:val="003653F0"/>
    <w:rsid w:val="003658B9"/>
    <w:rsid w:val="00370AE9"/>
    <w:rsid w:val="00383555"/>
    <w:rsid w:val="003A28E5"/>
    <w:rsid w:val="003A2B7F"/>
    <w:rsid w:val="003A3A5B"/>
    <w:rsid w:val="003A609C"/>
    <w:rsid w:val="003A7250"/>
    <w:rsid w:val="003B017E"/>
    <w:rsid w:val="003B2692"/>
    <w:rsid w:val="003B6611"/>
    <w:rsid w:val="003D1008"/>
    <w:rsid w:val="003E04E8"/>
    <w:rsid w:val="003E758B"/>
    <w:rsid w:val="003F5FE0"/>
    <w:rsid w:val="003F68DC"/>
    <w:rsid w:val="004129C8"/>
    <w:rsid w:val="00431899"/>
    <w:rsid w:val="00436A39"/>
    <w:rsid w:val="00470A0E"/>
    <w:rsid w:val="004871FF"/>
    <w:rsid w:val="0049587F"/>
    <w:rsid w:val="00495FDE"/>
    <w:rsid w:val="004B275A"/>
    <w:rsid w:val="004F28E1"/>
    <w:rsid w:val="004F5489"/>
    <w:rsid w:val="00523EB8"/>
    <w:rsid w:val="00537BE0"/>
    <w:rsid w:val="005452B8"/>
    <w:rsid w:val="0055456C"/>
    <w:rsid w:val="0055750F"/>
    <w:rsid w:val="00560AF6"/>
    <w:rsid w:val="005626EC"/>
    <w:rsid w:val="00563D8E"/>
    <w:rsid w:val="00565B8C"/>
    <w:rsid w:val="005712E4"/>
    <w:rsid w:val="005A03B8"/>
    <w:rsid w:val="005A1929"/>
    <w:rsid w:val="005B1991"/>
    <w:rsid w:val="005C140B"/>
    <w:rsid w:val="005E4081"/>
    <w:rsid w:val="005F2B6B"/>
    <w:rsid w:val="006603F0"/>
    <w:rsid w:val="00664E16"/>
    <w:rsid w:val="00680BF9"/>
    <w:rsid w:val="006B4483"/>
    <w:rsid w:val="006D0643"/>
    <w:rsid w:val="00701679"/>
    <w:rsid w:val="0070630F"/>
    <w:rsid w:val="00716E7B"/>
    <w:rsid w:val="00727AD1"/>
    <w:rsid w:val="007366BF"/>
    <w:rsid w:val="00774F07"/>
    <w:rsid w:val="00777983"/>
    <w:rsid w:val="00781512"/>
    <w:rsid w:val="00783900"/>
    <w:rsid w:val="00783ACB"/>
    <w:rsid w:val="00793321"/>
    <w:rsid w:val="007A2234"/>
    <w:rsid w:val="007A78B7"/>
    <w:rsid w:val="007C111D"/>
    <w:rsid w:val="007C1F31"/>
    <w:rsid w:val="007D48A2"/>
    <w:rsid w:val="007D5AE9"/>
    <w:rsid w:val="007D60D2"/>
    <w:rsid w:val="007E04C8"/>
    <w:rsid w:val="007E2DC6"/>
    <w:rsid w:val="00802D81"/>
    <w:rsid w:val="00806239"/>
    <w:rsid w:val="00815AC0"/>
    <w:rsid w:val="0081617E"/>
    <w:rsid w:val="008179B3"/>
    <w:rsid w:val="0084420D"/>
    <w:rsid w:val="00846EA5"/>
    <w:rsid w:val="00883B38"/>
    <w:rsid w:val="00890994"/>
    <w:rsid w:val="00894EB7"/>
    <w:rsid w:val="00896E25"/>
    <w:rsid w:val="008A4F8A"/>
    <w:rsid w:val="008B1407"/>
    <w:rsid w:val="008C5A6D"/>
    <w:rsid w:val="008C6348"/>
    <w:rsid w:val="008D070D"/>
    <w:rsid w:val="008E1F7E"/>
    <w:rsid w:val="008F0FD5"/>
    <w:rsid w:val="008F1B06"/>
    <w:rsid w:val="008F236E"/>
    <w:rsid w:val="00900D37"/>
    <w:rsid w:val="00903A2B"/>
    <w:rsid w:val="00906ED0"/>
    <w:rsid w:val="009152C6"/>
    <w:rsid w:val="0093533C"/>
    <w:rsid w:val="00945D12"/>
    <w:rsid w:val="00947E2A"/>
    <w:rsid w:val="0095373B"/>
    <w:rsid w:val="00955CDC"/>
    <w:rsid w:val="00975691"/>
    <w:rsid w:val="00976136"/>
    <w:rsid w:val="00987F1D"/>
    <w:rsid w:val="009A0BBE"/>
    <w:rsid w:val="009E0A1D"/>
    <w:rsid w:val="009E3878"/>
    <w:rsid w:val="009E7E1F"/>
    <w:rsid w:val="009F09E8"/>
    <w:rsid w:val="009F36CB"/>
    <w:rsid w:val="009F48B0"/>
    <w:rsid w:val="00A24560"/>
    <w:rsid w:val="00A273FF"/>
    <w:rsid w:val="00A327FB"/>
    <w:rsid w:val="00A40A98"/>
    <w:rsid w:val="00A44E85"/>
    <w:rsid w:val="00A46E29"/>
    <w:rsid w:val="00A51496"/>
    <w:rsid w:val="00A541E5"/>
    <w:rsid w:val="00A55DF5"/>
    <w:rsid w:val="00A63A0B"/>
    <w:rsid w:val="00A75D33"/>
    <w:rsid w:val="00A75DAD"/>
    <w:rsid w:val="00A83B7F"/>
    <w:rsid w:val="00A92068"/>
    <w:rsid w:val="00AB0E2E"/>
    <w:rsid w:val="00AB1CB0"/>
    <w:rsid w:val="00AB3484"/>
    <w:rsid w:val="00AB3B76"/>
    <w:rsid w:val="00AC66E2"/>
    <w:rsid w:val="00AE02B0"/>
    <w:rsid w:val="00B00F9D"/>
    <w:rsid w:val="00B05A3A"/>
    <w:rsid w:val="00B07B95"/>
    <w:rsid w:val="00B12F1B"/>
    <w:rsid w:val="00B21065"/>
    <w:rsid w:val="00B227C3"/>
    <w:rsid w:val="00B25090"/>
    <w:rsid w:val="00B307C2"/>
    <w:rsid w:val="00B43D47"/>
    <w:rsid w:val="00B448A1"/>
    <w:rsid w:val="00B475DA"/>
    <w:rsid w:val="00B86AE4"/>
    <w:rsid w:val="00B915C5"/>
    <w:rsid w:val="00B95696"/>
    <w:rsid w:val="00BA276B"/>
    <w:rsid w:val="00BC1806"/>
    <w:rsid w:val="00BE7510"/>
    <w:rsid w:val="00BF6D39"/>
    <w:rsid w:val="00BF7B51"/>
    <w:rsid w:val="00C03ECB"/>
    <w:rsid w:val="00C13228"/>
    <w:rsid w:val="00C34056"/>
    <w:rsid w:val="00C405A0"/>
    <w:rsid w:val="00C53FA4"/>
    <w:rsid w:val="00C77C8E"/>
    <w:rsid w:val="00C8380E"/>
    <w:rsid w:val="00C84055"/>
    <w:rsid w:val="00C9028C"/>
    <w:rsid w:val="00CD59A0"/>
    <w:rsid w:val="00CF0EAE"/>
    <w:rsid w:val="00CF3DC5"/>
    <w:rsid w:val="00CF64E9"/>
    <w:rsid w:val="00D013B6"/>
    <w:rsid w:val="00D16A54"/>
    <w:rsid w:val="00D266D0"/>
    <w:rsid w:val="00D30543"/>
    <w:rsid w:val="00D3304C"/>
    <w:rsid w:val="00D42E37"/>
    <w:rsid w:val="00D43E27"/>
    <w:rsid w:val="00D46C6D"/>
    <w:rsid w:val="00D563FE"/>
    <w:rsid w:val="00D71DC5"/>
    <w:rsid w:val="00D7391B"/>
    <w:rsid w:val="00D849AA"/>
    <w:rsid w:val="00D876DD"/>
    <w:rsid w:val="00D91A85"/>
    <w:rsid w:val="00DA52E1"/>
    <w:rsid w:val="00DB1950"/>
    <w:rsid w:val="00DB5A48"/>
    <w:rsid w:val="00DC43E4"/>
    <w:rsid w:val="00DE110B"/>
    <w:rsid w:val="00DF0BA7"/>
    <w:rsid w:val="00E0057A"/>
    <w:rsid w:val="00E167A9"/>
    <w:rsid w:val="00E25BE8"/>
    <w:rsid w:val="00E40D2F"/>
    <w:rsid w:val="00E66A49"/>
    <w:rsid w:val="00E7326A"/>
    <w:rsid w:val="00E7612F"/>
    <w:rsid w:val="00E966FC"/>
    <w:rsid w:val="00E97395"/>
    <w:rsid w:val="00E97F06"/>
    <w:rsid w:val="00EA2DE0"/>
    <w:rsid w:val="00EA5696"/>
    <w:rsid w:val="00EB5FB9"/>
    <w:rsid w:val="00EB6175"/>
    <w:rsid w:val="00EC17C8"/>
    <w:rsid w:val="00EC669B"/>
    <w:rsid w:val="00ED1E27"/>
    <w:rsid w:val="00EE0A86"/>
    <w:rsid w:val="00EE1B7B"/>
    <w:rsid w:val="00EE3124"/>
    <w:rsid w:val="00EF2BD0"/>
    <w:rsid w:val="00F03FDA"/>
    <w:rsid w:val="00F06C85"/>
    <w:rsid w:val="00F109FA"/>
    <w:rsid w:val="00F223E4"/>
    <w:rsid w:val="00F40D74"/>
    <w:rsid w:val="00F434B4"/>
    <w:rsid w:val="00F6551E"/>
    <w:rsid w:val="00F976A7"/>
    <w:rsid w:val="00FA1670"/>
    <w:rsid w:val="00FD63CE"/>
    <w:rsid w:val="00FE164F"/>
    <w:rsid w:val="00FF03C3"/>
    <w:rsid w:val="01361D78"/>
    <w:rsid w:val="0191460D"/>
    <w:rsid w:val="01974A81"/>
    <w:rsid w:val="019D2725"/>
    <w:rsid w:val="01A33F6A"/>
    <w:rsid w:val="02363CA0"/>
    <w:rsid w:val="0265011E"/>
    <w:rsid w:val="027E3A2A"/>
    <w:rsid w:val="02894CCA"/>
    <w:rsid w:val="02DA4CF1"/>
    <w:rsid w:val="039D188E"/>
    <w:rsid w:val="03D11AAC"/>
    <w:rsid w:val="03E80687"/>
    <w:rsid w:val="04E31106"/>
    <w:rsid w:val="05B66DA5"/>
    <w:rsid w:val="06135E8F"/>
    <w:rsid w:val="06271043"/>
    <w:rsid w:val="06A9640C"/>
    <w:rsid w:val="06CA5AEE"/>
    <w:rsid w:val="06DD3ADE"/>
    <w:rsid w:val="07F81AAA"/>
    <w:rsid w:val="080B239D"/>
    <w:rsid w:val="08A343A0"/>
    <w:rsid w:val="08DF4EB6"/>
    <w:rsid w:val="0975011A"/>
    <w:rsid w:val="09E37F22"/>
    <w:rsid w:val="09EA0E3C"/>
    <w:rsid w:val="0AA81C5D"/>
    <w:rsid w:val="0ADB6315"/>
    <w:rsid w:val="0AE54B4C"/>
    <w:rsid w:val="0B3A128E"/>
    <w:rsid w:val="0B8C0927"/>
    <w:rsid w:val="0B974E6D"/>
    <w:rsid w:val="0BB6273C"/>
    <w:rsid w:val="0BDE2F40"/>
    <w:rsid w:val="0BDE69C9"/>
    <w:rsid w:val="0D2C0C9A"/>
    <w:rsid w:val="0D8458C4"/>
    <w:rsid w:val="0DB54259"/>
    <w:rsid w:val="0DCC5005"/>
    <w:rsid w:val="0E971478"/>
    <w:rsid w:val="0EB11CEC"/>
    <w:rsid w:val="0ED367C7"/>
    <w:rsid w:val="0EF71655"/>
    <w:rsid w:val="0F1F3AF7"/>
    <w:rsid w:val="0F2E7C43"/>
    <w:rsid w:val="0F471A7E"/>
    <w:rsid w:val="0F921217"/>
    <w:rsid w:val="100347B2"/>
    <w:rsid w:val="10CA4CE9"/>
    <w:rsid w:val="10F962B1"/>
    <w:rsid w:val="115F3F57"/>
    <w:rsid w:val="11743B70"/>
    <w:rsid w:val="121A77C6"/>
    <w:rsid w:val="12641102"/>
    <w:rsid w:val="131052BA"/>
    <w:rsid w:val="13FA41EA"/>
    <w:rsid w:val="14301B21"/>
    <w:rsid w:val="14CC6422"/>
    <w:rsid w:val="14FE695D"/>
    <w:rsid w:val="15A63843"/>
    <w:rsid w:val="167308C6"/>
    <w:rsid w:val="16DB27E9"/>
    <w:rsid w:val="17041C68"/>
    <w:rsid w:val="179627C7"/>
    <w:rsid w:val="17C16F43"/>
    <w:rsid w:val="184C43B9"/>
    <w:rsid w:val="19640872"/>
    <w:rsid w:val="19BA212F"/>
    <w:rsid w:val="19BC6C5B"/>
    <w:rsid w:val="19C44997"/>
    <w:rsid w:val="19F00528"/>
    <w:rsid w:val="1A1D6A83"/>
    <w:rsid w:val="1ACE4C15"/>
    <w:rsid w:val="1ADB0846"/>
    <w:rsid w:val="1ADB557A"/>
    <w:rsid w:val="1B261E34"/>
    <w:rsid w:val="1B2C2826"/>
    <w:rsid w:val="1B5077A8"/>
    <w:rsid w:val="1C28736A"/>
    <w:rsid w:val="1C4F66FE"/>
    <w:rsid w:val="1CA81259"/>
    <w:rsid w:val="1CD159A8"/>
    <w:rsid w:val="1D4209B0"/>
    <w:rsid w:val="1D57593F"/>
    <w:rsid w:val="1D730DB4"/>
    <w:rsid w:val="1DD2021B"/>
    <w:rsid w:val="1DD578C9"/>
    <w:rsid w:val="1DE25B09"/>
    <w:rsid w:val="1DFE4AFF"/>
    <w:rsid w:val="1E0569BD"/>
    <w:rsid w:val="1E7151BE"/>
    <w:rsid w:val="1E87201F"/>
    <w:rsid w:val="1EA61FB7"/>
    <w:rsid w:val="1ECF02BC"/>
    <w:rsid w:val="1ED2192E"/>
    <w:rsid w:val="1F5C5069"/>
    <w:rsid w:val="1F836C07"/>
    <w:rsid w:val="20125575"/>
    <w:rsid w:val="202D1DEC"/>
    <w:rsid w:val="206867FB"/>
    <w:rsid w:val="20915795"/>
    <w:rsid w:val="20F2375E"/>
    <w:rsid w:val="216B1AF3"/>
    <w:rsid w:val="218B17AB"/>
    <w:rsid w:val="21A2028E"/>
    <w:rsid w:val="21DC06A7"/>
    <w:rsid w:val="22062764"/>
    <w:rsid w:val="221300CD"/>
    <w:rsid w:val="22A53EBB"/>
    <w:rsid w:val="22E419E3"/>
    <w:rsid w:val="23753F06"/>
    <w:rsid w:val="238B7689"/>
    <w:rsid w:val="23923AE6"/>
    <w:rsid w:val="23B03DFA"/>
    <w:rsid w:val="23B766EF"/>
    <w:rsid w:val="23CB2115"/>
    <w:rsid w:val="243204B2"/>
    <w:rsid w:val="243B7A1E"/>
    <w:rsid w:val="24A3465C"/>
    <w:rsid w:val="24AD78E3"/>
    <w:rsid w:val="24BA6669"/>
    <w:rsid w:val="24CA7C09"/>
    <w:rsid w:val="24F21A92"/>
    <w:rsid w:val="252C41B1"/>
    <w:rsid w:val="253F2609"/>
    <w:rsid w:val="263B13E8"/>
    <w:rsid w:val="267E4AFA"/>
    <w:rsid w:val="279D51A1"/>
    <w:rsid w:val="28342726"/>
    <w:rsid w:val="28EA39A1"/>
    <w:rsid w:val="298D23A3"/>
    <w:rsid w:val="29D73D90"/>
    <w:rsid w:val="2A127F88"/>
    <w:rsid w:val="2A395C45"/>
    <w:rsid w:val="2A4B26E5"/>
    <w:rsid w:val="2AA01DA9"/>
    <w:rsid w:val="2ABD4CEE"/>
    <w:rsid w:val="2ADB571F"/>
    <w:rsid w:val="2AF0701D"/>
    <w:rsid w:val="2B7217BE"/>
    <w:rsid w:val="2BDB12C1"/>
    <w:rsid w:val="2C757690"/>
    <w:rsid w:val="2C981246"/>
    <w:rsid w:val="2CD214AA"/>
    <w:rsid w:val="2D411C4E"/>
    <w:rsid w:val="2D4751A1"/>
    <w:rsid w:val="2D85736C"/>
    <w:rsid w:val="2ED55B28"/>
    <w:rsid w:val="2EE53504"/>
    <w:rsid w:val="2F4E226B"/>
    <w:rsid w:val="2FC47AE0"/>
    <w:rsid w:val="3012107D"/>
    <w:rsid w:val="31E557BC"/>
    <w:rsid w:val="31F271B2"/>
    <w:rsid w:val="32250400"/>
    <w:rsid w:val="322632A5"/>
    <w:rsid w:val="327C753A"/>
    <w:rsid w:val="32DA4D41"/>
    <w:rsid w:val="32E36836"/>
    <w:rsid w:val="335A1D71"/>
    <w:rsid w:val="33865058"/>
    <w:rsid w:val="33C31A40"/>
    <w:rsid w:val="34065DE8"/>
    <w:rsid w:val="34A032F7"/>
    <w:rsid w:val="350857ED"/>
    <w:rsid w:val="35A9209A"/>
    <w:rsid w:val="35B12312"/>
    <w:rsid w:val="36392E40"/>
    <w:rsid w:val="367F718C"/>
    <w:rsid w:val="368C1459"/>
    <w:rsid w:val="36DC71C3"/>
    <w:rsid w:val="36EC0E14"/>
    <w:rsid w:val="371A4EBF"/>
    <w:rsid w:val="373C23E9"/>
    <w:rsid w:val="37BD61F3"/>
    <w:rsid w:val="382B7EE3"/>
    <w:rsid w:val="38562B27"/>
    <w:rsid w:val="38802CAE"/>
    <w:rsid w:val="38D77B41"/>
    <w:rsid w:val="38E121D5"/>
    <w:rsid w:val="39057EF1"/>
    <w:rsid w:val="39183E69"/>
    <w:rsid w:val="393807D0"/>
    <w:rsid w:val="396E6EBA"/>
    <w:rsid w:val="3AF31810"/>
    <w:rsid w:val="3BAE6B98"/>
    <w:rsid w:val="3C1B08A2"/>
    <w:rsid w:val="3C7945E5"/>
    <w:rsid w:val="3CB6726B"/>
    <w:rsid w:val="3D335DE1"/>
    <w:rsid w:val="3D777B83"/>
    <w:rsid w:val="3D797844"/>
    <w:rsid w:val="3DD91947"/>
    <w:rsid w:val="3ED3404C"/>
    <w:rsid w:val="3EDE5AA2"/>
    <w:rsid w:val="40DC68A2"/>
    <w:rsid w:val="40FB566E"/>
    <w:rsid w:val="41650612"/>
    <w:rsid w:val="41AE1B57"/>
    <w:rsid w:val="42F8373B"/>
    <w:rsid w:val="43606706"/>
    <w:rsid w:val="436275FE"/>
    <w:rsid w:val="43706E98"/>
    <w:rsid w:val="44541FC9"/>
    <w:rsid w:val="44940013"/>
    <w:rsid w:val="44D43AFE"/>
    <w:rsid w:val="44DA3C38"/>
    <w:rsid w:val="44EB17AA"/>
    <w:rsid w:val="4530050F"/>
    <w:rsid w:val="45425C13"/>
    <w:rsid w:val="45806483"/>
    <w:rsid w:val="45F518A7"/>
    <w:rsid w:val="460F1616"/>
    <w:rsid w:val="46385813"/>
    <w:rsid w:val="47272E92"/>
    <w:rsid w:val="47A51212"/>
    <w:rsid w:val="47FE7A46"/>
    <w:rsid w:val="48523474"/>
    <w:rsid w:val="487307D9"/>
    <w:rsid w:val="48981D61"/>
    <w:rsid w:val="48D87ACE"/>
    <w:rsid w:val="4A9208B9"/>
    <w:rsid w:val="4AAB4D57"/>
    <w:rsid w:val="4AE738CE"/>
    <w:rsid w:val="4B0958A0"/>
    <w:rsid w:val="4B0D6E6A"/>
    <w:rsid w:val="4B153636"/>
    <w:rsid w:val="4B1B5A34"/>
    <w:rsid w:val="4B285784"/>
    <w:rsid w:val="4C4F4712"/>
    <w:rsid w:val="4C575055"/>
    <w:rsid w:val="4CA125B1"/>
    <w:rsid w:val="4CE26F72"/>
    <w:rsid w:val="4D1F4E65"/>
    <w:rsid w:val="4D2E2177"/>
    <w:rsid w:val="4DC91E57"/>
    <w:rsid w:val="4E3A59BC"/>
    <w:rsid w:val="4E971215"/>
    <w:rsid w:val="4ED11A10"/>
    <w:rsid w:val="4EE14D7E"/>
    <w:rsid w:val="4F7B504D"/>
    <w:rsid w:val="4FD4504B"/>
    <w:rsid w:val="50005602"/>
    <w:rsid w:val="504077A0"/>
    <w:rsid w:val="507576E1"/>
    <w:rsid w:val="517B1729"/>
    <w:rsid w:val="51B47E57"/>
    <w:rsid w:val="51D80BCD"/>
    <w:rsid w:val="527169EF"/>
    <w:rsid w:val="52BB4A34"/>
    <w:rsid w:val="52EB3D4C"/>
    <w:rsid w:val="53830F02"/>
    <w:rsid w:val="53B21788"/>
    <w:rsid w:val="53F16BC7"/>
    <w:rsid w:val="54992FD0"/>
    <w:rsid w:val="54A76FF0"/>
    <w:rsid w:val="552F4EBD"/>
    <w:rsid w:val="55D867E1"/>
    <w:rsid w:val="55DD18CB"/>
    <w:rsid w:val="562E4F3F"/>
    <w:rsid w:val="567A292B"/>
    <w:rsid w:val="5686462D"/>
    <w:rsid w:val="574679B5"/>
    <w:rsid w:val="57770E8F"/>
    <w:rsid w:val="57873767"/>
    <w:rsid w:val="57F15EFD"/>
    <w:rsid w:val="588F0029"/>
    <w:rsid w:val="59B46E3A"/>
    <w:rsid w:val="59C60AD3"/>
    <w:rsid w:val="59DE0221"/>
    <w:rsid w:val="59F648AF"/>
    <w:rsid w:val="5A575331"/>
    <w:rsid w:val="5AD97371"/>
    <w:rsid w:val="5AE1019E"/>
    <w:rsid w:val="5AF423C3"/>
    <w:rsid w:val="5B151C82"/>
    <w:rsid w:val="5B296432"/>
    <w:rsid w:val="5B3A534D"/>
    <w:rsid w:val="5B5269F4"/>
    <w:rsid w:val="5B643E38"/>
    <w:rsid w:val="5B9B13DC"/>
    <w:rsid w:val="5BB60E6F"/>
    <w:rsid w:val="5BDE626E"/>
    <w:rsid w:val="5C3E4F25"/>
    <w:rsid w:val="5C3F445D"/>
    <w:rsid w:val="5C5B0F2B"/>
    <w:rsid w:val="5CAC5CDC"/>
    <w:rsid w:val="5CE829C5"/>
    <w:rsid w:val="5D74468C"/>
    <w:rsid w:val="5D801E9A"/>
    <w:rsid w:val="5E393809"/>
    <w:rsid w:val="5E640534"/>
    <w:rsid w:val="5F28061F"/>
    <w:rsid w:val="5F4B03E2"/>
    <w:rsid w:val="5F4F3976"/>
    <w:rsid w:val="5FA639F2"/>
    <w:rsid w:val="5FF038BA"/>
    <w:rsid w:val="606A16E2"/>
    <w:rsid w:val="60764F5A"/>
    <w:rsid w:val="60873578"/>
    <w:rsid w:val="618B3E4E"/>
    <w:rsid w:val="61D57B23"/>
    <w:rsid w:val="61E37558"/>
    <w:rsid w:val="61E45D7B"/>
    <w:rsid w:val="62132FA3"/>
    <w:rsid w:val="6225172A"/>
    <w:rsid w:val="62EA49F7"/>
    <w:rsid w:val="63357F5D"/>
    <w:rsid w:val="633F11E7"/>
    <w:rsid w:val="63CE4319"/>
    <w:rsid w:val="64086FC2"/>
    <w:rsid w:val="64554CBE"/>
    <w:rsid w:val="64802972"/>
    <w:rsid w:val="649B069F"/>
    <w:rsid w:val="64EF3BA0"/>
    <w:rsid w:val="651D744E"/>
    <w:rsid w:val="65333EDA"/>
    <w:rsid w:val="65410AFE"/>
    <w:rsid w:val="65D737ED"/>
    <w:rsid w:val="65E657B9"/>
    <w:rsid w:val="65E676F8"/>
    <w:rsid w:val="66096AE9"/>
    <w:rsid w:val="66C66360"/>
    <w:rsid w:val="672450B6"/>
    <w:rsid w:val="675D4CBD"/>
    <w:rsid w:val="676569DE"/>
    <w:rsid w:val="67F555FD"/>
    <w:rsid w:val="680F26D4"/>
    <w:rsid w:val="68475366"/>
    <w:rsid w:val="69774AAF"/>
    <w:rsid w:val="69F27432"/>
    <w:rsid w:val="6A3D7E79"/>
    <w:rsid w:val="6A6E6876"/>
    <w:rsid w:val="6C1E12A0"/>
    <w:rsid w:val="6C6444D5"/>
    <w:rsid w:val="6C9879BF"/>
    <w:rsid w:val="6CA858FD"/>
    <w:rsid w:val="6CE00297"/>
    <w:rsid w:val="6CF663AF"/>
    <w:rsid w:val="6D2059D8"/>
    <w:rsid w:val="6D515497"/>
    <w:rsid w:val="6D521B17"/>
    <w:rsid w:val="6D8C79E0"/>
    <w:rsid w:val="6E1D6CED"/>
    <w:rsid w:val="6E9458AD"/>
    <w:rsid w:val="6F14725C"/>
    <w:rsid w:val="6F341B34"/>
    <w:rsid w:val="6FC21BFD"/>
    <w:rsid w:val="6FFB39E9"/>
    <w:rsid w:val="7029415C"/>
    <w:rsid w:val="706B403A"/>
    <w:rsid w:val="70C150ED"/>
    <w:rsid w:val="70C704B0"/>
    <w:rsid w:val="70FF7368"/>
    <w:rsid w:val="71730678"/>
    <w:rsid w:val="71E448D8"/>
    <w:rsid w:val="72057863"/>
    <w:rsid w:val="723E5BC5"/>
    <w:rsid w:val="73196C6F"/>
    <w:rsid w:val="738C5B44"/>
    <w:rsid w:val="73A90252"/>
    <w:rsid w:val="73F768FF"/>
    <w:rsid w:val="74027856"/>
    <w:rsid w:val="742417EC"/>
    <w:rsid w:val="74744461"/>
    <w:rsid w:val="74D862CB"/>
    <w:rsid w:val="750B5369"/>
    <w:rsid w:val="756F3BE3"/>
    <w:rsid w:val="75A3699F"/>
    <w:rsid w:val="75F4196A"/>
    <w:rsid w:val="76B97E18"/>
    <w:rsid w:val="76D53522"/>
    <w:rsid w:val="76EE57F7"/>
    <w:rsid w:val="77AE5781"/>
    <w:rsid w:val="78065E96"/>
    <w:rsid w:val="780E6D22"/>
    <w:rsid w:val="783178B5"/>
    <w:rsid w:val="783F155F"/>
    <w:rsid w:val="79900FEA"/>
    <w:rsid w:val="79AB27C1"/>
    <w:rsid w:val="79DE46D7"/>
    <w:rsid w:val="79E06AD7"/>
    <w:rsid w:val="79ED075B"/>
    <w:rsid w:val="7AC30CDA"/>
    <w:rsid w:val="7ACA22F3"/>
    <w:rsid w:val="7AD05EDE"/>
    <w:rsid w:val="7AFB559C"/>
    <w:rsid w:val="7BB130C3"/>
    <w:rsid w:val="7C1868E6"/>
    <w:rsid w:val="7D252DA4"/>
    <w:rsid w:val="7D9A6CF6"/>
    <w:rsid w:val="7DC66537"/>
    <w:rsid w:val="7DC801C0"/>
    <w:rsid w:val="7DC92532"/>
    <w:rsid w:val="7E33674F"/>
    <w:rsid w:val="7E375B33"/>
    <w:rsid w:val="7F0A73E5"/>
    <w:rsid w:val="7F4D1F29"/>
    <w:rsid w:val="7F5F71B0"/>
    <w:rsid w:val="7FAC3C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qFormat="1" w:uiPriority="39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iPriority="3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50" w:beforeLines="50" w:line="360" w:lineRule="auto"/>
      <w:ind w:firstLine="200" w:firstLineChars="200"/>
      <w:jc w:val="both"/>
    </w:pPr>
    <w:rPr>
      <w:rFonts w:ascii="Times New Roman" w:hAnsi="Times New Roman" w:cs="Times New Roman" w:eastAsiaTheme="minorEastAsia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21"/>
    <w:qFormat/>
    <w:uiPriority w:val="0"/>
    <w:pPr>
      <w:keepNext/>
      <w:keepLines/>
      <w:spacing w:after="330" w:line="578" w:lineRule="auto"/>
      <w:ind w:firstLine="0" w:firstLineChars="0"/>
      <w:outlineLvl w:val="0"/>
    </w:pPr>
    <w:rPr>
      <w:rFonts w:eastAsia="宋体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22"/>
    <w:qFormat/>
    <w:uiPriority w:val="0"/>
    <w:pPr>
      <w:keepNext/>
      <w:keepLines/>
      <w:spacing w:after="260" w:line="415" w:lineRule="auto"/>
      <w:ind w:firstLine="0" w:firstLineChars="0"/>
      <w:outlineLvl w:val="1"/>
    </w:pPr>
    <w:rPr>
      <w:rFonts w:eastAsia="黑体"/>
      <w:b/>
      <w:bCs/>
      <w:sz w:val="32"/>
      <w:szCs w:val="32"/>
    </w:rPr>
  </w:style>
  <w:style w:type="paragraph" w:styleId="4">
    <w:name w:val="heading 3"/>
    <w:basedOn w:val="1"/>
    <w:next w:val="1"/>
    <w:link w:val="23"/>
    <w:unhideWhenUsed/>
    <w:qFormat/>
    <w:uiPriority w:val="9"/>
    <w:pPr>
      <w:keepNext/>
      <w:keepLines/>
      <w:spacing w:after="260" w:line="415" w:lineRule="auto"/>
      <w:ind w:firstLine="0" w:firstLineChars="0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4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Cs w:val="28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Normal Indent"/>
    <w:basedOn w:val="1"/>
    <w:qFormat/>
    <w:uiPriority w:val="0"/>
    <w:pPr>
      <w:spacing w:line="370" w:lineRule="atLeast"/>
      <w:jc w:val="center"/>
    </w:pPr>
    <w:rPr>
      <w:rFonts w:eastAsia="宋体"/>
      <w:szCs w:val="20"/>
    </w:rPr>
  </w:style>
  <w:style w:type="paragraph" w:styleId="7">
    <w:name w:val="caption"/>
    <w:basedOn w:val="1"/>
    <w:next w:val="1"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8">
    <w:name w:val="Body Text"/>
    <w:basedOn w:val="1"/>
    <w:link w:val="29"/>
    <w:semiHidden/>
    <w:unhideWhenUsed/>
    <w:qFormat/>
    <w:uiPriority w:val="99"/>
    <w:pPr>
      <w:spacing w:before="0" w:after="120"/>
    </w:pPr>
    <w:rPr>
      <w:rFonts w:eastAsia="宋体"/>
      <w:kern w:val="0"/>
      <w:sz w:val="20"/>
      <w:szCs w:val="20"/>
    </w:rPr>
  </w:style>
  <w:style w:type="paragraph" w:styleId="9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0">
    <w:name w:val="footer"/>
    <w:basedOn w:val="1"/>
    <w:link w:val="2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1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semiHidden/>
    <w:unhideWhenUsed/>
    <w:qFormat/>
    <w:uiPriority w:val="39"/>
  </w:style>
  <w:style w:type="paragraph" w:styleId="13">
    <w:name w:val="toc 2"/>
    <w:basedOn w:val="1"/>
    <w:next w:val="1"/>
    <w:semiHidden/>
    <w:unhideWhenUsed/>
    <w:qFormat/>
    <w:uiPriority w:val="39"/>
    <w:pPr>
      <w:ind w:left="420" w:leftChars="200"/>
    </w:pPr>
  </w:style>
  <w:style w:type="paragraph" w:styleId="14">
    <w:name w:val="Normal (Web)"/>
    <w:basedOn w:val="1"/>
    <w:semiHidden/>
    <w:unhideWhenUsed/>
    <w:qFormat/>
    <w:uiPriority w:val="99"/>
    <w:pPr>
      <w:spacing w:before="100" w:beforeAutospacing="1" w:after="100" w:afterAutospacing="1"/>
    </w:pPr>
    <w:rPr>
      <w:rFonts w:ascii="宋体" w:hAnsi="宋体" w:eastAsia="宋体" w:cs="宋体"/>
      <w:szCs w:val="24"/>
    </w:rPr>
  </w:style>
  <w:style w:type="table" w:styleId="16">
    <w:name w:val="Table Grid"/>
    <w:basedOn w:val="15"/>
    <w:semiHidden/>
    <w:unhideWhenUsed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Hyperlink"/>
    <w:basedOn w:val="1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9">
    <w:name w:val="页眉 Char"/>
    <w:basedOn w:val="17"/>
    <w:link w:val="11"/>
    <w:qFormat/>
    <w:uiPriority w:val="99"/>
    <w:rPr>
      <w:sz w:val="18"/>
      <w:szCs w:val="18"/>
    </w:rPr>
  </w:style>
  <w:style w:type="character" w:customStyle="1" w:styleId="20">
    <w:name w:val="页脚 Char"/>
    <w:basedOn w:val="17"/>
    <w:link w:val="10"/>
    <w:qFormat/>
    <w:uiPriority w:val="99"/>
    <w:rPr>
      <w:sz w:val="18"/>
      <w:szCs w:val="18"/>
    </w:rPr>
  </w:style>
  <w:style w:type="character" w:customStyle="1" w:styleId="21">
    <w:name w:val="标题 1 Char"/>
    <w:basedOn w:val="17"/>
    <w:link w:val="2"/>
    <w:qFormat/>
    <w:uiPriority w:val="0"/>
    <w:rPr>
      <w:rFonts w:ascii="Times New Roman" w:hAnsi="Times New Roman" w:eastAsia="宋体" w:cs="Times New Roman"/>
      <w:b/>
      <w:bCs/>
      <w:kern w:val="44"/>
      <w:sz w:val="36"/>
      <w:szCs w:val="44"/>
    </w:rPr>
  </w:style>
  <w:style w:type="character" w:customStyle="1" w:styleId="22">
    <w:name w:val="标题 2 Char"/>
    <w:basedOn w:val="17"/>
    <w:link w:val="3"/>
    <w:qFormat/>
    <w:uiPriority w:val="0"/>
    <w:rPr>
      <w:rFonts w:ascii="Times New Roman" w:hAnsi="Times New Roman" w:eastAsia="黑体" w:cs="Times New Roman"/>
      <w:b/>
      <w:bCs/>
      <w:sz w:val="32"/>
      <w:szCs w:val="32"/>
    </w:rPr>
  </w:style>
  <w:style w:type="character" w:customStyle="1" w:styleId="23">
    <w:name w:val="标题 3 Char"/>
    <w:basedOn w:val="17"/>
    <w:link w:val="4"/>
    <w:qFormat/>
    <w:uiPriority w:val="9"/>
    <w:rPr>
      <w:b/>
      <w:bCs/>
      <w:sz w:val="32"/>
      <w:szCs w:val="32"/>
    </w:rPr>
  </w:style>
  <w:style w:type="character" w:customStyle="1" w:styleId="24">
    <w:name w:val="标题 4 Char"/>
    <w:basedOn w:val="17"/>
    <w:link w:val="5"/>
    <w:qFormat/>
    <w:uiPriority w:val="9"/>
    <w:rPr>
      <w:rFonts w:asciiTheme="majorHAnsi" w:hAnsiTheme="majorHAnsi" w:eastAsiaTheme="majorEastAsia" w:cstheme="majorBidi"/>
      <w:b/>
      <w:bCs/>
      <w:szCs w:val="28"/>
    </w:rPr>
  </w:style>
  <w:style w:type="character" w:customStyle="1" w:styleId="25">
    <w:name w:val="fontstyle01"/>
    <w:basedOn w:val="17"/>
    <w:qFormat/>
    <w:uiPriority w:val="0"/>
    <w:rPr>
      <w:rFonts w:hint="default" w:ascii="????Bold" w:hAnsi="????Bold"/>
      <w:b/>
      <w:bCs/>
      <w:color w:val="000000"/>
      <w:sz w:val="30"/>
      <w:szCs w:val="30"/>
    </w:rPr>
  </w:style>
  <w:style w:type="character" w:customStyle="1" w:styleId="26">
    <w:name w:val="fontstyle11"/>
    <w:basedOn w:val="17"/>
    <w:qFormat/>
    <w:uiPriority w:val="0"/>
    <w:rPr>
      <w:rFonts w:hint="default" w:ascii="????Regular" w:hAnsi="????Regular"/>
      <w:color w:val="000000"/>
      <w:sz w:val="24"/>
      <w:szCs w:val="24"/>
    </w:rPr>
  </w:style>
  <w:style w:type="paragraph" w:styleId="27">
    <w:name w:val="List Paragraph"/>
    <w:basedOn w:val="1"/>
    <w:qFormat/>
    <w:uiPriority w:val="34"/>
    <w:pPr>
      <w:ind w:firstLine="420"/>
    </w:pPr>
  </w:style>
  <w:style w:type="character" w:customStyle="1" w:styleId="28">
    <w:name w:val="正文文本 字符"/>
    <w:basedOn w:val="17"/>
    <w:qFormat/>
    <w:uiPriority w:val="0"/>
    <w:rPr>
      <w:kern w:val="2"/>
      <w:sz w:val="21"/>
      <w:szCs w:val="22"/>
    </w:rPr>
  </w:style>
  <w:style w:type="character" w:customStyle="1" w:styleId="29">
    <w:name w:val="正文文本 Char"/>
    <w:basedOn w:val="17"/>
    <w:link w:val="8"/>
    <w:qFormat/>
    <w:uiPriority w:val="0"/>
  </w:style>
  <w:style w:type="character" w:customStyle="1" w:styleId="30">
    <w:name w:val="Unresolved Mention"/>
    <w:basedOn w:val="17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1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32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33">
    <w:name w:val="WPSOffice手动目录 3"/>
    <w:qFormat/>
    <w:uiPriority w:val="0"/>
    <w:pPr>
      <w:ind w:leftChars="4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2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4" Type="http://schemas.openxmlformats.org/officeDocument/2006/relationships/fontTable" Target="fontTable.xml"/><Relationship Id="rId133" Type="http://schemas.openxmlformats.org/officeDocument/2006/relationships/numbering" Target="numbering.xml"/><Relationship Id="rId132" Type="http://schemas.openxmlformats.org/officeDocument/2006/relationships/customXml" Target="../customXml/item1.xml"/><Relationship Id="rId131" Type="http://schemas.openxmlformats.org/officeDocument/2006/relationships/image" Target="media/image123.png"/><Relationship Id="rId130" Type="http://schemas.openxmlformats.org/officeDocument/2006/relationships/image" Target="media/image122.png"/><Relationship Id="rId13" Type="http://schemas.openxmlformats.org/officeDocument/2006/relationships/image" Target="media/image5.png"/><Relationship Id="rId129" Type="http://schemas.openxmlformats.org/officeDocument/2006/relationships/image" Target="media/image121.png"/><Relationship Id="rId128" Type="http://schemas.openxmlformats.org/officeDocument/2006/relationships/image" Target="media/image120.png"/><Relationship Id="rId127" Type="http://schemas.openxmlformats.org/officeDocument/2006/relationships/image" Target="media/image119.png"/><Relationship Id="rId126" Type="http://schemas.openxmlformats.org/officeDocument/2006/relationships/image" Target="media/image118.png"/><Relationship Id="rId125" Type="http://schemas.openxmlformats.org/officeDocument/2006/relationships/image" Target="media/image117.png"/><Relationship Id="rId124" Type="http://schemas.openxmlformats.org/officeDocument/2006/relationships/image" Target="media/image116.png"/><Relationship Id="rId123" Type="http://schemas.openxmlformats.org/officeDocument/2006/relationships/image" Target="media/image115.png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png"/><Relationship Id="rId118" Type="http://schemas.openxmlformats.org/officeDocument/2006/relationships/image" Target="media/image110.png"/><Relationship Id="rId117" Type="http://schemas.openxmlformats.org/officeDocument/2006/relationships/image" Target="media/image109.pn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67</Pages>
  <Words>2312</Words>
  <Characters>2670</Characters>
  <Lines>116</Lines>
  <Paragraphs>32</Paragraphs>
  <TotalTime>2</TotalTime>
  <ScaleCrop>false</ScaleCrop>
  <LinksUpToDate>false</LinksUpToDate>
  <CharactersWithSpaces>2781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2018-11-15T03:05:00Z</dcterms:created>
  <dc:creator>jin</dc:creator>
  <cp:lastModifiedBy>高雨</cp:lastModifiedBy>
  <dcterms:modified xsi:type="dcterms:W3CDTF">2024-12-05T06:06:17Z</dcterms:modified>
  <cp:revision>171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23EF37F256304AEDB8B79E2B9901F871</vt:lpwstr>
  </property>
</Properties>
</file>