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50AA4">
      <w:pPr>
        <w:spacing w:line="420" w:lineRule="exact"/>
        <w:jc w:val="center"/>
        <w:rPr>
          <w:rFonts w:hint="eastAsia"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14:paraId="7895EDFF">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14:paraId="2AD84739">
      <w:pPr>
        <w:spacing w:line="420" w:lineRule="exact"/>
        <w:jc w:val="center"/>
        <w:rPr>
          <w:i/>
          <w:color w:val="FF0000"/>
        </w:rPr>
      </w:pPr>
      <w:r>
        <w:rPr>
          <w:rFonts w:hint="eastAsia"/>
          <w:i/>
          <w:color w:val="FF0000"/>
        </w:rPr>
        <w:t>请列出使用的全部开源软件</w:t>
      </w:r>
    </w:p>
    <w:p w14:paraId="46312BA6">
      <w:pPr>
        <w:spacing w:line="420" w:lineRule="exact"/>
        <w:jc w:val="center"/>
        <w:rPr>
          <w:i/>
          <w:color w:val="FF0000"/>
        </w:rPr>
      </w:pPr>
      <w:r>
        <w:rPr>
          <w:i/>
          <w:color w:val="FF0000"/>
        </w:rPr>
        <w:t>P</w:t>
      </w:r>
      <w:r>
        <w:rPr>
          <w:rFonts w:hint="eastAsia"/>
          <w:i/>
          <w:color w:val="FF0000"/>
        </w:rPr>
        <w:t>lease list all open source software used</w:t>
      </w:r>
    </w:p>
    <w:tbl>
      <w:tblPr>
        <w:tblStyle w:val="11"/>
        <w:tblW w:w="0" w:type="auto"/>
        <w:tblInd w:w="0" w:type="dxa"/>
        <w:tblLayout w:type="autofit"/>
        <w:tblCellMar>
          <w:top w:w="0" w:type="dxa"/>
          <w:left w:w="0" w:type="dxa"/>
          <w:bottom w:w="0" w:type="dxa"/>
          <w:right w:w="0" w:type="dxa"/>
        </w:tblCellMar>
      </w:tblPr>
      <w:tblGrid>
        <w:gridCol w:w="1691"/>
        <w:gridCol w:w="1737"/>
        <w:gridCol w:w="1949"/>
        <w:gridCol w:w="2909"/>
      </w:tblGrid>
      <w:tr w14:paraId="2FA39AF1">
        <w:tblPrEx>
          <w:tblCellMar>
            <w:top w:w="0" w:type="dxa"/>
            <w:left w:w="0" w:type="dxa"/>
            <w:bottom w:w="0" w:type="dxa"/>
            <w:right w:w="0" w:type="dxa"/>
          </w:tblCellMar>
        </w:tblPrEx>
        <w:tc>
          <w:tcPr>
            <w:tcW w:w="169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67646641">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14:paraId="11B3BB7C">
            <w:pPr>
              <w:rPr>
                <w:rFonts w:hint="eastAsia" w:ascii="微软雅黑" w:hAnsi="微软雅黑" w:eastAsia="微软雅黑" w:cs="Arial"/>
                <w:b/>
                <w:snapToGrid/>
                <w:sz w:val="20"/>
                <w:szCs w:val="20"/>
              </w:rPr>
            </w:pPr>
            <w:r>
              <w:rPr>
                <w:rFonts w:ascii="Arial" w:hAnsi="Arial" w:eastAsia="黑体"/>
                <w:b/>
                <w:snapToGrid/>
                <w:sz w:val="20"/>
                <w:szCs w:val="20"/>
              </w:rPr>
              <w:t>OPEN SOURCE SOFTWARE NAME</w:t>
            </w:r>
          </w:p>
        </w:tc>
        <w:tc>
          <w:tcPr>
            <w:tcW w:w="1737"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372C3ECB">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14:paraId="3771B4CF">
            <w:pPr>
              <w:rPr>
                <w:rFonts w:ascii="Arial" w:hAnsi="Arial" w:eastAsia="黑体"/>
                <w:b/>
                <w:snapToGrid/>
                <w:sz w:val="20"/>
                <w:szCs w:val="20"/>
              </w:rPr>
            </w:pPr>
            <w:r>
              <w:rPr>
                <w:rFonts w:ascii="Arial" w:hAnsi="Arial" w:eastAsia="黑体"/>
                <w:b/>
                <w:snapToGrid/>
                <w:sz w:val="20"/>
                <w:szCs w:val="20"/>
              </w:rPr>
              <w:t>OPEN SOURCE SOFTWARE</w:t>
            </w:r>
          </w:p>
          <w:p w14:paraId="2032327B">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1949"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40C764E3">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14:paraId="3C7627E4">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909"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1BE51DFD">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14:paraId="3FBC2350">
            <w:pPr>
              <w:rPr>
                <w:rFonts w:hint="eastAsia"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14:paraId="637F7194">
        <w:tblPrEx>
          <w:tblCellMar>
            <w:top w:w="0" w:type="dxa"/>
            <w:left w:w="0" w:type="dxa"/>
            <w:bottom w:w="0" w:type="dxa"/>
            <w:right w:w="0" w:type="dxa"/>
          </w:tblCellMar>
        </w:tblPrEx>
        <w:tc>
          <w:tcPr>
            <w:tcW w:w="1691"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327BD217">
            <w:pPr>
              <w:rPr>
                <w:rFonts w:ascii="Calibri" w:hAnsi="Calibri"/>
                <w:color w:val="002060"/>
                <w:sz w:val="24"/>
                <w:szCs w:val="24"/>
              </w:rPr>
            </w:pPr>
            <w:r>
              <w:rPr>
                <w:rFonts w:ascii="Calibri" w:hAnsi="Calibri"/>
                <w:color w:val="002060"/>
                <w:sz w:val="24"/>
                <w:szCs w:val="24"/>
              </w:rPr>
              <w:t>o</w:t>
            </w:r>
            <w:r>
              <w:rPr>
                <w:rFonts w:hint="eastAsia" w:ascii="Calibri" w:hAnsi="Calibri"/>
                <w:color w:val="002060"/>
                <w:sz w:val="24"/>
                <w:szCs w:val="24"/>
              </w:rPr>
              <w:t>pen</w:t>
            </w:r>
            <w:r>
              <w:rPr>
                <w:rFonts w:ascii="Calibri" w:hAnsi="Calibri"/>
                <w:color w:val="002060"/>
                <w:sz w:val="24"/>
                <w:szCs w:val="24"/>
              </w:rPr>
              <w:t>Euler</w:t>
            </w:r>
          </w:p>
        </w:tc>
        <w:tc>
          <w:tcPr>
            <w:tcW w:w="1737" w:type="dxa"/>
            <w:tcBorders>
              <w:top w:val="nil"/>
              <w:left w:val="nil"/>
              <w:bottom w:val="single" w:color="auto" w:sz="8" w:space="0"/>
              <w:right w:val="single" w:color="auto" w:sz="8" w:space="0"/>
            </w:tcBorders>
            <w:tcMar>
              <w:top w:w="0" w:type="dxa"/>
              <w:left w:w="108" w:type="dxa"/>
              <w:bottom w:w="0" w:type="dxa"/>
              <w:right w:w="108" w:type="dxa"/>
            </w:tcMar>
          </w:tcPr>
          <w:p w14:paraId="53377B38">
            <w:pPr>
              <w:rPr>
                <w:rFonts w:hint="default" w:eastAsia="宋体"/>
                <w:color w:val="002060"/>
                <w:sz w:val="24"/>
                <w:szCs w:val="24"/>
                <w:lang w:val="en-US" w:eastAsia="zh-CN"/>
              </w:rPr>
            </w:pPr>
            <w:r>
              <w:rPr>
                <w:rFonts w:hint="eastAsia"/>
                <w:color w:val="002060"/>
                <w:sz w:val="24"/>
                <w:szCs w:val="24"/>
              </w:rPr>
              <w:t>2</w:t>
            </w:r>
            <w:r>
              <w:rPr>
                <w:rFonts w:hint="eastAsia"/>
                <w:color w:val="002060"/>
                <w:sz w:val="24"/>
                <w:szCs w:val="24"/>
                <w:lang w:val="en-US" w:eastAsia="zh-CN"/>
              </w:rPr>
              <w:t>4</w:t>
            </w:r>
            <w:r>
              <w:rPr>
                <w:rFonts w:hint="eastAsia"/>
                <w:color w:val="002060"/>
                <w:sz w:val="24"/>
                <w:szCs w:val="24"/>
              </w:rPr>
              <w:t>.0</w:t>
            </w:r>
            <w:r>
              <w:rPr>
                <w:color w:val="002060"/>
                <w:sz w:val="24"/>
                <w:szCs w:val="24"/>
              </w:rPr>
              <w:t>3-LTS</w:t>
            </w:r>
            <w:r>
              <w:rPr>
                <w:rFonts w:hint="eastAsia"/>
                <w:color w:val="002060"/>
                <w:sz w:val="24"/>
                <w:szCs w:val="24"/>
                <w:lang w:val="en-US" w:eastAsia="zh-CN"/>
              </w:rPr>
              <w:t>-SP1</w:t>
            </w:r>
          </w:p>
        </w:tc>
        <w:tc>
          <w:tcPr>
            <w:tcW w:w="1949" w:type="dxa"/>
            <w:tcBorders>
              <w:top w:val="nil"/>
              <w:left w:val="nil"/>
              <w:bottom w:val="single" w:color="auto" w:sz="8" w:space="0"/>
              <w:right w:val="single" w:color="auto" w:sz="8" w:space="0"/>
            </w:tcBorders>
            <w:tcMar>
              <w:top w:w="0" w:type="dxa"/>
              <w:left w:w="108" w:type="dxa"/>
              <w:bottom w:w="0" w:type="dxa"/>
              <w:right w:w="108" w:type="dxa"/>
            </w:tcMar>
          </w:tcPr>
          <w:p w14:paraId="127EFC65">
            <w:pPr>
              <w:rPr>
                <w:color w:val="002060"/>
                <w:sz w:val="24"/>
                <w:szCs w:val="24"/>
              </w:rPr>
            </w:pPr>
            <w:r>
              <w:rPr>
                <w:color w:val="002060"/>
                <w:sz w:val="24"/>
                <w:szCs w:val="24"/>
              </w:rPr>
              <w:t>MulanPSL2</w:t>
            </w:r>
          </w:p>
        </w:tc>
        <w:tc>
          <w:tcPr>
            <w:tcW w:w="2909" w:type="dxa"/>
            <w:tcBorders>
              <w:top w:val="nil"/>
              <w:left w:val="nil"/>
              <w:bottom w:val="single" w:color="auto" w:sz="8" w:space="0"/>
              <w:right w:val="single" w:color="auto" w:sz="8" w:space="0"/>
            </w:tcBorders>
            <w:tcMar>
              <w:top w:w="0" w:type="dxa"/>
              <w:left w:w="108" w:type="dxa"/>
              <w:bottom w:w="0" w:type="dxa"/>
              <w:right w:w="108" w:type="dxa"/>
            </w:tcMar>
          </w:tcPr>
          <w:p w14:paraId="2CA57B7F">
            <w:pPr>
              <w:rPr>
                <w:color w:val="002060"/>
                <w:sz w:val="24"/>
                <w:szCs w:val="24"/>
              </w:rPr>
            </w:pPr>
            <w:r>
              <w:rPr>
                <w:color w:val="002060"/>
                <w:sz w:val="24"/>
                <w:szCs w:val="24"/>
              </w:rPr>
              <w:t>https://www.openeuler.org</w:t>
            </w:r>
          </w:p>
        </w:tc>
      </w:tr>
      <w:tr w14:paraId="2D7942A7">
        <w:tblPrEx>
          <w:tblCellMar>
            <w:top w:w="0" w:type="dxa"/>
            <w:left w:w="0" w:type="dxa"/>
            <w:bottom w:w="0" w:type="dxa"/>
            <w:right w:w="0" w:type="dxa"/>
          </w:tblCellMar>
        </w:tblPrEx>
        <w:tc>
          <w:tcPr>
            <w:tcW w:w="1691"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2B352EAE">
            <w:pPr>
              <w:rPr>
                <w:color w:val="002060"/>
                <w:sz w:val="24"/>
                <w:szCs w:val="24"/>
              </w:rPr>
            </w:pPr>
          </w:p>
        </w:tc>
        <w:tc>
          <w:tcPr>
            <w:tcW w:w="1737" w:type="dxa"/>
            <w:tcBorders>
              <w:top w:val="nil"/>
              <w:left w:val="nil"/>
              <w:bottom w:val="single" w:color="auto" w:sz="8" w:space="0"/>
              <w:right w:val="single" w:color="auto" w:sz="8" w:space="0"/>
            </w:tcBorders>
            <w:tcMar>
              <w:top w:w="0" w:type="dxa"/>
              <w:left w:w="108" w:type="dxa"/>
              <w:bottom w:w="0" w:type="dxa"/>
              <w:right w:w="108" w:type="dxa"/>
            </w:tcMar>
          </w:tcPr>
          <w:p w14:paraId="324CA2FA">
            <w:pPr>
              <w:rPr>
                <w:color w:val="002060"/>
                <w:sz w:val="24"/>
                <w:szCs w:val="24"/>
              </w:rPr>
            </w:pPr>
          </w:p>
        </w:tc>
        <w:tc>
          <w:tcPr>
            <w:tcW w:w="1949" w:type="dxa"/>
            <w:tcBorders>
              <w:top w:val="nil"/>
              <w:left w:val="nil"/>
              <w:bottom w:val="single" w:color="auto" w:sz="8" w:space="0"/>
              <w:right w:val="single" w:color="auto" w:sz="8" w:space="0"/>
            </w:tcBorders>
            <w:tcMar>
              <w:top w:w="0" w:type="dxa"/>
              <w:left w:w="108" w:type="dxa"/>
              <w:bottom w:w="0" w:type="dxa"/>
              <w:right w:w="108" w:type="dxa"/>
            </w:tcMar>
          </w:tcPr>
          <w:p w14:paraId="41151B86">
            <w:pPr>
              <w:rPr>
                <w:color w:val="002060"/>
                <w:sz w:val="24"/>
                <w:szCs w:val="24"/>
              </w:rPr>
            </w:pPr>
          </w:p>
        </w:tc>
        <w:tc>
          <w:tcPr>
            <w:tcW w:w="2909" w:type="dxa"/>
            <w:tcBorders>
              <w:top w:val="nil"/>
              <w:left w:val="nil"/>
              <w:bottom w:val="single" w:color="auto" w:sz="8" w:space="0"/>
              <w:right w:val="single" w:color="auto" w:sz="8" w:space="0"/>
            </w:tcBorders>
            <w:tcMar>
              <w:top w:w="0" w:type="dxa"/>
              <w:left w:w="108" w:type="dxa"/>
              <w:bottom w:w="0" w:type="dxa"/>
              <w:right w:w="108" w:type="dxa"/>
            </w:tcMar>
          </w:tcPr>
          <w:p w14:paraId="61CDC130">
            <w:pPr>
              <w:rPr>
                <w:color w:val="002060"/>
                <w:sz w:val="24"/>
                <w:szCs w:val="24"/>
              </w:rPr>
            </w:pPr>
          </w:p>
        </w:tc>
      </w:tr>
      <w:tr w14:paraId="63F861E0">
        <w:tblPrEx>
          <w:tblCellMar>
            <w:top w:w="0" w:type="dxa"/>
            <w:left w:w="0" w:type="dxa"/>
            <w:bottom w:w="0" w:type="dxa"/>
            <w:right w:w="0" w:type="dxa"/>
          </w:tblCellMar>
        </w:tblPrEx>
        <w:tc>
          <w:tcPr>
            <w:tcW w:w="1691"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1FFECFF2">
            <w:pPr>
              <w:rPr>
                <w:color w:val="002060"/>
                <w:sz w:val="24"/>
                <w:szCs w:val="24"/>
              </w:rPr>
            </w:pPr>
          </w:p>
        </w:tc>
        <w:tc>
          <w:tcPr>
            <w:tcW w:w="1737" w:type="dxa"/>
            <w:tcBorders>
              <w:top w:val="nil"/>
              <w:left w:val="nil"/>
              <w:bottom w:val="single" w:color="auto" w:sz="8" w:space="0"/>
              <w:right w:val="single" w:color="auto" w:sz="8" w:space="0"/>
            </w:tcBorders>
            <w:tcMar>
              <w:top w:w="0" w:type="dxa"/>
              <w:left w:w="108" w:type="dxa"/>
              <w:bottom w:w="0" w:type="dxa"/>
              <w:right w:w="108" w:type="dxa"/>
            </w:tcMar>
          </w:tcPr>
          <w:p w14:paraId="0D7C3123">
            <w:pPr>
              <w:rPr>
                <w:color w:val="002060"/>
                <w:sz w:val="24"/>
                <w:szCs w:val="24"/>
              </w:rPr>
            </w:pPr>
          </w:p>
        </w:tc>
        <w:tc>
          <w:tcPr>
            <w:tcW w:w="1949" w:type="dxa"/>
            <w:tcBorders>
              <w:top w:val="nil"/>
              <w:left w:val="nil"/>
              <w:bottom w:val="single" w:color="auto" w:sz="8" w:space="0"/>
              <w:right w:val="single" w:color="auto" w:sz="8" w:space="0"/>
            </w:tcBorders>
            <w:tcMar>
              <w:top w:w="0" w:type="dxa"/>
              <w:left w:w="108" w:type="dxa"/>
              <w:bottom w:w="0" w:type="dxa"/>
              <w:right w:w="108" w:type="dxa"/>
            </w:tcMar>
          </w:tcPr>
          <w:p w14:paraId="7075C45C">
            <w:pPr>
              <w:rPr>
                <w:color w:val="002060"/>
                <w:sz w:val="24"/>
                <w:szCs w:val="24"/>
              </w:rPr>
            </w:pPr>
          </w:p>
        </w:tc>
        <w:tc>
          <w:tcPr>
            <w:tcW w:w="2909" w:type="dxa"/>
            <w:tcBorders>
              <w:top w:val="nil"/>
              <w:left w:val="nil"/>
              <w:bottom w:val="single" w:color="auto" w:sz="8" w:space="0"/>
              <w:right w:val="single" w:color="auto" w:sz="8" w:space="0"/>
            </w:tcBorders>
            <w:tcMar>
              <w:top w:w="0" w:type="dxa"/>
              <w:left w:w="108" w:type="dxa"/>
              <w:bottom w:w="0" w:type="dxa"/>
              <w:right w:w="108" w:type="dxa"/>
            </w:tcMar>
          </w:tcPr>
          <w:p w14:paraId="70FAE38C">
            <w:pPr>
              <w:rPr>
                <w:color w:val="002060"/>
                <w:sz w:val="24"/>
                <w:szCs w:val="24"/>
              </w:rPr>
            </w:pPr>
          </w:p>
        </w:tc>
      </w:tr>
    </w:tbl>
    <w:p w14:paraId="4ACFBD7E">
      <w:pPr>
        <w:spacing w:line="420" w:lineRule="exact"/>
        <w:jc w:val="both"/>
        <w:rPr>
          <w:rFonts w:hint="eastAsia" w:ascii="微软雅黑" w:hAnsi="微软雅黑" w:eastAsia="微软雅黑" w:cs="Arial"/>
          <w:b/>
          <w:i/>
          <w:snapToGrid/>
          <w:color w:val="000000" w:themeColor="text1"/>
          <w14:textFill>
            <w14:solidFill>
              <w14:schemeClr w14:val="tx1"/>
            </w14:solidFill>
          </w14:textFill>
        </w:rPr>
      </w:pPr>
    </w:p>
    <w:p w14:paraId="1EA572ED">
      <w:pPr>
        <w:pStyle w:val="2"/>
      </w:pPr>
      <w:r>
        <w:t xml:space="preserve">Software </w:t>
      </w:r>
      <w:r>
        <w:rPr>
          <w:rFonts w:hint="eastAsia" w:ascii="微软雅黑" w:hAnsi="微软雅黑" w:eastAsia="微软雅黑" w:cs="Arial"/>
        </w:rPr>
        <w:t>软件名称及软件版本</w:t>
      </w:r>
    </w:p>
    <w:p w14:paraId="4C36B401">
      <w:pPr>
        <w:rPr>
          <w:color w:val="FF0000"/>
        </w:rPr>
      </w:pPr>
      <w:r>
        <w:rPr>
          <w:rFonts w:hint="eastAsia"/>
          <w:color w:val="000000" w:themeColor="text1"/>
          <w14:textFill>
            <w14:solidFill>
              <w14:schemeClr w14:val="tx1"/>
            </w14:solidFill>
          </w14:textFill>
        </w:rPr>
        <w:t xml:space="preserve">openEuler </w:t>
      </w:r>
      <w:r>
        <w:rPr>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3 LTS</w:t>
      </w:r>
      <w:r>
        <w:rPr>
          <w:rFonts w:hint="eastAsia"/>
          <w:color w:val="000000" w:themeColor="text1"/>
          <w:lang w:val="en-US" w:eastAsia="zh-CN"/>
          <w14:textFill>
            <w14:solidFill>
              <w14:schemeClr w14:val="tx1"/>
            </w14:solidFill>
          </w14:textFill>
        </w:rPr>
        <w:t xml:space="preserve"> SP1</w:t>
      </w:r>
      <w:bookmarkStart w:id="0" w:name="_GoBack"/>
      <w:bookmarkEnd w:id="0"/>
    </w:p>
    <w:p w14:paraId="69A47642">
      <w:pPr>
        <w:pStyle w:val="2"/>
        <w:rPr>
          <w:i/>
        </w:rPr>
      </w:pPr>
      <w:r>
        <w:t xml:space="preserve">Copyright notice </w:t>
      </w:r>
      <w:r>
        <w:rPr>
          <w:rFonts w:hint="eastAsia" w:ascii="微软雅黑" w:hAnsi="微软雅黑" w:eastAsia="微软雅黑" w:cs="Arial"/>
        </w:rPr>
        <w:t>版权声明</w:t>
      </w:r>
    </w:p>
    <w:p w14:paraId="6559B165">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2015, Intel Corporation</w:t>
      </w:r>
    </w:p>
    <w:p w14:paraId="3CF74D5A">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2000  Free Software Foundation, Inc.</w:t>
      </w:r>
    </w:p>
    <w:p w14:paraId="765F517B">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2000,2001,2002  Free Software Foundation, Inc.</w:t>
      </w:r>
    </w:p>
    <w:p w14:paraId="41C5C914">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1989 Free Software Foundation, Inc.</w:t>
      </w:r>
    </w:p>
    <w:p w14:paraId="5BBFE599">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1991 Free Software Foundation, Inc.</w:t>
      </w:r>
    </w:p>
    <w:p w14:paraId="6BD7F68C">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1989, 1991 Free Software Foundation, Inc.</w:t>
      </w:r>
    </w:p>
    <w:p w14:paraId="571A3C23">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1991, 1999 Free Software Foundation, Inc.</w:t>
      </w:r>
    </w:p>
    <w:p w14:paraId="2481FE7B">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1991, 1992  Linus Torvalds</w:t>
      </w:r>
    </w:p>
    <w:p w14:paraId="2A0C8083">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1996 X Consortium</w:t>
      </w:r>
    </w:p>
    <w:p w14:paraId="3CAAF489">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2006, NXP Semiconductors, All Rights Reserved</w:t>
      </w:r>
    </w:p>
    <w:p w14:paraId="05740889">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1992  Theodore Ts'o</w:t>
      </w:r>
    </w:p>
    <w:p w14:paraId="4F781E4D">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2004 Andi Kleen, SuSE Labs.</w:t>
      </w:r>
    </w:p>
    <w:p w14:paraId="4E2F4218">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2013-2016, Linaro Ltd.</w:t>
      </w:r>
    </w:p>
    <w:p w14:paraId="06076F8F">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1995-2009 Russell King</w:t>
      </w:r>
    </w:p>
    <w:p w14:paraId="664F7672">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2012 ARM Ltd.</w:t>
      </w:r>
    </w:p>
    <w:p w14:paraId="117FE7C8">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2014 ARM Ltd.</w:t>
      </w:r>
    </w:p>
    <w:p w14:paraId="72EB9A80">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2018 Linaro Limited</w:t>
      </w:r>
    </w:p>
    <w:p w14:paraId="53931F34">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2018 ARM Ltd, All Rights Reserved.</w:t>
      </w:r>
    </w:p>
    <w:p w14:paraId="4E20EDB9">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2020 Google LLC</w:t>
      </w:r>
    </w:p>
    <w:p w14:paraId="604CB842">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2019 Huawei Technologies Co., Ltd</w:t>
      </w:r>
    </w:p>
    <w:p w14:paraId="7A45A4F3">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 xml:space="preserve">Copyright (C) 2014-2016 Zi Shen Lim </w:t>
      </w:r>
      <w:r>
        <w:fldChar w:fldCharType="begin"/>
      </w:r>
      <w:r>
        <w:instrText xml:space="preserve"> HYPERLINK "mailto:zlim.lnx@gmail.com" </w:instrText>
      </w:r>
      <w:r>
        <w:fldChar w:fldCharType="separate"/>
      </w:r>
      <w:r>
        <w:rPr>
          <w:rStyle w:val="14"/>
          <w:rFonts w:ascii="Times New Roman" w:hAnsi="Times New Roman" w:cs="Times New Roman"/>
          <w:i/>
          <w:snapToGrid w:val="0"/>
          <w:color w:val="000000" w:themeColor="text1"/>
          <w:sz w:val="21"/>
          <w:szCs w:val="21"/>
          <w14:textFill>
            <w14:solidFill>
              <w14:schemeClr w14:val="tx1"/>
            </w14:solidFill>
          </w14:textFill>
        </w:rPr>
        <w:t>zlim.lnx@gmail.com</w:t>
      </w:r>
      <w:r>
        <w:rPr>
          <w:rStyle w:val="14"/>
          <w:rFonts w:ascii="Times New Roman" w:hAnsi="Times New Roman" w:cs="Times New Roman"/>
          <w:i/>
          <w:snapToGrid w:val="0"/>
          <w:color w:val="000000" w:themeColor="text1"/>
          <w:sz w:val="21"/>
          <w:szCs w:val="21"/>
          <w14:textFill>
            <w14:solidFill>
              <w14:schemeClr w14:val="tx1"/>
            </w14:solidFill>
          </w14:textFill>
        </w:rPr>
        <w:fldChar w:fldCharType="end"/>
      </w:r>
    </w:p>
    <w:p w14:paraId="5CD5EA79">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2002-2006 Kristian Høgsberg</w:t>
      </w:r>
    </w:p>
    <w:p w14:paraId="159108E3">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Martin Schlemmer &lt;azarah@nosferatu.za.org&gt;</w:t>
      </w:r>
    </w:p>
    <w:p w14:paraId="780EB9A3">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2006 Sam Ravnborg &lt;</w:t>
      </w:r>
      <w:r>
        <w:fldChar w:fldCharType="begin"/>
      </w:r>
      <w:r>
        <w:instrText xml:space="preserve"> HYPERLINK "mailto:sam@ravnborg.org" </w:instrText>
      </w:r>
      <w:r>
        <w:fldChar w:fldCharType="separate"/>
      </w:r>
      <w:r>
        <w:rPr>
          <w:rStyle w:val="14"/>
          <w:rFonts w:ascii="Times New Roman" w:hAnsi="Times New Roman" w:cs="Times New Roman"/>
          <w:i/>
          <w:snapToGrid w:val="0"/>
          <w:color w:val="000000" w:themeColor="text1"/>
          <w:sz w:val="21"/>
          <w:szCs w:val="21"/>
          <w14:textFill>
            <w14:solidFill>
              <w14:schemeClr w14:val="tx1"/>
            </w14:solidFill>
          </w14:textFill>
        </w:rPr>
        <w:t>sam@ravnborg.org</w:t>
      </w:r>
      <w:r>
        <w:rPr>
          <w:rStyle w:val="14"/>
          <w:rFonts w:ascii="Times New Roman" w:hAnsi="Times New Roman" w:cs="Times New Roman"/>
          <w:i/>
          <w:snapToGrid w:val="0"/>
          <w:color w:val="000000" w:themeColor="text1"/>
          <w:sz w:val="21"/>
          <w:szCs w:val="21"/>
          <w14:textFill>
            <w14:solidFill>
              <w14:schemeClr w14:val="tx1"/>
            </w14:solidFill>
          </w14:textFill>
        </w:rPr>
        <w:fldChar w:fldCharType="end"/>
      </w:r>
      <w:r>
        <w:rPr>
          <w:rFonts w:ascii="Times New Roman" w:hAnsi="Times New Roman" w:cs="Times New Roman"/>
          <w:i/>
          <w:snapToGrid w:val="0"/>
          <w:color w:val="000000" w:themeColor="text1"/>
          <w:sz w:val="21"/>
          <w:szCs w:val="21"/>
          <w14:textFill>
            <w14:solidFill>
              <w14:schemeClr w14:val="tx1"/>
            </w14:solidFill>
          </w14:textFill>
        </w:rPr>
        <w:t>&gt;</w:t>
      </w:r>
    </w:p>
    <w:p w14:paraId="67F4A5DD">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2003 Jens Axboe &lt;axboe@kernel.dk&gt;</w:t>
      </w:r>
    </w:p>
    <w:p w14:paraId="2F8BEEAC">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2008 Fabio Checconi &lt;</w:t>
      </w:r>
      <w:r>
        <w:fldChar w:fldCharType="begin"/>
      </w:r>
      <w:r>
        <w:instrText xml:space="preserve"> HYPERLINK "mailto:fabio@gandalf.sssup.it" </w:instrText>
      </w:r>
      <w:r>
        <w:fldChar w:fldCharType="separate"/>
      </w:r>
      <w:r>
        <w:rPr>
          <w:rStyle w:val="14"/>
          <w:rFonts w:ascii="Times New Roman" w:hAnsi="Times New Roman" w:cs="Times New Roman"/>
          <w:i/>
          <w:snapToGrid w:val="0"/>
          <w:color w:val="000000" w:themeColor="text1"/>
          <w:sz w:val="21"/>
          <w:szCs w:val="21"/>
          <w14:textFill>
            <w14:solidFill>
              <w14:schemeClr w14:val="tx1"/>
            </w14:solidFill>
          </w14:textFill>
        </w:rPr>
        <w:t>fabio@gandalf.sssup.it</w:t>
      </w:r>
      <w:r>
        <w:rPr>
          <w:rStyle w:val="14"/>
          <w:rFonts w:ascii="Times New Roman" w:hAnsi="Times New Roman" w:cs="Times New Roman"/>
          <w:i/>
          <w:snapToGrid w:val="0"/>
          <w:color w:val="000000" w:themeColor="text1"/>
          <w:sz w:val="21"/>
          <w:szCs w:val="21"/>
          <w14:textFill>
            <w14:solidFill>
              <w14:schemeClr w14:val="tx1"/>
            </w14:solidFill>
          </w14:textFill>
        </w:rPr>
        <w:fldChar w:fldCharType="end"/>
      </w:r>
      <w:r>
        <w:rPr>
          <w:rFonts w:ascii="Times New Roman" w:hAnsi="Times New Roman" w:cs="Times New Roman"/>
          <w:i/>
          <w:snapToGrid w:val="0"/>
          <w:color w:val="000000" w:themeColor="text1"/>
          <w:sz w:val="21"/>
          <w:szCs w:val="21"/>
          <w14:textFill>
            <w14:solidFill>
              <w14:schemeClr w14:val="tx1"/>
            </w14:solidFill>
          </w14:textFill>
        </w:rPr>
        <w:t>&gt; Paolo Valente &lt;paolo.valente@unimore.it&gt;</w:t>
      </w:r>
    </w:p>
    <w:p w14:paraId="264FF8BB">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2010 Paolo Valente &lt;paolo.valente@unimore.it&gt;</w:t>
      </w:r>
      <w:r>
        <w:rPr>
          <w:rFonts w:hint="eastAsia" w:ascii="Times New Roman" w:hAnsi="Times New Roman" w:cs="Times New Roman"/>
          <w:i/>
          <w:snapToGrid w:val="0"/>
          <w:color w:val="000000" w:themeColor="text1"/>
          <w:sz w:val="21"/>
          <w:szCs w:val="21"/>
          <w14:textFill>
            <w14:solidFill>
              <w14:schemeClr w14:val="tx1"/>
            </w14:solidFill>
          </w14:textFill>
        </w:rPr>
        <w:t xml:space="preserve"> </w:t>
      </w:r>
      <w:r>
        <w:rPr>
          <w:rFonts w:ascii="Times New Roman" w:hAnsi="Times New Roman" w:cs="Times New Roman"/>
          <w:i/>
          <w:snapToGrid w:val="0"/>
          <w:color w:val="000000" w:themeColor="text1"/>
          <w:sz w:val="21"/>
          <w:szCs w:val="21"/>
          <w14:textFill>
            <w14:solidFill>
              <w14:schemeClr w14:val="tx1"/>
            </w14:solidFill>
          </w14:textFill>
        </w:rPr>
        <w:t>Arianna Avanzini &lt;avanzini@google.com&gt;</w:t>
      </w:r>
    </w:p>
    <w:p w14:paraId="6505D2E8">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2017 Paolo Valente &lt;paolo.valente@linaro.org&gt;</w:t>
      </w:r>
    </w:p>
    <w:p w14:paraId="2B78F83B">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2007, 2008, 2009 Oracle Corporation</w:t>
      </w:r>
    </w:p>
    <w:p w14:paraId="5AD7C321">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2001 Jens Axboe &lt;axboe@kernel.dk&gt;</w:t>
      </w:r>
    </w:p>
    <w:p w14:paraId="22659EB5">
      <w:pPr>
        <w:pStyle w:val="30"/>
        <w:rPr>
          <w:rFonts w:ascii="Times New Roman" w:hAnsi="Times New Roman" w:cs="Times New Roman"/>
          <w:i/>
          <w:snapToGrid w:val="0"/>
          <w:color w:val="000000" w:themeColor="text1"/>
          <w:sz w:val="21"/>
          <w:szCs w:val="21"/>
          <w14:textFill>
            <w14:solidFill>
              <w14:schemeClr w14:val="tx1"/>
            </w14:solidFill>
          </w14:textFill>
        </w:rPr>
      </w:pPr>
      <w:r>
        <w:rPr>
          <w:rFonts w:ascii="Times New Roman" w:hAnsi="Times New Roman" w:cs="Times New Roman"/>
          <w:i/>
          <w:snapToGrid w:val="0"/>
          <w:color w:val="000000" w:themeColor="text1"/>
          <w:sz w:val="21"/>
          <w:szCs w:val="21"/>
          <w14:textFill>
            <w14:solidFill>
              <w14:schemeClr w14:val="tx1"/>
            </w14:solidFill>
          </w14:textFill>
        </w:rPr>
        <w:t>Copyright (C) 2016 Jens Axboe</w:t>
      </w:r>
    </w:p>
    <w:p w14:paraId="2F8657CD">
      <w:pPr>
        <w:pStyle w:val="2"/>
      </w:pPr>
      <w:r>
        <w:t xml:space="preserve">License </w:t>
      </w:r>
      <w:r>
        <w:rPr>
          <w:rFonts w:hint="eastAsia" w:ascii="微软雅黑" w:hAnsi="微软雅黑" w:eastAsia="微软雅黑" w:cs="Arial"/>
        </w:rPr>
        <w:t>许可证</w:t>
      </w:r>
    </w:p>
    <w:p w14:paraId="4FE32957">
      <w:pPr>
        <w:widowControl/>
        <w:shd w:val="clear" w:color="auto" w:fill="FFFFFF"/>
        <w:autoSpaceDE/>
        <w:autoSpaceDN/>
        <w:adjustRightInd/>
        <w:spacing w:line="180" w:lineRule="atLeast"/>
        <w:rPr>
          <w:i/>
          <w:color w:val="000000" w:themeColor="text1"/>
          <w14:textFill>
            <w14:solidFill>
              <w14:schemeClr w14:val="tx1"/>
            </w14:solidFill>
          </w14:textFill>
        </w:rPr>
      </w:pPr>
      <w:r>
        <w:rPr>
          <w:rFonts w:hint="eastAsia"/>
          <w:i/>
          <w:color w:val="000000" w:themeColor="text1"/>
          <w14:textFill>
            <w14:solidFill>
              <w14:schemeClr w14:val="tx1"/>
            </w14:solidFill>
          </w14:textFill>
        </w:rPr>
        <w:t>Mulan Permissive Software License，Version 2</w:t>
      </w:r>
    </w:p>
    <w:p w14:paraId="58B5CE96">
      <w:pPr>
        <w:widowControl/>
        <w:shd w:val="clear" w:color="auto" w:fill="FFFFFF"/>
        <w:autoSpaceDE/>
        <w:autoSpaceDN/>
        <w:adjustRightInd/>
        <w:spacing w:line="180" w:lineRule="atLeast"/>
        <w:rPr>
          <w:i/>
          <w:color w:val="000000" w:themeColor="text1"/>
          <w14:textFill>
            <w14:solidFill>
              <w14:schemeClr w14:val="tx1"/>
            </w14:solidFill>
          </w14:textFill>
        </w:rPr>
      </w:pPr>
    </w:p>
    <w:p w14:paraId="51C3447B">
      <w:pPr>
        <w:widowControl/>
        <w:shd w:val="clear" w:color="auto" w:fill="FFFFFF"/>
        <w:autoSpaceDE/>
        <w:autoSpaceDN/>
        <w:adjustRightInd/>
        <w:spacing w:line="180" w:lineRule="atLeast"/>
        <w:rPr>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Mulan Permissive Software License，Version 2 (Mulan PSL v2)</w:t>
      </w:r>
    </w:p>
    <w:p w14:paraId="4B27036A">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January 2020 http://license.coscl.org.cn/MulanPSL2</w:t>
      </w:r>
    </w:p>
    <w:p w14:paraId="32BAE674">
      <w:pPr>
        <w:widowControl/>
        <w:shd w:val="clear" w:color="auto" w:fill="FFFFFF"/>
        <w:autoSpaceDE/>
        <w:autoSpaceDN/>
        <w:adjustRightInd/>
        <w:spacing w:line="180" w:lineRule="atLeast"/>
        <w:rPr>
          <w:i/>
          <w:color w:val="000000" w:themeColor="text1"/>
          <w14:textFill>
            <w14:solidFill>
              <w14:schemeClr w14:val="tx1"/>
            </w14:solidFill>
          </w14:textFill>
        </w:rPr>
      </w:pPr>
    </w:p>
    <w:p w14:paraId="4727CE07">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Your reproduction, use, modification and distribution of the Software shall be subject to Mulan PSL v2 (this License) with the following terms and conditions: </w:t>
      </w:r>
    </w:p>
    <w:p w14:paraId="5D17ACDF">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w:t>
      </w:r>
    </w:p>
    <w:p w14:paraId="704FC80B">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0. Definition</w:t>
      </w:r>
    </w:p>
    <w:p w14:paraId="3FBA3074">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w:t>
      </w:r>
    </w:p>
    <w:p w14:paraId="64E19FB1">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Software means the program and related documents which are licensed under this License and comprise all Contribution(s). </w:t>
      </w:r>
    </w:p>
    <w:p w14:paraId="3EB82311">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w:t>
      </w:r>
    </w:p>
    <w:p w14:paraId="39260DE1">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Contribution means the copyrightable work licensed by a particular Contributor under this License.</w:t>
      </w:r>
    </w:p>
    <w:p w14:paraId="03EF4E41">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w:t>
      </w:r>
    </w:p>
    <w:p w14:paraId="0E99BB1B">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Contributor means the Individual or Legal Entity who licenses its copyrightable work under this License.</w:t>
      </w:r>
    </w:p>
    <w:p w14:paraId="3AABA3B8">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w:t>
      </w:r>
    </w:p>
    <w:p w14:paraId="65B4AA6D">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Legal Entity means the entity making a Contribution and all its Affiliates.</w:t>
      </w:r>
    </w:p>
    <w:p w14:paraId="5EFAF69B">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w:t>
      </w:r>
    </w:p>
    <w:p w14:paraId="5CD37E6F">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Affiliates means entities that control, are controlled by, or are under common control with the acting entity under this License, ‘control’ means direct or indirect ownership of at least fifty percent (50%) of the voting power, capital or other securities of controlled or commonly controlled entity.</w:t>
      </w:r>
    </w:p>
    <w:p w14:paraId="38A65845">
      <w:pPr>
        <w:widowControl/>
        <w:shd w:val="clear" w:color="auto" w:fill="FFFFFF"/>
        <w:autoSpaceDE/>
        <w:autoSpaceDN/>
        <w:adjustRightInd/>
        <w:spacing w:line="180" w:lineRule="atLeast"/>
        <w:rPr>
          <w:i/>
          <w:color w:val="000000" w:themeColor="text1"/>
          <w14:textFill>
            <w14:solidFill>
              <w14:schemeClr w14:val="tx1"/>
            </w14:solidFill>
          </w14:textFill>
        </w:rPr>
      </w:pPr>
    </w:p>
    <w:p w14:paraId="609510C7">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1. Grant of Copyright License</w:t>
      </w:r>
    </w:p>
    <w:p w14:paraId="51B18798">
      <w:pPr>
        <w:widowControl/>
        <w:shd w:val="clear" w:color="auto" w:fill="FFFFFF"/>
        <w:autoSpaceDE/>
        <w:autoSpaceDN/>
        <w:adjustRightInd/>
        <w:spacing w:line="180" w:lineRule="atLeast"/>
        <w:rPr>
          <w:i/>
          <w:color w:val="000000" w:themeColor="text1"/>
          <w14:textFill>
            <w14:solidFill>
              <w14:schemeClr w14:val="tx1"/>
            </w14:solidFill>
          </w14:textFill>
        </w:rPr>
      </w:pPr>
    </w:p>
    <w:p w14:paraId="22ABC23D">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Subject to the terms and conditions of this License, each Contributor hereby grants to you a perpetual, worldwide, royalty-free, non-exclusive, irrevocable copyright license to reproduce, use, modify, or distribute its Contribution, with modification or not.</w:t>
      </w:r>
    </w:p>
    <w:p w14:paraId="324766D7">
      <w:pPr>
        <w:widowControl/>
        <w:shd w:val="clear" w:color="auto" w:fill="FFFFFF"/>
        <w:autoSpaceDE/>
        <w:autoSpaceDN/>
        <w:adjustRightInd/>
        <w:spacing w:line="180" w:lineRule="atLeast"/>
        <w:rPr>
          <w:i/>
          <w:color w:val="000000" w:themeColor="text1"/>
          <w14:textFill>
            <w14:solidFill>
              <w14:schemeClr w14:val="tx1"/>
            </w14:solidFill>
          </w14:textFill>
        </w:rPr>
      </w:pPr>
    </w:p>
    <w:p w14:paraId="78412749">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2. Grant of Patent License </w:t>
      </w:r>
    </w:p>
    <w:p w14:paraId="768D0BE9">
      <w:pPr>
        <w:widowControl/>
        <w:shd w:val="clear" w:color="auto" w:fill="FFFFFF"/>
        <w:autoSpaceDE/>
        <w:autoSpaceDN/>
        <w:adjustRightInd/>
        <w:spacing w:line="180" w:lineRule="atLeast"/>
        <w:rPr>
          <w:i/>
          <w:color w:val="000000" w:themeColor="text1"/>
          <w14:textFill>
            <w14:solidFill>
              <w14:schemeClr w14:val="tx1"/>
            </w14:solidFill>
          </w14:textFill>
        </w:rPr>
      </w:pPr>
    </w:p>
    <w:p w14:paraId="1C0ED52B">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Subject to the terms and conditions of this License, each Contributor hereby grants to you a perpetual, worldwide, royalty-free, non-exclusive, irrevocable (except for revocation under this Section) patent license to make, have made, use, offer for sale, sell, import or otherwise transfer its Contribution, where such patent license is only limited to the patent claims owned or controlled by such Contributor now or in future which will be necessarily infringed by its Contribution alone, or by combination of the Contribution with the Software to which the Contribution was contributed. The patent license shall not apply to any modification of the Contribution, and any other combination which includes the Contribution. If you or your Affiliates directly or indirectly institute patent litigation (including a cross claim or counterclaim in a litigation) or other patent enforcement activities against any individual or entity by alleging that the Software or any Contribution in it infringes patents, then any patent license granted to you under this License for the Software shall terminate as of the date such litigation or activity is filed or taken.</w:t>
      </w:r>
    </w:p>
    <w:p w14:paraId="00149F47">
      <w:pPr>
        <w:widowControl/>
        <w:shd w:val="clear" w:color="auto" w:fill="FFFFFF"/>
        <w:autoSpaceDE/>
        <w:autoSpaceDN/>
        <w:adjustRightInd/>
        <w:spacing w:line="180" w:lineRule="atLeast"/>
        <w:rPr>
          <w:i/>
          <w:color w:val="000000" w:themeColor="text1"/>
          <w14:textFill>
            <w14:solidFill>
              <w14:schemeClr w14:val="tx1"/>
            </w14:solidFill>
          </w14:textFill>
        </w:rPr>
      </w:pPr>
    </w:p>
    <w:p w14:paraId="322F134D">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3. No Trademark License</w:t>
      </w:r>
    </w:p>
    <w:p w14:paraId="530446C4">
      <w:pPr>
        <w:widowControl/>
        <w:shd w:val="clear" w:color="auto" w:fill="FFFFFF"/>
        <w:autoSpaceDE/>
        <w:autoSpaceDN/>
        <w:adjustRightInd/>
        <w:spacing w:line="180" w:lineRule="atLeast"/>
        <w:rPr>
          <w:i/>
          <w:color w:val="000000" w:themeColor="text1"/>
          <w14:textFill>
            <w14:solidFill>
              <w14:schemeClr w14:val="tx1"/>
            </w14:solidFill>
          </w14:textFill>
        </w:rPr>
      </w:pPr>
    </w:p>
    <w:p w14:paraId="661BB3DA">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No trademark license is granted to use the trade names, trademarks, service marks, or product names of Contributor, except as required to fulfill notice requirements in Section 4.</w:t>
      </w:r>
    </w:p>
    <w:p w14:paraId="4FCFAC8D">
      <w:pPr>
        <w:widowControl/>
        <w:shd w:val="clear" w:color="auto" w:fill="FFFFFF"/>
        <w:autoSpaceDE/>
        <w:autoSpaceDN/>
        <w:adjustRightInd/>
        <w:spacing w:line="180" w:lineRule="atLeast"/>
        <w:rPr>
          <w:i/>
          <w:color w:val="000000" w:themeColor="text1"/>
          <w14:textFill>
            <w14:solidFill>
              <w14:schemeClr w14:val="tx1"/>
            </w14:solidFill>
          </w14:textFill>
        </w:rPr>
      </w:pPr>
    </w:p>
    <w:p w14:paraId="6D1B8ED0">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4. Distribution Restriction</w:t>
      </w:r>
    </w:p>
    <w:p w14:paraId="5542A97D">
      <w:pPr>
        <w:widowControl/>
        <w:shd w:val="clear" w:color="auto" w:fill="FFFFFF"/>
        <w:autoSpaceDE/>
        <w:autoSpaceDN/>
        <w:adjustRightInd/>
        <w:spacing w:line="180" w:lineRule="atLeast"/>
        <w:rPr>
          <w:i/>
          <w:color w:val="000000" w:themeColor="text1"/>
          <w14:textFill>
            <w14:solidFill>
              <w14:schemeClr w14:val="tx1"/>
            </w14:solidFill>
          </w14:textFill>
        </w:rPr>
      </w:pPr>
    </w:p>
    <w:p w14:paraId="796CF7D9">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You may distribute the Software in any medium with or without modification, whether in source or executable forms, provided that you provide recipients with a copy of this License and retain copyright, patent, trademark and disclaimer statements in the Software.</w:t>
      </w:r>
    </w:p>
    <w:p w14:paraId="646D3F0F">
      <w:pPr>
        <w:widowControl/>
        <w:shd w:val="clear" w:color="auto" w:fill="FFFFFF"/>
        <w:autoSpaceDE/>
        <w:autoSpaceDN/>
        <w:adjustRightInd/>
        <w:spacing w:line="180" w:lineRule="atLeast"/>
        <w:rPr>
          <w:i/>
          <w:color w:val="000000" w:themeColor="text1"/>
          <w14:textFill>
            <w14:solidFill>
              <w14:schemeClr w14:val="tx1"/>
            </w14:solidFill>
          </w14:textFill>
        </w:rPr>
      </w:pPr>
    </w:p>
    <w:p w14:paraId="4E190CC6">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5. Disclaimer of Warranty and Limitation of Liability</w:t>
      </w:r>
    </w:p>
    <w:p w14:paraId="320BD81B">
      <w:pPr>
        <w:widowControl/>
        <w:shd w:val="clear" w:color="auto" w:fill="FFFFFF"/>
        <w:autoSpaceDE/>
        <w:autoSpaceDN/>
        <w:adjustRightInd/>
        <w:spacing w:line="180" w:lineRule="atLeast"/>
        <w:rPr>
          <w:i/>
          <w:color w:val="000000" w:themeColor="text1"/>
          <w14:textFill>
            <w14:solidFill>
              <w14:schemeClr w14:val="tx1"/>
            </w14:solidFill>
          </w14:textFill>
        </w:rPr>
      </w:pPr>
    </w:p>
    <w:p w14:paraId="0B6E44ED">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THE SOFTWARE AND CONTRIBUTION IN IT ARE PROVIDED WITHOUT WARRANTIES OF ANY KIND, EITHER EXPRESS OR IMPLIED. IN NO EVENT SHALL ANY CONTRIBUTOR OR COPYRIGHT HOLDER BE LIABLE TO YOU FOR ANY DAMAGES, INCLUDING, BUT NOT LIMITED TO ANY DIRECT, OR INDIRECT, SPECIAL OR CONSEQUENTIAL DAMAGES ARISING FROM YOUR USE OR INABILITY TO USE THE SOFTWARE OR THE CONTRIBUTION IN IT, NO MATTER HOW IT’S CAUSED OR BASED ON WHICH LEGAL THEORY, EVEN IF ADVISED OF THE POSSIBILITY OF SUCH DAMAGES.</w:t>
      </w:r>
    </w:p>
    <w:p w14:paraId="2056E5A8">
      <w:pPr>
        <w:widowControl/>
        <w:shd w:val="clear" w:color="auto" w:fill="FFFFFF"/>
        <w:autoSpaceDE/>
        <w:autoSpaceDN/>
        <w:adjustRightInd/>
        <w:spacing w:line="180" w:lineRule="atLeast"/>
        <w:rPr>
          <w:i/>
          <w:color w:val="000000" w:themeColor="text1"/>
          <w14:textFill>
            <w14:solidFill>
              <w14:schemeClr w14:val="tx1"/>
            </w14:solidFill>
          </w14:textFill>
        </w:rPr>
      </w:pPr>
    </w:p>
    <w:p w14:paraId="40B5224B">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6. Language</w:t>
      </w:r>
    </w:p>
    <w:p w14:paraId="7FF15CED">
      <w:pPr>
        <w:widowControl/>
        <w:shd w:val="clear" w:color="auto" w:fill="FFFFFF"/>
        <w:autoSpaceDE/>
        <w:autoSpaceDN/>
        <w:adjustRightInd/>
        <w:spacing w:line="180" w:lineRule="atLeast"/>
        <w:rPr>
          <w:i/>
          <w:color w:val="000000" w:themeColor="text1"/>
          <w14:textFill>
            <w14:solidFill>
              <w14:schemeClr w14:val="tx1"/>
            </w14:solidFill>
          </w14:textFill>
        </w:rPr>
      </w:pPr>
    </w:p>
    <w:p w14:paraId="6986ED73">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THIS LICENSE IS WRITTEN IN BOTH CHINESE AND ENGLISH, AND THE CHINESE VERSION AND ENGLISH VERSION SHALL HAVE THE SAME LEGAL EFFECT. IN THE CASE OF DIVERGENCE BETWEEN THE CHINESE AND ENGLISH VERSIONS, THE CHINESE VERSION SHALL PREVAIL.</w:t>
      </w:r>
    </w:p>
    <w:p w14:paraId="785050A1">
      <w:pPr>
        <w:widowControl/>
        <w:shd w:val="clear" w:color="auto" w:fill="FFFFFF"/>
        <w:autoSpaceDE/>
        <w:autoSpaceDN/>
        <w:adjustRightInd/>
        <w:spacing w:line="180" w:lineRule="atLeast"/>
        <w:rPr>
          <w:i/>
          <w:color w:val="000000" w:themeColor="text1"/>
          <w14:textFill>
            <w14:solidFill>
              <w14:schemeClr w14:val="tx1"/>
            </w14:solidFill>
          </w14:textFill>
        </w:rPr>
      </w:pPr>
    </w:p>
    <w:p w14:paraId="3C323A5B">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END OF THE TERMS AND CONDITIONS</w:t>
      </w:r>
    </w:p>
    <w:p w14:paraId="6DF59749">
      <w:pPr>
        <w:widowControl/>
        <w:shd w:val="clear" w:color="auto" w:fill="FFFFFF"/>
        <w:autoSpaceDE/>
        <w:autoSpaceDN/>
        <w:adjustRightInd/>
        <w:spacing w:line="180" w:lineRule="atLeast"/>
        <w:rPr>
          <w:i/>
          <w:color w:val="000000" w:themeColor="text1"/>
          <w14:textFill>
            <w14:solidFill>
              <w14:schemeClr w14:val="tx1"/>
            </w14:solidFill>
          </w14:textFill>
        </w:rPr>
      </w:pPr>
    </w:p>
    <w:p w14:paraId="01B9D0BF">
      <w:pPr>
        <w:widowControl/>
        <w:shd w:val="clear" w:color="auto" w:fill="FFFFFF"/>
        <w:autoSpaceDE/>
        <w:autoSpaceDN/>
        <w:adjustRightInd/>
        <w:spacing w:line="180" w:lineRule="atLeast"/>
        <w:rPr>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   How to Apply the Mulan Permissive Software License，Version 2 (Mulan PSL v2) to Your Software</w:t>
      </w:r>
    </w:p>
    <w:p w14:paraId="5089E15D">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To apply the Mulan PSL v2 to your work, for easy identification by recipients, you are suggested to complete following three steps:</w:t>
      </w:r>
    </w:p>
    <w:p w14:paraId="54978C8C">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i Fill in the blanks in following statement, including insert your software name, the year of the first publication of your software, and your name identified as the copyright owner; </w:t>
      </w:r>
    </w:p>
    <w:p w14:paraId="54F7A695">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ii Create a file named “LICENSE” which contains the whole context of this License in the first directory of your software package;</w:t>
      </w:r>
    </w:p>
    <w:p w14:paraId="3BBE8629">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iii Attach the statement to the appropriate annotated syntax at the beginning of each source file.</w:t>
      </w:r>
    </w:p>
    <w:p w14:paraId="172D992E">
      <w:pPr>
        <w:widowControl/>
        <w:shd w:val="clear" w:color="auto" w:fill="FFFFFF"/>
        <w:autoSpaceDE/>
        <w:autoSpaceDN/>
        <w:adjustRightInd/>
        <w:spacing w:line="180" w:lineRule="atLeast"/>
        <w:rPr>
          <w:i/>
          <w:color w:val="000000" w:themeColor="text1"/>
          <w14:textFill>
            <w14:solidFill>
              <w14:schemeClr w14:val="tx1"/>
            </w14:solidFill>
          </w14:textFill>
        </w:rPr>
      </w:pPr>
    </w:p>
    <w:p w14:paraId="4B5A3BB9">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Copyright (c) [Year] [name of copyright holder]</w:t>
      </w:r>
    </w:p>
    <w:p w14:paraId="5FB20305">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[Software Name] is licensed under Mulan PSL v2.</w:t>
      </w:r>
    </w:p>
    <w:p w14:paraId="4B2AB65A">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You can use this software according to the terms and conditions of the Mulan PSL v2. </w:t>
      </w:r>
    </w:p>
    <w:p w14:paraId="40A264E0">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You may obtain a copy of Mulan PSL v2 at:</w:t>
      </w:r>
    </w:p>
    <w:p w14:paraId="3104B879">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http://license.coscl.org.cn/MulanPSL2 </w:t>
      </w:r>
    </w:p>
    <w:p w14:paraId="1D25BE4B">
      <w:pPr>
        <w:widowControl/>
        <w:shd w:val="clear" w:color="auto" w:fill="FFFFFF"/>
        <w:autoSpaceDE/>
        <w:autoSpaceDN/>
        <w:adjustRightInd/>
        <w:spacing w:line="180" w:lineRule="atLeast"/>
        <w:rPr>
          <w:i/>
          <w:color w:val="000000" w:themeColor="text1"/>
          <w14:textFill>
            <w14:solidFill>
              <w14:schemeClr w14:val="tx1"/>
            </w14:solidFill>
          </w14:textFill>
        </w:rPr>
      </w:pPr>
      <w:r>
        <w:rPr>
          <w:i/>
          <w:color w:val="000000" w:themeColor="text1"/>
          <w14:textFill>
            <w14:solidFill>
              <w14:schemeClr w14:val="tx1"/>
            </w14:solidFill>
          </w14:textFill>
        </w:rPr>
        <w:t xml:space="preserve">   THIS SOFTWARE IS PROVIDED ON AN "AS IS" BASIS, WITHOUT WARRANTIES OF ANY KIND, EITHER EXPRESS OR IMPLIED, INCLUDING BUT NOT LIMITED TO NON-INFRINGEMENT, MERCHANTABILITY OR FIT FOR A PARTICULAR PURPOSE.  </w:t>
      </w:r>
    </w:p>
    <w:p w14:paraId="4C020FE6">
      <w:pPr>
        <w:widowControl/>
        <w:shd w:val="clear" w:color="auto" w:fill="FFFFFF"/>
        <w:autoSpaceDE/>
        <w:autoSpaceDN/>
        <w:adjustRightInd/>
        <w:spacing w:line="180" w:lineRule="atLeast"/>
        <w:rPr>
          <w:i/>
          <w:color w:val="FF0000"/>
        </w:rPr>
      </w:pPr>
      <w:r>
        <w:rPr>
          <w:i/>
          <w:color w:val="000000" w:themeColor="text1"/>
          <w14:textFill>
            <w14:solidFill>
              <w14:schemeClr w14:val="tx1"/>
            </w14:solidFill>
          </w14:textFill>
        </w:rPr>
        <w:t xml:space="preserve">   See the Mulan PSL v2 for more details.</w:t>
      </w:r>
    </w:p>
    <w:p w14:paraId="0628BD6E">
      <w:pPr>
        <w:widowControl/>
        <w:shd w:val="clear" w:color="auto" w:fill="FFFFFF"/>
        <w:autoSpaceDE/>
        <w:autoSpaceDN/>
        <w:adjustRightInd/>
        <w:spacing w:line="180" w:lineRule="atLeast"/>
        <w:rPr>
          <w:i/>
          <w:color w:val="FF0000"/>
        </w:rPr>
      </w:pPr>
    </w:p>
    <w:p w14:paraId="63F7D464">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14:paraId="359BD958">
      <w:pPr>
        <w:widowControl/>
        <w:shd w:val="clear" w:color="auto" w:fill="FFFFFF"/>
        <w:autoSpaceDE/>
        <w:autoSpaceDN/>
        <w:adjustRightInd/>
        <w:spacing w:line="180" w:lineRule="atLeast"/>
        <w:rPr>
          <w:color w:val="000000" w:themeColor="text1"/>
          <w14:textFill>
            <w14:solidFill>
              <w14:schemeClr w14:val="tx1"/>
            </w14:solidFill>
          </w14:textFill>
        </w:rPr>
      </w:pPr>
      <w:r>
        <w:rPr>
          <w:color w:val="000000" w:themeColor="text1"/>
          <w14:textFill>
            <w14:solidFill>
              <w14:schemeClr w14:val="tx1"/>
            </w14:solidFill>
          </w14:textFill>
        </w:rPr>
        <w:t>To apply the Mulan PSL v2 to your work, for easy identification by recipients, you are suggested to complete following three steps:</w:t>
      </w:r>
    </w:p>
    <w:p w14:paraId="36EDD6B7">
      <w:pPr>
        <w:widowControl/>
        <w:shd w:val="clear" w:color="auto" w:fill="FFFFFF"/>
        <w:autoSpaceDE/>
        <w:autoSpaceDN/>
        <w:adjustRightInd/>
        <w:spacing w:line="180" w:lineRule="atLeast"/>
        <w:rPr>
          <w:color w:val="000000" w:themeColor="text1"/>
          <w14:textFill>
            <w14:solidFill>
              <w14:schemeClr w14:val="tx1"/>
            </w14:solidFill>
          </w14:textFill>
        </w:rPr>
      </w:pPr>
      <w:r>
        <w:rPr>
          <w:color w:val="000000" w:themeColor="text1"/>
          <w14:textFill>
            <w14:solidFill>
              <w14:schemeClr w14:val="tx1"/>
            </w14:solidFill>
          </w14:textFill>
        </w:rPr>
        <w:t xml:space="preserve">      i Fill in the blanks in following statement, including insert your software name, the year of the first publication of your software, and your name identified as the copyright owner; </w:t>
      </w:r>
    </w:p>
    <w:p w14:paraId="5D530AD6">
      <w:pPr>
        <w:widowControl/>
        <w:shd w:val="clear" w:color="auto" w:fill="FFFFFF"/>
        <w:autoSpaceDE/>
        <w:autoSpaceDN/>
        <w:adjustRightInd/>
        <w:spacing w:line="180" w:lineRule="atLeast"/>
        <w:rPr>
          <w:color w:val="000000" w:themeColor="text1"/>
          <w14:textFill>
            <w14:solidFill>
              <w14:schemeClr w14:val="tx1"/>
            </w14:solidFill>
          </w14:textFill>
        </w:rPr>
      </w:pPr>
      <w:r>
        <w:rPr>
          <w:color w:val="000000" w:themeColor="text1"/>
          <w14:textFill>
            <w14:solidFill>
              <w14:schemeClr w14:val="tx1"/>
            </w14:solidFill>
          </w14:textFill>
        </w:rPr>
        <w:t xml:space="preserve">      ii Create a file named “LICENSE” which contains the whole context of this License in the first directory of your software package;</w:t>
      </w:r>
    </w:p>
    <w:p w14:paraId="55D3A435">
      <w:pPr>
        <w:widowControl/>
        <w:shd w:val="clear" w:color="auto" w:fill="FFFFFF"/>
        <w:autoSpaceDE/>
        <w:autoSpaceDN/>
        <w:adjustRightInd/>
        <w:spacing w:line="180" w:lineRule="atLeast"/>
        <w:rPr>
          <w:color w:val="000000" w:themeColor="text1"/>
          <w14:textFill>
            <w14:solidFill>
              <w14:schemeClr w14:val="tx1"/>
            </w14:solidFill>
          </w14:textFill>
        </w:rPr>
      </w:pPr>
      <w:r>
        <w:rPr>
          <w:color w:val="000000" w:themeColor="text1"/>
          <w14:textFill>
            <w14:solidFill>
              <w14:schemeClr w14:val="tx1"/>
            </w14:solidFill>
          </w14:textFill>
        </w:rPr>
        <w:t xml:space="preserve">      iii Attach the statement to the appropriate annotated syntax at the beginning of each source file.</w:t>
      </w:r>
    </w:p>
    <w:p w14:paraId="334F77BF">
      <w:pPr>
        <w:widowControl/>
        <w:shd w:val="clear" w:color="auto" w:fill="FFFFFF"/>
        <w:autoSpaceDE/>
        <w:autoSpaceDN/>
        <w:adjustRightInd/>
        <w:spacing w:line="180" w:lineRule="atLeast"/>
        <w:rPr>
          <w:color w:val="000000" w:themeColor="text1"/>
          <w14:textFill>
            <w14:solidFill>
              <w14:schemeClr w14:val="tx1"/>
            </w14:solidFill>
          </w14:textFill>
        </w:rPr>
      </w:pPr>
    </w:p>
    <w:p w14:paraId="0AB1A2D9">
      <w:pPr>
        <w:widowControl/>
        <w:shd w:val="clear" w:color="auto" w:fill="FFFFFF"/>
        <w:autoSpaceDE/>
        <w:autoSpaceDN/>
        <w:adjustRightInd/>
        <w:spacing w:line="180" w:lineRule="atLeast"/>
        <w:rPr>
          <w:color w:val="000000" w:themeColor="text1"/>
          <w14:textFill>
            <w14:solidFill>
              <w14:schemeClr w14:val="tx1"/>
            </w14:solidFill>
          </w14:textFill>
        </w:rPr>
      </w:pPr>
      <w:r>
        <w:rPr>
          <w:color w:val="000000" w:themeColor="text1"/>
          <w14:textFill>
            <w14:solidFill>
              <w14:schemeClr w14:val="tx1"/>
            </w14:solidFill>
          </w14:textFill>
        </w:rPr>
        <w:t xml:space="preserve">   Copyright (c) [Year] [name of copyright holder]</w:t>
      </w:r>
    </w:p>
    <w:p w14:paraId="5BC104BF">
      <w:pPr>
        <w:widowControl/>
        <w:shd w:val="clear" w:color="auto" w:fill="FFFFFF"/>
        <w:autoSpaceDE/>
        <w:autoSpaceDN/>
        <w:adjustRightInd/>
        <w:spacing w:line="180" w:lineRule="atLeast"/>
        <w:rPr>
          <w:color w:val="000000" w:themeColor="text1"/>
          <w14:textFill>
            <w14:solidFill>
              <w14:schemeClr w14:val="tx1"/>
            </w14:solidFill>
          </w14:textFill>
        </w:rPr>
      </w:pPr>
      <w:r>
        <w:rPr>
          <w:color w:val="000000" w:themeColor="text1"/>
          <w14:textFill>
            <w14:solidFill>
              <w14:schemeClr w14:val="tx1"/>
            </w14:solidFill>
          </w14:textFill>
        </w:rPr>
        <w:t xml:space="preserve">   [Software Name] is licensed under Mulan PSL v2.</w:t>
      </w:r>
    </w:p>
    <w:p w14:paraId="16DFE9C8">
      <w:pPr>
        <w:widowControl/>
        <w:shd w:val="clear" w:color="auto" w:fill="FFFFFF"/>
        <w:autoSpaceDE/>
        <w:autoSpaceDN/>
        <w:adjustRightInd/>
        <w:spacing w:line="180" w:lineRule="atLeast"/>
        <w:rPr>
          <w:color w:val="000000" w:themeColor="text1"/>
          <w14:textFill>
            <w14:solidFill>
              <w14:schemeClr w14:val="tx1"/>
            </w14:solidFill>
          </w14:textFill>
        </w:rPr>
      </w:pPr>
      <w:r>
        <w:rPr>
          <w:color w:val="000000" w:themeColor="text1"/>
          <w14:textFill>
            <w14:solidFill>
              <w14:schemeClr w14:val="tx1"/>
            </w14:solidFill>
          </w14:textFill>
        </w:rPr>
        <w:t xml:space="preserve">   You can use this software according to the terms and conditions of the Mulan PSL v2. </w:t>
      </w:r>
    </w:p>
    <w:p w14:paraId="271861B1">
      <w:pPr>
        <w:widowControl/>
        <w:shd w:val="clear" w:color="auto" w:fill="FFFFFF"/>
        <w:autoSpaceDE/>
        <w:autoSpaceDN/>
        <w:adjustRightInd/>
        <w:spacing w:line="180" w:lineRule="atLeast"/>
        <w:rPr>
          <w:color w:val="000000" w:themeColor="text1"/>
          <w14:textFill>
            <w14:solidFill>
              <w14:schemeClr w14:val="tx1"/>
            </w14:solidFill>
          </w14:textFill>
        </w:rPr>
      </w:pPr>
      <w:r>
        <w:rPr>
          <w:color w:val="000000" w:themeColor="text1"/>
          <w14:textFill>
            <w14:solidFill>
              <w14:schemeClr w14:val="tx1"/>
            </w14:solidFill>
          </w14:textFill>
        </w:rPr>
        <w:t xml:space="preserve">   You may obtain a copy of Mulan PSL v2 at:</w:t>
      </w:r>
    </w:p>
    <w:p w14:paraId="6D689A71">
      <w:pPr>
        <w:widowControl/>
        <w:shd w:val="clear" w:color="auto" w:fill="FFFFFF"/>
        <w:autoSpaceDE/>
        <w:autoSpaceDN/>
        <w:adjustRightInd/>
        <w:spacing w:line="180" w:lineRule="atLeast"/>
        <w:rPr>
          <w:color w:val="000000" w:themeColor="text1"/>
          <w14:textFill>
            <w14:solidFill>
              <w14:schemeClr w14:val="tx1"/>
            </w14:solidFill>
          </w14:textFill>
        </w:rPr>
      </w:pPr>
      <w:r>
        <w:rPr>
          <w:color w:val="000000" w:themeColor="text1"/>
          <w14:textFill>
            <w14:solidFill>
              <w14:schemeClr w14:val="tx1"/>
            </w14:solidFill>
          </w14:textFill>
        </w:rPr>
        <w:t xml:space="preserve">               http://license.coscl.org.cn/MulanPSL2 </w:t>
      </w:r>
    </w:p>
    <w:p w14:paraId="60F9C467">
      <w:pPr>
        <w:widowControl/>
        <w:shd w:val="clear" w:color="auto" w:fill="FFFFFF"/>
        <w:autoSpaceDE/>
        <w:autoSpaceDN/>
        <w:adjustRightInd/>
        <w:spacing w:line="180" w:lineRule="atLeast"/>
        <w:rPr>
          <w:color w:val="000000" w:themeColor="text1"/>
          <w14:textFill>
            <w14:solidFill>
              <w14:schemeClr w14:val="tx1"/>
            </w14:solidFill>
          </w14:textFill>
        </w:rPr>
      </w:pPr>
      <w:r>
        <w:rPr>
          <w:color w:val="000000" w:themeColor="text1"/>
          <w14:textFill>
            <w14:solidFill>
              <w14:schemeClr w14:val="tx1"/>
            </w14:solidFill>
          </w14:textFill>
        </w:rPr>
        <w:t xml:space="preserve">   THIS SOFTWARE IS PROVIDED ON AN "AS IS" BASIS, WITHOUT WARRANTIES OF ANY KIND, EITHER EXPRESS OR IMPLIED, INCLUDING BUT NOT LIMITED TO NON-INFRINGEMENT, MERCHANTABILITY OR FIT FOR A PARTICULAR PURPOSE.  </w:t>
      </w:r>
    </w:p>
    <w:p w14:paraId="68F09E39">
      <w:pPr>
        <w:widowControl/>
        <w:shd w:val="clear" w:color="auto" w:fill="FFFFFF"/>
        <w:autoSpaceDE/>
        <w:autoSpaceDN/>
        <w:adjustRightInd/>
        <w:spacing w:line="180" w:lineRule="atLeast"/>
        <w:rPr>
          <w:i/>
          <w:color w:val="FF0000"/>
        </w:rPr>
      </w:pPr>
      <w:r>
        <w:rPr>
          <w:color w:val="000000" w:themeColor="text1"/>
          <w14:textFill>
            <w14:solidFill>
              <w14:schemeClr w14:val="tx1"/>
            </w14:solidFill>
          </w14:textFill>
        </w:rPr>
        <w:t xml:space="preserve">   See the Mulan PSL v2 for more details.</w:t>
      </w:r>
    </w:p>
    <w:p w14:paraId="71F2E5BE">
      <w:pPr>
        <w:pStyle w:val="30"/>
        <w:rPr>
          <w:rFonts w:hint="eastAsia" w:ascii="微软雅黑" w:hAnsi="微软雅黑" w:eastAsia="微软雅黑"/>
          <w:strike/>
          <w:sz w:val="21"/>
          <w:szCs w:val="21"/>
        </w:rPr>
      </w:pPr>
    </w:p>
    <w:p w14:paraId="0E649F97">
      <w:pPr>
        <w:rPr>
          <w:rFonts w:hint="eastAsia"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14:paraId="163DA0D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14:paraId="28D4578A">
          <w:pPr>
            <w:pStyle w:val="7"/>
          </w:pPr>
        </w:p>
      </w:tc>
      <w:tc>
        <w:tcPr>
          <w:tcW w:w="1714" w:type="pct"/>
        </w:tcPr>
        <w:p w14:paraId="752F0539">
          <w:pPr>
            <w:pStyle w:val="7"/>
          </w:pPr>
        </w:p>
      </w:tc>
      <w:tc>
        <w:tcPr>
          <w:tcW w:w="1527" w:type="pct"/>
        </w:tcPr>
        <w:p w14:paraId="27E84F79">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14:paraId="5550F1D6">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3C895">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FFB44">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75889">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2BFDF">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6"/>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10098"/>
    <w:rsid w:val="00124022"/>
    <w:rsid w:val="00170509"/>
    <w:rsid w:val="00192D5A"/>
    <w:rsid w:val="001F35A2"/>
    <w:rsid w:val="00233490"/>
    <w:rsid w:val="00287734"/>
    <w:rsid w:val="002B3ECF"/>
    <w:rsid w:val="0030019E"/>
    <w:rsid w:val="003013C2"/>
    <w:rsid w:val="00370FF8"/>
    <w:rsid w:val="003A3FBE"/>
    <w:rsid w:val="00445C39"/>
    <w:rsid w:val="00572E1D"/>
    <w:rsid w:val="005971FC"/>
    <w:rsid w:val="005E18E0"/>
    <w:rsid w:val="005E3EF4"/>
    <w:rsid w:val="00601BD2"/>
    <w:rsid w:val="00632FEB"/>
    <w:rsid w:val="006702DD"/>
    <w:rsid w:val="006E29E9"/>
    <w:rsid w:val="00720500"/>
    <w:rsid w:val="0077273E"/>
    <w:rsid w:val="00773996"/>
    <w:rsid w:val="00791F1E"/>
    <w:rsid w:val="00865CDC"/>
    <w:rsid w:val="00895D53"/>
    <w:rsid w:val="008E6FA4"/>
    <w:rsid w:val="008F5A17"/>
    <w:rsid w:val="009573F7"/>
    <w:rsid w:val="009E4381"/>
    <w:rsid w:val="00A15BB8"/>
    <w:rsid w:val="00A746DF"/>
    <w:rsid w:val="00AC559A"/>
    <w:rsid w:val="00AF1EFB"/>
    <w:rsid w:val="00BC1C10"/>
    <w:rsid w:val="00BF2C60"/>
    <w:rsid w:val="00C45EC9"/>
    <w:rsid w:val="00CC2494"/>
    <w:rsid w:val="00D13FCC"/>
    <w:rsid w:val="00D514CF"/>
    <w:rsid w:val="00D75644"/>
    <w:rsid w:val="00DC545D"/>
    <w:rsid w:val="00E03BD4"/>
    <w:rsid w:val="00F557D5"/>
    <w:rsid w:val="00FB2E6A"/>
    <w:rsid w:val="011266DD"/>
    <w:rsid w:val="39E01200"/>
    <w:rsid w:val="548D462B"/>
    <w:rsid w:val="5D6E340D"/>
    <w:rsid w:val="6A591C0A"/>
    <w:rsid w:val="7ABE7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unhideWhenUsed/>
    <w:qFormat/>
    <w:uiPriority w:val="0"/>
  </w:style>
  <w:style w:type="paragraph" w:styleId="6">
    <w:name w:val="Balloon Text"/>
    <w:basedOn w:val="1"/>
    <w:link w:val="29"/>
    <w:qFormat/>
    <w:uiPriority w:val="0"/>
    <w:pPr>
      <w:spacing w:line="240" w:lineRule="auto"/>
    </w:pPr>
    <w:rPr>
      <w:sz w:val="18"/>
      <w:szCs w:val="18"/>
    </w:rPr>
  </w:style>
  <w:style w:type="paragraph" w:styleId="7">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Title"/>
    <w:basedOn w:val="1"/>
    <w:next w:val="1"/>
    <w:link w:val="31"/>
    <w:qFormat/>
    <w:uiPriority w:val="0"/>
    <w:pPr>
      <w:spacing w:before="240" w:after="60"/>
      <w:jc w:val="center"/>
      <w:outlineLvl w:val="0"/>
    </w:pPr>
    <w:rPr>
      <w:rFonts w:ascii="Cambria" w:hAnsi="Cambria"/>
      <w:b/>
      <w:bCs/>
      <w:sz w:val="32"/>
      <w:szCs w:val="32"/>
    </w:rPr>
  </w:style>
  <w:style w:type="paragraph" w:styleId="10">
    <w:name w:val="annotation subject"/>
    <w:basedOn w:val="5"/>
    <w:next w:val="5"/>
    <w:link w:val="34"/>
    <w:semiHidden/>
    <w:unhideWhenUsed/>
    <w:qFormat/>
    <w:uiPriority w:val="0"/>
    <w:rPr>
      <w:b/>
      <w:bCs/>
    </w:rPr>
  </w:style>
  <w:style w:type="table" w:styleId="12">
    <w:name w:val="Table Grid"/>
    <w:basedOn w:val="11"/>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styleId="15">
    <w:name w:val="annotation reference"/>
    <w:basedOn w:val="13"/>
    <w:semiHidden/>
    <w:unhideWhenUsed/>
    <w:qFormat/>
    <w:uiPriority w:val="0"/>
    <w:rPr>
      <w:sz w:val="21"/>
      <w:szCs w:val="21"/>
    </w:rPr>
  </w:style>
  <w:style w:type="paragraph" w:customStyle="1" w:styleId="16">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7">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8">
    <w:name w:val="表头文本"/>
    <w:qFormat/>
    <w:uiPriority w:val="0"/>
    <w:pPr>
      <w:jc w:val="center"/>
    </w:pPr>
    <w:rPr>
      <w:rFonts w:ascii="Arial" w:hAnsi="Arial" w:eastAsia="宋体" w:cs="Times New Roman"/>
      <w:b/>
      <w:sz w:val="21"/>
      <w:szCs w:val="21"/>
      <w:lang w:val="en-US" w:eastAsia="zh-CN" w:bidi="ar-SA"/>
    </w:rPr>
  </w:style>
  <w:style w:type="table" w:customStyle="1" w:styleId="19">
    <w:name w:val="表样式"/>
    <w:basedOn w:val="11"/>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0">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1">
    <w:name w:val="图样式"/>
    <w:basedOn w:val="1"/>
    <w:qFormat/>
    <w:uiPriority w:val="0"/>
    <w:pPr>
      <w:keepNext/>
      <w:widowControl/>
      <w:spacing w:before="80" w:after="80"/>
      <w:jc w:val="center"/>
    </w:pPr>
  </w:style>
  <w:style w:type="paragraph" w:customStyle="1" w:styleId="22">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3">
    <w:name w:val="正文（首行不缩进）"/>
    <w:basedOn w:val="1"/>
    <w:qFormat/>
    <w:uiPriority w:val="0"/>
  </w:style>
  <w:style w:type="paragraph" w:customStyle="1" w:styleId="24">
    <w:name w:val="注示头"/>
    <w:basedOn w:val="1"/>
    <w:qFormat/>
    <w:uiPriority w:val="0"/>
    <w:pPr>
      <w:pBdr>
        <w:top w:val="single" w:color="000000" w:sz="4" w:space="1"/>
      </w:pBdr>
      <w:jc w:val="both"/>
    </w:pPr>
    <w:rPr>
      <w:rFonts w:ascii="Arial" w:hAnsi="Arial" w:eastAsia="黑体"/>
      <w:sz w:val="18"/>
    </w:rPr>
  </w:style>
  <w:style w:type="paragraph" w:customStyle="1" w:styleId="25">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26">
    <w:name w:val="编写建议"/>
    <w:basedOn w:val="1"/>
    <w:qFormat/>
    <w:uiPriority w:val="0"/>
    <w:pPr>
      <w:ind w:firstLine="420"/>
    </w:pPr>
    <w:rPr>
      <w:rFonts w:ascii="Arial" w:hAnsi="Arial" w:cs="Arial"/>
      <w:i/>
      <w:color w:val="0000FF"/>
    </w:rPr>
  </w:style>
  <w:style w:type="character" w:customStyle="1" w:styleId="27">
    <w:name w:val="样式一"/>
    <w:basedOn w:val="13"/>
    <w:qFormat/>
    <w:uiPriority w:val="0"/>
    <w:rPr>
      <w:rFonts w:ascii="宋体" w:hAnsi="宋体"/>
      <w:b/>
      <w:bCs/>
      <w:color w:val="000000"/>
      <w:sz w:val="36"/>
    </w:rPr>
  </w:style>
  <w:style w:type="character" w:customStyle="1" w:styleId="28">
    <w:name w:val="样式二"/>
    <w:basedOn w:val="27"/>
    <w:qFormat/>
    <w:uiPriority w:val="0"/>
    <w:rPr>
      <w:rFonts w:ascii="宋体" w:hAnsi="宋体"/>
      <w:color w:val="000000"/>
      <w:sz w:val="36"/>
    </w:rPr>
  </w:style>
  <w:style w:type="character" w:customStyle="1" w:styleId="29">
    <w:name w:val="批注框文本 字符"/>
    <w:basedOn w:val="13"/>
    <w:link w:val="6"/>
    <w:qFormat/>
    <w:uiPriority w:val="0"/>
    <w:rPr>
      <w:snapToGrid w:val="0"/>
      <w:sz w:val="18"/>
      <w:szCs w:val="18"/>
    </w:rPr>
  </w:style>
  <w:style w:type="paragraph" w:customStyle="1" w:styleId="3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1">
    <w:name w:val="标题 字符"/>
    <w:basedOn w:val="13"/>
    <w:link w:val="9"/>
    <w:qFormat/>
    <w:uiPriority w:val="0"/>
    <w:rPr>
      <w:rFonts w:ascii="Cambria" w:hAnsi="Cambria"/>
      <w:b/>
      <w:bCs/>
      <w:snapToGrid w:val="0"/>
      <w:sz w:val="32"/>
      <w:szCs w:val="32"/>
    </w:rPr>
  </w:style>
  <w:style w:type="paragraph" w:styleId="32">
    <w:name w:val="List Paragraph"/>
    <w:basedOn w:val="1"/>
    <w:qFormat/>
    <w:uiPriority w:val="34"/>
    <w:pPr>
      <w:ind w:firstLine="420" w:firstLineChars="200"/>
    </w:pPr>
  </w:style>
  <w:style w:type="character" w:customStyle="1" w:styleId="33">
    <w:name w:val="批注文字 字符"/>
    <w:basedOn w:val="13"/>
    <w:link w:val="5"/>
    <w:semiHidden/>
    <w:qFormat/>
    <w:uiPriority w:val="0"/>
    <w:rPr>
      <w:snapToGrid w:val="0"/>
      <w:sz w:val="21"/>
      <w:szCs w:val="21"/>
    </w:rPr>
  </w:style>
  <w:style w:type="character" w:customStyle="1" w:styleId="34">
    <w:name w:val="批注主题 字符"/>
    <w:basedOn w:val="33"/>
    <w:link w:val="10"/>
    <w:semiHidden/>
    <w:qFormat/>
    <w:uiPriority w:val="0"/>
    <w:rPr>
      <w:b/>
      <w:bCs/>
      <w:snapToGrid w:val="0"/>
      <w:sz w:val="21"/>
      <w:szCs w:val="21"/>
    </w:rPr>
  </w:style>
  <w:style w:type="character" w:customStyle="1" w:styleId="35">
    <w:name w:val="Unresolved Mention"/>
    <w:basedOn w:val="13"/>
    <w:semiHidden/>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C331A-AE2B-264C-A1D3-09988006D9C3}">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5</Pages>
  <Words>1239</Words>
  <Characters>6683</Characters>
  <Lines>58</Lines>
  <Paragraphs>16</Paragraphs>
  <TotalTime>36</TotalTime>
  <ScaleCrop>false</ScaleCrop>
  <LinksUpToDate>false</LinksUpToDate>
  <CharactersWithSpaces>8009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2024-06-04T10:53:00Z</dcterms:created>
  <dc:creator>Caidan (Daniel)</dc:creator>
  <cp:lastModifiedBy>杨宗伟</cp:lastModifiedBy>
  <dcterms:modified xsi:type="dcterms:W3CDTF">2025-08-05T06:36:59Z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TemplateDocerSaveRecord">
    <vt:lpwstr>eyJoZGlkIjoiZGUzZDhiMzYxMmVlYzRhMGJkZDdmYzY0YmRiMmViNmUiLCJ1c2VySWQiOiI3NDc5MDUyNTEifQ==</vt:lpwstr>
  </property>
  <property fmtid="{D5CDD505-2E9C-101B-9397-08002B2CF9AE}" pid="10" name="KSOProductBuildVer">
    <vt:lpwstr>2052-12.1.0.22215</vt:lpwstr>
  </property>
  <property fmtid="{D5CDD505-2E9C-101B-9397-08002B2CF9AE}" pid="11" name="ICV">
    <vt:lpwstr>C9FA498940D242D0AB3074B17A145300_13</vt:lpwstr>
  </property>
</Properties>
</file>