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822C" w14:textId="3AE0EEEC" w:rsidR="00281154" w:rsidRPr="00281154" w:rsidRDefault="00281154" w:rsidP="00281154">
      <w:pPr>
        <w:pStyle w:val="2"/>
        <w:snapToGrid w:val="0"/>
        <w:spacing w:before="100" w:beforeAutospacing="1" w:after="100" w:afterAutospacing="1"/>
        <w:ind w:firstLine="800"/>
        <w:contextualSpacing/>
        <w:jc w:val="center"/>
        <w:rPr>
          <w:rFonts w:ascii="微软雅黑" w:eastAsia="微软雅黑" w:hAnsi="微软雅黑" w:hint="eastAsia"/>
          <w:color w:val="auto"/>
        </w:rPr>
      </w:pPr>
      <w:bookmarkStart w:id="0" w:name="_Toc120349370"/>
      <w:bookmarkStart w:id="1" w:name="_Toc191372480"/>
      <w:r w:rsidRPr="00281154">
        <w:rPr>
          <w:rFonts w:ascii="微软雅黑" w:eastAsia="微软雅黑" w:hAnsi="微软雅黑" w:hint="eastAsia"/>
          <w:color w:val="auto"/>
        </w:rPr>
        <w:t>运维及售后服务</w:t>
      </w:r>
      <w:bookmarkEnd w:id="0"/>
      <w:bookmarkEnd w:id="1"/>
      <w:r>
        <w:rPr>
          <w:rFonts w:ascii="微软雅黑" w:eastAsia="微软雅黑" w:hAnsi="微软雅黑" w:hint="eastAsia"/>
          <w:color w:val="auto"/>
        </w:rPr>
        <w:t>说明</w:t>
      </w:r>
    </w:p>
    <w:p w14:paraId="3CBBD110" w14:textId="77777777" w:rsidR="00281154" w:rsidRPr="00281154" w:rsidRDefault="00281154" w:rsidP="00281154">
      <w:pPr>
        <w:pStyle w:val="3"/>
        <w:snapToGrid w:val="0"/>
        <w:spacing w:before="100" w:beforeAutospacing="1" w:after="100" w:afterAutospacing="1"/>
        <w:ind w:firstLine="640"/>
        <w:contextualSpacing/>
        <w:rPr>
          <w:rFonts w:ascii="微软雅黑" w:eastAsia="微软雅黑" w:hAnsi="微软雅黑" w:hint="eastAsia"/>
          <w:color w:val="auto"/>
        </w:rPr>
      </w:pPr>
      <w:bookmarkStart w:id="2" w:name="_Toc120349371"/>
      <w:bookmarkStart w:id="3" w:name="_Toc191372481"/>
      <w:r w:rsidRPr="00281154">
        <w:rPr>
          <w:rFonts w:ascii="微软雅黑" w:eastAsia="微软雅黑" w:hAnsi="微软雅黑" w:hint="eastAsia"/>
          <w:color w:val="auto"/>
        </w:rPr>
        <w:t>运维及售后服务内容</w:t>
      </w:r>
      <w:bookmarkEnd w:id="2"/>
      <w:bookmarkEnd w:id="3"/>
    </w:p>
    <w:p w14:paraId="0C502F0D" w14:textId="60D5860C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  <w:kern w:val="2"/>
          <w:szCs w:val="22"/>
        </w:rPr>
      </w:pPr>
      <w:r w:rsidRPr="00281154">
        <w:rPr>
          <w:rFonts w:ascii="微软雅黑" w:hAnsi="微软雅黑" w:hint="eastAsia"/>
          <w:kern w:val="2"/>
          <w:szCs w:val="22"/>
        </w:rPr>
        <w:t>S</w:t>
      </w:r>
      <w:r w:rsidRPr="00281154">
        <w:rPr>
          <w:rFonts w:ascii="微软雅黑" w:hAnsi="微软雅黑"/>
          <w:kern w:val="2"/>
          <w:szCs w:val="22"/>
        </w:rPr>
        <w:t>parkPack 企业ERP</w:t>
      </w:r>
      <w:r w:rsidRPr="00281154">
        <w:rPr>
          <w:rFonts w:ascii="微软雅黑" w:hAnsi="微软雅黑" w:hint="eastAsia"/>
          <w:kern w:val="2"/>
          <w:szCs w:val="22"/>
        </w:rPr>
        <w:t>是以S</w:t>
      </w:r>
      <w:r w:rsidRPr="00281154">
        <w:rPr>
          <w:rFonts w:ascii="微软雅黑" w:hAnsi="微软雅黑"/>
          <w:kern w:val="2"/>
          <w:szCs w:val="22"/>
        </w:rPr>
        <w:t>aaS</w:t>
      </w:r>
      <w:r w:rsidRPr="00281154">
        <w:rPr>
          <w:rFonts w:ascii="微软雅黑" w:hAnsi="微软雅黑" w:hint="eastAsia"/>
          <w:kern w:val="2"/>
          <w:szCs w:val="22"/>
        </w:rPr>
        <w:t>模式提供服务，运维责任主体是</w:t>
      </w:r>
      <w:r>
        <w:rPr>
          <w:rFonts w:ascii="微软雅黑" w:hAnsi="微软雅黑" w:hint="eastAsia"/>
          <w:b/>
          <w:kern w:val="2"/>
          <w:szCs w:val="22"/>
          <w:highlight w:val="yellow"/>
        </w:rPr>
        <w:t>优德普</w:t>
      </w:r>
      <w:r w:rsidRPr="00281154">
        <w:rPr>
          <w:rFonts w:ascii="微软雅黑" w:hAnsi="微软雅黑" w:hint="eastAsia"/>
          <w:kern w:val="2"/>
          <w:szCs w:val="22"/>
        </w:rPr>
        <w:t>，服务内容如下：</w:t>
      </w:r>
      <w:r w:rsidRPr="00281154">
        <w:rPr>
          <w:rFonts w:ascii="微软雅黑" w:hAnsi="微软雅黑"/>
          <w:kern w:val="2"/>
          <w:szCs w:val="22"/>
        </w:rPr>
        <w:t xml:space="preserve"> 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2689"/>
        <w:gridCol w:w="2835"/>
        <w:gridCol w:w="2835"/>
      </w:tblGrid>
      <w:tr w:rsidR="00281154" w:rsidRPr="00281154" w14:paraId="543DBFB7" w14:textId="77777777" w:rsidTr="00505256">
        <w:trPr>
          <w:trHeight w:val="300"/>
        </w:trPr>
        <w:tc>
          <w:tcPr>
            <w:tcW w:w="2689" w:type="dxa"/>
            <w:shd w:val="clear" w:color="auto" w:fill="D9D9D9" w:themeFill="background1" w:themeFillShade="D9"/>
          </w:tcPr>
          <w:p w14:paraId="7B29D033" w14:textId="4FE709D5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cs="宋体" w:hint="eastAsia"/>
                <w:b/>
                <w:bCs/>
                <w:highlight w:val="yellow"/>
              </w:rPr>
            </w:pPr>
            <w:r w:rsidRPr="00281154">
              <w:rPr>
                <w:rFonts w:ascii="微软雅黑" w:hAnsi="微软雅黑" w:cs="宋体" w:hint="eastAsia"/>
                <w:b/>
                <w:bCs/>
                <w:highlight w:val="yellow"/>
              </w:rPr>
              <w:t>基础</w:t>
            </w:r>
            <w:r w:rsidR="00F86B98">
              <w:rPr>
                <w:rFonts w:ascii="微软雅黑" w:hAnsi="微软雅黑" w:cs="宋体" w:hint="eastAsia"/>
                <w:b/>
                <w:bCs/>
                <w:highlight w:val="yellow"/>
              </w:rPr>
              <w:t>版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</w:tcPr>
          <w:p w14:paraId="0E252380" w14:textId="4064DFE0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cs="宋体" w:hint="eastAsia"/>
                <w:b/>
                <w:bCs/>
                <w:highlight w:val="yellow"/>
              </w:rPr>
            </w:pPr>
            <w:r w:rsidRPr="00281154">
              <w:rPr>
                <w:rFonts w:ascii="微软雅黑" w:hAnsi="微软雅黑" w:cs="宋体" w:hint="eastAsia"/>
                <w:b/>
                <w:bCs/>
                <w:highlight w:val="yellow"/>
              </w:rPr>
              <w:t>标准</w:t>
            </w:r>
            <w:r w:rsidR="00F86B98">
              <w:rPr>
                <w:rFonts w:ascii="微软雅黑" w:hAnsi="微软雅黑" w:cs="宋体" w:hint="eastAsia"/>
                <w:b/>
                <w:bCs/>
                <w:highlight w:val="yellow"/>
              </w:rPr>
              <w:t>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1CF996D" w14:textId="6185CECD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cs="宋体" w:hint="eastAsia"/>
                <w:b/>
                <w:bCs/>
                <w:highlight w:val="yellow"/>
              </w:rPr>
            </w:pPr>
            <w:r w:rsidRPr="00281154">
              <w:rPr>
                <w:rFonts w:ascii="微软雅黑" w:hAnsi="微软雅黑" w:cs="宋体" w:hint="eastAsia"/>
                <w:b/>
                <w:bCs/>
                <w:highlight w:val="yellow"/>
              </w:rPr>
              <w:t>商业</w:t>
            </w:r>
            <w:r w:rsidR="00F86B98">
              <w:rPr>
                <w:rFonts w:ascii="微软雅黑" w:hAnsi="微软雅黑" w:cs="宋体" w:hint="eastAsia"/>
                <w:b/>
                <w:bCs/>
                <w:highlight w:val="yellow"/>
              </w:rPr>
              <w:t>版</w:t>
            </w:r>
          </w:p>
        </w:tc>
      </w:tr>
      <w:tr w:rsidR="00281154" w:rsidRPr="00281154" w14:paraId="6535BDE3" w14:textId="77777777" w:rsidTr="00505256">
        <w:trPr>
          <w:trHeight w:val="300"/>
        </w:trPr>
        <w:tc>
          <w:tcPr>
            <w:tcW w:w="2689" w:type="dxa"/>
          </w:tcPr>
          <w:p w14:paraId="5FF0B68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诊断日常软件系统的技术问题</w:t>
            </w:r>
          </w:p>
        </w:tc>
        <w:tc>
          <w:tcPr>
            <w:tcW w:w="2835" w:type="dxa"/>
            <w:noWrap/>
          </w:tcPr>
          <w:p w14:paraId="309669B3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诊断日常软件系统的技术问题</w:t>
            </w:r>
          </w:p>
        </w:tc>
        <w:tc>
          <w:tcPr>
            <w:tcW w:w="2835" w:type="dxa"/>
          </w:tcPr>
          <w:p w14:paraId="1561D504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诊断日常软件系统的技术问题</w:t>
            </w:r>
          </w:p>
        </w:tc>
      </w:tr>
      <w:tr w:rsidR="00281154" w:rsidRPr="00281154" w14:paraId="62B54199" w14:textId="77777777" w:rsidTr="00505256">
        <w:trPr>
          <w:trHeight w:val="300"/>
        </w:trPr>
        <w:tc>
          <w:tcPr>
            <w:tcW w:w="2689" w:type="dxa"/>
          </w:tcPr>
          <w:p w14:paraId="59C29996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系统报错问题解答</w:t>
            </w:r>
          </w:p>
        </w:tc>
        <w:tc>
          <w:tcPr>
            <w:tcW w:w="2835" w:type="dxa"/>
            <w:noWrap/>
          </w:tcPr>
          <w:p w14:paraId="198AED74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系统报错问题解答</w:t>
            </w:r>
          </w:p>
        </w:tc>
        <w:tc>
          <w:tcPr>
            <w:tcW w:w="2835" w:type="dxa"/>
          </w:tcPr>
          <w:p w14:paraId="01C44C7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系统报错问题解答</w:t>
            </w:r>
          </w:p>
        </w:tc>
      </w:tr>
      <w:tr w:rsidR="00281154" w:rsidRPr="00281154" w14:paraId="2D08267A" w14:textId="77777777" w:rsidTr="00505256">
        <w:trPr>
          <w:trHeight w:val="300"/>
        </w:trPr>
        <w:tc>
          <w:tcPr>
            <w:tcW w:w="2689" w:type="dxa"/>
          </w:tcPr>
          <w:p w14:paraId="5EA26D6A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基本配置服务指导</w:t>
            </w:r>
          </w:p>
        </w:tc>
        <w:tc>
          <w:tcPr>
            <w:tcW w:w="2835" w:type="dxa"/>
            <w:noWrap/>
          </w:tcPr>
          <w:p w14:paraId="184C5C65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基本配置服务指导</w:t>
            </w:r>
          </w:p>
        </w:tc>
        <w:tc>
          <w:tcPr>
            <w:tcW w:w="2835" w:type="dxa"/>
          </w:tcPr>
          <w:p w14:paraId="44813CD9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基本配置服务指导</w:t>
            </w:r>
          </w:p>
        </w:tc>
      </w:tr>
      <w:tr w:rsidR="00281154" w:rsidRPr="00281154" w14:paraId="057B3C76" w14:textId="77777777" w:rsidTr="00505256">
        <w:trPr>
          <w:trHeight w:val="300"/>
        </w:trPr>
        <w:tc>
          <w:tcPr>
            <w:tcW w:w="2689" w:type="dxa"/>
          </w:tcPr>
          <w:p w14:paraId="2CB8E166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系统基本日常维护和使用管理指导</w:t>
            </w:r>
          </w:p>
        </w:tc>
        <w:tc>
          <w:tcPr>
            <w:tcW w:w="2835" w:type="dxa"/>
            <w:noWrap/>
          </w:tcPr>
          <w:p w14:paraId="4BABE00B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系统基本日常维护和使用管理指导</w:t>
            </w:r>
          </w:p>
        </w:tc>
        <w:tc>
          <w:tcPr>
            <w:tcW w:w="2835" w:type="dxa"/>
          </w:tcPr>
          <w:p w14:paraId="1BBEE59B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系统基本日常维护和使用管理指导</w:t>
            </w:r>
          </w:p>
        </w:tc>
      </w:tr>
      <w:tr w:rsidR="00281154" w:rsidRPr="00281154" w14:paraId="79A875EB" w14:textId="77777777" w:rsidTr="00505256">
        <w:trPr>
          <w:trHeight w:val="300"/>
        </w:trPr>
        <w:tc>
          <w:tcPr>
            <w:tcW w:w="2689" w:type="dxa"/>
          </w:tcPr>
          <w:p w14:paraId="63CB237A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协助客户上报软件系统Bug到研发团队并和研发团队联合问题诊断分析、测试、补丁部署等</w:t>
            </w:r>
          </w:p>
        </w:tc>
        <w:tc>
          <w:tcPr>
            <w:tcW w:w="2835" w:type="dxa"/>
            <w:noWrap/>
          </w:tcPr>
          <w:p w14:paraId="031CEA66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协助客户上报软件系统Bug到研发团队并和研发团队联合问题诊断分析、测试、补丁部署等</w:t>
            </w:r>
          </w:p>
        </w:tc>
        <w:tc>
          <w:tcPr>
            <w:tcW w:w="2835" w:type="dxa"/>
          </w:tcPr>
          <w:p w14:paraId="0758EDD3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协助客户上报软件系统Bug到研发团队并和研发团队联合问题诊断分析、测试、补丁部署等</w:t>
            </w:r>
          </w:p>
        </w:tc>
      </w:tr>
      <w:tr w:rsidR="00281154" w:rsidRPr="00281154" w14:paraId="660DD72E" w14:textId="77777777" w:rsidTr="00505256">
        <w:trPr>
          <w:trHeight w:val="300"/>
        </w:trPr>
        <w:tc>
          <w:tcPr>
            <w:tcW w:w="2689" w:type="dxa"/>
          </w:tcPr>
          <w:p w14:paraId="4EC0A708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</w:p>
        </w:tc>
        <w:tc>
          <w:tcPr>
            <w:tcW w:w="2835" w:type="dxa"/>
            <w:noWrap/>
          </w:tcPr>
          <w:p w14:paraId="4FD4B366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产品新功能的解释</w:t>
            </w:r>
          </w:p>
        </w:tc>
        <w:tc>
          <w:tcPr>
            <w:tcW w:w="2835" w:type="dxa"/>
          </w:tcPr>
          <w:p w14:paraId="2DF33390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诊断日常软件系统的技术问题</w:t>
            </w:r>
          </w:p>
        </w:tc>
      </w:tr>
      <w:tr w:rsidR="00281154" w:rsidRPr="00281154" w14:paraId="518C825F" w14:textId="77777777" w:rsidTr="00505256">
        <w:trPr>
          <w:trHeight w:val="300"/>
        </w:trPr>
        <w:tc>
          <w:tcPr>
            <w:tcW w:w="2689" w:type="dxa"/>
          </w:tcPr>
          <w:p w14:paraId="3C04DE92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</w:p>
        </w:tc>
        <w:tc>
          <w:tcPr>
            <w:tcW w:w="2835" w:type="dxa"/>
            <w:noWrap/>
          </w:tcPr>
          <w:p w14:paraId="21DB5F3B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一年一次的客户培训服务，服务内容包括但不限于：</w:t>
            </w:r>
          </w:p>
          <w:p w14:paraId="77E12C4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产品新功能培训；</w:t>
            </w:r>
          </w:p>
          <w:p w14:paraId="146BA0F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IT人员报表开发和数据规则培训；</w:t>
            </w:r>
          </w:p>
          <w:p w14:paraId="000A039D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财务人员的系统财务基础培训；</w:t>
            </w:r>
          </w:p>
          <w:p w14:paraId="1B394B25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系统管理员系统技能培训；</w:t>
            </w:r>
          </w:p>
          <w:p w14:paraId="00048B43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客户专属支持团队支持</w:t>
            </w:r>
          </w:p>
        </w:tc>
        <w:tc>
          <w:tcPr>
            <w:tcW w:w="2835" w:type="dxa"/>
          </w:tcPr>
          <w:p w14:paraId="495F28A9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一年两次的客户培训服务，服务内容包括但不限于：</w:t>
            </w:r>
          </w:p>
          <w:p w14:paraId="62A7B263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产品新功能培训；</w:t>
            </w:r>
          </w:p>
          <w:p w14:paraId="5673633E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IT人员报表开发和数据规则培训；</w:t>
            </w:r>
          </w:p>
          <w:p w14:paraId="23B33537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财务人员的系统财务基础培训；</w:t>
            </w:r>
          </w:p>
          <w:p w14:paraId="2D0D43D7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系统管理员系统技能培训；</w:t>
            </w:r>
          </w:p>
          <w:p w14:paraId="70F0662B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cs="宋体" w:hint="eastAsia"/>
              </w:rPr>
              <w:t>客户专属支持团队支持</w:t>
            </w:r>
          </w:p>
        </w:tc>
      </w:tr>
      <w:tr w:rsidR="00281154" w:rsidRPr="00281154" w14:paraId="4BFF79B5" w14:textId="77777777" w:rsidTr="00505256">
        <w:trPr>
          <w:trHeight w:val="300"/>
        </w:trPr>
        <w:tc>
          <w:tcPr>
            <w:tcW w:w="2689" w:type="dxa"/>
          </w:tcPr>
          <w:p w14:paraId="16724F0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cs="宋体" w:hint="eastAsia"/>
                <w:highlight w:val="yellow"/>
              </w:rPr>
            </w:pPr>
          </w:p>
        </w:tc>
        <w:tc>
          <w:tcPr>
            <w:tcW w:w="2835" w:type="dxa"/>
            <w:noWrap/>
          </w:tcPr>
          <w:p w14:paraId="3A4DA0B2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</w:p>
        </w:tc>
        <w:tc>
          <w:tcPr>
            <w:tcW w:w="2835" w:type="dxa"/>
          </w:tcPr>
          <w:p w14:paraId="4F1AA381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hint="eastAsia"/>
                <w:szCs w:val="22"/>
              </w:rPr>
              <w:t>客户专属客户经理</w:t>
            </w:r>
          </w:p>
        </w:tc>
      </w:tr>
      <w:tr w:rsidR="00281154" w:rsidRPr="00281154" w14:paraId="4802623F" w14:textId="77777777" w:rsidTr="00505256">
        <w:trPr>
          <w:trHeight w:val="300"/>
        </w:trPr>
        <w:tc>
          <w:tcPr>
            <w:tcW w:w="2689" w:type="dxa"/>
          </w:tcPr>
          <w:p w14:paraId="22ECF989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cs="宋体" w:hint="eastAsia"/>
                <w:highlight w:val="yellow"/>
              </w:rPr>
            </w:pPr>
          </w:p>
        </w:tc>
        <w:tc>
          <w:tcPr>
            <w:tcW w:w="2835" w:type="dxa"/>
            <w:noWrap/>
          </w:tcPr>
          <w:p w14:paraId="782DBC02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</w:p>
        </w:tc>
        <w:tc>
          <w:tcPr>
            <w:tcW w:w="2835" w:type="dxa"/>
          </w:tcPr>
          <w:p w14:paraId="0D927E42" w14:textId="77777777" w:rsidR="00281154" w:rsidRPr="00281154" w:rsidRDefault="00281154" w:rsidP="00505256">
            <w:pPr>
              <w:widowControl/>
              <w:autoSpaceDE/>
              <w:autoSpaceDN/>
              <w:adjustRightInd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cs="宋体" w:hint="eastAsia"/>
              </w:rPr>
            </w:pPr>
            <w:r w:rsidRPr="00281154">
              <w:rPr>
                <w:rFonts w:ascii="微软雅黑" w:hAnsi="微软雅黑" w:hint="eastAsia"/>
                <w:szCs w:val="22"/>
              </w:rPr>
              <w:t>年度客户系统问题回顾和系统改进调整规划建议</w:t>
            </w:r>
          </w:p>
        </w:tc>
      </w:tr>
    </w:tbl>
    <w:p w14:paraId="1E7FF48A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420"/>
        <w:contextualSpacing/>
        <w:rPr>
          <w:rFonts w:ascii="微软雅黑" w:hAnsi="微软雅黑" w:hint="eastAsia"/>
          <w:kern w:val="2"/>
          <w:sz w:val="21"/>
          <w:szCs w:val="22"/>
        </w:rPr>
      </w:pPr>
    </w:p>
    <w:p w14:paraId="2DD509F5" w14:textId="77777777" w:rsidR="00281154" w:rsidRPr="00281154" w:rsidRDefault="00281154" w:rsidP="00281154">
      <w:pPr>
        <w:ind w:firstLine="360"/>
        <w:rPr>
          <w:rFonts w:ascii="微软雅黑" w:hAnsi="微软雅黑" w:hint="eastAsia"/>
        </w:rPr>
      </w:pPr>
      <w:r w:rsidRPr="00281154">
        <w:rPr>
          <w:rFonts w:ascii="微软雅黑" w:hAnsi="微软雅黑" w:hint="eastAsia"/>
          <w:b/>
        </w:rPr>
        <w:t>说明：</w:t>
      </w:r>
      <w:r w:rsidRPr="00281154">
        <w:rPr>
          <w:rFonts w:ascii="微软雅黑" w:hAnsi="微软雅黑" w:hint="eastAsia"/>
        </w:rPr>
        <w:t>客户负责租户账户的管理和安全，包括【智能制造云平台】内用户帐号的创建、应用权限分配、用户密码策略和权限控制；负责用户端本地P</w:t>
      </w:r>
      <w:r w:rsidRPr="00281154">
        <w:rPr>
          <w:rFonts w:ascii="微软雅黑" w:hAnsi="微软雅黑"/>
        </w:rPr>
        <w:t>C</w:t>
      </w:r>
      <w:r w:rsidRPr="00281154">
        <w:rPr>
          <w:rFonts w:ascii="微软雅黑" w:hAnsi="微软雅黑" w:hint="eastAsia"/>
        </w:rPr>
        <w:t>和网络问题的处理； 以及负责</w:t>
      </w:r>
      <w:r w:rsidRPr="00281154">
        <w:rPr>
          <w:rFonts w:ascii="微软雅黑" w:hAnsi="微软雅黑"/>
        </w:rPr>
        <w:t xml:space="preserve">Sparkpack </w:t>
      </w:r>
      <w:r w:rsidRPr="00281154">
        <w:rPr>
          <w:rFonts w:ascii="微软雅黑" w:hAnsi="微软雅黑" w:hint="eastAsia"/>
        </w:rPr>
        <w:t>企业E</w:t>
      </w:r>
      <w:r w:rsidRPr="00281154">
        <w:rPr>
          <w:rFonts w:ascii="微软雅黑" w:hAnsi="微软雅黑"/>
        </w:rPr>
        <w:t>RP</w:t>
      </w:r>
      <w:r w:rsidRPr="00281154">
        <w:rPr>
          <w:rFonts w:ascii="微软雅黑" w:hAnsi="微软雅黑" w:hint="eastAsia"/>
        </w:rPr>
        <w:t>日常业务操作。</w:t>
      </w:r>
    </w:p>
    <w:p w14:paraId="60EBBBD7" w14:textId="77777777" w:rsidR="00281154" w:rsidRPr="00281154" w:rsidRDefault="00281154" w:rsidP="00281154">
      <w:pPr>
        <w:pStyle w:val="3"/>
        <w:snapToGrid w:val="0"/>
        <w:spacing w:before="100" w:beforeAutospacing="1" w:after="100" w:afterAutospacing="1"/>
        <w:ind w:firstLine="640"/>
        <w:contextualSpacing/>
        <w:rPr>
          <w:rFonts w:ascii="微软雅黑" w:eastAsia="微软雅黑" w:hAnsi="微软雅黑" w:hint="eastAsia"/>
          <w:color w:val="auto"/>
        </w:rPr>
      </w:pPr>
      <w:bookmarkStart w:id="4" w:name="_Toc120349372"/>
      <w:bookmarkStart w:id="5" w:name="_Toc191372482"/>
      <w:r w:rsidRPr="00281154">
        <w:rPr>
          <w:rFonts w:ascii="微软雅黑" w:eastAsia="微软雅黑" w:hAnsi="微软雅黑" w:hint="eastAsia"/>
          <w:color w:val="auto"/>
        </w:rPr>
        <w:t>售后服务响应S</w:t>
      </w:r>
      <w:r w:rsidRPr="00281154">
        <w:rPr>
          <w:rFonts w:ascii="微软雅黑" w:eastAsia="微软雅黑" w:hAnsi="微软雅黑"/>
          <w:color w:val="auto"/>
        </w:rPr>
        <w:t>LA</w:t>
      </w:r>
      <w:bookmarkEnd w:id="4"/>
      <w:bookmarkEnd w:id="5"/>
    </w:p>
    <w:p w14:paraId="4E921E04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  <w:kern w:val="2"/>
          <w:szCs w:val="22"/>
        </w:rPr>
      </w:pPr>
      <w:r w:rsidRPr="00281154">
        <w:rPr>
          <w:rFonts w:ascii="微软雅黑" w:hAnsi="微软雅黑" w:hint="eastAsia"/>
          <w:kern w:val="2"/>
          <w:szCs w:val="22"/>
        </w:rPr>
        <w:t>基础级运维售后支持服务响应时间如下：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417"/>
      </w:tblGrid>
      <w:tr w:rsidR="00281154" w:rsidRPr="00281154" w14:paraId="24B1F4BF" w14:textId="77777777" w:rsidTr="00505256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6636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客户侧事件级别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7275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定义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3DF01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服务窗口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EDD70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响应时间</w:t>
            </w:r>
          </w:p>
        </w:tc>
      </w:tr>
      <w:tr w:rsidR="00281154" w:rsidRPr="00281154" w14:paraId="24EE4A7B" w14:textId="77777777" w:rsidTr="00505256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BCE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056C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生产系统完全不可用（所有用户均无法访问），或客户核心业务受到严重影响，且无替代方案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D62E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634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2小时</w:t>
            </w:r>
          </w:p>
        </w:tc>
      </w:tr>
      <w:tr w:rsidR="00281154" w:rsidRPr="00281154" w14:paraId="7B01CDF6" w14:textId="77777777" w:rsidTr="00505256">
        <w:trPr>
          <w:trHeight w:val="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B6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3E0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正常业务受到严重影响，或必要的任务无法执行，持续故障会影响整个生产业务流程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57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BC12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8个小时</w:t>
            </w:r>
          </w:p>
        </w:tc>
      </w:tr>
      <w:tr w:rsidR="00281154" w:rsidRPr="00281154" w14:paraId="7FAC7F02" w14:textId="77777777" w:rsidTr="00505256">
        <w:trPr>
          <w:trHeight w:val="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44E4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3级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8F4F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正常业务受到影响，有替代方案或影响轻微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912E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767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/>
                <w:szCs w:val="18"/>
              </w:rPr>
              <w:t>1</w:t>
            </w:r>
            <w:r w:rsidRPr="00281154">
              <w:rPr>
                <w:rFonts w:ascii="微软雅黑" w:hAnsi="微软雅黑" w:hint="eastAsia"/>
                <w:szCs w:val="18"/>
              </w:rPr>
              <w:t>个工作日</w:t>
            </w:r>
          </w:p>
        </w:tc>
      </w:tr>
      <w:tr w:rsidR="00281154" w:rsidRPr="00281154" w14:paraId="3428FFC5" w14:textId="77777777" w:rsidTr="00505256">
        <w:trPr>
          <w:trHeight w:val="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B9F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lastRenderedPageBreak/>
              <w:t>4级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3B0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不是日常必须的操作，或非生产系统问题，不影响到正常业务运行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8B8F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7A4C5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2个工作日</w:t>
            </w:r>
          </w:p>
        </w:tc>
      </w:tr>
    </w:tbl>
    <w:p w14:paraId="23E8F91E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Chars="0" w:firstLine="0"/>
        <w:contextualSpacing/>
        <w:jc w:val="both"/>
        <w:rPr>
          <w:rFonts w:ascii="微软雅黑" w:hAnsi="微软雅黑" w:hint="eastAsia"/>
        </w:rPr>
      </w:pPr>
      <w:bookmarkStart w:id="6" w:name="_Toc120349373"/>
    </w:p>
    <w:p w14:paraId="3BA9B17D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  <w:kern w:val="2"/>
          <w:szCs w:val="22"/>
        </w:rPr>
      </w:pPr>
      <w:r w:rsidRPr="00281154">
        <w:rPr>
          <w:rFonts w:ascii="微软雅黑" w:hAnsi="微软雅黑" w:hint="eastAsia"/>
          <w:kern w:val="2"/>
          <w:szCs w:val="22"/>
        </w:rPr>
        <w:t>标准级运维售后支持服务响应时间如下：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417"/>
      </w:tblGrid>
      <w:tr w:rsidR="00281154" w:rsidRPr="00281154" w14:paraId="0183B141" w14:textId="77777777" w:rsidTr="00505256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EE1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客户侧事件级别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AE7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定义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ECBD9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服务窗口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F26E3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响应时间</w:t>
            </w:r>
          </w:p>
        </w:tc>
      </w:tr>
      <w:tr w:rsidR="00281154" w:rsidRPr="00281154" w14:paraId="2B640F53" w14:textId="77777777" w:rsidTr="00505256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579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B8E7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生产系统完全不可用（所有用户均无法访问），或客户核心业务受到严重影响，且无替代方案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4202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1ED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1小时</w:t>
            </w:r>
          </w:p>
        </w:tc>
      </w:tr>
      <w:tr w:rsidR="00281154" w:rsidRPr="00281154" w14:paraId="281BC2DB" w14:textId="77777777" w:rsidTr="00505256">
        <w:trPr>
          <w:trHeight w:val="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83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F1C5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正常业务受到严重影响，或必要的任务无法执行，持续故障会影响整个生产业务流程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29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A946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4个小时</w:t>
            </w:r>
          </w:p>
        </w:tc>
      </w:tr>
      <w:tr w:rsidR="00281154" w:rsidRPr="00281154" w14:paraId="21B7CACD" w14:textId="77777777" w:rsidTr="00505256">
        <w:trPr>
          <w:trHeight w:val="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611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3级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310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正常业务受到影响，有替代方案或影响轻微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C431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916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/>
                <w:szCs w:val="18"/>
              </w:rPr>
              <w:t>1</w:t>
            </w:r>
            <w:r w:rsidRPr="00281154">
              <w:rPr>
                <w:rFonts w:ascii="微软雅黑" w:hAnsi="微软雅黑" w:hint="eastAsia"/>
                <w:szCs w:val="18"/>
              </w:rPr>
              <w:t>个工作日</w:t>
            </w:r>
          </w:p>
        </w:tc>
      </w:tr>
      <w:tr w:rsidR="00281154" w:rsidRPr="00281154" w14:paraId="48AFD25F" w14:textId="77777777" w:rsidTr="00505256">
        <w:trPr>
          <w:trHeight w:val="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EA9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4级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B81C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不是日常必须的操作，或非生产系统问题，不影响到正常业务运行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E549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F690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2个工作日</w:t>
            </w:r>
          </w:p>
        </w:tc>
      </w:tr>
    </w:tbl>
    <w:p w14:paraId="1C265B1C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Chars="0" w:firstLine="0"/>
        <w:contextualSpacing/>
        <w:jc w:val="both"/>
        <w:rPr>
          <w:rFonts w:ascii="微软雅黑" w:hAnsi="微软雅黑" w:hint="eastAsia"/>
        </w:rPr>
      </w:pPr>
    </w:p>
    <w:p w14:paraId="0681F76C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  <w:kern w:val="2"/>
          <w:szCs w:val="22"/>
        </w:rPr>
      </w:pPr>
      <w:r w:rsidRPr="00281154">
        <w:rPr>
          <w:rFonts w:ascii="微软雅黑" w:hAnsi="微软雅黑" w:hint="eastAsia"/>
          <w:kern w:val="2"/>
          <w:szCs w:val="22"/>
        </w:rPr>
        <w:t>商业级运维售后支持服务响应时间如下：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417"/>
      </w:tblGrid>
      <w:tr w:rsidR="00281154" w:rsidRPr="00281154" w14:paraId="38F10639" w14:textId="77777777" w:rsidTr="00505256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B131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客户侧事件级别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37F2B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定义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24A5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服务窗口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AF4E0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b/>
                <w:szCs w:val="18"/>
              </w:rPr>
            </w:pPr>
            <w:r w:rsidRPr="00281154">
              <w:rPr>
                <w:rFonts w:ascii="微软雅黑" w:hAnsi="微软雅黑" w:hint="eastAsia"/>
                <w:b/>
                <w:szCs w:val="18"/>
              </w:rPr>
              <w:t>响应时间</w:t>
            </w:r>
          </w:p>
        </w:tc>
      </w:tr>
      <w:tr w:rsidR="00281154" w:rsidRPr="00281154" w14:paraId="7A261226" w14:textId="77777777" w:rsidTr="00505256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22D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772E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生产系统完全不可用（所有用户均无法访问），或客户核心业务受到严重影响，且无替代方案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E757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E753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1小时</w:t>
            </w:r>
          </w:p>
        </w:tc>
      </w:tr>
      <w:tr w:rsidR="00281154" w:rsidRPr="00281154" w14:paraId="05D654DD" w14:textId="77777777" w:rsidTr="00505256">
        <w:trPr>
          <w:trHeight w:val="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21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2级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F5739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正常业务受到严重影响，或必要的任务无法执行，持续故障会影响整个生产业务流程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E626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7</w:t>
            </w:r>
            <w:r w:rsidRPr="00281154">
              <w:rPr>
                <w:rFonts w:ascii="微软雅黑" w:hAnsi="微软雅黑"/>
                <w:szCs w:val="18"/>
              </w:rPr>
              <w:t>*24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FB60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4个小时</w:t>
            </w:r>
          </w:p>
        </w:tc>
      </w:tr>
      <w:tr w:rsidR="00281154" w:rsidRPr="00281154" w14:paraId="27845AF6" w14:textId="77777777" w:rsidTr="00505256">
        <w:trPr>
          <w:trHeight w:val="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49A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3级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11E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正常业务受到影响，有替代方案或影响轻微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C054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488F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0.5个工作日</w:t>
            </w:r>
          </w:p>
        </w:tc>
      </w:tr>
      <w:tr w:rsidR="00281154" w:rsidRPr="00281154" w14:paraId="5B4F2305" w14:textId="77777777" w:rsidTr="00505256">
        <w:trPr>
          <w:trHeight w:val="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E03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111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4级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76DF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不是日常必须的操作，或非生产系统问题，不影响到正常业务运行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222E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5</w:t>
            </w:r>
            <w:r w:rsidRPr="00281154">
              <w:rPr>
                <w:rFonts w:ascii="微软雅黑" w:hAnsi="微软雅黑"/>
                <w:szCs w:val="18"/>
              </w:rPr>
              <w:t>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F808" w14:textId="77777777" w:rsidR="00281154" w:rsidRPr="00281154" w:rsidRDefault="00281154" w:rsidP="00505256">
            <w:pPr>
              <w:widowControl/>
              <w:snapToGrid w:val="0"/>
              <w:spacing w:before="100" w:beforeAutospacing="1" w:after="100" w:afterAutospacing="1"/>
              <w:ind w:firstLineChars="0" w:firstLine="0"/>
              <w:contextualSpacing/>
              <w:jc w:val="center"/>
              <w:rPr>
                <w:rFonts w:ascii="微软雅黑" w:hAnsi="微软雅黑" w:hint="eastAsia"/>
                <w:szCs w:val="18"/>
              </w:rPr>
            </w:pPr>
            <w:r w:rsidRPr="00281154">
              <w:rPr>
                <w:rFonts w:ascii="微软雅黑" w:hAnsi="微软雅黑" w:hint="eastAsia"/>
                <w:szCs w:val="18"/>
              </w:rPr>
              <w:t>1个工作日</w:t>
            </w:r>
          </w:p>
        </w:tc>
      </w:tr>
    </w:tbl>
    <w:p w14:paraId="05FF6809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Chars="0" w:firstLine="0"/>
        <w:contextualSpacing/>
        <w:jc w:val="both"/>
        <w:rPr>
          <w:rFonts w:ascii="微软雅黑" w:hAnsi="微软雅黑" w:hint="eastAsia"/>
        </w:rPr>
      </w:pPr>
    </w:p>
    <w:p w14:paraId="3246E65B" w14:textId="77777777" w:rsidR="00281154" w:rsidRPr="00281154" w:rsidRDefault="00281154" w:rsidP="00281154">
      <w:pPr>
        <w:pStyle w:val="3"/>
        <w:snapToGrid w:val="0"/>
        <w:spacing w:before="100" w:beforeAutospacing="1" w:after="100" w:afterAutospacing="1"/>
        <w:ind w:firstLine="640"/>
        <w:contextualSpacing/>
        <w:rPr>
          <w:rFonts w:ascii="微软雅黑" w:eastAsia="微软雅黑" w:hAnsi="微软雅黑" w:hint="eastAsia"/>
          <w:color w:val="auto"/>
        </w:rPr>
      </w:pPr>
      <w:bookmarkStart w:id="7" w:name="_Toc191372483"/>
      <w:r w:rsidRPr="00281154">
        <w:rPr>
          <w:rFonts w:ascii="微软雅黑" w:eastAsia="微软雅黑" w:hAnsi="微软雅黑" w:hint="eastAsia"/>
          <w:color w:val="auto"/>
        </w:rPr>
        <w:t>用户报障途径</w:t>
      </w:r>
      <w:bookmarkEnd w:id="6"/>
      <w:bookmarkEnd w:id="7"/>
    </w:p>
    <w:p w14:paraId="64FFF6AA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</w:rPr>
      </w:pPr>
      <w:r w:rsidRPr="00281154">
        <w:rPr>
          <w:rFonts w:ascii="微软雅黑" w:hAnsi="微软雅黑" w:hint="eastAsia"/>
        </w:rPr>
        <w:t>基础级：邮件/解决方案工作台工单</w:t>
      </w:r>
    </w:p>
    <w:p w14:paraId="4AA6CE25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</w:rPr>
      </w:pPr>
      <w:r w:rsidRPr="00281154">
        <w:rPr>
          <w:rFonts w:ascii="微软雅黑" w:hAnsi="微软雅黑" w:hint="eastAsia"/>
        </w:rPr>
        <w:t>标准级：邮件/解决方案工作台工单</w:t>
      </w:r>
    </w:p>
    <w:p w14:paraId="7C3F3AFA" w14:textId="77777777" w:rsidR="00281154" w:rsidRPr="00281154" w:rsidRDefault="00281154" w:rsidP="00281154">
      <w:pPr>
        <w:snapToGrid w:val="0"/>
        <w:spacing w:before="100" w:beforeAutospacing="1" w:after="100" w:afterAutospacing="1"/>
        <w:ind w:firstLine="360"/>
        <w:contextualSpacing/>
        <w:rPr>
          <w:rFonts w:ascii="微软雅黑" w:hAnsi="微软雅黑" w:hint="eastAsia"/>
        </w:rPr>
      </w:pPr>
      <w:r w:rsidRPr="00281154">
        <w:rPr>
          <w:rFonts w:ascii="微软雅黑" w:hAnsi="微软雅黑" w:hint="eastAsia"/>
        </w:rPr>
        <w:t>商业级：邮件/解决方案工作台工单；客户服务专员。</w:t>
      </w:r>
    </w:p>
    <w:p w14:paraId="08C26316" w14:textId="77777777" w:rsidR="00281154" w:rsidRPr="00281154" w:rsidRDefault="00281154">
      <w:pPr>
        <w:ind w:firstLine="360"/>
        <w:rPr>
          <w:rFonts w:ascii="微软雅黑" w:hAnsi="微软雅黑" w:hint="eastAsia"/>
        </w:rPr>
      </w:pPr>
    </w:p>
    <w:sectPr w:rsidR="00281154" w:rsidRPr="0028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4"/>
    <w:rsid w:val="001945EC"/>
    <w:rsid w:val="00281154"/>
    <w:rsid w:val="002B2230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009C"/>
  <w15:chartTrackingRefBased/>
  <w15:docId w15:val="{7812F798-8C5D-436B-B635-67E2512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54"/>
    <w:pPr>
      <w:widowControl w:val="0"/>
      <w:autoSpaceDE w:val="0"/>
      <w:autoSpaceDN w:val="0"/>
      <w:adjustRightInd w:val="0"/>
      <w:spacing w:after="0" w:line="240" w:lineRule="auto"/>
      <w:ind w:firstLineChars="200" w:firstLine="200"/>
    </w:pPr>
    <w:rPr>
      <w:rFonts w:eastAsia="微软雅黑" w:cs="Times New Roman"/>
      <w:kern w:val="0"/>
      <w:sz w:val="18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28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8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8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281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qFormat/>
    <w:rsid w:val="00281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54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1154"/>
    <w:rPr>
      <w:b/>
      <w:bCs/>
      <w:smallCaps/>
      <w:color w:val="0F4761" w:themeColor="accent1" w:themeShade="BF"/>
      <w:spacing w:val="5"/>
    </w:rPr>
  </w:style>
  <w:style w:type="table" w:customStyle="1" w:styleId="ae">
    <w:name w:val="表样式"/>
    <w:basedOn w:val="a1"/>
    <w:qFormat/>
    <w:rsid w:val="00281154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Zhang</dc:creator>
  <cp:keywords/>
  <dc:description/>
  <cp:lastModifiedBy>Luke Zhang</cp:lastModifiedBy>
  <cp:revision>3</cp:revision>
  <dcterms:created xsi:type="dcterms:W3CDTF">2025-08-18T01:33:00Z</dcterms:created>
  <dcterms:modified xsi:type="dcterms:W3CDTF">2025-08-18T02:09:00Z</dcterms:modified>
</cp:coreProperties>
</file>