
<file path=[Content_Types].xml><?xml version="1.0" encoding="utf-8"?>
<Types xmlns="http://schemas.openxmlformats.org/package/2006/content-types">
  <Default Extension="png" ContentType="image/png"/>
  <Default Extension="wdp" ContentType="image/vnd.ms-photo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DECF43">
      <w:pPr>
        <w:pStyle w:val="12"/>
        <w:rPr>
          <w:rFonts w:hint="eastAsia" w:ascii="微软雅黑" w:hAnsi="微软雅黑" w:eastAsia="微软雅黑"/>
          <w:sz w:val="40"/>
          <w:szCs w:val="40"/>
        </w:rPr>
      </w:pPr>
      <w:bookmarkStart w:id="0" w:name="_GoBack"/>
      <w:bookmarkEnd w:id="0"/>
      <w:r>
        <w:rPr>
          <w:rFonts w:hint="eastAsia" w:ascii="微软雅黑" w:hAnsi="微软雅黑" w:eastAsia="微软雅黑"/>
          <w:sz w:val="40"/>
          <w:szCs w:val="40"/>
        </w:rPr>
        <w:t>矿卡无人驾驶服务指导书</w:t>
      </w:r>
    </w:p>
    <w:p w14:paraId="2D23668E">
      <w:pPr>
        <w:pStyle w:val="3"/>
        <w:numPr>
          <w:ilvl w:val="0"/>
          <w:numId w:val="1"/>
        </w:numPr>
        <w:rPr>
          <w:rFonts w:hint="eastAsia"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无人驾驶智能化配套硬件安装指南</w:t>
      </w:r>
    </w:p>
    <w:p w14:paraId="32DECF61">
      <w:pPr>
        <w:pStyle w:val="4"/>
        <w:numPr>
          <w:ilvl w:val="1"/>
          <w:numId w:val="1"/>
        </w:numPr>
        <w:rPr>
          <w:rFonts w:hint="eastAsia" w:ascii="微软雅黑" w:hAnsi="微软雅黑" w:eastAsia="微软雅黑"/>
          <w:sz w:val="22"/>
          <w:szCs w:val="22"/>
        </w:rPr>
      </w:pPr>
      <w:r>
        <w:rPr>
          <w:rFonts w:ascii="微软雅黑" w:hAnsi="微软雅黑" w:eastAsia="微软雅黑"/>
          <w:sz w:val="22"/>
          <w:szCs w:val="22"/>
        </w:rPr>
        <w:tab/>
      </w:r>
      <w:r>
        <w:rPr>
          <w:rFonts w:ascii="微软雅黑" w:hAnsi="微软雅黑" w:eastAsia="微软雅黑"/>
          <w:sz w:val="22"/>
          <w:szCs w:val="22"/>
        </w:rPr>
        <w:t>控制柜安装</w:t>
      </w:r>
    </w:p>
    <w:p w14:paraId="32DECF62">
      <w:pPr>
        <w:pStyle w:val="5"/>
        <w:rPr>
          <w:rFonts w:hint="eastAsia" w:ascii="微软雅黑" w:hAnsi="微软雅黑" w:eastAsia="微软雅黑"/>
          <w:sz w:val="20"/>
          <w:szCs w:val="21"/>
        </w:rPr>
      </w:pPr>
      <w:r>
        <w:rPr>
          <w:rFonts w:hint="eastAsia" w:ascii="微软雅黑" w:hAnsi="微软雅黑" w:eastAsia="微软雅黑"/>
          <w:sz w:val="20"/>
          <w:szCs w:val="21"/>
        </w:rPr>
        <w:t>机箱内MDC、电源转接盒、散热器、导远</w:t>
      </w:r>
    </w:p>
    <w:p w14:paraId="32DECF64">
      <w:pPr>
        <w:rPr>
          <w:rFonts w:hint="eastAsia" w:ascii="微软雅黑" w:hAnsi="微软雅黑" w:eastAsia="微软雅黑"/>
          <w:sz w:val="20"/>
          <w:szCs w:val="21"/>
        </w:rPr>
      </w:pPr>
      <w:r>
        <w:rPr>
          <w:rFonts w:ascii="微软雅黑" w:hAnsi="微软雅黑" w:eastAsia="微软雅黑"/>
          <w:sz w:val="20"/>
          <w:szCs w:val="21"/>
        </w:rPr>
        <w:drawing>
          <wp:inline distT="0" distB="0" distL="0" distR="0">
            <wp:extent cx="5270500" cy="3270250"/>
            <wp:effectExtent l="0" t="0" r="6350" b="6350"/>
            <wp:docPr id="2943414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341425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85755" cy="327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ECF65">
      <w:pPr>
        <w:pStyle w:val="5"/>
        <w:rPr>
          <w:rFonts w:hint="eastAsia" w:ascii="微软雅黑" w:hAnsi="微软雅黑" w:eastAsia="微软雅黑"/>
          <w:sz w:val="20"/>
          <w:szCs w:val="21"/>
        </w:rPr>
      </w:pPr>
      <w:r>
        <w:rPr>
          <w:rFonts w:hint="eastAsia" w:ascii="微软雅黑" w:hAnsi="微软雅黑" w:eastAsia="微软雅黑"/>
          <w:sz w:val="20"/>
          <w:szCs w:val="21"/>
        </w:rPr>
        <w:t>水冷散热器安装</w:t>
      </w:r>
    </w:p>
    <w:p w14:paraId="32DECF66">
      <w:pPr>
        <w:rPr>
          <w:rFonts w:hint="eastAsia" w:ascii="微软雅黑" w:hAnsi="微软雅黑" w:eastAsia="微软雅黑"/>
          <w:sz w:val="20"/>
          <w:szCs w:val="21"/>
        </w:rPr>
      </w:pPr>
      <w:r>
        <w:rPr>
          <w:rFonts w:ascii="微软雅黑" w:hAnsi="微软雅黑" w:eastAsia="微软雅黑"/>
          <w:sz w:val="20"/>
          <w:szCs w:val="21"/>
        </w:rPr>
        <w:drawing>
          <wp:inline distT="0" distB="0" distL="0" distR="0">
            <wp:extent cx="5274310" cy="3621405"/>
            <wp:effectExtent l="0" t="0" r="2540" b="0"/>
            <wp:docPr id="7291889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188935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2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ECF67">
      <w:pPr>
        <w:pStyle w:val="5"/>
        <w:rPr>
          <w:rFonts w:hint="eastAsia" w:ascii="微软雅黑" w:hAnsi="微软雅黑" w:eastAsia="微软雅黑"/>
          <w:sz w:val="20"/>
          <w:szCs w:val="21"/>
        </w:rPr>
      </w:pPr>
      <w:r>
        <w:rPr>
          <w:rFonts w:hint="eastAsia" w:ascii="微软雅黑" w:hAnsi="微软雅黑" w:eastAsia="微软雅黑"/>
          <w:sz w:val="20"/>
          <w:szCs w:val="21"/>
        </w:rPr>
        <w:t>串口记录仪、NAS、POE电源、交换机、紧急制动的设备安装</w:t>
      </w:r>
    </w:p>
    <w:p w14:paraId="32DECF68">
      <w:pPr>
        <w:rPr>
          <w:rFonts w:hint="eastAsia" w:ascii="微软雅黑" w:hAnsi="微软雅黑" w:eastAsia="微软雅黑"/>
          <w:sz w:val="20"/>
          <w:szCs w:val="21"/>
        </w:rPr>
      </w:pPr>
      <w:r>
        <w:rPr>
          <w:rFonts w:ascii="微软雅黑" w:hAnsi="微软雅黑" w:eastAsia="微软雅黑"/>
          <w:sz w:val="20"/>
          <w:szCs w:val="21"/>
        </w:rPr>
        <w:drawing>
          <wp:inline distT="0" distB="0" distL="0" distR="0">
            <wp:extent cx="5266690" cy="4264660"/>
            <wp:effectExtent l="0" t="0" r="0" b="2540"/>
            <wp:docPr id="12971430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143038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83473" cy="4278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ECF69">
      <w:pPr>
        <w:rPr>
          <w:rFonts w:hint="eastAsia" w:ascii="微软雅黑" w:hAnsi="微软雅黑" w:eastAsia="微软雅黑"/>
          <w:sz w:val="20"/>
          <w:szCs w:val="21"/>
        </w:rPr>
      </w:pPr>
      <w:r>
        <w:rPr>
          <w:rFonts w:ascii="微软雅黑" w:hAnsi="微软雅黑" w:eastAsia="微软雅黑"/>
          <w:sz w:val="20"/>
          <w:szCs w:val="21"/>
        </w:rPr>
        <w:drawing>
          <wp:inline distT="0" distB="0" distL="0" distR="0">
            <wp:extent cx="5274310" cy="2481580"/>
            <wp:effectExtent l="0" t="0" r="2540" b="0"/>
            <wp:docPr id="172261206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612064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ECF6B">
      <w:pPr>
        <w:pStyle w:val="4"/>
        <w:numPr>
          <w:ilvl w:val="1"/>
          <w:numId w:val="1"/>
        </w:numPr>
        <w:rPr>
          <w:rFonts w:ascii="微软雅黑" w:hAnsi="微软雅黑" w:eastAsia="微软雅黑"/>
          <w:sz w:val="22"/>
          <w:szCs w:val="22"/>
        </w:rPr>
      </w:pPr>
      <w:r>
        <w:rPr>
          <w:rFonts w:hint="eastAsia" w:ascii="微软雅黑" w:hAnsi="微软雅黑" w:eastAsia="微软雅黑"/>
          <w:sz w:val="22"/>
          <w:szCs w:val="22"/>
        </w:rPr>
        <w:t>传感器安装</w:t>
      </w:r>
    </w:p>
    <w:p w14:paraId="6282079E">
      <w:pPr>
        <w:rPr>
          <w:rFonts w:hint="eastAsia"/>
        </w:rPr>
      </w:pPr>
      <w:r>
        <w:drawing>
          <wp:inline distT="0" distB="0" distL="0" distR="0">
            <wp:extent cx="5274310" cy="2517775"/>
            <wp:effectExtent l="0" t="0" r="2540" b="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ECF6C">
      <w:pPr>
        <w:rPr>
          <w:rFonts w:hint="eastAsia" w:ascii="微软雅黑" w:hAnsi="微软雅黑" w:eastAsia="微软雅黑"/>
          <w:sz w:val="20"/>
          <w:szCs w:val="21"/>
        </w:rPr>
      </w:pPr>
      <w:r>
        <w:rPr>
          <w:rFonts w:ascii="微软雅黑" w:hAnsi="微软雅黑" w:eastAsia="微软雅黑"/>
          <w:sz w:val="20"/>
          <w:szCs w:val="21"/>
        </w:rPr>
        <w:drawing>
          <wp:inline distT="0" distB="0" distL="0" distR="0">
            <wp:extent cx="5329555" cy="2781935"/>
            <wp:effectExtent l="0" t="0" r="4445" b="0"/>
            <wp:docPr id="16098605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860584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34163" cy="2784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ECF6D">
      <w:pPr>
        <w:rPr>
          <w:rFonts w:hint="eastAsia" w:ascii="微软雅黑" w:hAnsi="微软雅黑" w:eastAsia="微软雅黑"/>
          <w:sz w:val="20"/>
          <w:szCs w:val="21"/>
        </w:rPr>
      </w:pPr>
    </w:p>
    <w:p w14:paraId="32DECF6E">
      <w:pPr>
        <w:pStyle w:val="4"/>
        <w:numPr>
          <w:ilvl w:val="1"/>
          <w:numId w:val="1"/>
        </w:numPr>
        <w:rPr>
          <w:rFonts w:ascii="微软雅黑" w:hAnsi="微软雅黑" w:eastAsia="微软雅黑"/>
          <w:sz w:val="22"/>
          <w:szCs w:val="22"/>
        </w:rPr>
      </w:pPr>
      <w:r>
        <w:rPr>
          <w:rFonts w:hint="eastAsia" w:ascii="微软雅黑" w:hAnsi="微软雅黑" w:eastAsia="微软雅黑"/>
          <w:sz w:val="22"/>
          <w:szCs w:val="22"/>
        </w:rPr>
        <w:t>天线固定</w:t>
      </w:r>
    </w:p>
    <w:p w14:paraId="7D46CE7F">
      <w:pPr>
        <w:rPr>
          <w:rFonts w:hint="eastAsia"/>
        </w:rPr>
      </w:pPr>
      <w:r>
        <w:drawing>
          <wp:inline distT="0" distB="0" distL="0" distR="0">
            <wp:extent cx="5015230" cy="2646045"/>
            <wp:effectExtent l="0" t="0" r="0" b="1905"/>
            <wp:docPr id="11206155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615515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rcRect t="12028" r="19660"/>
                    <a:stretch>
                      <a:fillRect/>
                    </a:stretch>
                  </pic:blipFill>
                  <pic:spPr>
                    <a:xfrm>
                      <a:off x="0" y="0"/>
                      <a:ext cx="5025249" cy="265194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52E94">
      <w:pPr>
        <w:pStyle w:val="4"/>
        <w:numPr>
          <w:ilvl w:val="1"/>
          <w:numId w:val="1"/>
        </w:numPr>
        <w:rPr>
          <w:rFonts w:hint="eastAsia" w:ascii="微软雅黑" w:hAnsi="微软雅黑" w:eastAsia="微软雅黑"/>
          <w:sz w:val="22"/>
          <w:szCs w:val="22"/>
        </w:rPr>
      </w:pPr>
      <w:r>
        <w:rPr>
          <w:rFonts w:hint="eastAsia" w:ascii="微软雅黑" w:hAnsi="微软雅黑" w:eastAsia="微软雅黑"/>
          <w:sz w:val="22"/>
          <w:szCs w:val="22"/>
        </w:rPr>
        <w:t>接线、走线</w:t>
      </w:r>
    </w:p>
    <w:p w14:paraId="37E29989">
      <w:r>
        <w:drawing>
          <wp:inline distT="0" distB="0" distL="0" distR="0">
            <wp:extent cx="5274310" cy="2439035"/>
            <wp:effectExtent l="0" t="0" r="2540" b="0"/>
            <wp:docPr id="154955567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555674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DD83C">
      <w:r>
        <w:drawing>
          <wp:inline distT="0" distB="0" distL="0" distR="0">
            <wp:extent cx="5274310" cy="2573655"/>
            <wp:effectExtent l="0" t="0" r="2540" b="0"/>
            <wp:docPr id="26873784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737843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48968">
      <w:pPr>
        <w:rPr>
          <w:rFonts w:hint="eastAsia"/>
        </w:rPr>
      </w:pPr>
      <w:r>
        <w:drawing>
          <wp:inline distT="0" distB="0" distL="0" distR="0">
            <wp:extent cx="5274310" cy="2393315"/>
            <wp:effectExtent l="0" t="0" r="2540" b="6985"/>
            <wp:docPr id="147547805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478053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ECF6F">
      <w:pPr>
        <w:rPr>
          <w:rFonts w:hint="eastAsia" w:ascii="微软雅黑" w:hAnsi="微软雅黑" w:eastAsia="微软雅黑"/>
          <w:sz w:val="20"/>
          <w:szCs w:val="21"/>
        </w:rPr>
      </w:pPr>
      <w:r>
        <w:rPr>
          <w:rFonts w:hint="eastAsia" w:ascii="微软雅黑" w:hAnsi="微软雅黑" w:eastAsia="微软雅黑"/>
          <w:sz w:val="20"/>
          <w:szCs w:val="21"/>
        </w:rPr>
        <w:t>注意事项：</w:t>
      </w:r>
    </w:p>
    <w:p w14:paraId="32DECF70">
      <w:pPr>
        <w:pStyle w:val="19"/>
        <w:numPr>
          <w:ilvl w:val="0"/>
          <w:numId w:val="2"/>
        </w:numPr>
        <w:ind w:firstLineChars="0"/>
        <w:rPr>
          <w:rFonts w:hint="eastAsia" w:ascii="微软雅黑" w:hAnsi="微软雅黑" w:eastAsia="微软雅黑"/>
          <w:sz w:val="20"/>
          <w:szCs w:val="21"/>
        </w:rPr>
      </w:pPr>
      <w:r>
        <w:rPr>
          <w:rFonts w:hint="eastAsia" w:ascii="微软雅黑" w:hAnsi="微软雅黑" w:eastAsia="微软雅黑"/>
          <w:sz w:val="20"/>
          <w:szCs w:val="21"/>
        </w:rPr>
        <w:t>所有连接线需尽量多用线束带进行固定，避免连接线随着车辆晃动而松动；</w:t>
      </w:r>
    </w:p>
    <w:p w14:paraId="32DECF71">
      <w:pPr>
        <w:pStyle w:val="19"/>
        <w:numPr>
          <w:ilvl w:val="0"/>
          <w:numId w:val="2"/>
        </w:numPr>
        <w:ind w:firstLineChars="0"/>
        <w:rPr>
          <w:rFonts w:hint="eastAsia" w:ascii="微软雅黑" w:hAnsi="微软雅黑" w:eastAsia="微软雅黑"/>
          <w:sz w:val="20"/>
          <w:szCs w:val="21"/>
        </w:rPr>
      </w:pPr>
      <w:r>
        <w:rPr>
          <w:rFonts w:hint="eastAsia" w:ascii="微软雅黑" w:hAnsi="微软雅黑" w:eastAsia="微软雅黑"/>
          <w:sz w:val="20"/>
          <w:szCs w:val="21"/>
        </w:rPr>
        <w:t>连接线避免进行90°的折弯；</w:t>
      </w:r>
    </w:p>
    <w:p w14:paraId="32DECF72">
      <w:pPr>
        <w:pStyle w:val="19"/>
        <w:numPr>
          <w:ilvl w:val="0"/>
          <w:numId w:val="2"/>
        </w:numPr>
        <w:ind w:firstLineChars="0"/>
        <w:rPr>
          <w:rFonts w:hint="eastAsia" w:ascii="微软雅黑" w:hAnsi="微软雅黑" w:eastAsia="微软雅黑"/>
          <w:sz w:val="20"/>
          <w:szCs w:val="21"/>
        </w:rPr>
      </w:pPr>
      <w:r>
        <w:rPr>
          <w:rFonts w:hint="eastAsia" w:ascii="微软雅黑" w:hAnsi="微软雅黑" w:eastAsia="微软雅黑"/>
          <w:sz w:val="20"/>
          <w:szCs w:val="21"/>
        </w:rPr>
        <w:t>所有连接线从线槽走，最后全部由车底线孔进入控制柜；</w:t>
      </w:r>
    </w:p>
    <w:p w14:paraId="32DECF73">
      <w:pPr>
        <w:rPr>
          <w:rFonts w:hint="eastAsia" w:ascii="微软雅黑" w:hAnsi="微软雅黑" w:eastAsia="微软雅黑"/>
          <w:sz w:val="20"/>
          <w:szCs w:val="21"/>
        </w:rPr>
      </w:pPr>
      <w:r>
        <w:rPr>
          <w:rFonts w:ascii="微软雅黑" w:hAnsi="微软雅黑" w:eastAsia="微软雅黑"/>
          <w:sz w:val="20"/>
          <w:szCs w:val="21"/>
        </w:rPr>
        <w:drawing>
          <wp:inline distT="0" distB="0" distL="0" distR="0">
            <wp:extent cx="2464435" cy="1967230"/>
            <wp:effectExtent l="0" t="0" r="0" b="0"/>
            <wp:docPr id="9979884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988453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71814" cy="1973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sz w:val="20"/>
          <w:szCs w:val="21"/>
        </w:rPr>
        <w:t xml:space="preserve"> </w:t>
      </w:r>
      <w:r>
        <w:rPr>
          <w:rFonts w:ascii="微软雅黑" w:hAnsi="微软雅黑" w:eastAsia="微软雅黑"/>
          <w:sz w:val="20"/>
          <w:szCs w:val="21"/>
        </w:rPr>
        <w:drawing>
          <wp:inline distT="0" distB="0" distL="0" distR="0">
            <wp:extent cx="2600960" cy="1969770"/>
            <wp:effectExtent l="0" t="0" r="8890" b="0"/>
            <wp:docPr id="7273938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393865" name="图片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25107" cy="1988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ECF74">
      <w:pPr>
        <w:rPr>
          <w:rFonts w:hint="eastAsia" w:ascii="微软雅黑" w:hAnsi="微软雅黑" w:eastAsia="微软雅黑"/>
          <w:sz w:val="20"/>
          <w:szCs w:val="21"/>
        </w:rPr>
      </w:pPr>
      <w:r>
        <w:rPr>
          <w:rFonts w:ascii="微软雅黑" w:hAnsi="微软雅黑" w:eastAsia="微软雅黑"/>
          <w:sz w:val="20"/>
          <w:szCs w:val="21"/>
        </w:rPr>
        <w:drawing>
          <wp:inline distT="0" distB="0" distL="0" distR="0">
            <wp:extent cx="2487930" cy="1979930"/>
            <wp:effectExtent l="0" t="0" r="7620" b="1270"/>
            <wp:docPr id="667722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72264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06198" cy="1994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sz w:val="20"/>
          <w:szCs w:val="21"/>
        </w:rPr>
        <w:t xml:space="preserve"> </w:t>
      </w:r>
      <w:r>
        <w:rPr>
          <w:rFonts w:ascii="微软雅黑" w:hAnsi="微软雅黑" w:eastAsia="微软雅黑"/>
          <w:sz w:val="20"/>
          <w:szCs w:val="21"/>
        </w:rPr>
        <w:drawing>
          <wp:inline distT="0" distB="0" distL="0" distR="0">
            <wp:extent cx="2566670" cy="1998980"/>
            <wp:effectExtent l="0" t="0" r="5080" b="1270"/>
            <wp:docPr id="13969143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914384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88328" cy="201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ECF75">
      <w:pPr>
        <w:rPr>
          <w:rFonts w:hint="eastAsia" w:ascii="微软雅黑" w:hAnsi="微软雅黑" w:eastAsia="微软雅黑"/>
          <w:sz w:val="20"/>
          <w:szCs w:val="21"/>
        </w:rPr>
      </w:pPr>
    </w:p>
    <w:p w14:paraId="32DECF76">
      <w:pPr>
        <w:pStyle w:val="3"/>
        <w:numPr>
          <w:ilvl w:val="0"/>
          <w:numId w:val="1"/>
        </w:numPr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系统安装、通路检测和智能化硬件调试指南</w:t>
      </w:r>
    </w:p>
    <w:p w14:paraId="5074F6A7">
      <w:pPr>
        <w:pStyle w:val="4"/>
        <w:numPr>
          <w:ilvl w:val="1"/>
          <w:numId w:val="1"/>
        </w:numPr>
        <w:rPr>
          <w:rFonts w:hint="eastAsia" w:ascii="微软雅黑" w:hAnsi="微软雅黑" w:eastAsia="微软雅黑"/>
          <w:sz w:val="22"/>
          <w:szCs w:val="22"/>
        </w:rPr>
      </w:pPr>
      <w:r>
        <w:rPr>
          <w:rFonts w:hint="eastAsia" w:ascii="微软雅黑" w:hAnsi="微软雅黑" w:eastAsia="微软雅黑"/>
          <w:sz w:val="22"/>
          <w:szCs w:val="22"/>
        </w:rPr>
        <w:t>前置检测</w:t>
      </w:r>
    </w:p>
    <w:p w14:paraId="17C7BCD3">
      <w:r>
        <w:drawing>
          <wp:inline distT="0" distB="0" distL="0" distR="0">
            <wp:extent cx="5274310" cy="2745105"/>
            <wp:effectExtent l="0" t="0" r="2540" b="0"/>
            <wp:docPr id="111086363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863638" name="图片 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F3E99">
      <w:pPr>
        <w:rPr>
          <w:rFonts w:hint="eastAsia"/>
        </w:rPr>
      </w:pPr>
      <w:r>
        <w:drawing>
          <wp:inline distT="0" distB="0" distL="0" distR="0">
            <wp:extent cx="5274310" cy="2654935"/>
            <wp:effectExtent l="0" t="0" r="2540" b="0"/>
            <wp:docPr id="4056631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663121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BCC94">
      <w:pPr>
        <w:rPr>
          <w:rFonts w:hint="eastAsia"/>
        </w:rPr>
      </w:pPr>
    </w:p>
    <w:p w14:paraId="32DECF77">
      <w:pPr>
        <w:pStyle w:val="4"/>
        <w:numPr>
          <w:ilvl w:val="1"/>
          <w:numId w:val="1"/>
        </w:numPr>
        <w:rPr>
          <w:rFonts w:hint="eastAsia" w:ascii="微软雅黑" w:hAnsi="微软雅黑" w:eastAsia="微软雅黑"/>
          <w:sz w:val="22"/>
          <w:szCs w:val="22"/>
        </w:rPr>
      </w:pPr>
      <w:r>
        <w:rPr>
          <w:rFonts w:hint="eastAsia" w:ascii="微软雅黑" w:hAnsi="微软雅黑" w:eastAsia="微软雅黑"/>
          <w:sz w:val="22"/>
          <w:szCs w:val="22"/>
        </w:rPr>
        <w:t>CPE调测</w:t>
      </w:r>
    </w:p>
    <w:p w14:paraId="32DECF79">
      <w:pPr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b/>
          <w:bCs/>
          <w:sz w:val="22"/>
        </w:rPr>
        <w:t>调测准备</w:t>
      </w:r>
      <w:r>
        <w:rPr>
          <w:rFonts w:hint="eastAsia" w:ascii="微软雅黑" w:hAnsi="微软雅黑" w:eastAsia="微软雅黑"/>
          <w:sz w:val="22"/>
        </w:rPr>
        <w:t>：数据卡、CPE、笔记本</w:t>
      </w:r>
    </w:p>
    <w:p w14:paraId="32DECF7A">
      <w:pPr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b/>
          <w:bCs/>
          <w:sz w:val="22"/>
        </w:rPr>
        <w:t>调测步骤</w:t>
      </w:r>
      <w:r>
        <w:rPr>
          <w:rFonts w:hint="eastAsia" w:ascii="微软雅黑" w:hAnsi="微软雅黑" w:eastAsia="微软雅黑"/>
          <w:sz w:val="22"/>
        </w:rPr>
        <w:t>：</w:t>
      </w:r>
    </w:p>
    <w:p w14:paraId="32DECF7C">
      <w:pPr>
        <w:pStyle w:val="19"/>
        <w:numPr>
          <w:ilvl w:val="0"/>
          <w:numId w:val="3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 xml:space="preserve">开通数据卡并插入CPE； </w:t>
      </w:r>
    </w:p>
    <w:p w14:paraId="32DECF7D">
      <w:pPr>
        <w:pStyle w:val="19"/>
        <w:numPr>
          <w:ilvl w:val="0"/>
          <w:numId w:val="3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CPE与电脑相互连接；</w:t>
      </w:r>
    </w:p>
    <w:p w14:paraId="32DECF7F">
      <w:pPr>
        <w:pStyle w:val="19"/>
        <w:numPr>
          <w:ilvl w:val="0"/>
          <w:numId w:val="3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根据本地组网要求配置局域网ip及DHCP池</w:t>
      </w:r>
    </w:p>
    <w:p w14:paraId="32DECF85">
      <w:pPr>
        <w:pStyle w:val="19"/>
        <w:numPr>
          <w:ilvl w:val="0"/>
          <w:numId w:val="3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闲事升级、自动升级、更新等按钮可根据现场需求关闭；</w:t>
      </w:r>
    </w:p>
    <w:p w14:paraId="32DECF86">
      <w:pPr>
        <w:pStyle w:val="19"/>
        <w:numPr>
          <w:ilvl w:val="0"/>
          <w:numId w:val="3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通过高级设置→系统→系统设置→开发者选项实现CPE锁频功能</w:t>
      </w:r>
    </w:p>
    <w:p w14:paraId="32DECF88">
      <w:pPr>
        <w:rPr>
          <w:rFonts w:hint="eastAsia" w:ascii="微软雅黑" w:hAnsi="微软雅黑" w:eastAsia="微软雅黑"/>
          <w:sz w:val="20"/>
          <w:szCs w:val="21"/>
        </w:rPr>
      </w:pPr>
      <w:r>
        <w:rPr>
          <w:rFonts w:hint="eastAsia" w:ascii="微软雅黑" w:hAnsi="微软雅黑" w:eastAsia="微软雅黑"/>
          <w:sz w:val="20"/>
          <w:szCs w:val="21"/>
        </w:rPr>
        <w:t>根据项目现场网络网络基站的5G频率实际情况选择</w:t>
      </w:r>
    </w:p>
    <w:p w14:paraId="5A0DD8B8">
      <w:pPr>
        <w:pStyle w:val="4"/>
        <w:numPr>
          <w:ilvl w:val="1"/>
          <w:numId w:val="1"/>
        </w:numPr>
        <w:rPr>
          <w:rFonts w:hint="eastAsia" w:ascii="微软雅黑" w:hAnsi="微软雅黑" w:eastAsia="微软雅黑"/>
          <w:sz w:val="22"/>
          <w:szCs w:val="22"/>
        </w:rPr>
      </w:pPr>
      <w:r>
        <w:rPr>
          <w:rFonts w:hint="eastAsia" w:ascii="微软雅黑" w:hAnsi="微软雅黑" w:eastAsia="微软雅黑"/>
          <w:sz w:val="22"/>
          <w:szCs w:val="22"/>
        </w:rPr>
        <w:t>存储NAS调测</w:t>
      </w:r>
    </w:p>
    <w:p w14:paraId="32DECF8A">
      <w:pPr>
        <w:rPr>
          <w:rFonts w:hint="eastAsia" w:ascii="微软雅黑" w:hAnsi="微软雅黑" w:eastAsia="微软雅黑"/>
          <w:sz w:val="20"/>
          <w:szCs w:val="21"/>
        </w:rPr>
      </w:pPr>
      <w:r>
        <w:rPr>
          <w:rFonts w:hint="eastAsia" w:ascii="微软雅黑" w:hAnsi="微软雅黑" w:eastAsia="微软雅黑"/>
          <w:b/>
          <w:bCs/>
          <w:sz w:val="22"/>
        </w:rPr>
        <w:t>调测准备：</w:t>
      </w:r>
      <w:r>
        <w:rPr>
          <w:rFonts w:hint="eastAsia" w:ascii="微软雅黑" w:hAnsi="微软雅黑" w:eastAsia="微软雅黑"/>
          <w:sz w:val="20"/>
          <w:szCs w:val="21"/>
        </w:rPr>
        <w:t>NAS、电源、笔记本、NAS官网调测软件、防火墙设置允许通过或直接关闭</w:t>
      </w:r>
    </w:p>
    <w:p w14:paraId="32DECF8F">
      <w:pPr>
        <w:rPr>
          <w:rFonts w:hint="eastAsia" w:ascii="微软雅黑" w:hAnsi="微软雅黑" w:eastAsia="微软雅黑"/>
          <w:b/>
          <w:bCs/>
          <w:sz w:val="22"/>
        </w:rPr>
      </w:pPr>
      <w:r>
        <w:rPr>
          <w:rFonts w:hint="eastAsia" w:ascii="微软雅黑" w:hAnsi="微软雅黑" w:eastAsia="微软雅黑"/>
          <w:b/>
          <w:bCs/>
          <w:sz w:val="22"/>
        </w:rPr>
        <w:t>调测步骤：</w:t>
      </w:r>
    </w:p>
    <w:p w14:paraId="32DECF90">
      <w:pPr>
        <w:pStyle w:val="19"/>
        <w:numPr>
          <w:ilvl w:val="0"/>
          <w:numId w:val="4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安装移动硬盘</w:t>
      </w:r>
    </w:p>
    <w:p w14:paraId="32DECF91">
      <w:pPr>
        <w:pStyle w:val="19"/>
        <w:numPr>
          <w:ilvl w:val="0"/>
          <w:numId w:val="4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连接NAS设备网口1连接至电脑</w:t>
      </w:r>
    </w:p>
    <w:p w14:paraId="32DECF94">
      <w:pPr>
        <w:pStyle w:val="19"/>
        <w:numPr>
          <w:ilvl w:val="0"/>
          <w:numId w:val="4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配置电脑网络适配器局域网ip，请勿占用其他设备已使用ip</w:t>
      </w:r>
    </w:p>
    <w:p w14:paraId="32DECF97">
      <w:pPr>
        <w:pStyle w:val="19"/>
        <w:numPr>
          <w:ilvl w:val="0"/>
          <w:numId w:val="4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通过NAS调测软件如Synology Assistant,连接电脑端，配置硬盘网络设置（根据各矿区实际现场组网情况配置）</w:t>
      </w:r>
    </w:p>
    <w:p w14:paraId="32DECF9B">
      <w:pPr>
        <w:pStyle w:val="19"/>
        <w:numPr>
          <w:ilvl w:val="0"/>
          <w:numId w:val="4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进入升级系统，开始升级，升级时长5分钟（升级软件在官网下载对应版本即可）</w:t>
      </w:r>
    </w:p>
    <w:p w14:paraId="32DECFA4">
      <w:pPr>
        <w:pStyle w:val="19"/>
        <w:numPr>
          <w:ilvl w:val="0"/>
          <w:numId w:val="4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双击IP进入网页设置界面，配置账号；</w:t>
      </w:r>
    </w:p>
    <w:p w14:paraId="32DECFAF">
      <w:pPr>
        <w:pStyle w:val="19"/>
        <w:numPr>
          <w:ilvl w:val="0"/>
          <w:numId w:val="4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创建存储池和储存空间，一般需创建2个以上主备储存池，并在2个储存池下对应创建2个储存空间；</w:t>
      </w:r>
    </w:p>
    <w:p w14:paraId="32DECFB7">
      <w:pPr>
        <w:pStyle w:val="19"/>
        <w:numPr>
          <w:ilvl w:val="0"/>
          <w:numId w:val="4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创建存储池对应共享文件夹</w:t>
      </w:r>
    </w:p>
    <w:p w14:paraId="32DECFB9">
      <w:pPr>
        <w:pStyle w:val="19"/>
        <w:numPr>
          <w:ilvl w:val="0"/>
          <w:numId w:val="4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NFS服务设置</w:t>
      </w:r>
    </w:p>
    <w:p w14:paraId="32DECFBC">
      <w:pPr>
        <w:pStyle w:val="19"/>
        <w:numPr>
          <w:ilvl w:val="0"/>
          <w:numId w:val="4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NFS权限设置</w:t>
      </w:r>
    </w:p>
    <w:p w14:paraId="32DECFBD">
      <w:pPr>
        <w:pStyle w:val="19"/>
        <w:numPr>
          <w:ilvl w:val="0"/>
          <w:numId w:val="4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ascii="微软雅黑" w:hAnsi="微软雅黑" w:eastAsia="微软雅黑"/>
          <w:sz w:val="22"/>
        </w:rPr>
        <w:t>NAS配置双网口链路聚合</w:t>
      </w:r>
    </w:p>
    <w:p w14:paraId="1AD9D684">
      <w:pPr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为解决</w:t>
      </w:r>
      <w:r>
        <w:rPr>
          <w:rFonts w:ascii="微软雅黑" w:hAnsi="微软雅黑" w:eastAsia="微软雅黑"/>
          <w:sz w:val="22"/>
        </w:rPr>
        <w:t xml:space="preserve"> NAS 网线松动导致的挂载/传输失败问题，利用NAS的两个LAN口配置链路聚合。具体配置内容在 NAS主页-----控制面板------网络-----网络界面。</w:t>
      </w:r>
    </w:p>
    <w:p w14:paraId="32DECFBE">
      <w:pPr>
        <w:rPr>
          <w:rFonts w:hint="eastAsia" w:ascii="微软雅黑" w:hAnsi="微软雅黑" w:eastAsia="微软雅黑"/>
          <w:sz w:val="22"/>
        </w:rPr>
      </w:pPr>
      <w:r>
        <w:rPr>
          <w:rFonts w:ascii="微软雅黑" w:hAnsi="微软雅黑" w:eastAsia="微软雅黑"/>
          <w:sz w:val="22"/>
        </w:rPr>
        <w:t>配置完成</w:t>
      </w:r>
      <w:r>
        <w:rPr>
          <w:rFonts w:hint="eastAsia" w:ascii="微软雅黑" w:hAnsi="微软雅黑" w:eastAsia="微软雅黑"/>
          <w:sz w:val="22"/>
        </w:rPr>
        <w:t>后</w:t>
      </w:r>
      <w:r>
        <w:rPr>
          <w:rFonts w:ascii="微软雅黑" w:hAnsi="微软雅黑" w:eastAsia="微软雅黑"/>
          <w:sz w:val="22"/>
        </w:rPr>
        <w:t>NAS</w:t>
      </w:r>
      <w:r>
        <w:rPr>
          <w:rFonts w:hint="eastAsia" w:ascii="微软雅黑" w:hAnsi="微软雅黑" w:eastAsia="微软雅黑"/>
          <w:sz w:val="22"/>
        </w:rPr>
        <w:t>才能实现多网线</w:t>
      </w:r>
      <w:r>
        <w:rPr>
          <w:rFonts w:ascii="微软雅黑" w:hAnsi="微软雅黑" w:eastAsia="微软雅黑"/>
          <w:sz w:val="22"/>
        </w:rPr>
        <w:t>连接交换机。</w:t>
      </w:r>
    </w:p>
    <w:p w14:paraId="32DECFC4">
      <w:pPr>
        <w:pStyle w:val="19"/>
        <w:numPr>
          <w:ilvl w:val="0"/>
          <w:numId w:val="4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ascii="微软雅黑" w:hAnsi="微软雅黑" w:eastAsia="微软雅黑"/>
          <w:sz w:val="22"/>
        </w:rPr>
        <w:t>NAS配置异常下电自启动和风扇全速模式</w:t>
      </w:r>
    </w:p>
    <w:p w14:paraId="32DECFC5">
      <w:pPr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当</w:t>
      </w:r>
      <w:r>
        <w:rPr>
          <w:rFonts w:ascii="微软雅黑" w:hAnsi="微软雅黑" w:eastAsia="微软雅黑"/>
          <w:sz w:val="22"/>
        </w:rPr>
        <w:t>NAS电源线松动等导致异常断电后，供电再次恢复后，NAS可自动开机，无需按开机键，具体配置内容在 NAS 主页-----控制面板------硬件和电源，勾选修复电源问题后自动重新启动，勾选风扇模式为全速模式，点击应用。</w:t>
      </w:r>
    </w:p>
    <w:p w14:paraId="32DECFC8">
      <w:pPr>
        <w:pStyle w:val="4"/>
        <w:numPr>
          <w:ilvl w:val="1"/>
          <w:numId w:val="1"/>
        </w:numPr>
        <w:rPr>
          <w:rFonts w:hint="eastAsia" w:ascii="微软雅黑" w:hAnsi="微软雅黑" w:eastAsia="微软雅黑"/>
          <w:sz w:val="22"/>
          <w:szCs w:val="22"/>
        </w:rPr>
      </w:pPr>
      <w:r>
        <w:rPr>
          <w:rFonts w:hint="eastAsia" w:ascii="微软雅黑" w:hAnsi="微软雅黑" w:eastAsia="微软雅黑"/>
          <w:sz w:val="22"/>
          <w:szCs w:val="22"/>
        </w:rPr>
        <w:t>串口记录仪调测</w:t>
      </w:r>
    </w:p>
    <w:p w14:paraId="32DECFC9">
      <w:pPr>
        <w:rPr>
          <w:rFonts w:hint="eastAsia" w:ascii="微软雅黑" w:hAnsi="微软雅黑" w:eastAsia="微软雅黑"/>
          <w:sz w:val="20"/>
          <w:szCs w:val="21"/>
        </w:rPr>
      </w:pPr>
      <w:r>
        <w:rPr>
          <w:rFonts w:hint="eastAsia" w:ascii="微软雅黑" w:hAnsi="微软雅黑" w:eastAsia="微软雅黑"/>
          <w:b/>
          <w:bCs/>
          <w:sz w:val="22"/>
        </w:rPr>
        <w:t>调整准备：</w:t>
      </w:r>
      <w:r>
        <w:rPr>
          <w:rFonts w:hint="eastAsia" w:ascii="微软雅黑" w:hAnsi="微软雅黑" w:eastAsia="微软雅黑"/>
          <w:sz w:val="20"/>
          <w:szCs w:val="21"/>
        </w:rPr>
        <w:t>串口记录仪、调测软件、电脑、配套线束</w:t>
      </w:r>
    </w:p>
    <w:p w14:paraId="32DECFCA">
      <w:pPr>
        <w:rPr>
          <w:rFonts w:hint="eastAsia" w:ascii="微软雅黑" w:hAnsi="微软雅黑" w:eastAsia="微软雅黑"/>
          <w:b/>
          <w:bCs/>
          <w:sz w:val="20"/>
          <w:szCs w:val="21"/>
        </w:rPr>
      </w:pPr>
      <w:r>
        <w:rPr>
          <w:rFonts w:hint="eastAsia" w:ascii="微软雅黑" w:hAnsi="微软雅黑" w:eastAsia="微软雅黑"/>
          <w:b/>
          <w:bCs/>
          <w:sz w:val="20"/>
          <w:szCs w:val="21"/>
        </w:rPr>
        <w:t>一、版本查询</w:t>
      </w:r>
    </w:p>
    <w:p w14:paraId="32DECFCB">
      <w:pPr>
        <w:pStyle w:val="19"/>
        <w:numPr>
          <w:ilvl w:val="0"/>
          <w:numId w:val="5"/>
        </w:numPr>
        <w:ind w:firstLineChars="0"/>
        <w:rPr>
          <w:rFonts w:hint="eastAsia" w:ascii="微软雅黑" w:hAnsi="微软雅黑" w:eastAsia="微软雅黑"/>
          <w:sz w:val="20"/>
          <w:szCs w:val="20"/>
        </w:rPr>
      </w:pPr>
      <w:r>
        <w:rPr>
          <w:rFonts w:hint="eastAsia" w:ascii="微软雅黑" w:hAnsi="微软雅黑" w:eastAsia="微软雅黑"/>
          <w:sz w:val="20"/>
          <w:szCs w:val="20"/>
        </w:rPr>
        <w:t>更新对应串口线驱动为当先最新稳定版本</w:t>
      </w:r>
    </w:p>
    <w:p w14:paraId="32DECFCD">
      <w:pPr>
        <w:pStyle w:val="19"/>
        <w:numPr>
          <w:ilvl w:val="0"/>
          <w:numId w:val="5"/>
        </w:numPr>
        <w:ind w:firstLineChars="0"/>
        <w:jc w:val="left"/>
        <w:rPr>
          <w:rFonts w:hint="eastAsia" w:ascii="微软雅黑" w:hAnsi="微软雅黑" w:eastAsia="微软雅黑"/>
          <w:sz w:val="20"/>
          <w:szCs w:val="20"/>
        </w:rPr>
      </w:pPr>
      <w:r>
        <w:rPr>
          <w:rFonts w:hint="eastAsia" w:ascii="微软雅黑" w:hAnsi="微软雅黑" w:eastAsia="微软雅黑"/>
          <w:sz w:val="20"/>
          <w:szCs w:val="20"/>
        </w:rPr>
        <w:t>在波特率230400码率下，通过串口工具串口查询对应串口的版本号。同时通过拨码盘将串口数据记录仪回传模式打开，时间戳关闭、工作模式调整至230400，</w:t>
      </w:r>
      <w:r>
        <w:rPr>
          <w:rFonts w:ascii="微软雅黑" w:hAnsi="微软雅黑" w:eastAsia="微软雅黑"/>
          <w:sz w:val="20"/>
          <w:szCs w:val="21"/>
        </w:rPr>
        <w:t xml:space="preserve"> </w:t>
      </w:r>
      <w:r>
        <w:rPr>
          <w:rFonts w:ascii="微软雅黑" w:hAnsi="微软雅黑" w:eastAsia="微软雅黑"/>
          <w:sz w:val="20"/>
          <w:szCs w:val="21"/>
        </w:rPr>
        <w:drawing>
          <wp:inline distT="0" distB="0" distL="0" distR="0">
            <wp:extent cx="3953510" cy="1461135"/>
            <wp:effectExtent l="0" t="0" r="0" b="5715"/>
            <wp:docPr id="43716230" name="图片 1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16230" name="图片 1" descr="图形用户界面&#10;&#10;描述已自动生成"/>
                    <pic:cNvPicPr>
                      <a:picLocks noChangeAspect="1"/>
                    </pic:cNvPicPr>
                  </pic:nvPicPr>
                  <pic:blipFill>
                    <a:blip r:embed="rId22"/>
                    <a:srcRect t="15469" b="16785"/>
                    <a:stretch>
                      <a:fillRect/>
                    </a:stretch>
                  </pic:blipFill>
                  <pic:spPr>
                    <a:xfrm>
                      <a:off x="0" y="0"/>
                      <a:ext cx="3986101" cy="147342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ECFCE">
      <w:pPr>
        <w:pStyle w:val="19"/>
        <w:numPr>
          <w:ilvl w:val="0"/>
          <w:numId w:val="5"/>
        </w:numPr>
        <w:ind w:firstLineChars="0"/>
        <w:rPr>
          <w:rFonts w:hint="eastAsia" w:ascii="微软雅黑" w:hAnsi="微软雅黑" w:eastAsia="微软雅黑"/>
          <w:sz w:val="20"/>
          <w:szCs w:val="20"/>
        </w:rPr>
      </w:pPr>
      <w:r>
        <w:rPr>
          <w:rFonts w:hint="eastAsia" w:ascii="微软雅黑" w:hAnsi="微软雅黑" w:eastAsia="微软雅黑"/>
          <w:sz w:val="20"/>
          <w:szCs w:val="20"/>
        </w:rPr>
        <w:t>结束后关闭串口防止该端口被占用导致后续无法升级</w:t>
      </w:r>
    </w:p>
    <w:p w14:paraId="32DECFCF">
      <w:pPr>
        <w:rPr>
          <w:rFonts w:hint="eastAsia" w:ascii="微软雅黑" w:hAnsi="微软雅黑" w:eastAsia="微软雅黑"/>
          <w:b/>
          <w:bCs/>
          <w:sz w:val="22"/>
        </w:rPr>
      </w:pPr>
      <w:r>
        <w:rPr>
          <w:rFonts w:hint="eastAsia" w:ascii="微软雅黑" w:hAnsi="微软雅黑" w:eastAsia="微软雅黑"/>
          <w:b/>
          <w:bCs/>
          <w:sz w:val="22"/>
        </w:rPr>
        <w:t>二、固件升级：</w:t>
      </w:r>
    </w:p>
    <w:p w14:paraId="32DECFD0">
      <w:pPr>
        <w:pStyle w:val="19"/>
        <w:numPr>
          <w:ilvl w:val="0"/>
          <w:numId w:val="6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连接设备；</w:t>
      </w:r>
    </w:p>
    <w:p w14:paraId="32DECFD4">
      <w:pPr>
        <w:pStyle w:val="19"/>
        <w:numPr>
          <w:ilvl w:val="0"/>
          <w:numId w:val="6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在电脑设备管理器中查看端口是否更新，选择要升级的固件版本；</w:t>
      </w:r>
    </w:p>
    <w:p w14:paraId="32DECFD7">
      <w:pPr>
        <w:pStyle w:val="19"/>
        <w:numPr>
          <w:ilvl w:val="0"/>
          <w:numId w:val="6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连接设备，随即断开串口记录仪电源5-10秒后重启，然后点击确认按钮，通过日志输出检查设备是否连接成功。</w:t>
      </w:r>
    </w:p>
    <w:p w14:paraId="32DECFD8">
      <w:pPr>
        <w:pStyle w:val="19"/>
        <w:numPr>
          <w:ilvl w:val="0"/>
          <w:numId w:val="6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重新给设备上电，长按中间的“波特率选择”按钮等到波特率蓝色指示灯闪烁进入设置，短按进行切换，切换到</w:t>
      </w:r>
      <w:r>
        <w:rPr>
          <w:rFonts w:ascii="微软雅黑" w:hAnsi="微软雅黑" w:eastAsia="微软雅黑"/>
          <w:sz w:val="22"/>
        </w:rPr>
        <w:t>230400挡位后长按退出保存，左侧拨码分别调整为回传关闭，时间戳关，工作模式</w:t>
      </w:r>
      <w:r>
        <w:rPr>
          <w:rFonts w:hint="eastAsia" w:ascii="微软雅黑" w:hAnsi="微软雅黑" w:eastAsia="微软雅黑"/>
          <w:sz w:val="22"/>
        </w:rPr>
        <w:t>。</w:t>
      </w:r>
    </w:p>
    <w:p w14:paraId="32DECFDA">
      <w:pPr>
        <w:pStyle w:val="19"/>
        <w:numPr>
          <w:ilvl w:val="0"/>
          <w:numId w:val="6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将数据AB口重新连接，再次查询当前固件版本确实升级完成。</w:t>
      </w:r>
    </w:p>
    <w:p w14:paraId="32DECFDB">
      <w:pPr>
        <w:pStyle w:val="4"/>
        <w:numPr>
          <w:ilvl w:val="1"/>
          <w:numId w:val="1"/>
        </w:numPr>
        <w:rPr>
          <w:rFonts w:hint="eastAsia" w:ascii="微软雅黑" w:hAnsi="微软雅黑" w:eastAsia="微软雅黑"/>
          <w:sz w:val="22"/>
          <w:szCs w:val="22"/>
        </w:rPr>
      </w:pPr>
      <w:r>
        <w:rPr>
          <w:rFonts w:hint="eastAsia" w:ascii="微软雅黑" w:hAnsi="微软雅黑" w:eastAsia="微软雅黑"/>
          <w:sz w:val="22"/>
          <w:szCs w:val="22"/>
        </w:rPr>
        <w:t>组合定位调试及标定</w:t>
      </w:r>
    </w:p>
    <w:p w14:paraId="32DECFDC">
      <w:pPr>
        <w:rPr>
          <w:rFonts w:hint="eastAsia" w:ascii="微软雅黑" w:hAnsi="微软雅黑" w:eastAsia="微软雅黑"/>
          <w:sz w:val="20"/>
          <w:szCs w:val="21"/>
        </w:rPr>
      </w:pPr>
      <w:r>
        <w:rPr>
          <w:rFonts w:ascii="微软雅黑" w:hAnsi="微软雅黑" w:eastAsia="微软雅黑"/>
          <w:sz w:val="20"/>
          <w:szCs w:val="21"/>
        </w:rPr>
        <w:drawing>
          <wp:inline distT="0" distB="0" distL="0" distR="0">
            <wp:extent cx="2592705" cy="2507615"/>
            <wp:effectExtent l="0" t="0" r="0" b="6985"/>
            <wp:docPr id="54885948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859482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rcRect l="3308" r="58370" b="38788"/>
                    <a:stretch>
                      <a:fillRect/>
                    </a:stretch>
                  </pic:blipFill>
                  <pic:spPr>
                    <a:xfrm>
                      <a:off x="0" y="0"/>
                      <a:ext cx="2597352" cy="251238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CAD04">
      <w:pPr>
        <w:pStyle w:val="19"/>
        <w:numPr>
          <w:ilvl w:val="0"/>
          <w:numId w:val="7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固件版本确认</w:t>
      </w:r>
    </w:p>
    <w:p w14:paraId="2837901B">
      <w:pPr>
        <w:ind w:firstLine="462" w:firstLineChars="21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导远的固件版本必须大于等于以下版本：</w:t>
      </w:r>
    </w:p>
    <w:p w14:paraId="76A01D5E">
      <w:pPr>
        <w:ind w:firstLine="420"/>
        <w:rPr>
          <w:rFonts w:hint="eastAsia" w:ascii="微软雅黑" w:hAnsi="微软雅黑" w:eastAsia="微软雅黑"/>
          <w:sz w:val="22"/>
        </w:rPr>
      </w:pPr>
      <w:r>
        <w:rPr>
          <w:rFonts w:ascii="微软雅黑" w:hAnsi="微软雅黑" w:eastAsia="微软雅黑"/>
          <w:sz w:val="22"/>
        </w:rPr>
        <w:t>ARM 固件版本：AG025-V06.01.54.03.06.06</w:t>
      </w:r>
    </w:p>
    <w:p w14:paraId="16C15BFB">
      <w:pPr>
        <w:ind w:firstLine="420"/>
        <w:rPr>
          <w:rFonts w:hint="eastAsia" w:ascii="微软雅黑" w:hAnsi="微软雅黑" w:eastAsia="微软雅黑"/>
          <w:sz w:val="22"/>
        </w:rPr>
      </w:pPr>
      <w:r>
        <w:rPr>
          <w:rFonts w:ascii="微软雅黑" w:hAnsi="微软雅黑" w:eastAsia="微软雅黑"/>
          <w:sz w:val="22"/>
        </w:rPr>
        <w:t>DSP 固件版本：AG025_V16.01.06.02.19.02</w:t>
      </w:r>
    </w:p>
    <w:p w14:paraId="5D66450E">
      <w:pPr>
        <w:ind w:firstLine="42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如果导远的固件版本不满足以上要求，请优先完成固件版本升级。</w:t>
      </w:r>
    </w:p>
    <w:p w14:paraId="32DECFDD">
      <w:pPr>
        <w:pStyle w:val="19"/>
        <w:numPr>
          <w:ilvl w:val="0"/>
          <w:numId w:val="7"/>
        </w:numPr>
        <w:ind w:firstLineChars="0"/>
        <w:rPr>
          <w:rFonts w:hint="eastAsia" w:ascii="微软雅黑" w:hAnsi="微软雅黑" w:eastAsia="微软雅黑"/>
          <w:sz w:val="20"/>
          <w:szCs w:val="21"/>
        </w:rPr>
      </w:pPr>
      <w:r>
        <w:rPr>
          <w:rFonts w:hint="eastAsia" w:ascii="微软雅黑" w:hAnsi="微软雅黑" w:eastAsia="微软雅黑"/>
          <w:sz w:val="22"/>
        </w:rPr>
        <w:t>组网连接</w:t>
      </w:r>
    </w:p>
    <w:p w14:paraId="32DECFDE">
      <w:pPr>
        <w:pStyle w:val="19"/>
        <w:ind w:left="440" w:firstLine="0" w:firstLineChars="0"/>
        <w:rPr>
          <w:rFonts w:hint="eastAsia" w:ascii="微软雅黑" w:hAnsi="微软雅黑" w:eastAsia="微软雅黑"/>
          <w:sz w:val="20"/>
          <w:szCs w:val="21"/>
        </w:rPr>
      </w:pPr>
      <w:r>
        <w:rPr>
          <w:rFonts w:hint="eastAsia" w:ascii="微软雅黑" w:hAnsi="微软雅黑" w:eastAsia="微软雅黑"/>
          <w:sz w:val="22"/>
        </w:rPr>
        <w:t>RS422转USB接PC端，RS232转USB接PC端（CAN1转RS232,接RS232转USB接PC端）</w:t>
      </w:r>
    </w:p>
    <w:p w14:paraId="32DECFDF">
      <w:pPr>
        <w:rPr>
          <w:rFonts w:hint="eastAsia" w:ascii="微软雅黑" w:hAnsi="微软雅黑" w:eastAsia="微软雅黑"/>
          <w:sz w:val="20"/>
          <w:szCs w:val="21"/>
        </w:rPr>
      </w:pPr>
      <w:r>
        <w:rPr>
          <w:rFonts w:ascii="微软雅黑" w:hAnsi="微软雅黑" w:eastAsia="微软雅黑"/>
          <w:sz w:val="20"/>
          <w:szCs w:val="21"/>
        </w:rPr>
        <w:drawing>
          <wp:inline distT="0" distB="0" distL="0" distR="0">
            <wp:extent cx="5274310" cy="200533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5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ECFE7">
      <w:pPr>
        <w:pStyle w:val="19"/>
        <w:numPr>
          <w:ilvl w:val="0"/>
          <w:numId w:val="7"/>
        </w:numPr>
        <w:ind w:firstLineChars="0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选择RS422对应串口，波特率230400，按照现场需要完成程序升级</w:t>
      </w:r>
    </w:p>
    <w:p w14:paraId="32DECFE8">
      <w:pPr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3）组和惯导标定</w:t>
      </w:r>
    </w:p>
    <w:p w14:paraId="0C1E1A76">
      <w:pPr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3.1）</w:t>
      </w:r>
      <w:r>
        <w:rPr>
          <w:rFonts w:ascii="微软雅黑" w:hAnsi="微软雅黑" w:eastAsia="微软雅黑"/>
          <w:sz w:val="22"/>
        </w:rPr>
        <w:t xml:space="preserve">组网连接：将RS422串口线的USB口接到PC上，另外一头接集成线束上的RS422 标签的DB9的母头上； </w:t>
      </w:r>
    </w:p>
    <w:p w14:paraId="32DECFEE">
      <w:pPr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3.2）</w:t>
      </w:r>
      <w:r>
        <w:rPr>
          <w:rFonts w:ascii="微软雅黑" w:hAnsi="微软雅黑" w:eastAsia="微软雅黑"/>
          <w:sz w:val="22"/>
        </w:rPr>
        <w:t>确认</w:t>
      </w:r>
      <w:r>
        <w:rPr>
          <w:rFonts w:hint="eastAsia" w:ascii="微软雅黑" w:hAnsi="微软雅黑" w:eastAsia="微软雅黑"/>
          <w:sz w:val="22"/>
        </w:rPr>
        <w:t>主从安装是否正确</w:t>
      </w:r>
      <w:r>
        <w:rPr>
          <w:rFonts w:ascii="微软雅黑" w:hAnsi="微软雅黑" w:eastAsia="微软雅黑"/>
          <w:sz w:val="22"/>
        </w:rPr>
        <w:t>： 按照要求沿着车头行进方向来看，主天线蘑菇头在车顶左侧位置，从天线蘑菇头在车顶 右侧位置， 如果不正确需要对调车顶馈线的接线位置，通过依次插拔车顶天线</w:t>
      </w:r>
      <w:r>
        <w:rPr>
          <w:rFonts w:hint="eastAsia" w:ascii="微软雅黑" w:hAnsi="微软雅黑" w:eastAsia="微软雅黑"/>
          <w:sz w:val="22"/>
        </w:rPr>
        <w:t>及导远对应信息提示确认。</w:t>
      </w:r>
    </w:p>
    <w:p w14:paraId="32DECFF0">
      <w:pPr>
        <w:jc w:val="left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（</w:t>
      </w:r>
      <w:r>
        <w:rPr>
          <w:rFonts w:ascii="微软雅黑" w:hAnsi="微软雅黑" w:eastAsia="微软雅黑"/>
          <w:sz w:val="22"/>
        </w:rPr>
        <w:t>NONE|NONE|NONE，主天线</w:t>
      </w:r>
      <w:r>
        <w:rPr>
          <w:rFonts w:hint="eastAsia" w:ascii="微软雅黑" w:hAnsi="微软雅黑" w:eastAsia="微软雅黑"/>
          <w:sz w:val="22"/>
        </w:rPr>
        <w:t>掉线</w:t>
      </w:r>
      <w:r>
        <w:rPr>
          <w:rFonts w:ascii="微软雅黑" w:hAnsi="微软雅黑" w:eastAsia="微软雅黑"/>
          <w:sz w:val="22"/>
        </w:rPr>
        <w:t>； NARROW_INT|NARROW_INT|NONENARROW_INT|DOPPLER_VELOCITY|NONE，从天线</w:t>
      </w:r>
      <w:r>
        <w:rPr>
          <w:rFonts w:hint="eastAsia" w:ascii="微软雅黑" w:hAnsi="微软雅黑" w:eastAsia="微软雅黑"/>
          <w:sz w:val="22"/>
        </w:rPr>
        <w:t>掉线</w:t>
      </w:r>
      <w:r>
        <w:rPr>
          <w:rFonts w:ascii="微软雅黑" w:hAnsi="微软雅黑" w:eastAsia="微软雅黑"/>
          <w:sz w:val="22"/>
        </w:rPr>
        <w:t>；</w:t>
      </w:r>
      <w:r>
        <w:rPr>
          <w:rFonts w:hint="eastAsia" w:ascii="微软雅黑" w:hAnsi="微软雅黑" w:eastAsia="微软雅黑"/>
          <w:sz w:val="22"/>
        </w:rPr>
        <w:t>）</w:t>
      </w:r>
    </w:p>
    <w:p w14:paraId="32DECFF1">
      <w:pPr>
        <w:jc w:val="left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3.3）</w:t>
      </w:r>
      <w:r>
        <w:rPr>
          <w:rFonts w:ascii="微软雅黑" w:hAnsi="微软雅黑" w:eastAsia="微软雅黑"/>
          <w:sz w:val="22"/>
        </w:rPr>
        <w:t xml:space="preserve">写入初始化参数（以下参数仅供参考，具体参数值需和主机厂确认及实际测量）： </w:t>
      </w:r>
    </w:p>
    <w:p w14:paraId="32DECFF2">
      <w:pPr>
        <w:jc w:val="left"/>
        <w:rPr>
          <w:rFonts w:hint="eastAsia" w:ascii="微软雅黑" w:hAnsi="微软雅黑" w:eastAsia="微软雅黑"/>
          <w:sz w:val="22"/>
        </w:rPr>
      </w:pPr>
      <w:r>
        <w:rPr>
          <w:rFonts w:ascii="微软雅黑" w:hAnsi="微软雅黑" w:eastAsia="微软雅黑"/>
          <w:sz w:val="22"/>
        </w:rPr>
        <w:t>参数设定分别对惯导角度安装偏差，天线角度安装 偏差，后轮轴中心位置矢量</w:t>
      </w:r>
      <w:r>
        <w:rPr>
          <w:rFonts w:hint="eastAsia" w:ascii="微软雅黑" w:hAnsi="微软雅黑" w:eastAsia="微软雅黑"/>
          <w:sz w:val="22"/>
        </w:rPr>
        <w:t>，</w:t>
      </w:r>
      <w:r>
        <w:rPr>
          <w:rFonts w:ascii="微软雅黑" w:hAnsi="微软雅黑" w:eastAsia="微软雅黑"/>
          <w:sz w:val="22"/>
        </w:rPr>
        <w:t>轮距</w:t>
      </w:r>
      <w:r>
        <w:rPr>
          <w:rFonts w:hint="eastAsia" w:ascii="微软雅黑" w:hAnsi="微软雅黑" w:eastAsia="微软雅黑"/>
          <w:sz w:val="22"/>
        </w:rPr>
        <w:t>对应</w:t>
      </w:r>
      <w:r>
        <w:rPr>
          <w:rFonts w:ascii="微软雅黑" w:hAnsi="微软雅黑" w:eastAsia="微软雅黑"/>
          <w:sz w:val="22"/>
        </w:rPr>
        <w:t>车型测量前轮距离，</w:t>
      </w:r>
      <w:r>
        <w:rPr>
          <w:rFonts w:hint="eastAsia" w:ascii="微软雅黑" w:hAnsi="微软雅黑" w:eastAsia="微软雅黑"/>
          <w:sz w:val="22"/>
        </w:rPr>
        <w:t>其他参数为0</w:t>
      </w:r>
      <w:r>
        <w:rPr>
          <w:rFonts w:ascii="微软雅黑" w:hAnsi="微软雅黑" w:eastAsia="微软雅黑"/>
          <w:sz w:val="22"/>
        </w:rPr>
        <w:t>；</w:t>
      </w:r>
    </w:p>
    <w:p w14:paraId="4715BA15">
      <w:pPr>
        <w:jc w:val="left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3.4）参数校准</w:t>
      </w:r>
    </w:p>
    <w:p w14:paraId="196443BE">
      <w:pPr>
        <w:jc w:val="left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注意：</w:t>
      </w:r>
      <w:r>
        <w:rPr>
          <w:rFonts w:ascii="微软雅黑" w:hAnsi="微软雅黑" w:eastAsia="微软雅黑"/>
          <w:sz w:val="22"/>
        </w:rPr>
        <w:t>写入车辆初始参数</w:t>
      </w:r>
      <w:r>
        <w:rPr>
          <w:rFonts w:hint="eastAsia" w:ascii="微软雅黑" w:hAnsi="微软雅黑" w:eastAsia="微软雅黑"/>
          <w:sz w:val="22"/>
        </w:rPr>
        <w:t>，写入前请确保车辆处于平坦地面，车身水平</w:t>
      </w:r>
    </w:p>
    <w:p w14:paraId="32DECFFA">
      <w:pPr>
        <w:jc w:val="left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惯导角度安装偏差与组合导航实际测量值第一行横滚角、俯仰角、航向角相反</w:t>
      </w:r>
    </w:p>
    <w:p w14:paraId="32DED004">
      <w:pPr>
        <w:jc w:val="left"/>
        <w:rPr>
          <w:rFonts w:hint="eastAsia" w:ascii="微软雅黑" w:hAnsi="微软雅黑" w:eastAsia="微软雅黑"/>
          <w:sz w:val="22"/>
        </w:rPr>
      </w:pPr>
      <w:r>
        <w:rPr>
          <w:rFonts w:hint="eastAsia" w:ascii="微软雅黑" w:hAnsi="微软雅黑" w:eastAsia="微软雅黑"/>
          <w:sz w:val="22"/>
        </w:rPr>
        <w:t>其余参数以实际标准结果为准</w:t>
      </w:r>
    </w:p>
    <w:p w14:paraId="32DED007">
      <w:pPr>
        <w:jc w:val="left"/>
        <w:rPr>
          <w:rFonts w:hint="eastAsia" w:ascii="微软雅黑" w:hAnsi="微软雅黑" w:eastAsia="微软雅黑"/>
          <w:sz w:val="22"/>
        </w:rPr>
      </w:pPr>
    </w:p>
    <w:p w14:paraId="32DED009">
      <w:pPr>
        <w:jc w:val="left"/>
        <w:rPr>
          <w:rFonts w:hint="eastAsia" w:ascii="微软雅黑" w:hAnsi="微软雅黑" w:eastAsia="微软雅黑"/>
          <w:sz w:val="22"/>
        </w:rPr>
      </w:pPr>
      <w:r>
        <w:rPr>
          <w:rFonts w:ascii="微软雅黑" w:hAnsi="微软雅黑" w:eastAsia="微软雅黑"/>
          <w:sz w:val="22"/>
        </w:rPr>
        <w:t>全部填写完成后，点击“出厂设置的写入设置” &gt; 重启设备 &gt; 点击出厂设置的“读取 参数”，确认右侧灰色参数是否写入成功。</w:t>
      </w:r>
    </w:p>
    <w:p w14:paraId="32DED00D">
      <w:pPr>
        <w:jc w:val="left"/>
        <w:rPr>
          <w:rFonts w:hint="eastAsia" w:ascii="微软雅黑" w:hAnsi="微软雅黑" w:eastAsia="微软雅黑"/>
          <w:b/>
          <w:bCs/>
          <w:sz w:val="20"/>
          <w:szCs w:val="21"/>
        </w:rPr>
      </w:pPr>
      <w:r>
        <w:rPr>
          <w:rFonts w:hint="eastAsia" w:ascii="微软雅黑" w:hAnsi="微软雅黑" w:eastAsia="微软雅黑"/>
          <w:b/>
          <w:bCs/>
          <w:sz w:val="22"/>
        </w:rPr>
        <w:t>标定配置使用同样方法写入</w:t>
      </w:r>
    </w:p>
    <w:p w14:paraId="245CA4AC">
      <w:pPr>
        <w:pStyle w:val="19"/>
        <w:numPr>
          <w:ilvl w:val="0"/>
          <w:numId w:val="1"/>
        </w:numPr>
        <w:ind w:firstLineChars="0"/>
        <w:jc w:val="left"/>
        <w:outlineLvl w:val="1"/>
        <w:rPr>
          <w:rFonts w:hint="eastAsia" w:ascii="微软雅黑" w:hAnsi="微软雅黑" w:eastAsia="微软雅黑"/>
          <w:b/>
          <w:bCs/>
          <w:sz w:val="28"/>
          <w:szCs w:val="32"/>
        </w:rPr>
      </w:pPr>
      <w:r>
        <w:rPr>
          <w:rFonts w:hint="eastAsia" w:ascii="微软雅黑" w:hAnsi="微软雅黑" w:eastAsia="微软雅黑"/>
          <w:b/>
          <w:bCs/>
          <w:sz w:val="28"/>
          <w:szCs w:val="32"/>
        </w:rPr>
        <w:t>车辆传感器调试指南</w:t>
      </w:r>
    </w:p>
    <w:p w14:paraId="0FDFE3A8">
      <w:pPr>
        <w:pStyle w:val="19"/>
        <w:numPr>
          <w:ilvl w:val="1"/>
          <w:numId w:val="1"/>
        </w:numPr>
        <w:ind w:firstLineChars="0"/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标定工具</w:t>
      </w:r>
    </w:p>
    <w:p w14:paraId="531EF571">
      <w:pPr>
        <w:pStyle w:val="19"/>
        <w:ind w:left="720" w:firstLine="0" w:firstLineChars="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  <w14:ligatures w14:val="none"/>
        </w:rPr>
        <w:drawing>
          <wp:inline distT="0" distB="0" distL="0" distR="0">
            <wp:extent cx="5274310" cy="8789035"/>
            <wp:effectExtent l="0" t="0" r="2540" b="0"/>
            <wp:docPr id="11424672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467250" name="图片 1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78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7CB07">
      <w:pPr>
        <w:pStyle w:val="19"/>
        <w:numPr>
          <w:ilvl w:val="1"/>
          <w:numId w:val="1"/>
        </w:numPr>
        <w:ind w:firstLineChars="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半自动标定场地尺寸与布置</w:t>
      </w:r>
    </w:p>
    <w:p w14:paraId="66E4AE99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一、</w:t>
      </w:r>
      <w:r>
        <w:rPr>
          <w:rFonts w:hint="eastAsia" w:ascii="微软雅黑" w:hAnsi="微软雅黑" w:eastAsia="微软雅黑"/>
          <w:sz w:val="22"/>
          <w:szCs w:val="24"/>
        </w:rPr>
        <w:tab/>
      </w:r>
      <w:r>
        <w:rPr>
          <w:rFonts w:hint="eastAsia" w:ascii="微软雅黑" w:hAnsi="微软雅黑" w:eastAsia="微软雅黑"/>
          <w:sz w:val="22"/>
          <w:szCs w:val="24"/>
        </w:rPr>
        <w:t>场地环境：场地内无高度&gt;30cm的非标定物体；</w:t>
      </w:r>
    </w:p>
    <w:p w14:paraId="6E0B025D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硬质路面，不会产生高度&gt;15cm 的车辙印：</w:t>
      </w:r>
    </w:p>
    <w:p w14:paraId="3766A15F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无大扬尘等遮挡情况；</w:t>
      </w:r>
    </w:p>
    <w:p w14:paraId="77498F74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二、</w:t>
      </w:r>
      <w:r>
        <w:rPr>
          <w:rFonts w:hint="eastAsia" w:ascii="微软雅黑" w:hAnsi="微软雅黑" w:eastAsia="微软雅黑"/>
          <w:sz w:val="22"/>
          <w:szCs w:val="24"/>
        </w:rPr>
        <w:tab/>
      </w:r>
      <w:r>
        <w:rPr>
          <w:rFonts w:hint="eastAsia" w:ascii="微软雅黑" w:hAnsi="微软雅黑" w:eastAsia="微软雅黑"/>
          <w:sz w:val="22"/>
          <w:szCs w:val="24"/>
        </w:rPr>
        <w:t>道路平整度：场地内不存在大坑或者凸起(深度或高度不超过15cm)</w:t>
      </w:r>
    </w:p>
    <w:p w14:paraId="5C113C17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三、</w:t>
      </w:r>
      <w:r>
        <w:rPr>
          <w:rFonts w:hint="eastAsia" w:ascii="微软雅黑" w:hAnsi="微软雅黑" w:eastAsia="微软雅黑"/>
          <w:sz w:val="22"/>
          <w:szCs w:val="24"/>
        </w:rPr>
        <w:tab/>
      </w:r>
      <w:r>
        <w:rPr>
          <w:rFonts w:hint="eastAsia" w:ascii="微软雅黑" w:hAnsi="微软雅黑" w:eastAsia="微软雅黑"/>
          <w:sz w:val="22"/>
          <w:szCs w:val="24"/>
        </w:rPr>
        <w:t>场地布置示例：</w:t>
      </w:r>
    </w:p>
    <w:p w14:paraId="1C3B2E60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1.</w:t>
      </w:r>
      <w:r>
        <w:rPr>
          <w:rFonts w:hint="eastAsia" w:ascii="微软雅黑" w:hAnsi="微软雅黑" w:eastAsia="微软雅黑"/>
          <w:sz w:val="22"/>
          <w:szCs w:val="24"/>
        </w:rPr>
        <w:tab/>
      </w:r>
      <w:r>
        <w:rPr>
          <w:rFonts w:hint="eastAsia" w:ascii="微软雅黑" w:hAnsi="微软雅黑" w:eastAsia="微软雅黑"/>
          <w:sz w:val="22"/>
          <w:szCs w:val="24"/>
        </w:rPr>
        <w:t>特例：如果矩形的四个边中，至少在三个边的 80m 范围内有高度&gt;2.5m 的房屋/车辆等人造物(如同力厂)</w:t>
      </w:r>
    </w:p>
    <w:p w14:paraId="256EE18F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场地尺寸：40*45m矩形区域，60m长直道(两个区域可重合)</w:t>
      </w:r>
    </w:p>
    <w:p w14:paraId="29CFE5C5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Radar标定角反:6个</w:t>
      </w:r>
    </w:p>
    <w:p w14:paraId="27AE8099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角反朝向：表示角反的凹槽朝向右侧</w:t>
      </w:r>
    </w:p>
    <w:p w14:paraId="6C8832BD">
      <w:pPr>
        <w:pStyle w:val="19"/>
        <w:ind w:left="720" w:firstLine="440"/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Camera外参标定板:3个</w:t>
      </w:r>
    </w:p>
    <w:p w14:paraId="484F8BB6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  <w14:ligatures w14:val="none"/>
        </w:rPr>
        <w:drawing>
          <wp:inline distT="0" distB="0" distL="0" distR="0">
            <wp:extent cx="5274310" cy="3161665"/>
            <wp:effectExtent l="0" t="0" r="2540" b="635"/>
            <wp:docPr id="105675306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753069" name="图片 2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6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F6F9A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场地布置（满足如下一种即可）</w:t>
      </w:r>
    </w:p>
    <w:p w14:paraId="2B393300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1：方形区域的四个边中，至少在三个边的 80m 范围内有高度&gt;2.5m 的房屋/车辆等人造物</w:t>
      </w:r>
    </w:p>
    <w:p w14:paraId="0AF7B3D0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2：用立柱围出如下区域:所有立柱之间间隔 10m+2m、与方形区域外围距离 2m</w:t>
      </w:r>
    </w:p>
    <w:p w14:paraId="5BB9E237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2.</w:t>
      </w:r>
      <w:r>
        <w:rPr>
          <w:rFonts w:hint="eastAsia" w:ascii="微软雅黑" w:hAnsi="微软雅黑" w:eastAsia="微软雅黑"/>
          <w:sz w:val="22"/>
          <w:szCs w:val="24"/>
        </w:rPr>
        <w:tab/>
      </w:r>
      <w:r>
        <w:rPr>
          <w:rFonts w:hint="eastAsia" w:ascii="微软雅黑" w:hAnsi="微软雅黑" w:eastAsia="微软雅黑"/>
          <w:sz w:val="22"/>
          <w:szCs w:val="24"/>
        </w:rPr>
        <w:t>提供两种场地布置方案供选择</w:t>
      </w:r>
    </w:p>
    <w:p w14:paraId="052845E7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方案一：标定板固定的场地，标定杆上不能有塑料膜</w:t>
      </w:r>
    </w:p>
    <w:p w14:paraId="750E744C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场地尺寸：40*60m</w:t>
      </w:r>
    </w:p>
    <w:p w14:paraId="46908F74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Lidar标定杆：15个，杆子相互间据9±2m</w:t>
      </w:r>
    </w:p>
    <w:p w14:paraId="32DC3B1F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Radar标定角反:6个</w:t>
      </w:r>
    </w:p>
    <w:p w14:paraId="45D4CFE8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角反朝向：表示角反的凹槽朝向右侧</w:t>
      </w:r>
    </w:p>
    <w:p w14:paraId="1038C13D">
      <w:pPr>
        <w:pStyle w:val="19"/>
        <w:ind w:left="720" w:firstLine="440"/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Camera外参标定板:3个</w:t>
      </w:r>
    </w:p>
    <w:p w14:paraId="36E4AF1F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  <w14:ligatures w14:val="none"/>
        </w:rPr>
        <w:drawing>
          <wp:inline distT="0" distB="0" distL="0" distR="0">
            <wp:extent cx="5274310" cy="3952875"/>
            <wp:effectExtent l="0" t="0" r="2540" b="9525"/>
            <wp:docPr id="139869002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690027" name="图片 3"/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9FF59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注意：</w:t>
      </w:r>
    </w:p>
    <w:p w14:paraId="53A5F064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1．60m 长直道可以放在在主干道上，则上面场地尺寸变为 40*45m(但标定时候会影响作业)</w:t>
      </w:r>
    </w:p>
    <w:p w14:paraId="20041E4C">
      <w:pPr>
        <w:pStyle w:val="19"/>
        <w:ind w:left="720" w:firstLine="440"/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2．标定板要朝向光照并且标定板安装要求标定板下边延距离地面 1.5m 左右(相对车辆标定的平面)，标定板如果安装在土堆上，标定板距离土坡平面最小距离 0.6m；</w:t>
      </w:r>
    </w:p>
    <w:p w14:paraId="34419CF0">
      <w:pPr>
        <w:pStyle w:val="19"/>
        <w:ind w:left="720"/>
        <w:rPr>
          <w:rFonts w:hint="eastAsia" w:ascii="微软雅黑" w:hAnsi="微软雅黑" w:eastAsia="微软雅黑"/>
          <w:sz w:val="22"/>
          <w:szCs w:val="24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394970</wp:posOffset>
            </wp:positionV>
            <wp:extent cx="5274310" cy="2641600"/>
            <wp:effectExtent l="0" t="0" r="2540" b="6350"/>
            <wp:wrapTopAndBottom/>
            <wp:docPr id="931515631" name="图片 1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515631" name="图片 1" descr="电脑萤幕画面&#10;&#10;描述已自动生成"/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0B07A6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3．如果有“全自动化标定”需求，则按照“全自动标定”章节建造场地</w:t>
      </w:r>
    </w:p>
    <w:p w14:paraId="1731546F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方案二：标定板不固定（手动摆放）的场地</w:t>
      </w:r>
    </w:p>
    <w:p w14:paraId="5A80D3BB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Radar和Lidar的标定场地无光照要求，可以组合摆放，标定杆上下不能有塑料膜，如下所示。</w:t>
      </w:r>
    </w:p>
    <w:p w14:paraId="1B47899F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场地尺寸：40*60m</w:t>
      </w:r>
    </w:p>
    <w:p w14:paraId="227766B0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Lidar标定杆：15个，杆子相互间据9±2m</w:t>
      </w:r>
    </w:p>
    <w:p w14:paraId="59AB442E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Radar标定角反:6个</w:t>
      </w:r>
    </w:p>
    <w:p w14:paraId="2349D0A7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角反朝向：表示角反的凹槽朝向右侧</w:t>
      </w:r>
      <w:r>
        <w:rPr>
          <w:rFonts w:hint="eastAsia"/>
        </w:rPr>
        <w:t xml:space="preserve"> </w:t>
      </w:r>
      <w:r>
        <w:tab/>
      </w:r>
    </w:p>
    <w:p w14:paraId="7492F85D">
      <w:pPr>
        <w:pStyle w:val="19"/>
        <w:ind w:left="720" w:firstLine="440"/>
        <w:jc w:val="left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  <w14:ligatures w14:val="none"/>
        </w:rPr>
        <w:drawing>
          <wp:inline distT="0" distB="0" distL="0" distR="0">
            <wp:extent cx="5274310" cy="2577465"/>
            <wp:effectExtent l="0" t="0" r="2540" b="0"/>
            <wp:docPr id="19456445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64455" name="图片 5"/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F10C1">
      <w:pPr>
        <w:pStyle w:val="19"/>
        <w:ind w:left="720" w:firstLine="440"/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由于相机外参标定对于阳光敏感，可以移动标定板摆放到阳光合适角度位置。</w:t>
      </w:r>
    </w:p>
    <w:p w14:paraId="7F942052">
      <w:pPr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  <w14:ligatures w14:val="none"/>
        </w:rPr>
        <w:drawing>
          <wp:inline distT="0" distB="0" distL="0" distR="0">
            <wp:extent cx="5274310" cy="2828290"/>
            <wp:effectExtent l="0" t="0" r="2540" b="0"/>
            <wp:docPr id="29238699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386996" name="图片 4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6EB2D">
      <w:pPr>
        <w:pStyle w:val="19"/>
        <w:ind w:left="720" w:firstLine="440"/>
        <w:rPr>
          <w:rFonts w:ascii="微软雅黑" w:hAnsi="微软雅黑" w:eastAsia="微软雅黑"/>
          <w:sz w:val="22"/>
          <w:szCs w:val="24"/>
        </w:rPr>
      </w:pPr>
    </w:p>
    <w:p w14:paraId="05429774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注意：</w:t>
      </w:r>
    </w:p>
    <w:p w14:paraId="66B900B9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1.</w:t>
      </w:r>
      <w:r>
        <w:rPr>
          <w:rFonts w:hint="eastAsia" w:ascii="微软雅黑" w:hAnsi="微软雅黑" w:eastAsia="微软雅黑"/>
          <w:sz w:val="22"/>
          <w:szCs w:val="24"/>
        </w:rPr>
        <w:tab/>
      </w:r>
      <w:r>
        <w:rPr>
          <w:rFonts w:hint="eastAsia" w:ascii="微软雅黑" w:hAnsi="微软雅黑" w:eastAsia="微软雅黑"/>
          <w:sz w:val="22"/>
          <w:szCs w:val="24"/>
        </w:rPr>
        <w:t>注意标定板朝向阳面，太阳不在标定板背面，移动标定板使太阳光照位于标定板侧面(光照太强或太弱会导致标定板图案无法检测到，移动标定板使太阳光照位于标定板侧面如上图所示)。</w:t>
      </w:r>
    </w:p>
    <w:p w14:paraId="625DB343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2.</w:t>
      </w:r>
      <w:r>
        <w:rPr>
          <w:rFonts w:hint="eastAsia" w:ascii="微软雅黑" w:hAnsi="微软雅黑" w:eastAsia="微软雅黑"/>
          <w:sz w:val="22"/>
          <w:szCs w:val="24"/>
        </w:rPr>
        <w:tab/>
      </w:r>
      <w:r>
        <w:rPr>
          <w:rFonts w:hint="eastAsia" w:ascii="微软雅黑" w:hAnsi="微软雅黑" w:eastAsia="微软雅黑"/>
          <w:sz w:val="22"/>
          <w:szCs w:val="24"/>
        </w:rPr>
        <w:t>要求标定板下边延距离地面 1.5m 左右(相对车辆标定的平面)。</w:t>
      </w:r>
    </w:p>
    <w:p w14:paraId="3FB30D6C">
      <w:pPr>
        <w:pStyle w:val="19"/>
        <w:ind w:left="720" w:firstLine="44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 xml:space="preserve"> </w:t>
      </w:r>
      <w:r>
        <w:drawing>
          <wp:inline distT="0" distB="0" distL="0" distR="0">
            <wp:extent cx="1431290" cy="1751330"/>
            <wp:effectExtent l="0" t="0" r="0" b="1270"/>
            <wp:docPr id="669777967" name="图片 1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777967" name="图片 1" descr="图形用户界面&#10;&#10;描述已自动生成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442777" cy="176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sz w:val="22"/>
          <w:szCs w:val="24"/>
        </w:rPr>
        <w:tab/>
      </w:r>
    </w:p>
    <w:p w14:paraId="56E1517D">
      <w:pPr>
        <w:pStyle w:val="19"/>
        <w:ind w:left="720" w:firstLine="0" w:firstLineChars="0"/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3.</w:t>
      </w:r>
      <w:r>
        <w:rPr>
          <w:rFonts w:hint="eastAsia" w:ascii="微软雅黑" w:hAnsi="微软雅黑" w:eastAsia="微软雅黑"/>
          <w:sz w:val="22"/>
          <w:szCs w:val="24"/>
        </w:rPr>
        <w:tab/>
      </w:r>
      <w:r>
        <w:rPr>
          <w:rFonts w:hint="eastAsia" w:ascii="微软雅黑" w:hAnsi="微软雅黑" w:eastAsia="微软雅黑"/>
          <w:sz w:val="22"/>
          <w:szCs w:val="24"/>
        </w:rPr>
        <w:t>请注意标定板应平行并且间距3.3m左右</w:t>
      </w:r>
    </w:p>
    <w:p w14:paraId="430C1350">
      <w:pPr>
        <w:pStyle w:val="19"/>
        <w:numPr>
          <w:ilvl w:val="1"/>
          <w:numId w:val="1"/>
        </w:numPr>
        <w:ind w:firstLineChars="0"/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IMU</w:t>
      </w:r>
    </w:p>
    <w:p w14:paraId="34A2FE30">
      <w:pPr>
        <w:rPr>
          <w:rFonts w:hint="eastAsia" w:ascii="微软雅黑" w:hAnsi="微软雅黑" w:eastAsia="微软雅黑"/>
          <w:sz w:val="20"/>
          <w:szCs w:val="20"/>
        </w:rPr>
      </w:pPr>
      <w:r>
        <w:rPr>
          <w:rFonts w:hint="eastAsia" w:ascii="微软雅黑" w:hAnsi="微软雅黑" w:eastAsia="微软雅黑"/>
          <w:sz w:val="22"/>
          <w:szCs w:val="24"/>
        </w:rPr>
        <w:t xml:space="preserve"> </w:t>
      </w:r>
      <w:r>
        <w:rPr>
          <w:rFonts w:hint="eastAsia" w:ascii="微软雅黑" w:hAnsi="微软雅黑" w:eastAsia="微软雅黑"/>
          <w:sz w:val="20"/>
          <w:szCs w:val="20"/>
        </w:rPr>
        <w:t>1.司机(安全员)将车辆停在60m长直道起点，IMU标定前需要通过上下电来重启导远。</w:t>
      </w:r>
    </w:p>
    <w:p w14:paraId="6BFE47D5">
      <w:pPr>
        <w:rPr>
          <w:rFonts w:hint="eastAsia" w:ascii="微软雅黑" w:hAnsi="微软雅黑" w:eastAsia="微软雅黑"/>
          <w:sz w:val="20"/>
          <w:szCs w:val="20"/>
        </w:rPr>
      </w:pPr>
      <w:r>
        <w:rPr>
          <w:rFonts w:hint="eastAsia" w:ascii="微软雅黑" w:hAnsi="微软雅黑" w:eastAsia="微软雅黑"/>
          <w:sz w:val="20"/>
          <w:szCs w:val="20"/>
        </w:rPr>
        <w:t>2.平台工程师在监管平台左侧菜单栏点击</w:t>
      </w:r>
      <w:r>
        <w:drawing>
          <wp:inline distT="0" distB="0" distL="0" distR="0">
            <wp:extent cx="163830" cy="175260"/>
            <wp:effectExtent l="0" t="0" r="7620" b="0"/>
            <wp:docPr id="1129725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72518" name="图片 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66619" cy="178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sz w:val="20"/>
          <w:szCs w:val="20"/>
        </w:rPr>
        <w:t>图标，弹出“远程运维与远程诊断”菜单，点击“标定详情”，打开标定详情页面。</w:t>
      </w:r>
    </w:p>
    <w:p w14:paraId="1516B2C3">
      <w:pPr>
        <w:rPr>
          <w:rFonts w:hint="eastAsia" w:ascii="微软雅黑" w:hAnsi="微软雅黑" w:eastAsia="微软雅黑"/>
          <w:sz w:val="20"/>
          <w:szCs w:val="20"/>
        </w:rPr>
      </w:pPr>
      <w:r>
        <w:drawing>
          <wp:inline distT="0" distB="0" distL="0" distR="0">
            <wp:extent cx="1397635" cy="3477260"/>
            <wp:effectExtent l="0" t="0" r="0" b="8890"/>
            <wp:docPr id="1705171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17115" name="图片 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407651" cy="350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4AA66">
      <w:pPr>
        <w:rPr>
          <w:rFonts w:hint="eastAsia" w:ascii="微软雅黑" w:hAnsi="微软雅黑" w:eastAsia="微软雅黑"/>
          <w:sz w:val="20"/>
          <w:szCs w:val="20"/>
        </w:rPr>
      </w:pPr>
      <w:r>
        <w:rPr>
          <w:rFonts w:hint="eastAsia" w:ascii="微软雅黑" w:hAnsi="微软雅黑" w:eastAsia="微软雅黑"/>
          <w:sz w:val="20"/>
          <w:szCs w:val="20"/>
        </w:rPr>
        <w:t>3.司机驾驶车辆到达标定场地后，平台工程师在“标定详情”页面选择需要标定的车辆，点击“开始标定”按钮。</w:t>
      </w:r>
    </w:p>
    <w:p w14:paraId="5399D070">
      <w:pPr>
        <w:rPr>
          <w:rFonts w:hint="eastAsia" w:ascii="微软雅黑" w:hAnsi="微软雅黑" w:eastAsia="微软雅黑"/>
          <w:sz w:val="20"/>
          <w:szCs w:val="20"/>
        </w:rPr>
      </w:pPr>
      <w:r>
        <w:drawing>
          <wp:inline distT="0" distB="0" distL="0" distR="0">
            <wp:extent cx="4387215" cy="1511935"/>
            <wp:effectExtent l="0" t="0" r="0" b="0"/>
            <wp:docPr id="46784038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840384" name="图片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7215" cy="151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E3A2B">
      <w:pPr>
        <w:rPr>
          <w:rFonts w:hint="eastAsia" w:ascii="微软雅黑" w:hAnsi="微软雅黑" w:eastAsia="微软雅黑"/>
          <w:sz w:val="20"/>
          <w:szCs w:val="20"/>
        </w:rPr>
      </w:pPr>
      <w:r>
        <w:rPr>
          <w:rFonts w:hint="eastAsia" w:ascii="微软雅黑" w:hAnsi="微软雅黑" w:eastAsia="微软雅黑"/>
          <w:sz w:val="20"/>
          <w:szCs w:val="20"/>
        </w:rPr>
        <w:t>4.选择“IMU标定模式”点击“确定”按钮，此时软件运行模式切换为“IMU标定模式”</w:t>
      </w:r>
    </w:p>
    <w:p w14:paraId="3E6A6986">
      <w:pPr>
        <w:rPr>
          <w:rFonts w:hint="eastAsia" w:ascii="微软雅黑" w:hAnsi="微软雅黑" w:eastAsia="微软雅黑"/>
          <w:sz w:val="20"/>
          <w:szCs w:val="20"/>
        </w:rPr>
      </w:pPr>
      <w:r>
        <w:drawing>
          <wp:inline distT="0" distB="0" distL="0" distR="0">
            <wp:extent cx="4328160" cy="2642235"/>
            <wp:effectExtent l="0" t="0" r="0" b="5715"/>
            <wp:docPr id="18212352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235200" name="图片 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36066" cy="2647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F14B8">
      <w:pPr>
        <w:rPr>
          <w:rFonts w:hint="eastAsia" w:ascii="微软雅黑" w:hAnsi="微软雅黑" w:eastAsia="微软雅黑"/>
          <w:sz w:val="20"/>
          <w:szCs w:val="20"/>
        </w:rPr>
      </w:pPr>
      <w:r>
        <w:rPr>
          <w:rFonts w:hint="eastAsia" w:ascii="微软雅黑" w:hAnsi="微软雅黑" w:eastAsia="微软雅黑"/>
          <w:sz w:val="20"/>
          <w:szCs w:val="20"/>
        </w:rPr>
        <w:t>5.在“进程启停”页面，确认标定车辆如下红框中进程显示为绿色启动状态</w:t>
      </w:r>
    </w:p>
    <w:p w14:paraId="41AAA4EB">
      <w:pPr>
        <w:rPr>
          <w:rFonts w:hint="eastAsia" w:ascii="微软雅黑" w:hAnsi="微软雅黑" w:eastAsia="微软雅黑"/>
          <w:sz w:val="20"/>
          <w:szCs w:val="20"/>
        </w:rPr>
      </w:pPr>
      <w:r>
        <w:drawing>
          <wp:inline distT="0" distB="0" distL="0" distR="0">
            <wp:extent cx="3792855" cy="3572510"/>
            <wp:effectExtent l="0" t="0" r="0" b="8890"/>
            <wp:docPr id="1812074467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074467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798071" cy="3577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5AF8D">
      <w:pPr>
        <w:rPr>
          <w:rFonts w:hint="eastAsia" w:ascii="微软雅黑" w:hAnsi="微软雅黑" w:eastAsia="微软雅黑"/>
          <w:sz w:val="20"/>
          <w:szCs w:val="20"/>
        </w:rPr>
      </w:pPr>
      <w:r>
        <w:rPr>
          <w:rFonts w:hint="eastAsia" w:ascii="微软雅黑" w:hAnsi="微软雅黑" w:eastAsia="微软雅黑"/>
          <w:sz w:val="20"/>
          <w:szCs w:val="20"/>
        </w:rPr>
        <w:t>6.</w:t>
      </w:r>
      <w:r>
        <w:rPr>
          <w:rFonts w:hint="eastAsia"/>
        </w:rPr>
        <w:t xml:space="preserve"> </w:t>
      </w:r>
      <w:r>
        <w:rPr>
          <w:rFonts w:hint="eastAsia" w:ascii="微软雅黑" w:hAnsi="微软雅黑" w:eastAsia="微软雅黑"/>
          <w:sz w:val="20"/>
          <w:szCs w:val="20"/>
        </w:rPr>
        <w:t>司机(安全员)驾驶车辆</w:t>
      </w:r>
      <w:r>
        <w:rPr>
          <w:rFonts w:hint="eastAsia" w:ascii="微软雅黑" w:hAnsi="微软雅黑" w:eastAsia="微软雅黑"/>
          <w:color w:val="FF0000"/>
          <w:sz w:val="20"/>
          <w:szCs w:val="20"/>
        </w:rPr>
        <w:t>以3km/h-5km/h匀速直线行驶60m以上</w:t>
      </w:r>
      <w:r>
        <w:rPr>
          <w:rFonts w:hint="eastAsia" w:ascii="微软雅黑" w:hAnsi="微软雅黑" w:eastAsia="微软雅黑"/>
          <w:sz w:val="20"/>
          <w:szCs w:val="20"/>
        </w:rPr>
        <w:t>(路线要很</w:t>
      </w:r>
      <w:r>
        <w:rPr>
          <w:rFonts w:hint="eastAsia" w:ascii="微软雅黑" w:hAnsi="微软雅黑" w:eastAsia="微软雅黑"/>
          <w:color w:val="FF0000"/>
          <w:sz w:val="20"/>
          <w:szCs w:val="20"/>
        </w:rPr>
        <w:t>笔直</w:t>
      </w:r>
      <w:r>
        <w:rPr>
          <w:rFonts w:hint="eastAsia" w:ascii="微软雅黑" w:hAnsi="微软雅黑" w:eastAsia="微软雅黑"/>
          <w:sz w:val="20"/>
          <w:szCs w:val="20"/>
        </w:rPr>
        <w:t>)</w:t>
      </w:r>
    </w:p>
    <w:p w14:paraId="05AC8872">
      <w:pPr>
        <w:rPr>
          <w:rFonts w:hint="eastAsia" w:ascii="微软雅黑" w:hAnsi="微软雅黑" w:eastAsia="微软雅黑"/>
          <w:sz w:val="20"/>
          <w:szCs w:val="20"/>
        </w:rPr>
      </w:pPr>
      <w:r>
        <w:drawing>
          <wp:inline distT="0" distB="0" distL="0" distR="0">
            <wp:extent cx="5274310" cy="241935"/>
            <wp:effectExtent l="0" t="0" r="2540" b="5715"/>
            <wp:docPr id="2784939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493939" name="图片 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6DD04">
      <w:pPr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7. 观察如下标定状态，从而确定当前车辆标定情况。</w:t>
      </w:r>
    </w:p>
    <w:p w14:paraId="3CF99AA6">
      <w:pPr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 xml:space="preserve"> </w:t>
      </w:r>
    </w:p>
    <w:p w14:paraId="4EAEB4FC">
      <w:pPr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8. 如果标定成功:在“标定详情”页面点击“标定结束”按钮，并等待车辆软件运行模式切换为“常规模式”。如果标定失败：点击“标定结束”按钮，根据失败提示排查问题，重新从第一步开始执行标定。</w:t>
      </w:r>
    </w:p>
    <w:p w14:paraId="00F7A289">
      <w:pPr>
        <w:pStyle w:val="19"/>
        <w:numPr>
          <w:ilvl w:val="1"/>
          <w:numId w:val="1"/>
        </w:numPr>
        <w:ind w:firstLineChars="0"/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Lidar</w:t>
      </w:r>
    </w:p>
    <w:p w14:paraId="78D5A134">
      <w:pPr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场地：激光雷达标定杆所在的方形区域内部，标定杆露出地面高度&gt;1.7m，标定场地内在标定过程不能有任何动态物体，标定过程中一定不能有大扬尘(如果扬尘大，需要洒水降低扬尘后，才能标定)</w:t>
      </w:r>
    </w:p>
    <w:p w14:paraId="369630A4">
      <w:pPr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3.4.1.新车型的第一辆新车的首次标定</w:t>
      </w:r>
    </w:p>
    <w:p w14:paraId="3AD4DB05">
      <w:pPr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1）</w:t>
      </w:r>
      <w:r>
        <w:rPr>
          <w:rFonts w:hint="eastAsia" w:ascii="微软雅黑" w:hAnsi="微软雅黑" w:eastAsia="微软雅黑"/>
          <w:sz w:val="22"/>
          <w:szCs w:val="24"/>
        </w:rPr>
        <w:tab/>
      </w:r>
      <w:r>
        <w:rPr>
          <w:rFonts w:hint="eastAsia" w:ascii="微软雅黑" w:hAnsi="微软雅黑" w:eastAsia="微软雅黑"/>
          <w:sz w:val="22"/>
          <w:szCs w:val="24"/>
        </w:rPr>
        <w:t>与“3.4.2”节的步相同</w:t>
      </w:r>
    </w:p>
    <w:p w14:paraId="12E327AF">
      <w:pPr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2）</w:t>
      </w:r>
      <w:r>
        <w:rPr>
          <w:rFonts w:hint="eastAsia" w:ascii="微软雅黑" w:hAnsi="微软雅黑" w:eastAsia="微软雅黑"/>
          <w:sz w:val="22"/>
          <w:szCs w:val="24"/>
        </w:rPr>
        <w:tab/>
      </w:r>
      <w:r>
        <w:rPr>
          <w:rFonts w:hint="eastAsia" w:ascii="微软雅黑" w:hAnsi="微软雅黑" w:eastAsia="微软雅黑"/>
          <w:sz w:val="22"/>
          <w:szCs w:val="24"/>
        </w:rPr>
        <w:t>“3.4.2”节的操作改为如下：</w:t>
      </w:r>
    </w:p>
    <w:p w14:paraId="2F762863">
      <w:pPr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当告警页面提示如下时间段，则标定结束；并将本段时间的bag 数据通过监管平台上传发给研发，让研发使用电脑手动标定生成标定结果</w:t>
      </w:r>
    </w:p>
    <w:p w14:paraId="0A0893DB">
      <w:pPr>
        <w:rPr>
          <w:rFonts w:hint="eastAsia" w:ascii="微软雅黑" w:hAnsi="微软雅黑" w:eastAsia="微软雅黑"/>
          <w:sz w:val="22"/>
          <w:szCs w:val="24"/>
        </w:rPr>
      </w:pPr>
      <w:r>
        <w:drawing>
          <wp:inline distT="0" distB="0" distL="0" distR="0">
            <wp:extent cx="5274310" cy="425450"/>
            <wp:effectExtent l="0" t="0" r="2540" b="0"/>
            <wp:docPr id="3540668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066851" name="图片 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8343E">
      <w:pPr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3.4.2.其他情况的标定</w:t>
      </w:r>
    </w:p>
    <w:p w14:paraId="43F9280F">
      <w:pPr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1）司机(安全员)将车停在 Lidar 标定区域内任意位置，Lidar 标定前需要通过上下电来重启导远</w:t>
      </w:r>
    </w:p>
    <w:p w14:paraId="488292C1">
      <w:pPr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 xml:space="preserve">2）平台工程师在监管平台左侧菜单栏点击 </w:t>
      </w:r>
      <w:r>
        <w:drawing>
          <wp:inline distT="0" distB="0" distL="0" distR="0">
            <wp:extent cx="188595" cy="201930"/>
            <wp:effectExtent l="0" t="0" r="1905" b="7620"/>
            <wp:docPr id="174696872" name="图片 1" descr="手机屏幕的截图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96872" name="图片 1" descr="手机屏幕的截图&#10;&#10;低可信度描述已自动生成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09019" cy="22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sz w:val="22"/>
          <w:szCs w:val="24"/>
        </w:rPr>
        <w:t xml:space="preserve">  图标，弹出“远程运维与远程诊断”菜单，点击“标定详情”，打开标定详情页面。</w:t>
      </w: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787400</wp:posOffset>
            </wp:positionV>
            <wp:extent cx="1095375" cy="2715895"/>
            <wp:effectExtent l="0" t="0" r="9525" b="8255"/>
            <wp:wrapTopAndBottom/>
            <wp:docPr id="559575892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575892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2715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44BEA5">
      <w:pPr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 xml:space="preserve">3）司机驾驶车辆到达标定场地后，平台工程师在“标定详情”页面选择需要标定的车辆，点击“开始标定”按钮。 </w:t>
      </w:r>
    </w:p>
    <w:p w14:paraId="21339EC2">
      <w:pPr>
        <w:rPr>
          <w:rFonts w:hint="eastAsia" w:ascii="微软雅黑" w:hAnsi="微软雅黑" w:eastAsia="微软雅黑"/>
          <w:sz w:val="22"/>
          <w:szCs w:val="24"/>
        </w:rPr>
      </w:pPr>
      <w:r>
        <w:drawing>
          <wp:inline distT="0" distB="0" distL="0" distR="0">
            <wp:extent cx="5274310" cy="1830705"/>
            <wp:effectExtent l="0" t="0" r="2540" b="0"/>
            <wp:docPr id="1914969876" name="图片 1" descr="截图里有图片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969876" name="图片 1" descr="截图里有图片&#10;&#10;描述已自动生成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3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2932F">
      <w:pPr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4）选择“Lidar标定模式”，点击“确定”按钮，此时软件运行模式切换为“Lidar标定模式”。</w:t>
      </w:r>
    </w:p>
    <w:p w14:paraId="024484D0">
      <w:pPr>
        <w:rPr>
          <w:rFonts w:hint="eastAsia" w:ascii="微软雅黑" w:hAnsi="微软雅黑" w:eastAsia="微软雅黑"/>
          <w:sz w:val="22"/>
          <w:szCs w:val="24"/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396875</wp:posOffset>
            </wp:positionV>
            <wp:extent cx="4815205" cy="3611880"/>
            <wp:effectExtent l="0" t="0" r="4445" b="7620"/>
            <wp:wrapTopAndBottom/>
            <wp:docPr id="832716074" name="图片 1" descr="电脑萤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716074" name="图片 1" descr="电脑萤幕的截图&#10;&#10;描述已自动生成"/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205" cy="3611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3B8CAE">
      <w:pPr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5）在“进程启停”页面，确认标定车辆如下红框中进程显示为绿色启动状态。</w:t>
      </w:r>
    </w:p>
    <w:p w14:paraId="63DB286C">
      <w:pPr>
        <w:rPr>
          <w:rFonts w:hint="eastAsia" w:ascii="微软雅黑" w:hAnsi="微软雅黑" w:eastAsia="微软雅黑"/>
          <w:sz w:val="22"/>
          <w:szCs w:val="24"/>
        </w:r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396875</wp:posOffset>
            </wp:positionV>
            <wp:extent cx="4097655" cy="3860800"/>
            <wp:effectExtent l="0" t="0" r="0" b="6350"/>
            <wp:wrapTopAndBottom/>
            <wp:docPr id="716015769" name="图片 1" descr="屏幕上有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015769" name="图片 1" descr="屏幕上有字&#10;&#10;描述已自动生成"/>
                    <pic:cNvPicPr>
                      <a:picLocks noChangeAspect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7389" cy="3861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FC3937">
      <w:pPr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 xml:space="preserve">6）车辆在起点静止5s，司机(安全员)驾驶车辆以小于3km/h的速度行驶，顺时针绕两个圆+然后逆时针在绕两个圆，顺时针和逆时针前进的轨迹可以不重合(激光雷达标定杆所在的方形区域内部绕圆绕圆过程中，将方向盘打死;可倒车改变方向)。 </w:t>
      </w:r>
    </w:p>
    <w:p w14:paraId="3DE61E4A">
      <w:pPr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 xml:space="preserve">7）观察如下标定状态，从而确定当前车辆标定情况。 </w:t>
      </w:r>
    </w:p>
    <w:p w14:paraId="7FFFF7FE">
      <w:pPr>
        <w:rPr>
          <w:rFonts w:hint="eastAsia" w:ascii="微软雅黑" w:hAnsi="微软雅黑" w:eastAsia="微软雅黑"/>
          <w:sz w:val="22"/>
          <w:szCs w:val="24"/>
        </w:rPr>
      </w:pPr>
      <w:r>
        <w:drawing>
          <wp:inline distT="0" distB="0" distL="0" distR="0">
            <wp:extent cx="4987925" cy="2275840"/>
            <wp:effectExtent l="0" t="0" r="3175" b="0"/>
            <wp:docPr id="438348920" name="图片 1" descr="截图里有图片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348920" name="图片 1" descr="截图里有图片&#10;&#10;描述已自动生成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995290" cy="227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4D3E0">
      <w:pPr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8）如果标定成功:在“标定详情”页面点击“标定结束”按钮，并等待车辆软件运行模式切换为“常规模式”如果标定失败:点击“标定结束”按钮，根据失败提示排查问题，重新从第一步开始执行标定。</w:t>
      </w:r>
    </w:p>
    <w:p w14:paraId="4A4C41AB">
      <w:pPr>
        <w:rPr>
          <w:rFonts w:hint="eastAsia" w:ascii="微软雅黑" w:hAnsi="微软雅黑" w:eastAsia="微软雅黑"/>
          <w:sz w:val="22"/>
          <w:szCs w:val="24"/>
        </w:rPr>
      </w:pPr>
      <w:r>
        <w:drawing>
          <wp:inline distT="0" distB="0" distL="0" distR="0">
            <wp:extent cx="4476750" cy="1577975"/>
            <wp:effectExtent l="0" t="0" r="0" b="3175"/>
            <wp:docPr id="1954814126" name="图片 1" descr="电子设备的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814126" name="图片 1" descr="电子设备的屏幕截图&#10;&#10;描述已自动生成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489386" cy="1582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9DA95">
      <w:pPr>
        <w:pStyle w:val="19"/>
        <w:numPr>
          <w:ilvl w:val="1"/>
          <w:numId w:val="1"/>
        </w:numPr>
        <w:ind w:firstLineChars="0"/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Radar</w:t>
      </w:r>
    </w:p>
    <w:p w14:paraId="4203D3ED">
      <w:pPr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场地：角反所在位置周围 20m 的范围内不能有除标定角反工具外的其他物体，否则会干扰标定结果标定场地具体见下图，标定场地内在标定过程不能有任何动态物体。</w:t>
      </w:r>
    </w:p>
    <w:p w14:paraId="3EEAD644">
      <w:pPr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场地布置按照场地布置 (共6个角反)</w:t>
      </w:r>
    </w:p>
    <w:p w14:paraId="522AB5BC">
      <w:pPr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角反1的凹槽需要朝向左前 radar;</w:t>
      </w:r>
    </w:p>
    <w:p w14:paraId="4B8ACEA1">
      <w:pPr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角反4的凹槽需要朝向右前 radar;</w:t>
      </w:r>
    </w:p>
    <w:p w14:paraId="2725CE75">
      <w:pPr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角反 2 和角反3的凹槽朝向正对;</w:t>
      </w:r>
    </w:p>
    <w:p w14:paraId="706E1B6B">
      <w:pPr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角反 5 和角反6的凹槽朝向正对;</w:t>
      </w:r>
    </w:p>
    <w:p w14:paraId="4B1ECB8F">
      <w:pPr>
        <w:rPr>
          <w:rFonts w:hint="eastAsia"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角反 2、角反 3、角反 5、角反 6的凹槽朝向与车道中心线平行;</w:t>
      </w:r>
    </w:p>
    <w:p w14:paraId="7ECA8944">
      <w:pPr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 xml:space="preserve">角反需高于自己所摆放地面 40cm-80cm; </w:t>
      </w:r>
    </w:p>
    <w:p w14:paraId="5A2864C2">
      <w:pPr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  <w14:ligatures w14:val="none"/>
        </w:rPr>
        <w:drawing>
          <wp:inline distT="0" distB="0" distL="0" distR="0">
            <wp:extent cx="5274310" cy="3247390"/>
            <wp:effectExtent l="0" t="0" r="2540" b="0"/>
            <wp:docPr id="48778977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789770" name="图片 6"/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C044B">
      <w:pPr>
        <w:pStyle w:val="19"/>
        <w:ind w:left="1505" w:firstLine="400"/>
        <w:outlineLvl w:val="3"/>
        <w:rPr>
          <w:rFonts w:hint="eastAsia" w:ascii="微软雅黑" w:hAnsi="微软雅黑" w:eastAsia="微软雅黑"/>
          <w:sz w:val="20"/>
          <w:szCs w:val="20"/>
        </w:rPr>
      </w:pPr>
      <w:r>
        <w:rPr>
          <w:rFonts w:hint="eastAsia" w:ascii="微软雅黑" w:hAnsi="微软雅黑" w:eastAsia="微软雅黑"/>
          <w:sz w:val="20"/>
          <w:szCs w:val="20"/>
        </w:rPr>
        <w:t>操作步骤：</w:t>
      </w:r>
    </w:p>
    <w:p w14:paraId="470D9ECB">
      <w:pPr>
        <w:pStyle w:val="19"/>
        <w:numPr>
          <w:ilvl w:val="0"/>
          <w:numId w:val="8"/>
        </w:numPr>
        <w:spacing w:after="160" w:line="278" w:lineRule="auto"/>
        <w:ind w:firstLineChars="0"/>
        <w:contextualSpacing/>
        <w:jc w:val="left"/>
        <w:rPr>
          <w:rFonts w:hint="eastAsia" w:ascii="微软雅黑" w:hAnsi="微软雅黑" w:eastAsia="微软雅黑"/>
          <w:sz w:val="20"/>
          <w:szCs w:val="20"/>
        </w:rPr>
      </w:pPr>
      <w:r>
        <w:rPr>
          <w:rFonts w:hint="eastAsia" w:ascii="微软雅黑" w:hAnsi="微软雅黑" w:eastAsia="微软雅黑"/>
          <w:sz w:val="20"/>
          <w:szCs w:val="20"/>
        </w:rPr>
        <w:t>司机(安全员)驾驶车辆停在角反5，6后方，位于车道中心线上的起始标定位，如上图</w:t>
      </w:r>
      <w:r>
        <w:rPr>
          <w:rFonts w:hint="eastAsia" w:ascii="微软雅黑" w:hAnsi="微软雅黑" w:eastAsia="微软雅黑"/>
          <w:b/>
          <w:bCs/>
          <w:sz w:val="20"/>
          <w:szCs w:val="20"/>
        </w:rPr>
        <w:t>起点</w:t>
      </w:r>
      <w:r>
        <w:rPr>
          <w:rFonts w:hint="eastAsia" w:ascii="微软雅黑" w:hAnsi="微软雅黑" w:eastAsia="微软雅黑"/>
          <w:sz w:val="20"/>
          <w:szCs w:val="20"/>
        </w:rPr>
        <w:t>所示位置，车头位于Radar标定区域外</w:t>
      </w:r>
    </w:p>
    <w:p w14:paraId="2ED0BFF9">
      <w:pPr>
        <w:pStyle w:val="19"/>
        <w:numPr>
          <w:ilvl w:val="0"/>
          <w:numId w:val="8"/>
        </w:numPr>
        <w:ind w:firstLineChars="0"/>
        <w:rPr>
          <w:rFonts w:ascii="微软雅黑" w:hAnsi="微软雅黑" w:eastAsia="微软雅黑"/>
          <w:sz w:val="20"/>
          <w:szCs w:val="20"/>
        </w:rPr>
      </w:pPr>
      <w:r>
        <w:rPr>
          <w:rFonts w:hint="eastAsia" w:ascii="微软雅黑" w:hAnsi="微软雅黑" w:eastAsia="微软雅黑"/>
          <w:sz w:val="20"/>
          <w:szCs w:val="20"/>
        </w:rPr>
        <w:t>平台工程师在</w:t>
      </w:r>
      <w:r>
        <w:rPr>
          <w:rFonts w:hint="eastAsia" w:ascii="微软雅黑" w:hAnsi="微软雅黑" w:eastAsia="微软雅黑"/>
          <w:b/>
          <w:bCs/>
          <w:sz w:val="20"/>
          <w:szCs w:val="20"/>
        </w:rPr>
        <w:t>进程启停管理</w:t>
      </w:r>
      <w:r>
        <w:rPr>
          <w:rFonts w:hint="eastAsia" w:ascii="微软雅黑" w:hAnsi="微软雅黑" w:eastAsia="微软雅黑"/>
          <w:sz w:val="20"/>
          <w:szCs w:val="20"/>
        </w:rPr>
        <w:t>页面选择标定的车辆点击“软件运行模式切换”按钮，弹出“软件运行模式切换”窗口页面;</w:t>
      </w:r>
    </w:p>
    <w:p w14:paraId="25425EB7">
      <w:pPr>
        <w:pStyle w:val="19"/>
        <w:ind w:left="785" w:firstLine="0" w:firstLineChars="0"/>
        <w:rPr>
          <w:rFonts w:hint="eastAsia" w:ascii="微软雅黑" w:hAnsi="微软雅黑" w:eastAsia="微软雅黑"/>
          <w:sz w:val="20"/>
          <w:szCs w:val="20"/>
        </w:rPr>
      </w:pPr>
      <w:r>
        <w:drawing>
          <wp:inline distT="0" distB="0" distL="0" distR="0">
            <wp:extent cx="5274310" cy="2252980"/>
            <wp:effectExtent l="0" t="0" r="2540" b="0"/>
            <wp:docPr id="21998601" name="图片 1" descr="截图里有图片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98601" name="图片 1" descr="截图里有图片&#10;&#10;描述已自动生成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9B012">
      <w:pPr>
        <w:pStyle w:val="19"/>
        <w:numPr>
          <w:ilvl w:val="0"/>
          <w:numId w:val="8"/>
        </w:numPr>
        <w:ind w:firstLineChars="0"/>
        <w:rPr>
          <w:rFonts w:ascii="微软雅黑" w:hAnsi="微软雅黑" w:eastAsia="微软雅黑"/>
          <w:sz w:val="20"/>
          <w:szCs w:val="20"/>
        </w:rPr>
      </w:pPr>
      <w:r>
        <w:rPr>
          <w:rFonts w:hint="eastAsia" w:ascii="微软雅黑" w:hAnsi="微软雅黑" w:eastAsia="微软雅黑"/>
          <w:sz w:val="20"/>
          <w:szCs w:val="20"/>
        </w:rPr>
        <w:t>选择软件运行模式为“Radar 标定模式”，点击“指令下发”会自动关闭已经打开的进程，并拉起新进程，此时软件运行模式切换为“Radar标定模式</w:t>
      </w:r>
    </w:p>
    <w:p w14:paraId="1B9720A6">
      <w:pPr>
        <w:pStyle w:val="19"/>
        <w:numPr>
          <w:ilvl w:val="0"/>
          <w:numId w:val="8"/>
        </w:numPr>
        <w:ind w:firstLineChars="0"/>
        <w:rPr>
          <w:rFonts w:ascii="微软雅黑" w:hAnsi="微软雅黑" w:eastAsia="微软雅黑"/>
          <w:sz w:val="20"/>
          <w:szCs w:val="20"/>
        </w:rPr>
      </w:pPr>
      <w:r>
        <w:rPr>
          <w:rFonts w:hint="eastAsia" w:ascii="微软雅黑" w:hAnsi="微软雅黑" w:eastAsia="微软雅黑"/>
          <w:sz w:val="20"/>
          <w:szCs w:val="20"/>
        </w:rPr>
        <w:t>切换为“Radar 标定模式”，在“进程启停”页面，确认标定车辆如下红框中进程显示为绿色启动状态。</w:t>
      </w:r>
    </w:p>
    <w:p w14:paraId="47F4F2DD">
      <w:pPr>
        <w:pStyle w:val="19"/>
        <w:numPr>
          <w:ilvl w:val="0"/>
          <w:numId w:val="8"/>
        </w:numPr>
        <w:ind w:firstLineChars="0"/>
        <w:rPr>
          <w:rFonts w:ascii="微软雅黑" w:hAnsi="微软雅黑" w:eastAsia="微软雅黑"/>
          <w:sz w:val="20"/>
          <w:szCs w:val="20"/>
        </w:rPr>
      </w:pPr>
      <w:r>
        <w:rPr>
          <w:rFonts w:hint="eastAsia" w:ascii="微软雅黑" w:hAnsi="微软雅黑" w:eastAsia="微软雅黑"/>
          <w:sz w:val="20"/>
          <w:szCs w:val="20"/>
        </w:rPr>
        <w:t>司机(安全员)驾驶车辆沿车道中心线以1km/h ~2km/h 匀速直线行驶，车辆行驶过程中不能停止直到驶出标定区域(车速过快会影响标定结果，会导致标定失败，请按照规定车速行驶)，直到车辆尾部驶出 Radar 标定区域，在继续直线行驶 10m 后停止。</w:t>
      </w:r>
    </w:p>
    <w:p w14:paraId="5CEFF3F5">
      <w:pPr>
        <w:pStyle w:val="19"/>
        <w:numPr>
          <w:ilvl w:val="0"/>
          <w:numId w:val="8"/>
        </w:numPr>
        <w:ind w:firstLineChars="0"/>
        <w:rPr>
          <w:rFonts w:ascii="微软雅黑" w:hAnsi="微软雅黑" w:eastAsia="微软雅黑"/>
          <w:sz w:val="20"/>
          <w:szCs w:val="20"/>
        </w:rPr>
      </w:pPr>
      <w:r>
        <w:rPr>
          <w:rFonts w:hint="eastAsia" w:ascii="微软雅黑" w:hAnsi="微软雅黑" w:eastAsia="微软雅黑"/>
          <w:sz w:val="20"/>
          <w:szCs w:val="20"/>
        </w:rPr>
        <w:t>数据采集结束开始标定，大概1分钟左右会出标定结果，平台工程师在“事件通知及故障告警消6.息查询”页面按照如下查询条件查询，在“告警子类”一列查看标定事件通知(需要频繁点击下图中的查询按钮，最新标定事件才能显示出来)</w:t>
      </w:r>
      <w:r>
        <w:t xml:space="preserve"> </w:t>
      </w:r>
      <w:r>
        <w:drawing>
          <wp:inline distT="0" distB="0" distL="0" distR="0">
            <wp:extent cx="4698365" cy="1360170"/>
            <wp:effectExtent l="0" t="0" r="6985" b="0"/>
            <wp:docPr id="15416491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649191" name="图片 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714736" cy="136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EAC41">
      <w:pPr>
        <w:pStyle w:val="19"/>
        <w:numPr>
          <w:ilvl w:val="0"/>
          <w:numId w:val="8"/>
        </w:numPr>
        <w:ind w:firstLineChars="0"/>
        <w:rPr>
          <w:rFonts w:ascii="微软雅黑" w:hAnsi="微软雅黑" w:eastAsia="微软雅黑"/>
          <w:sz w:val="20"/>
          <w:szCs w:val="20"/>
        </w:rPr>
      </w:pPr>
      <w:r>
        <w:rPr>
          <w:rFonts w:hint="eastAsia" w:ascii="微软雅黑" w:hAnsi="微软雅黑" w:eastAsia="微软雅黑"/>
          <w:sz w:val="20"/>
          <w:szCs w:val="20"/>
        </w:rPr>
        <w:t>标定成功与否，根据告警提示执行对应动作(如果标定成功则通知研发取标定结果)</w:t>
      </w:r>
    </w:p>
    <w:p w14:paraId="2719E19F">
      <w:pPr>
        <w:pStyle w:val="19"/>
        <w:ind w:left="785" w:firstLine="0" w:firstLineChars="0"/>
        <w:rPr>
          <w:rFonts w:ascii="微软雅黑" w:hAnsi="微软雅黑" w:eastAsia="微软雅黑"/>
          <w:sz w:val="20"/>
          <w:szCs w:val="20"/>
        </w:rPr>
      </w:pPr>
      <w:r>
        <w:rPr>
          <w:rFonts w:hint="eastAsia" w:ascii="微软雅黑" w:hAnsi="微软雅黑" w:eastAsia="微软雅黑"/>
          <w:sz w:val="20"/>
          <w:szCs w:val="20"/>
        </w:rPr>
        <w:t>注 意:②驾驶模式全不选; ③选择标定车辆;④选择事件通知;⑤选择标定模块通知; ⑥选择车辆标定的时间范围;⑦点击查询按钮;</w:t>
      </w:r>
    </w:p>
    <w:p w14:paraId="036E6309">
      <w:pPr>
        <w:pStyle w:val="19"/>
        <w:ind w:left="785" w:firstLine="0" w:firstLineChars="0"/>
        <w:rPr>
          <w:rFonts w:ascii="微软雅黑" w:hAnsi="微软雅黑" w:eastAsia="微软雅黑"/>
          <w:sz w:val="20"/>
          <w:szCs w:val="20"/>
        </w:rPr>
      </w:pPr>
      <w:r>
        <w:drawing>
          <wp:inline distT="0" distB="0" distL="0" distR="0">
            <wp:extent cx="4761865" cy="1180465"/>
            <wp:effectExtent l="0" t="0" r="635" b="635"/>
            <wp:docPr id="24945177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45177" name="图片 1" descr="文本&#10;&#10;描述已自动生成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769387" cy="1182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D87DF">
      <w:pPr>
        <w:pStyle w:val="19"/>
        <w:numPr>
          <w:ilvl w:val="0"/>
          <w:numId w:val="8"/>
        </w:numPr>
        <w:ind w:firstLineChars="0"/>
        <w:rPr>
          <w:rFonts w:hint="eastAsia" w:ascii="微软雅黑" w:hAnsi="微软雅黑" w:eastAsia="微软雅黑"/>
          <w:sz w:val="20"/>
          <w:szCs w:val="20"/>
        </w:rPr>
      </w:pPr>
      <w:r>
        <w:rPr>
          <w:rFonts w:hint="eastAsia" w:ascii="微软雅黑" w:hAnsi="微软雅黑" w:eastAsia="微软雅黑"/>
          <w:sz w:val="20"/>
          <w:szCs w:val="20"/>
        </w:rPr>
        <w:t>在进程启停管理页面选择标定的车辆，点击“软件运行模式切换”按钮，选择“常规模式”，点击“指令下发”按钮，等待软件运行模式切换为常规模式。</w:t>
      </w:r>
    </w:p>
    <w:p w14:paraId="42F34A54">
      <w:pPr>
        <w:pStyle w:val="19"/>
        <w:numPr>
          <w:ilvl w:val="1"/>
          <w:numId w:val="1"/>
        </w:numPr>
        <w:ind w:firstLineChars="0"/>
        <w:rPr>
          <w:rFonts w:ascii="微软雅黑" w:hAnsi="微软雅黑" w:eastAsia="微软雅黑"/>
          <w:sz w:val="22"/>
          <w:szCs w:val="24"/>
        </w:rPr>
      </w:pPr>
      <w:r>
        <w:rPr>
          <w:rFonts w:hint="eastAsia" w:ascii="微软雅黑" w:hAnsi="微软雅黑" w:eastAsia="微软雅黑"/>
          <w:sz w:val="22"/>
          <w:szCs w:val="24"/>
        </w:rPr>
        <w:t>Camera</w:t>
      </w:r>
    </w:p>
    <w:p w14:paraId="57173C64">
      <w:pPr>
        <w:pStyle w:val="19"/>
        <w:ind w:left="720" w:firstLine="0" w:firstLineChars="0"/>
        <w:rPr>
          <w:rFonts w:hint="eastAsia" w:ascii="微软雅黑" w:hAnsi="微软雅黑" w:eastAsia="微软雅黑"/>
          <w:sz w:val="22"/>
          <w:szCs w:val="24"/>
        </w:rPr>
      </w:pPr>
    </w:p>
    <w:p w14:paraId="18E13A69">
      <w:pPr>
        <w:pStyle w:val="19"/>
        <w:numPr>
          <w:ilvl w:val="1"/>
          <w:numId w:val="1"/>
        </w:numPr>
        <w:ind w:firstLineChars="0"/>
        <w:rPr>
          <w:rFonts w:hint="eastAsia" w:ascii="微软雅黑" w:hAnsi="微软雅黑" w:eastAsia="微软雅黑"/>
          <w:sz w:val="22"/>
          <w:szCs w:val="24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377007018"/>
      <w:docPartObj>
        <w:docPartGallery w:val="autotext"/>
      </w:docPartObj>
    </w:sdtPr>
    <w:sdtEndPr>
      <w:rPr>
        <w:rFonts w:hint="eastAsia"/>
      </w:rPr>
    </w:sdtEndPr>
    <w:sdtContent>
      <w:tbl>
        <w:tblPr>
          <w:tblStyle w:val="13"/>
          <w:tblW w:w="5309" w:type="pct"/>
          <w:tblInd w:w="-284" w:type="dxa"/>
          <w:tblBorders>
            <w:top w:val="single" w:color="auto" w:sz="4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autofit"/>
          <w:tblCellMar>
            <w:top w:w="0" w:type="dxa"/>
            <w:left w:w="108" w:type="dxa"/>
            <w:bottom w:w="0" w:type="dxa"/>
            <w:right w:w="108" w:type="dxa"/>
          </w:tblCellMar>
        </w:tblPr>
        <w:tblGrid>
          <w:gridCol w:w="3002"/>
          <w:gridCol w:w="2925"/>
          <w:gridCol w:w="3122"/>
        </w:tblGrid>
        <w:tr w14:paraId="32DED0C0">
          <w:tblPrEx>
            <w:tblBorders>
              <w:top w:val="single" w:color="auto" w:sz="4" w:space="0"/>
              <w:left w:val="none" w:color="auto" w:sz="0" w:space="0"/>
              <w:bottom w:val="none" w:color="auto" w:sz="0" w:space="0"/>
              <w:right w:val="none" w:color="auto" w:sz="0" w:space="0"/>
              <w:insideH w:val="none" w:color="auto" w:sz="0" w:space="0"/>
              <w:insideV w:val="none" w:color="auto" w:sz="0" w:space="0"/>
            </w:tblBorders>
            <w:tblCellMar>
              <w:top w:w="0" w:type="dxa"/>
              <w:left w:w="108" w:type="dxa"/>
              <w:bottom w:w="0" w:type="dxa"/>
              <w:right w:w="108" w:type="dxa"/>
            </w:tblCellMar>
          </w:tblPrEx>
          <w:trPr>
            <w:trHeight w:val="257" w:hRule="atLeast"/>
          </w:trPr>
          <w:tc>
            <w:tcPr>
              <w:tcW w:w="1659" w:type="pct"/>
            </w:tcPr>
            <w:p w14:paraId="32DED0BD">
              <w:pPr>
                <w:pStyle w:val="10"/>
                <w:ind w:firstLine="360" w:firstLineChars="200"/>
                <w:rPr>
                  <w:rFonts w:hint="eastAsia"/>
                </w:rPr>
              </w:pPr>
              <w:r>
                <w:fldChar w:fldCharType="begin"/>
              </w:r>
              <w:r>
                <w:instrText xml:space="preserve"> TIME \@ "yyyy-M-d" </w:instrText>
              </w:r>
              <w:r>
                <w:fldChar w:fldCharType="separate"/>
              </w:r>
              <w:r>
                <w:t>2025-10-14</w:t>
              </w:r>
              <w:r>
                <w:fldChar w:fldCharType="end"/>
              </w:r>
            </w:p>
          </w:tc>
          <w:tc>
            <w:tcPr>
              <w:tcW w:w="1616" w:type="pct"/>
            </w:tcPr>
            <w:p w14:paraId="32DED0BE">
              <w:pPr>
                <w:pStyle w:val="10"/>
                <w:rPr>
                  <w:rFonts w:hint="eastAsia"/>
                </w:rPr>
              </w:pPr>
              <w:r>
                <w:rPr>
                  <w:rFonts w:hint="eastAsia"/>
                </w:rPr>
                <w:t>嘉环保密信息,未经授权禁止扩散</w:t>
              </w:r>
            </w:p>
          </w:tc>
          <w:tc>
            <w:tcPr>
              <w:tcW w:w="1725" w:type="pct"/>
            </w:tcPr>
            <w:p w14:paraId="32DED0BF">
              <w:pPr>
                <w:pStyle w:val="10"/>
                <w:ind w:right="360" w:firstLine="360"/>
                <w:jc w:val="right"/>
                <w:rPr>
                  <w:rFonts w:hint="eastAsia"/>
                </w:rPr>
              </w:pPr>
              <w:r>
                <w:rPr>
                  <w:rFonts w:hint="eastAsia"/>
                </w:rPr>
                <w:t>第</w:t>
              </w:r>
              <w:r>
                <w:fldChar w:fldCharType="begin"/>
              </w:r>
              <w:r>
                <w:instrText xml:space="preserve">PAGE</w:instrText>
              </w:r>
              <w:r>
                <w:fldChar w:fldCharType="separate"/>
              </w:r>
              <w:r>
                <w:t>1</w:t>
              </w:r>
              <w:r>
                <w:fldChar w:fldCharType="end"/>
              </w:r>
              <w:r>
                <w:rPr>
                  <w:rFonts w:hint="eastAsia"/>
                </w:rPr>
                <w:t>页</w:t>
              </w:r>
              <w:r>
                <w:t xml:space="preserve">, </w:t>
              </w:r>
              <w:r>
                <w:rPr>
                  <w:rFonts w:hint="eastAsia"/>
                </w:rPr>
                <w:t>共</w:t>
              </w:r>
              <w:r>
                <w:fldChar w:fldCharType="begin"/>
              </w:r>
              <w:r>
                <w:instrText xml:space="preserve"> NUMPAGES  \* Arabic  \* MERGEFORMAT </w:instrText>
              </w:r>
              <w:r>
                <w:fldChar w:fldCharType="separate"/>
              </w:r>
              <w:r>
                <w:t>37</w:t>
              </w:r>
              <w:r>
                <w:fldChar w:fldCharType="end"/>
              </w:r>
              <w:r>
                <w:rPr>
                  <w:rFonts w:hint="eastAsia"/>
                </w:rPr>
                <w:t>页</w:t>
              </w:r>
            </w:p>
          </w:tc>
        </w:tr>
      </w:tbl>
      <w:p w14:paraId="32DED0C1">
        <w:pPr>
          <w:pStyle w:val="10"/>
          <w:ind w:right="720"/>
          <w:rPr>
            <w:rFonts w:hint="eastAsia"/>
          </w:rPr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tbl>
    <w:tblPr>
      <w:tblStyle w:val="14"/>
      <w:tblW w:w="0" w:type="auto"/>
      <w:tblInd w:w="0" w:type="dxa"/>
      <w:tblBorders>
        <w:top w:val="none" w:color="auto" w:sz="0" w:space="0"/>
        <w:left w:val="none" w:color="auto" w:sz="0" w:space="0"/>
        <w:bottom w:val="single" w:color="auto" w:sz="4" w:space="0"/>
        <w:right w:val="none" w:color="auto" w:sz="0" w:space="0"/>
        <w:insideH w:val="none" w:color="auto" w:sz="0" w:space="0"/>
        <w:insideV w:val="none" w:color="auto" w:sz="0" w:space="0"/>
      </w:tblBorders>
      <w:tblLayout w:type="autofit"/>
      <w:tblCellMar>
        <w:top w:w="0" w:type="dxa"/>
        <w:left w:w="108" w:type="dxa"/>
        <w:bottom w:w="0" w:type="dxa"/>
        <w:right w:w="108" w:type="dxa"/>
      </w:tblCellMar>
    </w:tblPr>
    <w:tblGrid>
      <w:gridCol w:w="1726"/>
      <w:gridCol w:w="4795"/>
      <w:gridCol w:w="1785"/>
    </w:tblGrid>
    <w:tr w14:paraId="32DED0BB">
      <w:tblPrEx>
        <w:tblBorders>
          <w:top w:val="none" w:color="auto" w:sz="0" w:space="0"/>
          <w:left w:val="none" w:color="auto" w:sz="0" w:space="0"/>
          <w:bottom w:val="single" w:color="auto" w:sz="4" w:space="0"/>
          <w:right w:val="none" w:color="auto" w:sz="0" w:space="0"/>
          <w:insideH w:val="none" w:color="auto" w:sz="0" w:space="0"/>
          <w:insideV w:val="none" w:color="auto" w:sz="0" w:space="0"/>
        </w:tblBorders>
        <w:tblCellMar>
          <w:top w:w="0" w:type="dxa"/>
          <w:left w:w="108" w:type="dxa"/>
          <w:bottom w:w="0" w:type="dxa"/>
          <w:right w:w="108" w:type="dxa"/>
        </w:tblCellMar>
      </w:tblPrEx>
      <w:tc>
        <w:tcPr>
          <w:tcW w:w="1726" w:type="dxa"/>
        </w:tcPr>
        <w:p w14:paraId="32DED0B8">
          <w:pPr>
            <w:pStyle w:val="11"/>
            <w:pBdr>
              <w:bottom w:val="none" w:color="auto" w:sz="0" w:space="0"/>
            </w:pBdr>
            <w:jc w:val="left"/>
            <w:rPr>
              <w:rFonts w:hint="eastAsia"/>
            </w:rPr>
          </w:pPr>
          <w:r>
            <w:drawing>
              <wp:inline distT="0" distB="0" distL="0" distR="0">
                <wp:extent cx="958850" cy="373380"/>
                <wp:effectExtent l="0" t="0" r="0" b="7620"/>
                <wp:docPr id="477625160" name="图片 1" descr="图标&#10;&#10;AI 生成的内容可能不正确。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7625160" name="图片 1" descr="图标&#10;&#10;AI 生成的内容可能不正确。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2">
                                  <a14:imgEffect>
                                    <a14:saturation sat="40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64156" cy="3756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795" w:type="dxa"/>
          <w:vAlign w:val="bottom"/>
        </w:tcPr>
        <w:p w14:paraId="32DED0B9">
          <w:pPr>
            <w:pStyle w:val="11"/>
            <w:pBdr>
              <w:bottom w:val="none" w:color="auto" w:sz="0" w:space="0"/>
            </w:pBdr>
            <w:rPr>
              <w:rFonts w:hint="eastAsia"/>
            </w:rPr>
          </w:pPr>
          <w:r>
            <w:rPr>
              <w:rFonts w:hint="eastAsia" w:ascii="微软雅黑" w:hAnsi="微软雅黑" w:eastAsia="微软雅黑"/>
            </w:rPr>
            <w:t>商专车自动驾驶-智能化硬件调测配置SOP指导书</w:t>
          </w:r>
        </w:p>
      </w:tc>
      <w:tc>
        <w:tcPr>
          <w:tcW w:w="1785" w:type="dxa"/>
          <w:vAlign w:val="bottom"/>
        </w:tcPr>
        <w:p w14:paraId="32DED0BA">
          <w:pPr>
            <w:pStyle w:val="11"/>
            <w:pBdr>
              <w:bottom w:val="none" w:color="auto" w:sz="0" w:space="0"/>
            </w:pBdr>
            <w:jc w:val="left"/>
            <w:rPr>
              <w:rFonts w:hint="eastAsia"/>
            </w:rPr>
          </w:pPr>
          <w:r>
            <w:rPr>
              <w:rFonts w:hint="eastAsia" w:ascii="微软雅黑" w:hAnsi="微软雅黑" w:eastAsia="微软雅黑"/>
              <w:sz w:val="16"/>
              <w:szCs w:val="16"/>
            </w:rPr>
            <w:t>文档密级：内部</w:t>
          </w:r>
          <w:r>
            <w:rPr>
              <w:rFonts w:ascii="微软雅黑" w:hAnsi="微软雅黑" w:eastAsia="微软雅黑"/>
              <w:sz w:val="16"/>
              <w:szCs w:val="16"/>
            </w:rPr>
            <w:t>公开</w:t>
          </w:r>
        </w:p>
      </w:tc>
    </w:tr>
  </w:tbl>
  <w:p w14:paraId="32DED0BC">
    <w:pPr>
      <w:pStyle w:val="11"/>
      <w:pBdr>
        <w:bottom w:val="none" w:color="auto" w:sz="0" w:space="0"/>
      </w:pBdr>
      <w:jc w:val="left"/>
      <w:rPr>
        <w:rFonts w:hint="eastAsia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8104C7"/>
    <w:multiLevelType w:val="multilevel"/>
    <w:tmpl w:val="048104C7"/>
    <w:lvl w:ilvl="0" w:tentative="0">
      <w:start w:val="1"/>
      <w:numFmt w:val="decimal"/>
      <w:lvlText w:val="%1)"/>
      <w:lvlJc w:val="left"/>
      <w:pPr>
        <w:ind w:left="440" w:hanging="44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1">
    <w:nsid w:val="049F7CB9"/>
    <w:multiLevelType w:val="multilevel"/>
    <w:tmpl w:val="049F7CB9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  <w:szCs w:val="32"/>
      </w:rPr>
    </w:lvl>
    <w:lvl w:ilvl="1" w:tentative="0">
      <w:start w:val="1"/>
      <w:numFmt w:val="decimal"/>
      <w:isLgl/>
      <w:lvlText w:val="%1.%2."/>
      <w:lvlJc w:val="left"/>
      <w:pPr>
        <w:ind w:left="720" w:hanging="720"/>
      </w:pPr>
      <w:rPr>
        <w:rFonts w:hint="default" w:ascii="微软雅黑" w:hAnsi="微软雅黑" w:eastAsia="微软雅黑"/>
        <w:sz w:val="22"/>
        <w:szCs w:val="22"/>
      </w:rPr>
    </w:lvl>
    <w:lvl w:ilvl="2" w:tentative="0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 w:tentative="0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 w:tentative="0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 w:tentative="0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 w:tentative="0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 w:tentative="0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0DAF323D"/>
    <w:multiLevelType w:val="multilevel"/>
    <w:tmpl w:val="0DAF323D"/>
    <w:lvl w:ilvl="0" w:tentative="0">
      <w:start w:val="1"/>
      <w:numFmt w:val="decimal"/>
      <w:lvlText w:val="%1）"/>
      <w:lvlJc w:val="left"/>
      <w:pPr>
        <w:ind w:left="785" w:hanging="360"/>
      </w:pPr>
      <w:rPr>
        <w:rFonts w:ascii="微软雅黑" w:hAnsi="微软雅黑" w:eastAsia="微软雅黑" w:cstheme="minorBidi"/>
      </w:rPr>
    </w:lvl>
    <w:lvl w:ilvl="1" w:tentative="0">
      <w:start w:val="1"/>
      <w:numFmt w:val="lowerLetter"/>
      <w:lvlText w:val="%2)"/>
      <w:lvlJc w:val="left"/>
      <w:pPr>
        <w:ind w:left="1305" w:hanging="440"/>
      </w:pPr>
    </w:lvl>
    <w:lvl w:ilvl="2" w:tentative="0">
      <w:start w:val="1"/>
      <w:numFmt w:val="lowerRoman"/>
      <w:lvlText w:val="%3."/>
      <w:lvlJc w:val="right"/>
      <w:pPr>
        <w:ind w:left="1745" w:hanging="440"/>
      </w:pPr>
    </w:lvl>
    <w:lvl w:ilvl="3" w:tentative="0">
      <w:start w:val="1"/>
      <w:numFmt w:val="decimal"/>
      <w:lvlText w:val="%4."/>
      <w:lvlJc w:val="left"/>
      <w:pPr>
        <w:ind w:left="2185" w:hanging="440"/>
      </w:pPr>
    </w:lvl>
    <w:lvl w:ilvl="4" w:tentative="0">
      <w:start w:val="1"/>
      <w:numFmt w:val="lowerLetter"/>
      <w:lvlText w:val="%5)"/>
      <w:lvlJc w:val="left"/>
      <w:pPr>
        <w:ind w:left="2625" w:hanging="440"/>
      </w:pPr>
    </w:lvl>
    <w:lvl w:ilvl="5" w:tentative="0">
      <w:start w:val="1"/>
      <w:numFmt w:val="lowerRoman"/>
      <w:lvlText w:val="%6."/>
      <w:lvlJc w:val="right"/>
      <w:pPr>
        <w:ind w:left="3065" w:hanging="440"/>
      </w:pPr>
    </w:lvl>
    <w:lvl w:ilvl="6" w:tentative="0">
      <w:start w:val="1"/>
      <w:numFmt w:val="decimal"/>
      <w:lvlText w:val="%7."/>
      <w:lvlJc w:val="left"/>
      <w:pPr>
        <w:ind w:left="3505" w:hanging="440"/>
      </w:pPr>
    </w:lvl>
    <w:lvl w:ilvl="7" w:tentative="0">
      <w:start w:val="1"/>
      <w:numFmt w:val="lowerLetter"/>
      <w:lvlText w:val="%8)"/>
      <w:lvlJc w:val="left"/>
      <w:pPr>
        <w:ind w:left="3945" w:hanging="440"/>
      </w:pPr>
    </w:lvl>
    <w:lvl w:ilvl="8" w:tentative="0">
      <w:start w:val="1"/>
      <w:numFmt w:val="lowerRoman"/>
      <w:lvlText w:val="%9."/>
      <w:lvlJc w:val="right"/>
      <w:pPr>
        <w:ind w:left="4385" w:hanging="440"/>
      </w:pPr>
    </w:lvl>
  </w:abstractNum>
  <w:abstractNum w:abstractNumId="3">
    <w:nsid w:val="10FE0463"/>
    <w:multiLevelType w:val="multilevel"/>
    <w:tmpl w:val="10FE0463"/>
    <w:lvl w:ilvl="0" w:tentative="0">
      <w:start w:val="1"/>
      <w:numFmt w:val="decimal"/>
      <w:lvlText w:val="%1)"/>
      <w:lvlJc w:val="left"/>
      <w:pPr>
        <w:ind w:left="440" w:hanging="44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4">
    <w:nsid w:val="3B283D4B"/>
    <w:multiLevelType w:val="multilevel"/>
    <w:tmpl w:val="3B283D4B"/>
    <w:lvl w:ilvl="0" w:tentative="0">
      <w:start w:val="1"/>
      <w:numFmt w:val="decimal"/>
      <w:lvlText w:val="%1)"/>
      <w:lvlJc w:val="left"/>
      <w:pPr>
        <w:ind w:left="440" w:hanging="44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5">
    <w:nsid w:val="546906CA"/>
    <w:multiLevelType w:val="multilevel"/>
    <w:tmpl w:val="546906CA"/>
    <w:lvl w:ilvl="0" w:tentative="0">
      <w:start w:val="1"/>
      <w:numFmt w:val="decimal"/>
      <w:lvlText w:val="%1)"/>
      <w:lvlJc w:val="left"/>
      <w:pPr>
        <w:ind w:left="440" w:hanging="44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6">
    <w:nsid w:val="595C6786"/>
    <w:multiLevelType w:val="multilevel"/>
    <w:tmpl w:val="595C6786"/>
    <w:lvl w:ilvl="0" w:tentative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7">
    <w:nsid w:val="716920FD"/>
    <w:multiLevelType w:val="multilevel"/>
    <w:tmpl w:val="716920FD"/>
    <w:lvl w:ilvl="0" w:tentative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1"/>
  </w:num>
  <w:num w:numId="2">
    <w:abstractNumId w:val="0"/>
  </w:num>
  <w:num w:numId="3">
    <w:abstractNumId w:val="6"/>
  </w:num>
  <w:num w:numId="4">
    <w:abstractNumId w:val="3"/>
  </w:num>
  <w:num w:numId="5">
    <w:abstractNumId w:val="7"/>
  </w:num>
  <w:num w:numId="6">
    <w:abstractNumId w:val="4"/>
  </w:num>
  <w:num w:numId="7">
    <w:abstractNumId w:val="5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2"/>
  <w:bordersDoNotSurroundHeader w:val="1"/>
  <w:bordersDoNotSurroundFooter w:val="1"/>
  <w:documentProtection w:enforcement="0"/>
  <w:defaultTabStop w:val="4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566E"/>
    <w:rsid w:val="00000F15"/>
    <w:rsid w:val="00005398"/>
    <w:rsid w:val="000060AB"/>
    <w:rsid w:val="000104C0"/>
    <w:rsid w:val="00015FA0"/>
    <w:rsid w:val="00025C38"/>
    <w:rsid w:val="00034CF2"/>
    <w:rsid w:val="00035D56"/>
    <w:rsid w:val="000402AB"/>
    <w:rsid w:val="00043384"/>
    <w:rsid w:val="00045DA2"/>
    <w:rsid w:val="00050C15"/>
    <w:rsid w:val="000512EF"/>
    <w:rsid w:val="00051A32"/>
    <w:rsid w:val="0005568F"/>
    <w:rsid w:val="000648BC"/>
    <w:rsid w:val="000775EE"/>
    <w:rsid w:val="000A715E"/>
    <w:rsid w:val="000A74C5"/>
    <w:rsid w:val="000B0A8D"/>
    <w:rsid w:val="000D1B77"/>
    <w:rsid w:val="000D48D7"/>
    <w:rsid w:val="000D498B"/>
    <w:rsid w:val="000E1509"/>
    <w:rsid w:val="000F0AC1"/>
    <w:rsid w:val="0010418D"/>
    <w:rsid w:val="00106AED"/>
    <w:rsid w:val="001150E1"/>
    <w:rsid w:val="00116285"/>
    <w:rsid w:val="00117CB9"/>
    <w:rsid w:val="00131099"/>
    <w:rsid w:val="001433E2"/>
    <w:rsid w:val="00155251"/>
    <w:rsid w:val="00183601"/>
    <w:rsid w:val="001A48D6"/>
    <w:rsid w:val="001B096F"/>
    <w:rsid w:val="001B75E3"/>
    <w:rsid w:val="001C1372"/>
    <w:rsid w:val="001C1439"/>
    <w:rsid w:val="001C7FCD"/>
    <w:rsid w:val="001D75FE"/>
    <w:rsid w:val="001F3775"/>
    <w:rsid w:val="001F7C5C"/>
    <w:rsid w:val="00200CAC"/>
    <w:rsid w:val="0021068C"/>
    <w:rsid w:val="002161E8"/>
    <w:rsid w:val="00224986"/>
    <w:rsid w:val="002267A1"/>
    <w:rsid w:val="0022686E"/>
    <w:rsid w:val="00232B8D"/>
    <w:rsid w:val="00241929"/>
    <w:rsid w:val="002423C0"/>
    <w:rsid w:val="00246692"/>
    <w:rsid w:val="00251CE1"/>
    <w:rsid w:val="00270C64"/>
    <w:rsid w:val="00273F3E"/>
    <w:rsid w:val="00282D5D"/>
    <w:rsid w:val="00294BC9"/>
    <w:rsid w:val="002B1D19"/>
    <w:rsid w:val="002C140C"/>
    <w:rsid w:val="002C58B6"/>
    <w:rsid w:val="002F1243"/>
    <w:rsid w:val="00303C74"/>
    <w:rsid w:val="00305859"/>
    <w:rsid w:val="0030771F"/>
    <w:rsid w:val="0031580E"/>
    <w:rsid w:val="003338B6"/>
    <w:rsid w:val="00336BC1"/>
    <w:rsid w:val="0035797C"/>
    <w:rsid w:val="003750C7"/>
    <w:rsid w:val="00376043"/>
    <w:rsid w:val="003770BF"/>
    <w:rsid w:val="00384DCB"/>
    <w:rsid w:val="00386FB5"/>
    <w:rsid w:val="00391046"/>
    <w:rsid w:val="0039245A"/>
    <w:rsid w:val="00393A0A"/>
    <w:rsid w:val="003A1371"/>
    <w:rsid w:val="003A390D"/>
    <w:rsid w:val="003C025F"/>
    <w:rsid w:val="003C56FE"/>
    <w:rsid w:val="003C7D2C"/>
    <w:rsid w:val="003D28D4"/>
    <w:rsid w:val="003D29A4"/>
    <w:rsid w:val="003D598D"/>
    <w:rsid w:val="003E67AD"/>
    <w:rsid w:val="00400E01"/>
    <w:rsid w:val="00420789"/>
    <w:rsid w:val="004253D7"/>
    <w:rsid w:val="00425F44"/>
    <w:rsid w:val="0043584A"/>
    <w:rsid w:val="00436970"/>
    <w:rsid w:val="00440E6D"/>
    <w:rsid w:val="0044567B"/>
    <w:rsid w:val="00460AF3"/>
    <w:rsid w:val="0046160B"/>
    <w:rsid w:val="004649DC"/>
    <w:rsid w:val="004731DF"/>
    <w:rsid w:val="004933DB"/>
    <w:rsid w:val="004B06B6"/>
    <w:rsid w:val="004B3FE2"/>
    <w:rsid w:val="004B5539"/>
    <w:rsid w:val="004C155F"/>
    <w:rsid w:val="004C2EC8"/>
    <w:rsid w:val="004E7191"/>
    <w:rsid w:val="004F18EC"/>
    <w:rsid w:val="00502B46"/>
    <w:rsid w:val="00505042"/>
    <w:rsid w:val="00510CCF"/>
    <w:rsid w:val="00546A17"/>
    <w:rsid w:val="005537D1"/>
    <w:rsid w:val="00581B9D"/>
    <w:rsid w:val="00582AFF"/>
    <w:rsid w:val="005A1777"/>
    <w:rsid w:val="005A2991"/>
    <w:rsid w:val="005C437B"/>
    <w:rsid w:val="005C7302"/>
    <w:rsid w:val="005D1051"/>
    <w:rsid w:val="005D79A5"/>
    <w:rsid w:val="0060160C"/>
    <w:rsid w:val="0061159A"/>
    <w:rsid w:val="0061192D"/>
    <w:rsid w:val="0061487A"/>
    <w:rsid w:val="00615F5B"/>
    <w:rsid w:val="0061672D"/>
    <w:rsid w:val="0067110B"/>
    <w:rsid w:val="006723A5"/>
    <w:rsid w:val="00673F55"/>
    <w:rsid w:val="006819CF"/>
    <w:rsid w:val="00683112"/>
    <w:rsid w:val="006873D4"/>
    <w:rsid w:val="00694396"/>
    <w:rsid w:val="00697005"/>
    <w:rsid w:val="006B1558"/>
    <w:rsid w:val="006B261C"/>
    <w:rsid w:val="006B6382"/>
    <w:rsid w:val="006C3CDE"/>
    <w:rsid w:val="0070690C"/>
    <w:rsid w:val="00706CD6"/>
    <w:rsid w:val="00713A28"/>
    <w:rsid w:val="007261BA"/>
    <w:rsid w:val="00742EDD"/>
    <w:rsid w:val="00755C0C"/>
    <w:rsid w:val="00756CCC"/>
    <w:rsid w:val="00764E96"/>
    <w:rsid w:val="00767C01"/>
    <w:rsid w:val="0077388F"/>
    <w:rsid w:val="007A3CA6"/>
    <w:rsid w:val="007A598E"/>
    <w:rsid w:val="007B5DBF"/>
    <w:rsid w:val="007B7B1B"/>
    <w:rsid w:val="007C5805"/>
    <w:rsid w:val="007C6A7C"/>
    <w:rsid w:val="007E0DE4"/>
    <w:rsid w:val="007E2D34"/>
    <w:rsid w:val="007E7711"/>
    <w:rsid w:val="007E7B0B"/>
    <w:rsid w:val="00804958"/>
    <w:rsid w:val="008115C0"/>
    <w:rsid w:val="00832C9A"/>
    <w:rsid w:val="008334CA"/>
    <w:rsid w:val="008732D0"/>
    <w:rsid w:val="008748CC"/>
    <w:rsid w:val="00874F96"/>
    <w:rsid w:val="0088475A"/>
    <w:rsid w:val="008866C1"/>
    <w:rsid w:val="00896DAA"/>
    <w:rsid w:val="008B265F"/>
    <w:rsid w:val="008C1F50"/>
    <w:rsid w:val="008C7A81"/>
    <w:rsid w:val="008D7A75"/>
    <w:rsid w:val="008E2B07"/>
    <w:rsid w:val="008E539C"/>
    <w:rsid w:val="00900496"/>
    <w:rsid w:val="00911204"/>
    <w:rsid w:val="009140CF"/>
    <w:rsid w:val="00931287"/>
    <w:rsid w:val="00937EAF"/>
    <w:rsid w:val="00951A55"/>
    <w:rsid w:val="009543E4"/>
    <w:rsid w:val="0098439F"/>
    <w:rsid w:val="0098566E"/>
    <w:rsid w:val="009950FC"/>
    <w:rsid w:val="00995F0F"/>
    <w:rsid w:val="009975B8"/>
    <w:rsid w:val="009A3A8C"/>
    <w:rsid w:val="009B7949"/>
    <w:rsid w:val="009B7AB0"/>
    <w:rsid w:val="009C7D1A"/>
    <w:rsid w:val="009D1411"/>
    <w:rsid w:val="009D32DD"/>
    <w:rsid w:val="009D3D29"/>
    <w:rsid w:val="009E257C"/>
    <w:rsid w:val="00A00B14"/>
    <w:rsid w:val="00A17A99"/>
    <w:rsid w:val="00A35C66"/>
    <w:rsid w:val="00A37E72"/>
    <w:rsid w:val="00A4658D"/>
    <w:rsid w:val="00A626C2"/>
    <w:rsid w:val="00A73F95"/>
    <w:rsid w:val="00A80AB7"/>
    <w:rsid w:val="00A830A2"/>
    <w:rsid w:val="00A83E1C"/>
    <w:rsid w:val="00A857DB"/>
    <w:rsid w:val="00A87459"/>
    <w:rsid w:val="00A966F6"/>
    <w:rsid w:val="00AA3DD6"/>
    <w:rsid w:val="00AB304B"/>
    <w:rsid w:val="00AB34AB"/>
    <w:rsid w:val="00AB51AD"/>
    <w:rsid w:val="00AC3B1C"/>
    <w:rsid w:val="00AC5A74"/>
    <w:rsid w:val="00AC78F1"/>
    <w:rsid w:val="00AD14E8"/>
    <w:rsid w:val="00AD3D6F"/>
    <w:rsid w:val="00AE7365"/>
    <w:rsid w:val="00AF2AE6"/>
    <w:rsid w:val="00AF3CB4"/>
    <w:rsid w:val="00B04EFB"/>
    <w:rsid w:val="00B11BDF"/>
    <w:rsid w:val="00B11F37"/>
    <w:rsid w:val="00B13F0A"/>
    <w:rsid w:val="00B24F32"/>
    <w:rsid w:val="00B25E7D"/>
    <w:rsid w:val="00B26E96"/>
    <w:rsid w:val="00B31CE1"/>
    <w:rsid w:val="00B330D1"/>
    <w:rsid w:val="00B642F9"/>
    <w:rsid w:val="00B669EA"/>
    <w:rsid w:val="00B672EF"/>
    <w:rsid w:val="00B67644"/>
    <w:rsid w:val="00B820FE"/>
    <w:rsid w:val="00B826B7"/>
    <w:rsid w:val="00B8311B"/>
    <w:rsid w:val="00B8347F"/>
    <w:rsid w:val="00B97B66"/>
    <w:rsid w:val="00BA1FC4"/>
    <w:rsid w:val="00BA54CC"/>
    <w:rsid w:val="00BB1B72"/>
    <w:rsid w:val="00BB2E1B"/>
    <w:rsid w:val="00BB4B42"/>
    <w:rsid w:val="00BB4FC7"/>
    <w:rsid w:val="00BD333D"/>
    <w:rsid w:val="00BD38F1"/>
    <w:rsid w:val="00BE5816"/>
    <w:rsid w:val="00BF267B"/>
    <w:rsid w:val="00C005D1"/>
    <w:rsid w:val="00C01043"/>
    <w:rsid w:val="00C02D81"/>
    <w:rsid w:val="00C156D6"/>
    <w:rsid w:val="00C2113F"/>
    <w:rsid w:val="00C22922"/>
    <w:rsid w:val="00C33F47"/>
    <w:rsid w:val="00C41F92"/>
    <w:rsid w:val="00C42986"/>
    <w:rsid w:val="00C4593C"/>
    <w:rsid w:val="00C85ACD"/>
    <w:rsid w:val="00CB1AD9"/>
    <w:rsid w:val="00CB38FD"/>
    <w:rsid w:val="00CB5729"/>
    <w:rsid w:val="00CC038E"/>
    <w:rsid w:val="00CC14D5"/>
    <w:rsid w:val="00CC445C"/>
    <w:rsid w:val="00CD45C0"/>
    <w:rsid w:val="00CD56DE"/>
    <w:rsid w:val="00CD59D9"/>
    <w:rsid w:val="00CD7A44"/>
    <w:rsid w:val="00CF0322"/>
    <w:rsid w:val="00CF2F5B"/>
    <w:rsid w:val="00D059CB"/>
    <w:rsid w:val="00D153CA"/>
    <w:rsid w:val="00D158D1"/>
    <w:rsid w:val="00D17791"/>
    <w:rsid w:val="00D236B0"/>
    <w:rsid w:val="00D238A4"/>
    <w:rsid w:val="00D309C3"/>
    <w:rsid w:val="00D575EB"/>
    <w:rsid w:val="00D81413"/>
    <w:rsid w:val="00D822D3"/>
    <w:rsid w:val="00D82DF2"/>
    <w:rsid w:val="00D90FDB"/>
    <w:rsid w:val="00D910B1"/>
    <w:rsid w:val="00D960B9"/>
    <w:rsid w:val="00D9749C"/>
    <w:rsid w:val="00DA59A3"/>
    <w:rsid w:val="00DA6297"/>
    <w:rsid w:val="00DA6534"/>
    <w:rsid w:val="00DB63D0"/>
    <w:rsid w:val="00DB79BF"/>
    <w:rsid w:val="00DE2948"/>
    <w:rsid w:val="00DF15F2"/>
    <w:rsid w:val="00E01BF2"/>
    <w:rsid w:val="00E02611"/>
    <w:rsid w:val="00E03B03"/>
    <w:rsid w:val="00E04545"/>
    <w:rsid w:val="00E1558D"/>
    <w:rsid w:val="00E206BF"/>
    <w:rsid w:val="00E31A6C"/>
    <w:rsid w:val="00E34675"/>
    <w:rsid w:val="00E358C1"/>
    <w:rsid w:val="00E4356A"/>
    <w:rsid w:val="00E5047C"/>
    <w:rsid w:val="00E50E9E"/>
    <w:rsid w:val="00E51142"/>
    <w:rsid w:val="00E576E0"/>
    <w:rsid w:val="00E7040E"/>
    <w:rsid w:val="00E828E4"/>
    <w:rsid w:val="00E87984"/>
    <w:rsid w:val="00E95D2D"/>
    <w:rsid w:val="00EB4D20"/>
    <w:rsid w:val="00EB7775"/>
    <w:rsid w:val="00EC2723"/>
    <w:rsid w:val="00ED69F3"/>
    <w:rsid w:val="00EE1060"/>
    <w:rsid w:val="00EE3A09"/>
    <w:rsid w:val="00EF070E"/>
    <w:rsid w:val="00EF096A"/>
    <w:rsid w:val="00EF2223"/>
    <w:rsid w:val="00EF5954"/>
    <w:rsid w:val="00EF6514"/>
    <w:rsid w:val="00F04202"/>
    <w:rsid w:val="00F131DC"/>
    <w:rsid w:val="00F14ECF"/>
    <w:rsid w:val="00F20F5E"/>
    <w:rsid w:val="00F26D02"/>
    <w:rsid w:val="00F35966"/>
    <w:rsid w:val="00F44757"/>
    <w:rsid w:val="00F473C7"/>
    <w:rsid w:val="00F67648"/>
    <w:rsid w:val="00F72BFE"/>
    <w:rsid w:val="00F755AA"/>
    <w:rsid w:val="00F81492"/>
    <w:rsid w:val="00F87301"/>
    <w:rsid w:val="00F902EF"/>
    <w:rsid w:val="00F9716E"/>
    <w:rsid w:val="00FA4F2D"/>
    <w:rsid w:val="00FA7203"/>
    <w:rsid w:val="00FB140C"/>
    <w:rsid w:val="00FB23EE"/>
    <w:rsid w:val="00FB76EB"/>
    <w:rsid w:val="00FC060A"/>
    <w:rsid w:val="00FD0D6A"/>
    <w:rsid w:val="00FE0526"/>
    <w:rsid w:val="00FE2E54"/>
    <w:rsid w:val="00FE722C"/>
    <w:rsid w:val="46BC6681"/>
    <w:rsid w:val="73F662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0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paragraph" w:styleId="2">
    <w:name w:val="heading 1"/>
    <w:basedOn w:val="1"/>
    <w:next w:val="1"/>
    <w:link w:val="16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8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20"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link w:val="24"/>
    <w:unhideWhenUsed/>
    <w:qFormat/>
    <w:uiPriority w:val="9"/>
    <w:pPr>
      <w:keepNext/>
      <w:keepLines/>
      <w:spacing w:before="280" w:after="290" w:line="376" w:lineRule="auto"/>
      <w:outlineLvl w:val="3"/>
    </w:pPr>
    <w:rPr>
      <w:rFonts w:asciiTheme="majorHAnsi" w:hAnsiTheme="majorHAnsi" w:eastAsiaTheme="majorEastAsia" w:cstheme="majorBidi"/>
      <w:b/>
      <w:bCs/>
      <w:sz w:val="28"/>
      <w:szCs w:val="28"/>
    </w:rPr>
  </w:style>
  <w:style w:type="paragraph" w:styleId="6">
    <w:name w:val="heading 5"/>
    <w:basedOn w:val="1"/>
    <w:next w:val="1"/>
    <w:link w:val="25"/>
    <w:unhideWhenUsed/>
    <w:qFormat/>
    <w:uiPriority w:val="9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7">
    <w:name w:val="heading 6"/>
    <w:basedOn w:val="1"/>
    <w:next w:val="1"/>
    <w:link w:val="27"/>
    <w:unhideWhenUsed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bCs/>
      <w:sz w:val="24"/>
      <w:szCs w:val="24"/>
    </w:rPr>
  </w:style>
  <w:style w:type="character" w:default="1" w:styleId="15">
    <w:name w:val="Default Paragraph Font"/>
    <w:unhideWhenUsed/>
    <w:qFormat/>
    <w:uiPriority w:val="1"/>
  </w:style>
  <w:style w:type="table" w:default="1" w:styleId="1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Date"/>
    <w:basedOn w:val="1"/>
    <w:next w:val="1"/>
    <w:link w:val="28"/>
    <w:semiHidden/>
    <w:unhideWhenUsed/>
    <w:qFormat/>
    <w:uiPriority w:val="99"/>
    <w:pPr>
      <w:ind w:left="100" w:leftChars="2500"/>
    </w:pPr>
  </w:style>
  <w:style w:type="paragraph" w:styleId="9">
    <w:name w:val="Balloon Text"/>
    <w:basedOn w:val="1"/>
    <w:link w:val="21"/>
    <w:semiHidden/>
    <w:unhideWhenUsed/>
    <w:qFormat/>
    <w:uiPriority w:val="99"/>
    <w:rPr>
      <w:sz w:val="18"/>
      <w:szCs w:val="18"/>
    </w:rPr>
  </w:style>
  <w:style w:type="paragraph" w:styleId="10">
    <w:name w:val="footer"/>
    <w:basedOn w:val="1"/>
    <w:link w:val="23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header"/>
    <w:basedOn w:val="1"/>
    <w:link w:val="22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Title"/>
    <w:basedOn w:val="1"/>
    <w:next w:val="1"/>
    <w:link w:val="17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4">
    <w:name w:val="Table Grid"/>
    <w:basedOn w:val="13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6">
    <w:name w:val="标题 1 字符"/>
    <w:basedOn w:val="15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字符"/>
    <w:basedOn w:val="15"/>
    <w:link w:val="12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标题 2 字符"/>
    <w:basedOn w:val="15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19">
    <w:name w:val="List Paragraph"/>
    <w:basedOn w:val="1"/>
    <w:link w:val="29"/>
    <w:qFormat/>
    <w:uiPriority w:val="34"/>
    <w:pPr>
      <w:ind w:firstLine="420" w:firstLineChars="200"/>
    </w:pPr>
  </w:style>
  <w:style w:type="character" w:customStyle="1" w:styleId="20">
    <w:name w:val="标题 3 字符"/>
    <w:basedOn w:val="15"/>
    <w:link w:val="4"/>
    <w:qFormat/>
    <w:uiPriority w:val="9"/>
    <w:rPr>
      <w:b/>
      <w:bCs/>
      <w:sz w:val="32"/>
      <w:szCs w:val="32"/>
    </w:rPr>
  </w:style>
  <w:style w:type="character" w:customStyle="1" w:styleId="21">
    <w:name w:val="批注框文本 字符"/>
    <w:basedOn w:val="15"/>
    <w:link w:val="9"/>
    <w:semiHidden/>
    <w:qFormat/>
    <w:uiPriority w:val="99"/>
    <w:rPr>
      <w:sz w:val="18"/>
      <w:szCs w:val="18"/>
    </w:rPr>
  </w:style>
  <w:style w:type="character" w:customStyle="1" w:styleId="22">
    <w:name w:val="页眉 字符"/>
    <w:basedOn w:val="15"/>
    <w:link w:val="11"/>
    <w:qFormat/>
    <w:uiPriority w:val="0"/>
    <w:rPr>
      <w:sz w:val="18"/>
      <w:szCs w:val="18"/>
    </w:rPr>
  </w:style>
  <w:style w:type="character" w:customStyle="1" w:styleId="23">
    <w:name w:val="页脚 字符"/>
    <w:basedOn w:val="15"/>
    <w:link w:val="10"/>
    <w:qFormat/>
    <w:uiPriority w:val="0"/>
    <w:rPr>
      <w:sz w:val="18"/>
      <w:szCs w:val="18"/>
    </w:rPr>
  </w:style>
  <w:style w:type="character" w:customStyle="1" w:styleId="24">
    <w:name w:val="标题 4 字符"/>
    <w:basedOn w:val="15"/>
    <w:link w:val="5"/>
    <w:qFormat/>
    <w:uiPriority w:val="9"/>
    <w:rPr>
      <w:rFonts w:asciiTheme="majorHAnsi" w:hAnsiTheme="majorHAnsi" w:eastAsiaTheme="majorEastAsia" w:cstheme="majorBidi"/>
      <w:b/>
      <w:bCs/>
      <w:sz w:val="28"/>
      <w:szCs w:val="28"/>
    </w:rPr>
  </w:style>
  <w:style w:type="character" w:customStyle="1" w:styleId="25">
    <w:name w:val="标题 5 字符"/>
    <w:basedOn w:val="15"/>
    <w:link w:val="6"/>
    <w:qFormat/>
    <w:uiPriority w:val="9"/>
    <w:rPr>
      <w:b/>
      <w:bCs/>
      <w:sz w:val="28"/>
      <w:szCs w:val="28"/>
    </w:rPr>
  </w:style>
  <w:style w:type="paragraph" w:customStyle="1" w:styleId="26">
    <w:name w:val="图样式"/>
    <w:basedOn w:val="1"/>
    <w:qFormat/>
    <w:uiPriority w:val="0"/>
    <w:pPr>
      <w:keepNext/>
      <w:widowControl/>
      <w:spacing w:before="80" w:after="80"/>
      <w:jc w:val="center"/>
    </w:pPr>
    <w:rPr>
      <w:rFonts w:ascii="Calibri" w:hAnsi="Calibri" w:eastAsia="宋体" w:cs="宋体"/>
      <w:kern w:val="0"/>
      <w:szCs w:val="21"/>
      <w14:ligatures w14:val="none"/>
    </w:rPr>
  </w:style>
  <w:style w:type="character" w:customStyle="1" w:styleId="27">
    <w:name w:val="标题 6 字符"/>
    <w:basedOn w:val="15"/>
    <w:link w:val="7"/>
    <w:qFormat/>
    <w:uiPriority w:val="9"/>
    <w:rPr>
      <w:rFonts w:asciiTheme="majorHAnsi" w:hAnsiTheme="majorHAnsi" w:eastAsiaTheme="majorEastAsia" w:cstheme="majorBidi"/>
      <w:b/>
      <w:bCs/>
      <w:kern w:val="2"/>
      <w:sz w:val="24"/>
      <w:szCs w:val="24"/>
      <w14:ligatures w14:val="standardContextual"/>
    </w:rPr>
  </w:style>
  <w:style w:type="character" w:customStyle="1" w:styleId="28">
    <w:name w:val="日期 字符"/>
    <w:basedOn w:val="15"/>
    <w:link w:val="8"/>
    <w:semiHidden/>
    <w:qFormat/>
    <w:uiPriority w:val="99"/>
    <w:rPr>
      <w:kern w:val="2"/>
      <w:sz w:val="21"/>
      <w:szCs w:val="22"/>
      <w14:ligatures w14:val="standardContextual"/>
    </w:rPr>
  </w:style>
  <w:style w:type="character" w:customStyle="1" w:styleId="29">
    <w:name w:val="列表段落 字符"/>
    <w:basedOn w:val="15"/>
    <w:link w:val="19"/>
    <w:qFormat/>
    <w:uiPriority w:val="34"/>
    <w:rPr>
      <w:kern w:val="2"/>
      <w:sz w:val="21"/>
      <w:szCs w:val="22"/>
      <w14:ligatures w14:val="standardContextual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1" Type="http://schemas.openxmlformats.org/officeDocument/2006/relationships/fontTable" Target="fontTable.xml"/><Relationship Id="rId50" Type="http://schemas.openxmlformats.org/officeDocument/2006/relationships/numbering" Target="numbering.xml"/><Relationship Id="rId5" Type="http://schemas.openxmlformats.org/officeDocument/2006/relationships/theme" Target="theme/theme1.xml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footer" Target="footer1.xml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header" Target="header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microsoft.com/office/2007/relationships/hdphoto" Target="media/image2.wdp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28</Pages>
  <Words>4236</Words>
  <Characters>4791</Characters>
  <Lines>125</Lines>
  <Paragraphs>142</Paragraphs>
  <TotalTime>282</TotalTime>
  <ScaleCrop>false</ScaleCrop>
  <LinksUpToDate>false</LinksUpToDate>
  <CharactersWithSpaces>4889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2024-09-11T01:07:00Z</dcterms:created>
  <dc:creator>威 喻</dc:creator>
  <cp:lastModifiedBy>雨隹-十二</cp:lastModifiedBy>
  <dcterms:modified xsi:type="dcterms:W3CDTF">2025-10-14T00:57:23Z</dcterms:modified>
  <cp:revision>206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eyJoZGlkIjoiZTQwOTc5ZTI1MzBiYzcxZTJkNGFhZTJjZDIzOTk3MzYiLCJ1c2VySWQiOiI2MTk5MzUzMzEifQ==</vt:lpwstr>
  </property>
  <property fmtid="{D5CDD505-2E9C-101B-9397-08002B2CF9AE}" pid="3" name="KSOProductBuildVer">
    <vt:lpwstr>2052-12.1.0.22529</vt:lpwstr>
  </property>
  <property fmtid="{D5CDD505-2E9C-101B-9397-08002B2CF9AE}" pid="4" name="ICV">
    <vt:lpwstr>3BF9962618D649BEB6901BDB1B42D060_13</vt:lpwstr>
  </property>
</Properties>
</file>