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0D124">
      <w:pPr>
        <w:jc w:val="center"/>
        <w:rPr>
          <w:rFonts w:hint="eastAsia" w:ascii="微软雅黑" w:hAnsi="微软雅黑" w:eastAsia="微软雅黑"/>
          <w:b/>
          <w:color w:val="000000"/>
          <w:sz w:val="44"/>
          <w:lang w:eastAsia="zh-CN"/>
        </w:rPr>
      </w:pPr>
      <w:bookmarkStart w:id="60" w:name="_GoBack"/>
      <w:bookmarkEnd w:id="60"/>
    </w:p>
    <w:p w14:paraId="4CF27206">
      <w:pPr>
        <w:jc w:val="center"/>
        <w:rPr>
          <w:rFonts w:hint="eastAsia" w:ascii="微软雅黑" w:hAnsi="微软雅黑" w:eastAsia="微软雅黑"/>
          <w:b/>
          <w:color w:val="000000"/>
          <w:sz w:val="44"/>
          <w:lang w:eastAsia="zh-CN"/>
        </w:rPr>
      </w:pPr>
    </w:p>
    <w:p w14:paraId="7F3AD437">
      <w:pPr>
        <w:jc w:val="center"/>
        <w:rPr>
          <w:rFonts w:hint="default" w:ascii="微软雅黑" w:hAnsi="微软雅黑" w:eastAsia="微软雅黑"/>
          <w:b/>
          <w:color w:val="000000"/>
          <w:sz w:val="44"/>
          <w:lang w:val="en-US" w:eastAsia="zh-CN"/>
        </w:rPr>
      </w:pPr>
      <w:r>
        <w:rPr>
          <w:rFonts w:hint="eastAsia" w:ascii="微软雅黑" w:hAnsi="微软雅黑" w:eastAsia="微软雅黑"/>
          <w:b/>
          <w:color w:val="000000"/>
          <w:sz w:val="44"/>
          <w:lang w:val="en-US" w:eastAsia="zh-CN"/>
        </w:rPr>
        <w:t>碳管理综合服务平台</w:t>
      </w:r>
    </w:p>
    <w:p w14:paraId="0E47F459">
      <w:pPr>
        <w:jc w:val="center"/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</w:pPr>
    </w:p>
    <w:p w14:paraId="0DA28F1C">
      <w:pPr>
        <w:jc w:val="center"/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  <w:t>操作说明书</w:t>
      </w:r>
    </w:p>
    <w:p w14:paraId="26300B44">
      <w:pPr>
        <w:jc w:val="center"/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</w:pPr>
    </w:p>
    <w:p w14:paraId="213565A8">
      <w:pPr>
        <w:jc w:val="center"/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</w:pPr>
    </w:p>
    <w:p w14:paraId="7080836A">
      <w:pPr>
        <w:jc w:val="center"/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</w:pPr>
    </w:p>
    <w:p w14:paraId="71460B12">
      <w:pPr>
        <w:jc w:val="center"/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</w:pPr>
    </w:p>
    <w:p w14:paraId="729D7CAE">
      <w:pPr>
        <w:jc w:val="center"/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</w:pPr>
    </w:p>
    <w:p w14:paraId="1B718960">
      <w:pPr>
        <w:jc w:val="center"/>
        <w:rPr>
          <w:rFonts w:hint="eastAsia" w:ascii="微软雅黑" w:hAnsi="微软雅黑" w:eastAsia="微软雅黑"/>
          <w:b/>
          <w:sz w:val="52"/>
          <w:szCs w:val="52"/>
          <w:lang w:val="en-US" w:eastAsia="zh-CN"/>
        </w:rPr>
      </w:pPr>
    </w:p>
    <w:p w14:paraId="45E0BADB">
      <w:pPr>
        <w:jc w:val="center"/>
        <w:rPr>
          <w:rFonts w:hint="eastAsia" w:ascii="微软雅黑" w:hAnsi="微软雅黑" w:eastAsia="微软雅黑"/>
          <w:b/>
          <w:color w:val="000000"/>
          <w:kern w:val="28"/>
          <w:sz w:val="32"/>
          <w:szCs w:val="32"/>
          <w:lang w:eastAsia="zh-CN"/>
        </w:rPr>
      </w:pPr>
    </w:p>
    <w:p w14:paraId="56731580">
      <w:pPr>
        <w:jc w:val="center"/>
        <w:rPr>
          <w:rFonts w:hint="eastAsia" w:ascii="微软雅黑" w:hAnsi="微软雅黑" w:eastAsia="微软雅黑"/>
          <w:b/>
          <w:color w:val="000000"/>
          <w:kern w:val="28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b/>
          <w:color w:val="000000"/>
          <w:kern w:val="28"/>
          <w:sz w:val="32"/>
          <w:szCs w:val="32"/>
          <w:lang w:eastAsia="zh-CN"/>
        </w:rPr>
        <w:t>嘉环科技</w:t>
      </w:r>
      <w:r>
        <w:rPr>
          <w:rFonts w:hint="eastAsia" w:ascii="微软雅黑" w:hAnsi="微软雅黑" w:eastAsia="微软雅黑"/>
          <w:b/>
          <w:color w:val="000000"/>
          <w:kern w:val="28"/>
          <w:sz w:val="32"/>
          <w:szCs w:val="32"/>
          <w:lang w:val="en-US" w:eastAsia="zh-CN"/>
        </w:rPr>
        <w:t>股份</w:t>
      </w:r>
      <w:r>
        <w:rPr>
          <w:rFonts w:hint="eastAsia" w:ascii="微软雅黑" w:hAnsi="微软雅黑" w:eastAsia="微软雅黑"/>
          <w:b/>
          <w:color w:val="000000"/>
          <w:kern w:val="28"/>
          <w:sz w:val="32"/>
          <w:szCs w:val="32"/>
          <w:lang w:eastAsia="zh-CN"/>
        </w:rPr>
        <w:t>有限公司</w:t>
      </w:r>
    </w:p>
    <w:p w14:paraId="5A3613F8">
      <w:pPr>
        <w:jc w:val="center"/>
        <w:rPr>
          <w:rFonts w:hint="eastAsia" w:ascii="微软雅黑" w:hAnsi="微软雅黑" w:eastAsia="微软雅黑"/>
          <w:b/>
          <w:color w:val="000000"/>
          <w:kern w:val="28"/>
          <w:sz w:val="32"/>
          <w:szCs w:val="32"/>
          <w:lang w:eastAsia="zh-CN"/>
        </w:rPr>
      </w:pPr>
    </w:p>
    <w:p w14:paraId="780F3245">
      <w:pPr>
        <w:jc w:val="center"/>
        <w:rPr>
          <w:rFonts w:hint="eastAsia" w:ascii="微软雅黑" w:hAnsi="微软雅黑" w:eastAsia="微软雅黑"/>
          <w:b/>
          <w:color w:val="000000"/>
          <w:kern w:val="28"/>
          <w:sz w:val="32"/>
          <w:szCs w:val="32"/>
          <w:lang w:eastAsia="zh-CN"/>
        </w:rPr>
      </w:pPr>
    </w:p>
    <w:p w14:paraId="3B60C4B3">
      <w:pPr>
        <w:spacing w:before="120"/>
        <w:rPr>
          <w:rFonts w:hint="eastAsia" w:ascii="微软雅黑" w:hAnsi="微软雅黑" w:eastAsia="微软雅黑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76AF4A7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4"/>
          <w:lang w:val="en-US" w:eastAsia="zh-CN" w:bidi="ar-SA"/>
        </w:rPr>
        <w:t>、</w:t>
      </w:r>
    </w:p>
    <w:p w14:paraId="3CCAF087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 w14:paraId="5182CF17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6767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sdtEndPr>
      <w:sdtContent>
        <w:p w14:paraId="7E3D3BE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5A49863D"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/>
              <w:lang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/>
              <w:lang w:eastAsia="zh-CN"/>
            </w:rPr>
            <w:fldChar w:fldCharType="separate"/>
          </w:r>
          <w:r>
            <w:rPr>
              <w:rFonts w:hint="eastAsia" w:ascii="微软雅黑" w:hAnsi="微软雅黑" w:eastAsia="微软雅黑"/>
              <w:lang w:eastAsia="zh-CN"/>
            </w:rPr>
            <w:fldChar w:fldCharType="begin"/>
          </w:r>
          <w:r>
            <w:rPr>
              <w:rFonts w:hint="eastAsia" w:ascii="微软雅黑" w:hAnsi="微软雅黑" w:eastAsia="微软雅黑"/>
              <w:lang w:eastAsia="zh-CN"/>
            </w:rPr>
            <w:instrText xml:space="preserve"> HYPERLINK \l _Toc30541 </w:instrText>
          </w:r>
          <w:r>
            <w:rPr>
              <w:rFonts w:hint="eastAsia" w:ascii="微软雅黑" w:hAnsi="微软雅黑" w:eastAsia="微软雅黑"/>
              <w:lang w:eastAsia="zh-CN"/>
            </w:rPr>
            <w:fldChar w:fldCharType="separate"/>
          </w:r>
          <w:r>
            <w:rPr>
              <w:rFonts w:hint="eastAsia"/>
            </w:rPr>
            <w:t>1. 概述</w:t>
          </w:r>
          <w:r>
            <w:tab/>
          </w:r>
          <w:r>
            <w:fldChar w:fldCharType="begin"/>
          </w:r>
          <w:r>
            <w:instrText xml:space="preserve"> PAGEREF _Toc30541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/>
              <w:lang w:eastAsia="zh-CN"/>
            </w:rPr>
            <w:fldChar w:fldCharType="end"/>
          </w:r>
        </w:p>
        <w:p w14:paraId="579D7735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_Toc100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</w:rPr>
            <w:t>1.1 编写目的</w:t>
          </w:r>
          <w:r>
            <w:tab/>
          </w:r>
          <w:r>
            <w:fldChar w:fldCharType="begin"/>
          </w:r>
          <w:r>
            <w:instrText xml:space="preserve"> PAGEREF _Toc100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171FC43A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_Toc6792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</w:rPr>
            <w:t>1.2 功能概述</w:t>
          </w:r>
          <w:r>
            <w:tab/>
          </w:r>
          <w:r>
            <w:fldChar w:fldCharType="begin"/>
          </w:r>
          <w:r>
            <w:instrText xml:space="preserve"> PAGEREF _Toc6792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76E6507F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_Toc6094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1.3 业务流程</w:t>
          </w:r>
          <w:r>
            <w:tab/>
          </w:r>
          <w:r>
            <w:fldChar w:fldCharType="begin"/>
          </w:r>
          <w:r>
            <w:instrText xml:space="preserve"> PAGEREF _Toc6094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488BC3BC">
          <w:pPr>
            <w:pStyle w:val="11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_Toc14616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操作说明</w:t>
          </w:r>
          <w:r>
            <w:tab/>
          </w:r>
          <w:r>
            <w:fldChar w:fldCharType="begin"/>
          </w:r>
          <w:r>
            <w:instrText xml:space="preserve"> PAGEREF _Toc14616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6CF1C853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_Toc21846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登录</w:t>
          </w:r>
          <w:r>
            <w:tab/>
          </w:r>
          <w:r>
            <w:fldChar w:fldCharType="begin"/>
          </w:r>
          <w:r>
            <w:instrText xml:space="preserve"> PAGEREF _Toc21846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28C37183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_Toc24059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2.1.1角色</w:t>
          </w:r>
          <w:r>
            <w:tab/>
          </w:r>
          <w:r>
            <w:fldChar w:fldCharType="begin"/>
          </w:r>
          <w:r>
            <w:instrText xml:space="preserve"> PAGEREF _Toc24059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1E1505FA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_Toc21221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2.1.2创建租户</w:t>
          </w:r>
          <w:r>
            <w:tab/>
          </w:r>
          <w:r>
            <w:fldChar w:fldCharType="begin"/>
          </w:r>
          <w:r>
            <w:instrText xml:space="preserve"> PAGEREF _Toc21221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35F7BB10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_Toc4811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2.1.3登录</w:t>
          </w:r>
          <w:r>
            <w:tab/>
          </w:r>
          <w:r>
            <w:fldChar w:fldCharType="begin"/>
          </w:r>
          <w:r>
            <w:instrText xml:space="preserve"> PAGEREF _Toc4811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131A054F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_Toc21914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2.1.4游客注册</w:t>
          </w:r>
          <w:r>
            <w:tab/>
          </w:r>
          <w:r>
            <w:fldChar w:fldCharType="begin"/>
          </w:r>
          <w:r>
            <w:instrText xml:space="preserve"> PAGEREF _Toc21914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5F17DF0D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_Toc10840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2.1.5忘记密码</w:t>
          </w:r>
          <w:r>
            <w:tab/>
          </w:r>
          <w:r>
            <w:fldChar w:fldCharType="begin"/>
          </w:r>
          <w:r>
            <w:instrText xml:space="preserve"> PAGEREF _Toc10840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68ED61E9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_Toc9869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后台管理</w:t>
          </w:r>
          <w:r>
            <w:tab/>
          </w:r>
          <w:r>
            <w:fldChar w:fldCharType="begin"/>
          </w:r>
          <w:r>
            <w:instrText xml:space="preserve"> PAGEREF _Toc9869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6308775A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_Toc3287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2.2.1 用户管理</w:t>
          </w:r>
          <w:r>
            <w:tab/>
          </w:r>
          <w:r>
            <w:fldChar w:fldCharType="begin"/>
          </w:r>
          <w:r>
            <w:instrText xml:space="preserve"> PAGEREF _Toc3287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3CBE653E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_Toc10923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2.2.2 角色管理</w:t>
          </w:r>
          <w:r>
            <w:tab/>
          </w:r>
          <w:r>
            <w:fldChar w:fldCharType="begin"/>
          </w:r>
          <w:r>
            <w:instrText xml:space="preserve"> PAGEREF _Toc10923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7AAD7E7A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_Toc31429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配置管理</w:t>
          </w:r>
          <w:r>
            <w:tab/>
          </w:r>
          <w:r>
            <w:fldChar w:fldCharType="begin"/>
          </w:r>
          <w:r>
            <w:instrText xml:space="preserve"> PAGEREF _Toc31429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73D66E32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_Toc31395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2.3.1 核算标准</w:t>
          </w:r>
          <w:r>
            <w:tab/>
          </w:r>
          <w:r>
            <w:fldChar w:fldCharType="begin"/>
          </w:r>
          <w:r>
            <w:instrText xml:space="preserve"> PAGEREF _Toc31395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794F253E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_Toc9140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2.3.2 GWP配置</w:t>
          </w:r>
          <w:r>
            <w:tab/>
          </w:r>
          <w:r>
            <w:fldChar w:fldCharType="begin"/>
          </w:r>
          <w:r>
            <w:instrText xml:space="preserve"> PAGEREF _Toc9140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37F219C2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_Toc756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2.4 碳盘查</w:t>
          </w:r>
          <w:r>
            <w:tab/>
          </w:r>
          <w:r>
            <w:fldChar w:fldCharType="begin"/>
          </w:r>
          <w:r>
            <w:instrText xml:space="preserve"> PAGEREF _Toc756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17AF0BB2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_Toc6288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2.4.1 总览</w:t>
          </w:r>
          <w:r>
            <w:tab/>
          </w:r>
          <w:r>
            <w:fldChar w:fldCharType="begin"/>
          </w:r>
          <w:r>
            <w:instrText xml:space="preserve"> PAGEREF _Toc6288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279BE45C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_Toc13716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2.4.2 盘查库</w:t>
          </w:r>
          <w:r>
            <w:tab/>
          </w:r>
          <w:r>
            <w:fldChar w:fldCharType="begin"/>
          </w:r>
          <w:r>
            <w:instrText xml:space="preserve"> PAGEREF _Toc13716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26D11580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_Toc7471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2.4.3 目标及实施计划</w:t>
          </w:r>
          <w:r>
            <w:tab/>
          </w:r>
          <w:r>
            <w:fldChar w:fldCharType="begin"/>
          </w:r>
          <w:r>
            <w:instrText xml:space="preserve"> PAGEREF _Toc7471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47F3E5C9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_Toc25048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2.5 碳足迹</w:t>
          </w:r>
          <w:r>
            <w:tab/>
          </w:r>
          <w:r>
            <w:fldChar w:fldCharType="begin"/>
          </w:r>
          <w:r>
            <w:instrText xml:space="preserve"> PAGEREF _Toc25048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5E87487D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_Toc15134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2.5.1产品管理</w:t>
          </w:r>
          <w:r>
            <w:tab/>
          </w:r>
          <w:r>
            <w:fldChar w:fldCharType="begin"/>
          </w:r>
          <w:r>
            <w:instrText xml:space="preserve"> PAGEREF _Toc15134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429AA0C9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_Toc11387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2.5.2供应商管理</w:t>
          </w:r>
          <w:r>
            <w:tab/>
          </w:r>
          <w:r>
            <w:fldChar w:fldCharType="begin"/>
          </w:r>
          <w:r>
            <w:instrText xml:space="preserve"> PAGEREF _Toc11387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24D0EFCF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_Toc18438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2.5.3产品碳填报</w:t>
          </w:r>
          <w:r>
            <w:tab/>
          </w:r>
          <w:r>
            <w:fldChar w:fldCharType="begin"/>
          </w:r>
          <w:r>
            <w:instrText xml:space="preserve"> PAGEREF _Toc18438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28A6596E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_Toc12533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2.6碳资产</w:t>
          </w:r>
          <w:r>
            <w:tab/>
          </w:r>
          <w:r>
            <w:fldChar w:fldCharType="begin"/>
          </w:r>
          <w:r>
            <w:instrText xml:space="preserve"> PAGEREF _Toc12533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1D62226B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_Toc25637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2.6.1我的碳资产</w:t>
          </w:r>
          <w:r>
            <w:tab/>
          </w:r>
          <w:r>
            <w:fldChar w:fldCharType="begin"/>
          </w:r>
          <w:r>
            <w:instrText xml:space="preserve"> PAGEREF _Toc25637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4DFC2D93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_Toc24201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2.6.2碳账本</w:t>
          </w:r>
          <w:r>
            <w:tab/>
          </w:r>
          <w:r>
            <w:fldChar w:fldCharType="begin"/>
          </w:r>
          <w:r>
            <w:instrText xml:space="preserve"> PAGEREF _Toc24201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07139F31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_Toc22962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2.6.3碳资产概况</w:t>
          </w:r>
          <w:r>
            <w:tab/>
          </w:r>
          <w:r>
            <w:fldChar w:fldCharType="begin"/>
          </w:r>
          <w:r>
            <w:instrText xml:space="preserve"> PAGEREF _Toc22962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74632F32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_Toc30378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2.6.4碳资产行情</w:t>
          </w:r>
          <w:r>
            <w:tab/>
          </w:r>
          <w:r>
            <w:fldChar w:fldCharType="begin"/>
          </w:r>
          <w:r>
            <w:instrText xml:space="preserve"> PAGEREF _Toc30378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57320AEB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_Toc19483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2.6.5碳减排项目</w:t>
          </w:r>
          <w:r>
            <w:tab/>
          </w:r>
          <w:r>
            <w:fldChar w:fldCharType="begin"/>
          </w:r>
          <w:r>
            <w:instrText xml:space="preserve"> PAGEREF _Toc19483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545AB25E"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_Toc32682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2.7工作台</w:t>
          </w:r>
          <w:r>
            <w:tab/>
          </w:r>
          <w:r>
            <w:fldChar w:fldCharType="begin"/>
          </w:r>
          <w:r>
            <w:instrText xml:space="preserve"> PAGEREF _Toc32682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 w14:paraId="16784D8F">
          <w:pPr>
            <w:bidi w:val="0"/>
            <w:rPr>
              <w:rFonts w:hint="eastAsia" w:ascii="微软雅黑" w:hAnsi="微软雅黑" w:eastAsia="微软雅黑"/>
              <w:lang w:val="en-US" w:eastAsia="zh-CN"/>
            </w:rPr>
          </w:pPr>
          <w:r>
            <w:rPr>
              <w:rFonts w:hint="eastAsia"/>
              <w:lang w:eastAsia="zh-CN"/>
            </w:rPr>
            <w:fldChar w:fldCharType="end"/>
          </w:r>
        </w:p>
      </w:sdtContent>
    </w:sdt>
    <w:p w14:paraId="455D6312">
      <w:pPr>
        <w:pStyle w:val="2"/>
        <w:bidi w:val="0"/>
        <w:rPr>
          <w:rFonts w:hint="eastAsia"/>
        </w:rPr>
      </w:pPr>
      <w:bookmarkStart w:id="0" w:name="_Toc274814668"/>
      <w:bookmarkStart w:id="1" w:name="_Toc274815148"/>
      <w:bookmarkStart w:id="2" w:name="_Toc278375579"/>
      <w:bookmarkStart w:id="3" w:name="_Toc274814548"/>
      <w:bookmarkStart w:id="4" w:name="_Toc274814308"/>
      <w:bookmarkStart w:id="5" w:name="_Toc274814188"/>
      <w:bookmarkStart w:id="6" w:name="_Toc274814428"/>
      <w:bookmarkStart w:id="7" w:name="_Toc30541"/>
      <w:bookmarkStart w:id="8" w:name="_Toc7134"/>
      <w:bookmarkStart w:id="9" w:name="_Toc5703"/>
      <w:r>
        <w:rPr>
          <w:rFonts w:hint="eastAsia"/>
        </w:rPr>
        <w:t>概述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3D6E0527">
      <w:pPr>
        <w:pStyle w:val="3"/>
        <w:bidi w:val="0"/>
        <w:rPr>
          <w:rFonts w:hint="eastAsia"/>
        </w:rPr>
      </w:pPr>
      <w:bookmarkStart w:id="10" w:name="_Toc100"/>
      <w:r>
        <w:rPr>
          <w:rFonts w:hint="eastAsia"/>
        </w:rPr>
        <w:t>编写目的</w:t>
      </w:r>
      <w:bookmarkEnd w:id="10"/>
    </w:p>
    <w:p w14:paraId="15DF08C2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本操作手册详细讲述了碳管理综合服务平台实现的功能和操作步骤，其编写目的为：</w:t>
      </w:r>
    </w:p>
    <w:p w14:paraId="2B247184">
      <w:pPr>
        <w:numPr>
          <w:ilvl w:val="0"/>
          <w:numId w:val="2"/>
        </w:numPr>
        <w:spacing w:line="360" w:lineRule="auto"/>
        <w:ind w:left="1050" w:leftChars="0" w:hanging="420" w:firstLineChars="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系统使用人员的操作指南；</w:t>
      </w:r>
    </w:p>
    <w:p w14:paraId="2B54A6E0">
      <w:pPr>
        <w:numPr>
          <w:ilvl w:val="0"/>
          <w:numId w:val="3"/>
        </w:numPr>
        <w:spacing w:line="360" w:lineRule="auto"/>
        <w:ind w:left="1050" w:leftChars="0" w:hanging="420" w:firstLineChars="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系统使用人员的培训教材；</w:t>
      </w:r>
    </w:p>
    <w:p w14:paraId="058BC2A3">
      <w:pPr>
        <w:numPr>
          <w:ilvl w:val="0"/>
          <w:numId w:val="4"/>
        </w:numPr>
        <w:spacing w:line="360" w:lineRule="auto"/>
        <w:ind w:left="1050" w:leftChars="0" w:hanging="420" w:firstLineChars="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项目验收的技术文档。</w:t>
      </w:r>
    </w:p>
    <w:p w14:paraId="2FBEAF89">
      <w:pPr>
        <w:pStyle w:val="3"/>
        <w:bidi w:val="0"/>
        <w:rPr>
          <w:rFonts w:hint="eastAsia"/>
        </w:rPr>
      </w:pPr>
      <w:bookmarkStart w:id="11" w:name="_Toc274814189"/>
      <w:bookmarkStart w:id="12" w:name="_Toc274814429"/>
      <w:bookmarkStart w:id="13" w:name="_Toc274814549"/>
      <w:bookmarkStart w:id="14" w:name="_Toc6792"/>
      <w:bookmarkStart w:id="15" w:name="_Toc274815149"/>
      <w:bookmarkStart w:id="16" w:name="_Toc278375580"/>
      <w:bookmarkStart w:id="17" w:name="_Toc274814309"/>
      <w:bookmarkStart w:id="18" w:name="_Toc274814669"/>
      <w:r>
        <w:rPr>
          <w:rFonts w:hint="eastAsia"/>
        </w:rPr>
        <w:t>功能概述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7768FDFF">
      <w:pPr>
        <w:spacing w:line="360" w:lineRule="auto"/>
        <w:ind w:firstLine="420" w:firstLineChars="20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碳管理综合服务平台（以下简称“碳管理平台”）是一个专门用于监测、跟踪和管理碳排放数据的系统，在碳排放管理方面具有重要意义。通过该系统，用户可以快速、准确地收集、分析和管理碳排放数据，从而实现碳减排目标。</w:t>
      </w:r>
    </w:p>
    <w:p w14:paraId="4527C14D">
      <w:pPr>
        <w:pStyle w:val="22"/>
        <w:ind w:left="0" w:leftChars="0" w:firstLine="0" w:firstLineChars="0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主要功能模块：</w:t>
      </w:r>
    </w:p>
    <w:p w14:paraId="163550B7">
      <w:pPr>
        <w:pStyle w:val="7"/>
        <w:spacing w:line="360" w:lineRule="auto"/>
        <w:ind w:left="1470" w:leftChars="200" w:hanging="1050" w:hangingChars="50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配置管理：配置管理包括核算标准、因子管理、GWP配置三个模块，主要功能是配置系统基础数据、为碳盘查服务。</w:t>
      </w:r>
    </w:p>
    <w:p w14:paraId="42250564">
      <w:pPr>
        <w:pStyle w:val="7"/>
        <w:spacing w:line="360" w:lineRule="auto"/>
        <w:ind w:left="1470" w:leftChars="200" w:hanging="1050" w:hangingChars="50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后台管理：维护系统的基本数据信息，如用户管理、角色管理、租户管理、菜单管理等。</w:t>
      </w:r>
    </w:p>
    <w:p w14:paraId="64395DDC">
      <w:pPr>
        <w:pStyle w:val="7"/>
        <w:spacing w:line="360" w:lineRule="auto"/>
        <w:ind w:left="1470" w:leftChars="200" w:hanging="1050" w:hangingChars="500"/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工 作 台：工作台展示本租户下的碳排放数据、用户信息、常见问题等。</w:t>
      </w:r>
    </w:p>
    <w:p w14:paraId="524F99EA">
      <w:pPr>
        <w:pStyle w:val="7"/>
        <w:spacing w:line="360" w:lineRule="auto"/>
        <w:ind w:left="1470" w:leftChars="200" w:hanging="1050" w:hangingChars="500"/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碳 盘 查：碳盘查包括总览、盘查库、目标及实施计划三个模块，企业通过碳盘查进行数据填报后，通过总览可查看碳排放量和趋势，生成碳盘查报告。</w:t>
      </w:r>
    </w:p>
    <w:p w14:paraId="70B0930A">
      <w:pPr>
        <w:pStyle w:val="7"/>
        <w:spacing w:line="360" w:lineRule="auto"/>
        <w:ind w:left="1470" w:leftChars="200" w:hanging="1050" w:hangingChars="50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碳 足 迹：碳足迹包括产品管理、供应商管理、产品碳填报三个模块，主要管理产品和企业信息，以及产品碳足迹的核算管理。</w:t>
      </w:r>
    </w:p>
    <w:p w14:paraId="2B4D939A">
      <w:pPr>
        <w:pStyle w:val="7"/>
        <w:spacing w:line="360" w:lineRule="auto"/>
        <w:ind w:left="1470" w:leftChars="200" w:hanging="1050" w:hangingChars="50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碳 资 产：碳资产包括碳资产概况、碳资产行情、我的碳资产、碳账本、碳减排项目；主要记录本企业的资产数据。</w:t>
      </w:r>
    </w:p>
    <w:p w14:paraId="58B98D0C">
      <w:pPr>
        <w:pStyle w:val="3"/>
        <w:bidi w:val="0"/>
        <w:rPr>
          <w:rFonts w:hint="default"/>
          <w:lang w:val="en-US" w:eastAsia="zh-CN"/>
        </w:rPr>
      </w:pPr>
      <w:bookmarkStart w:id="19" w:name="_Toc6094"/>
      <w:r>
        <w:rPr>
          <w:rFonts w:hint="eastAsia"/>
          <w:lang w:val="en-US" w:eastAsia="zh-CN"/>
        </w:rPr>
        <w:t>业务流程</w:t>
      </w:r>
      <w:bookmarkEnd w:id="19"/>
    </w:p>
    <w:p w14:paraId="750B7949">
      <w:pPr>
        <w:pStyle w:val="7"/>
        <w:spacing w:line="360" w:lineRule="auto"/>
        <w:ind w:left="0" w:leftChars="0" w:firstLine="0" w:firstLineChars="0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270500" cy="399986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89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2F7E">
      <w:pPr>
        <w:pStyle w:val="7"/>
        <w:spacing w:line="360" w:lineRule="auto"/>
        <w:ind w:left="1470" w:leftChars="200" w:hanging="1050" w:hangingChars="500"/>
        <w:rPr>
          <w:rFonts w:hint="default"/>
          <w:lang w:val="en-US" w:eastAsia="zh-CN"/>
        </w:rPr>
      </w:pPr>
    </w:p>
    <w:bookmarkEnd w:id="8"/>
    <w:bookmarkEnd w:id="9"/>
    <w:p w14:paraId="5E85989D">
      <w:pPr>
        <w:pStyle w:val="2"/>
        <w:bidi w:val="0"/>
        <w:rPr>
          <w:rFonts w:hint="eastAsia"/>
          <w:lang w:val="en-US" w:eastAsia="zh-CN"/>
        </w:rPr>
      </w:pPr>
      <w:bookmarkStart w:id="20" w:name="_Toc14616"/>
      <w:r>
        <w:rPr>
          <w:rFonts w:hint="eastAsia"/>
          <w:lang w:val="en-US" w:eastAsia="zh-CN"/>
        </w:rPr>
        <w:t>操作说明</w:t>
      </w:r>
      <w:bookmarkEnd w:id="20"/>
    </w:p>
    <w:p w14:paraId="6E9CE738">
      <w:pPr>
        <w:pStyle w:val="3"/>
        <w:bidi w:val="0"/>
        <w:rPr>
          <w:rFonts w:hint="default"/>
          <w:lang w:val="en-US" w:eastAsia="zh-CN"/>
        </w:rPr>
      </w:pPr>
      <w:bookmarkStart w:id="21" w:name="_Toc21846"/>
      <w:r>
        <w:rPr>
          <w:rFonts w:hint="eastAsia"/>
          <w:lang w:val="en-US" w:eastAsia="zh-CN"/>
        </w:rPr>
        <w:t>登录</w:t>
      </w:r>
      <w:bookmarkEnd w:id="21"/>
    </w:p>
    <w:p w14:paraId="3898FAD4">
      <w:pPr>
        <w:pStyle w:val="5"/>
        <w:bidi w:val="0"/>
        <w:rPr>
          <w:rFonts w:hint="default"/>
          <w:lang w:val="en-US" w:eastAsia="zh-CN"/>
        </w:rPr>
      </w:pPr>
      <w:bookmarkStart w:id="22" w:name="_Toc24059"/>
      <w:r>
        <w:rPr>
          <w:rFonts w:hint="eastAsia"/>
          <w:lang w:val="en-US" w:eastAsia="zh-CN"/>
        </w:rPr>
        <w:t>2.1.1角色</w:t>
      </w:r>
      <w:bookmarkEnd w:id="22"/>
    </w:p>
    <w:p w14:paraId="43A8242F">
      <w:p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需要使用本系统的人员有以下几种角色：系统管理员、园区租户管理员、企业租户管理员、普通用户；各角色有不同的系统权限。</w:t>
      </w:r>
    </w:p>
    <w:p w14:paraId="34FEF4FE">
      <w:pPr>
        <w:pStyle w:val="5"/>
        <w:bidi w:val="0"/>
        <w:rPr>
          <w:rFonts w:hint="default"/>
          <w:lang w:val="en-US" w:eastAsia="zh-CN"/>
        </w:rPr>
      </w:pPr>
      <w:bookmarkStart w:id="23" w:name="_Toc1652"/>
      <w:bookmarkStart w:id="24" w:name="_Toc12427"/>
      <w:bookmarkStart w:id="25" w:name="_Toc21221"/>
      <w:r>
        <w:rPr>
          <w:rFonts w:hint="eastAsia"/>
          <w:lang w:val="en-US" w:eastAsia="zh-CN"/>
        </w:rPr>
        <w:t>2.1.2</w:t>
      </w:r>
      <w:bookmarkEnd w:id="23"/>
      <w:bookmarkEnd w:id="24"/>
      <w:r>
        <w:rPr>
          <w:rFonts w:hint="eastAsia"/>
          <w:lang w:val="en-US" w:eastAsia="zh-CN"/>
        </w:rPr>
        <w:t>创建租户</w:t>
      </w:r>
      <w:bookmarkEnd w:id="25"/>
    </w:p>
    <w:p w14:paraId="50FC0544">
      <w:pPr>
        <w:ind w:firstLine="56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1.系统管理员通过【后台管理】-【租户管理】下创建园区租户管理员/企业租户管理员。园区/企业管理员初始拥有部分菜单权限。</w:t>
      </w:r>
    </w:p>
    <w:p w14:paraId="1A3C4915">
      <w:pPr>
        <w:ind w:firstLine="56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2.园区/企业租户管理员账号登录后，打开后台管理-后台管理，可以添加本园区/企业用户。打开角色管理，可新增不同菜单权限的角色并配置对应用户。</w:t>
      </w:r>
    </w:p>
    <w:p w14:paraId="3811950F">
      <w:pPr>
        <w:pStyle w:val="5"/>
        <w:bidi w:val="0"/>
        <w:rPr>
          <w:lang w:eastAsia="zh-CN"/>
        </w:rPr>
      </w:pPr>
      <w:bookmarkStart w:id="26" w:name="_Toc4811"/>
      <w:bookmarkStart w:id="27" w:name="_Toc13378"/>
      <w:bookmarkStart w:id="28" w:name="_Toc15260"/>
      <w:r>
        <w:rPr>
          <w:rFonts w:hint="eastAsia"/>
          <w:lang w:val="en-US" w:eastAsia="zh-CN"/>
        </w:rPr>
        <w:t>2.1.3登录</w:t>
      </w:r>
      <w:bookmarkEnd w:id="26"/>
      <w:bookmarkEnd w:id="27"/>
      <w:bookmarkEnd w:id="28"/>
    </w:p>
    <w:p w14:paraId="52A47CDC"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1.访问碳管理平台，如下图2.1.1所示</w:t>
      </w:r>
    </w:p>
    <w:p w14:paraId="5C0132FD"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2.输入用户名、密码，点击登录</w:t>
      </w:r>
    </w:p>
    <w:p w14:paraId="30501613"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3.登录后会进入我的工作台首页，如下图2.1.2所示</w:t>
      </w:r>
    </w:p>
    <w:p w14:paraId="12A00DF5"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4.浏览器支持Chrome（谷歌）浏览器、Microsoft Edge浏览器</w:t>
      </w:r>
    </w:p>
    <w:p w14:paraId="5C374456">
      <w:r>
        <w:drawing>
          <wp:inline distT="0" distB="0" distL="114300" distR="114300">
            <wp:extent cx="5266690" cy="2499360"/>
            <wp:effectExtent l="9525" t="9525" r="19685" b="2476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865D49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2.1.1</w:t>
      </w:r>
    </w:p>
    <w:p w14:paraId="29C5A0EF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499360"/>
            <wp:effectExtent l="9525" t="9525" r="19685" b="2476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342A7E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2.1.2</w:t>
      </w:r>
    </w:p>
    <w:p w14:paraId="2D02365D">
      <w:pPr>
        <w:pStyle w:val="5"/>
        <w:bidi w:val="0"/>
        <w:rPr>
          <w:rFonts w:hint="default"/>
          <w:lang w:val="en-US" w:eastAsia="zh-CN"/>
        </w:rPr>
      </w:pPr>
      <w:bookmarkStart w:id="29" w:name="_Toc21914"/>
      <w:r>
        <w:rPr>
          <w:rFonts w:hint="eastAsia"/>
          <w:lang w:val="en-US" w:eastAsia="zh-CN"/>
        </w:rPr>
        <w:t>2.1.4游客注册</w:t>
      </w:r>
      <w:bookmarkEnd w:id="29"/>
    </w:p>
    <w:p w14:paraId="269E310C"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1.访问碳管理平台，如图2.1.1所示</w:t>
      </w:r>
    </w:p>
    <w:p w14:paraId="6D39B9B7"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2.点击登录下方的“前往注册”按钮</w:t>
      </w:r>
    </w:p>
    <w:p w14:paraId="44B162AD">
      <w:pPr>
        <w:jc w:val="center"/>
      </w:pPr>
      <w:r>
        <w:drawing>
          <wp:inline distT="0" distB="0" distL="114300" distR="114300">
            <wp:extent cx="4676775" cy="1114425"/>
            <wp:effectExtent l="9525" t="9525" r="19050" b="1905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11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C53FE2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2.1.3</w:t>
      </w:r>
    </w:p>
    <w:p w14:paraId="33BAAC24">
      <w:pPr>
        <w:pStyle w:val="16"/>
        <w:rPr>
          <w:rFonts w:hint="default"/>
          <w:lang w:val="en-US" w:eastAsia="zh-CN"/>
        </w:rPr>
      </w:pPr>
    </w:p>
    <w:p w14:paraId="5EF4CBCD"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3.输入用户名、手机号、密码、企业名称，并通过短信验证，如下图2.1.4所示</w:t>
      </w:r>
    </w:p>
    <w:p w14:paraId="7E1BC174"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4.注册成功后自动跳转至系统首页</w:t>
      </w:r>
    </w:p>
    <w:p w14:paraId="675D40A1">
      <w:r>
        <w:drawing>
          <wp:inline distT="0" distB="0" distL="114300" distR="114300">
            <wp:extent cx="5266690" cy="2499360"/>
            <wp:effectExtent l="9525" t="9525" r="19685" b="2476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50031D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2.1.4</w:t>
      </w:r>
    </w:p>
    <w:p w14:paraId="42EE7ED4">
      <w:pPr>
        <w:pStyle w:val="5"/>
        <w:bidi w:val="0"/>
        <w:rPr>
          <w:rFonts w:hint="default"/>
          <w:lang w:val="en-US" w:eastAsia="zh-CN"/>
        </w:rPr>
      </w:pPr>
      <w:bookmarkStart w:id="30" w:name="_Toc10840"/>
      <w:r>
        <w:rPr>
          <w:rFonts w:hint="eastAsia"/>
          <w:lang w:val="en-US" w:eastAsia="zh-CN"/>
        </w:rPr>
        <w:t>2.1.5忘记密码</w:t>
      </w:r>
      <w:bookmarkEnd w:id="30"/>
    </w:p>
    <w:p w14:paraId="44B942FD"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1.访问碳管理平台，如图2.1.1所示</w:t>
      </w:r>
    </w:p>
    <w:p w14:paraId="1E848AFB"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2.点击登录下方的“忘记密码”按钮，跳转至重置密码页面</w:t>
      </w:r>
    </w:p>
    <w:p w14:paraId="27C24A5C">
      <w:pPr>
        <w:jc w:val="center"/>
      </w:pPr>
      <w:r>
        <w:drawing>
          <wp:inline distT="0" distB="0" distL="114300" distR="114300">
            <wp:extent cx="4762500" cy="1076325"/>
            <wp:effectExtent l="9525" t="9525" r="9525" b="1905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7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2D0771">
      <w:pPr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2.1.5</w:t>
      </w:r>
    </w:p>
    <w:p w14:paraId="46DD4DA1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3.通过手机验证码并输入新密码，如下图2.1.6所示</w:t>
      </w:r>
    </w:p>
    <w:p w14:paraId="630F4522">
      <w:r>
        <w:rPr>
          <w:rFonts w:hint="eastAsia" w:ascii="微软雅黑" w:hAnsi="微软雅黑" w:eastAsia="微软雅黑"/>
          <w:lang w:val="en-US" w:eastAsia="zh-CN"/>
        </w:rPr>
        <w:t xml:space="preserve">     </w:t>
      </w:r>
      <w:r>
        <w:drawing>
          <wp:inline distT="0" distB="0" distL="114300" distR="114300">
            <wp:extent cx="5266690" cy="2499360"/>
            <wp:effectExtent l="9525" t="9525" r="19685" b="2476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67A946">
      <w:pPr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2.1.6</w:t>
      </w:r>
    </w:p>
    <w:p w14:paraId="0225AB68">
      <w:pPr>
        <w:pStyle w:val="3"/>
        <w:bidi w:val="0"/>
        <w:rPr>
          <w:rFonts w:hint="eastAsia"/>
          <w:lang w:val="en-US" w:eastAsia="zh-CN"/>
        </w:rPr>
      </w:pPr>
      <w:bookmarkStart w:id="31" w:name="_Toc9869"/>
      <w:bookmarkStart w:id="32" w:name="_Toc15163"/>
      <w:r>
        <w:rPr>
          <w:rFonts w:hint="eastAsia"/>
          <w:lang w:val="en-US" w:eastAsia="zh-CN"/>
        </w:rPr>
        <w:t>后台管理</w:t>
      </w:r>
      <w:bookmarkEnd w:id="31"/>
    </w:p>
    <w:p w14:paraId="6C340A70">
      <w:pPr>
        <w:pStyle w:val="16"/>
        <w:ind w:firstLine="420" w:firstLineChars="200"/>
        <w:rPr>
          <w:rFonts w:hint="default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应用场景：企业管理员创建企业普通账号，创建角色并授权菜单</w:t>
      </w:r>
    </w:p>
    <w:p w14:paraId="229FDCF0">
      <w:pPr>
        <w:pStyle w:val="5"/>
        <w:bidi w:val="0"/>
        <w:rPr>
          <w:rFonts w:hint="eastAsia"/>
          <w:lang w:val="en-US" w:eastAsia="zh-CN"/>
        </w:rPr>
      </w:pPr>
      <w:bookmarkStart w:id="33" w:name="_Toc3287"/>
      <w:r>
        <w:rPr>
          <w:rFonts w:hint="eastAsia"/>
          <w:lang w:val="en-US" w:eastAsia="zh-CN"/>
        </w:rPr>
        <w:t xml:space="preserve">2.2.1 </w:t>
      </w:r>
      <w:bookmarkEnd w:id="32"/>
      <w:r>
        <w:rPr>
          <w:rFonts w:hint="eastAsia"/>
          <w:lang w:val="en-US" w:eastAsia="zh-CN"/>
        </w:rPr>
        <w:t>用户管理</w:t>
      </w:r>
      <w:bookmarkEnd w:id="33"/>
    </w:p>
    <w:p w14:paraId="4ABB5198"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新增用户</w:t>
      </w:r>
    </w:p>
    <w:p w14:paraId="29096234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打开后台管理-用户管理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（如图2.2.1）</w:t>
      </w:r>
    </w:p>
    <w:p w14:paraId="3B9D1F2A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2.点击添加用户</w:t>
      </w:r>
    </w:p>
    <w:p w14:paraId="217B2495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3.输入如图2.2.2</w:t>
      </w:r>
      <w:r>
        <w:rPr>
          <w:rFonts w:hint="eastAsia" w:ascii="微软雅黑" w:hAnsi="微软雅黑" w:eastAsia="微软雅黑"/>
          <w:lang w:val="en-US" w:eastAsia="zh-CN"/>
        </w:rPr>
        <w:t>中各用户信息（用户帐号、登录密码、用户姓名、手机号、头像等）</w:t>
      </w:r>
    </w:p>
    <w:p w14:paraId="6DB3CAD0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4.保存并提交</w:t>
      </w:r>
    </w:p>
    <w:p w14:paraId="13D6DF28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938C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2.2.1</w:t>
      </w:r>
    </w:p>
    <w:p w14:paraId="5AD79D98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14A0D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2.2.2</w:t>
      </w:r>
    </w:p>
    <w:p w14:paraId="470E4A38">
      <w:pPr>
        <w:numPr>
          <w:ilvl w:val="0"/>
          <w:numId w:val="0"/>
        </w:numPr>
        <w:spacing w:before="120"/>
        <w:jc w:val="both"/>
        <w:outlineLvl w:val="3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4" w:name="_Toc11117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 修改</w:t>
      </w:r>
      <w:bookmarkEnd w:id="3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用户</w:t>
      </w:r>
    </w:p>
    <w:p w14:paraId="2B13389D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打开后台管理-用户管理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，选择用户点击编辑，如图2.2.3所示</w:t>
      </w:r>
    </w:p>
    <w:p w14:paraId="39138771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2.在打开的修改页面中修改对应的信息</w:t>
      </w:r>
    </w:p>
    <w:p w14:paraId="5FE6091D">
      <w:pPr>
        <w:numPr>
          <w:ilvl w:val="0"/>
          <w:numId w:val="0"/>
        </w:numPr>
        <w:spacing w:before="120"/>
        <w:jc w:val="both"/>
        <w:outlineLvl w:val="9"/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164FA979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589C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2.2.3</w:t>
      </w:r>
    </w:p>
    <w:p w14:paraId="29A43FE0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3. 用户删除</w:t>
      </w:r>
    </w:p>
    <w:p w14:paraId="6C5AFE68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打开后台管理-用户管理</w:t>
      </w:r>
      <w:r>
        <w:rPr>
          <w:rFonts w:hint="eastAsia" w:ascii="微软雅黑" w:hAnsi="微软雅黑" w:eastAsia="微软雅黑" w:cs="微软雅黑"/>
          <w:lang w:val="en-US" w:eastAsia="zh-CN"/>
        </w:rPr>
        <w:t>，选择相应用户点击删除，在弹出的提示窗口点击确定，用户删除成功</w:t>
      </w:r>
    </w:p>
    <w:p w14:paraId="20325FEE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4. 查询、重置</w:t>
      </w:r>
    </w:p>
    <w:p w14:paraId="4253C9A0">
      <w:pPr>
        <w:spacing w:before="12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lang w:val="en-US" w:eastAsia="zh-CN"/>
        </w:rPr>
        <w:t>打开后台管理-用户管理，可通过帐号、租户、手机号码进行查询，如图2.2.4所示</w:t>
      </w:r>
    </w:p>
    <w:p w14:paraId="12E837C1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830A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图2.2.4</w:t>
      </w:r>
    </w:p>
    <w:p w14:paraId="250E51CD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5. 用户重置密码</w:t>
      </w:r>
    </w:p>
    <w:p w14:paraId="35B61A32">
      <w:pPr>
        <w:spacing w:before="12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选择用户，点击操作列更多-密码按钮可以重置用户密码，如图2.2.5所示</w:t>
      </w:r>
    </w:p>
    <w:p w14:paraId="155881E0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94B6">
      <w:p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图2.2.5</w:t>
      </w:r>
    </w:p>
    <w:p w14:paraId="612CC87A">
      <w:pPr>
        <w:numPr>
          <w:ilvl w:val="0"/>
          <w:numId w:val="5"/>
        </w:num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 xml:space="preserve"> 用户导入</w:t>
      </w:r>
    </w:p>
    <w:p w14:paraId="0B6275F6"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1.选择用户后，点击“下载导入模版”按钮，可将用户模版以./xls 表格的形式下载到本地</w:t>
      </w:r>
    </w:p>
    <w:p w14:paraId="1D690531"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2.在导入模版中填写好账户数据后，点击导入按钮，可以选择用户信息文件进行导入，如图2.2.6所示</w:t>
      </w:r>
    </w:p>
    <w:p w14:paraId="112CD267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B22D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图2.2.6</w:t>
      </w:r>
    </w:p>
    <w:p w14:paraId="7724AE0A">
      <w:pPr>
        <w:pStyle w:val="5"/>
        <w:bidi w:val="0"/>
        <w:rPr>
          <w:rFonts w:hint="eastAsia"/>
          <w:lang w:val="en-US" w:eastAsia="zh-CN"/>
        </w:rPr>
      </w:pPr>
      <w:bookmarkStart w:id="35" w:name="_Toc28732"/>
      <w:bookmarkStart w:id="36" w:name="_Toc10923"/>
      <w:r>
        <w:rPr>
          <w:rFonts w:hint="eastAsia"/>
          <w:lang w:val="en-US" w:eastAsia="zh-CN"/>
        </w:rPr>
        <w:t>2.2</w:t>
      </w:r>
      <w:bookmarkEnd w:id="35"/>
      <w:r>
        <w:rPr>
          <w:rFonts w:hint="eastAsia"/>
          <w:lang w:val="en-US" w:eastAsia="zh-CN"/>
        </w:rPr>
        <w:t>.2 角色管理</w:t>
      </w:r>
      <w:bookmarkEnd w:id="36"/>
    </w:p>
    <w:p w14:paraId="288DE095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bookmarkStart w:id="37" w:name="_Toc6035"/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1. 新增</w:t>
      </w:r>
      <w:bookmarkEnd w:id="37"/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角色</w:t>
      </w:r>
    </w:p>
    <w:p w14:paraId="3639A661">
      <w:pPr>
        <w:spacing w:before="120"/>
        <w:outlineLvl w:val="9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打开后台管理-角色管理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（如图2.2.7）</w:t>
      </w:r>
    </w:p>
    <w:p w14:paraId="4F39541E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lang w:val="en-US" w:eastAsia="zh-CN"/>
        </w:rPr>
        <w:t>点击新建角色可以新增角色（如图2.2.8）</w:t>
      </w:r>
    </w:p>
    <w:p w14:paraId="5C1789D1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3.输入如图2.2.8中各角色信息（角色名称、角色编码、描述），点击确认保存</w:t>
      </w:r>
    </w:p>
    <w:p w14:paraId="3D603436">
      <w:pPr>
        <w:spacing w:before="120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5F8B">
      <w:pPr>
        <w:spacing w:before="120"/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2.2.7</w:t>
      </w:r>
    </w:p>
    <w:p w14:paraId="603B5F38">
      <w:pPr>
        <w:spacing w:before="120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E12E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2.2.8</w:t>
      </w:r>
    </w:p>
    <w:p w14:paraId="46D24B58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bookmarkStart w:id="38" w:name="_Toc24154"/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2. 修改</w:t>
      </w:r>
      <w:bookmarkEnd w:id="38"/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角色</w:t>
      </w:r>
    </w:p>
    <w:p w14:paraId="671FD858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打开后台管理-角色管理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，点击编辑</w:t>
      </w:r>
    </w:p>
    <w:p w14:paraId="2326CFCD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2.在打开的修改页面中修改对应的参数（如图2.2.9）</w:t>
      </w:r>
    </w:p>
    <w:p w14:paraId="280DE8FB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0CBB9977">
      <w:pPr>
        <w:spacing w:before="120"/>
      </w:pPr>
      <w:r>
        <w:drawing>
          <wp:inline distT="0" distB="0" distL="114300" distR="114300">
            <wp:extent cx="5266690" cy="2499360"/>
            <wp:effectExtent l="0" t="0" r="10160" b="1524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4878">
      <w:pPr>
        <w:spacing w:before="12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2.2.9</w:t>
      </w:r>
    </w:p>
    <w:p w14:paraId="1F6871BC">
      <w:pPr>
        <w:spacing w:before="120"/>
        <w:outlineLvl w:val="3"/>
        <w:rPr>
          <w:rFonts w:hint="eastAsia" w:ascii="微软雅黑" w:hAnsi="微软雅黑" w:eastAsia="微软雅黑"/>
          <w:lang w:eastAsia="zh-CN"/>
        </w:rPr>
      </w:pPr>
      <w:bookmarkStart w:id="39" w:name="_Toc16978"/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3. 删除</w:t>
      </w:r>
      <w:bookmarkEnd w:id="39"/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角色</w:t>
      </w:r>
    </w:p>
    <w:p w14:paraId="080C11C8">
      <w:pPr>
        <w:spacing w:before="12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1.打开后台管理-角色管理，选择相应角色删除，在弹出的提示窗口点击确定，角色删除成功</w:t>
      </w:r>
    </w:p>
    <w:p w14:paraId="45E80FD9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bookmarkStart w:id="40" w:name="_Toc24949"/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4. 查询、重置</w:t>
      </w:r>
      <w:bookmarkEnd w:id="40"/>
    </w:p>
    <w:p w14:paraId="00FA9647">
      <w:pPr>
        <w:spacing w:before="12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1.打开后台管理-角色管理，输入角色名称、编码进行查询</w:t>
      </w:r>
      <w:bookmarkStart w:id="41" w:name="_Toc25370"/>
    </w:p>
    <w:p w14:paraId="25191A7A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5. 角色关联用户</w:t>
      </w:r>
    </w:p>
    <w:p w14:paraId="4B389156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1.打开后台管理-角色管理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，点击用户</w:t>
      </w:r>
    </w:p>
    <w:p w14:paraId="04DCF2FB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2.在打开的角色关联用户页面中进行新增用户或者添加已有用户（如图2.2.10）</w:t>
      </w:r>
    </w:p>
    <w:p w14:paraId="1AD64950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3.点击提交</w:t>
      </w:r>
    </w:p>
    <w:p w14:paraId="1F0DA36B">
      <w:pPr>
        <w:bidi w:val="0"/>
      </w:pPr>
      <w:r>
        <w:drawing>
          <wp:inline distT="0" distB="0" distL="114300" distR="114300">
            <wp:extent cx="5266690" cy="2499360"/>
            <wp:effectExtent l="0" t="0" r="10160" b="1524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97A8">
      <w:pPr>
        <w:bidi w:val="0"/>
      </w:pPr>
      <w:r>
        <w:drawing>
          <wp:inline distT="0" distB="0" distL="114300" distR="114300">
            <wp:extent cx="5266690" cy="2499360"/>
            <wp:effectExtent l="0" t="0" r="10160" b="15240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530B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图2.2.10</w:t>
      </w:r>
    </w:p>
    <w:p w14:paraId="1B90E645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6. 角色关联菜单</w:t>
      </w:r>
    </w:p>
    <w:p w14:paraId="2A254840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打开后台管理-角色管理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，点击授权</w:t>
      </w:r>
    </w:p>
    <w:p w14:paraId="4A93DA20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2.在打开的角色关联菜单页面中进行角色相关的菜单绑定（如图2.2.11）</w:t>
      </w:r>
    </w:p>
    <w:p w14:paraId="439EEB6E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3.点击提交</w:t>
      </w:r>
    </w:p>
    <w:p w14:paraId="2C03F4E0">
      <w:r>
        <w:drawing>
          <wp:inline distT="0" distB="0" distL="114300" distR="114300">
            <wp:extent cx="5266690" cy="2499360"/>
            <wp:effectExtent l="0" t="0" r="10160" b="1524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082B">
      <w:r>
        <w:drawing>
          <wp:inline distT="0" distB="0" distL="114300" distR="114300">
            <wp:extent cx="5266690" cy="2499360"/>
            <wp:effectExtent l="0" t="0" r="10160" b="1524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34D20">
      <w:pPr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图2.2.11</w:t>
      </w:r>
    </w:p>
    <w:bookmarkEnd w:id="41"/>
    <w:p w14:paraId="3A93A7E2">
      <w:pPr>
        <w:pStyle w:val="3"/>
        <w:bidi w:val="0"/>
        <w:rPr>
          <w:rFonts w:hint="default"/>
          <w:lang w:val="en-US" w:eastAsia="zh-CN"/>
        </w:rPr>
      </w:pPr>
      <w:bookmarkStart w:id="42" w:name="_Toc31429"/>
      <w:r>
        <w:rPr>
          <w:rFonts w:hint="eastAsia"/>
          <w:lang w:val="en-US" w:eastAsia="zh-CN"/>
        </w:rPr>
        <w:t>配置管理</w:t>
      </w:r>
      <w:bookmarkEnd w:id="42"/>
    </w:p>
    <w:p w14:paraId="3D648ADB">
      <w:pPr>
        <w:ind w:firstLine="480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核算标准管理功能用于定义和维护不同的碳排放核算标准，支持推荐标准和自定义标准；GWP配置功能用于管理不同气体的GWP值，以支持碳排放量的准确计算。</w:t>
      </w:r>
    </w:p>
    <w:p w14:paraId="06816CDB">
      <w:pPr>
        <w:ind w:firstLine="480"/>
        <w:rPr>
          <w:rFonts w:hint="eastAsia" w:ascii="微软雅黑" w:hAnsi="微软雅黑" w:eastAsia="微软雅黑" w:cs="微软雅黑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2"/>
          <w:sz w:val="21"/>
          <w:szCs w:val="21"/>
          <w:lang w:val="en-US" w:eastAsia="zh-CN" w:bidi="ar-SA"/>
        </w:rPr>
        <w:t>注意：《碳盘查》填报时将引用核算标准、GWP配置，因此需要在进行碳盘查填报前配置好核算标准和GWP；</w:t>
      </w:r>
    </w:p>
    <w:p w14:paraId="607EB0F9">
      <w:pPr>
        <w:ind w:firstLine="480"/>
        <w:rPr>
          <w:rFonts w:hint="default" w:ascii="微软雅黑" w:hAnsi="微软雅黑" w:eastAsia="微软雅黑" w:cs="微软雅黑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2"/>
          <w:sz w:val="21"/>
          <w:szCs w:val="21"/>
          <w:lang w:val="en-US" w:eastAsia="zh-CN" w:bidi="ar-SA"/>
        </w:rPr>
        <w:t>如不设置核算标准，将使用内置标准；</w:t>
      </w:r>
    </w:p>
    <w:p w14:paraId="6782DA92">
      <w:pPr>
        <w:pStyle w:val="16"/>
        <w:rPr>
          <w:rFonts w:hint="eastAsia"/>
          <w:lang w:val="en-US" w:eastAsia="zh-CN"/>
        </w:rPr>
      </w:pPr>
    </w:p>
    <w:p w14:paraId="2E7374F0">
      <w:pPr>
        <w:pStyle w:val="5"/>
        <w:bidi w:val="0"/>
        <w:rPr>
          <w:rFonts w:hint="default"/>
          <w:lang w:val="en-US" w:eastAsia="zh-CN"/>
        </w:rPr>
      </w:pPr>
      <w:bookmarkStart w:id="43" w:name="_Toc31395"/>
      <w:r>
        <w:rPr>
          <w:rFonts w:hint="eastAsia"/>
          <w:lang w:val="en-US" w:eastAsia="zh-CN"/>
        </w:rPr>
        <w:t>2.3.1 核算标准</w:t>
      </w:r>
      <w:bookmarkEnd w:id="43"/>
    </w:p>
    <w:p w14:paraId="6FBA0443">
      <w:pPr>
        <w:spacing w:before="120"/>
        <w:ind w:firstLine="210" w:firstLineChars="100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核算标准管理功能用于定义和维护不同的碳排放核算标准，支持推荐标准和自定义标准；</w:t>
      </w:r>
    </w:p>
    <w:p w14:paraId="393F9D60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 推荐标准</w:t>
      </w:r>
    </w:p>
    <w:p w14:paraId="3F6314BC">
      <w:pPr>
        <w:spacing w:before="120"/>
        <w:ind w:firstLine="420" w:firstLineChars="0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1.打开配置管理-核算标准，默认显示推荐表，如图2.3.1</w:t>
      </w:r>
    </w:p>
    <w:p w14:paraId="0F0848EC">
      <w:pPr>
        <w:spacing w:before="120"/>
        <w:ind w:firstLine="420" w:firstLineChars="0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2.点击“查看”可查看标准详情，如图2.3.2</w:t>
      </w:r>
    </w:p>
    <w:p w14:paraId="6969DF37">
      <w:pPr>
        <w:spacing w:before="120"/>
        <w:ind w:firstLine="420" w:firstLineChars="0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3.推荐标准为系统内置标准，无法修改删除</w:t>
      </w:r>
    </w:p>
    <w:p w14:paraId="601D7B07">
      <w:pPr>
        <w:spacing w:before="120"/>
        <w:outlineLvl w:val="9"/>
      </w:pPr>
      <w:r>
        <w:drawing>
          <wp:inline distT="0" distB="0" distL="114300" distR="114300">
            <wp:extent cx="5266690" cy="2592070"/>
            <wp:effectExtent l="0" t="0" r="10160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BD02">
      <w:pPr>
        <w:spacing w:before="120"/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2.3.1</w:t>
      </w:r>
    </w:p>
    <w:p w14:paraId="5EBC2604">
      <w:pPr>
        <w:spacing w:before="120"/>
        <w:outlineLvl w:val="9"/>
      </w:pPr>
      <w:r>
        <w:drawing>
          <wp:inline distT="0" distB="0" distL="114300" distR="114300">
            <wp:extent cx="5266690" cy="2592070"/>
            <wp:effectExtent l="0" t="0" r="10160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CD6ED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2.3.2</w:t>
      </w:r>
    </w:p>
    <w:p w14:paraId="12DE0C96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2. 自定义标准</w:t>
      </w:r>
    </w:p>
    <w:p w14:paraId="640CC0F9">
      <w:pPr>
        <w:spacing w:before="120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1.打开核算标准-我的标准，</w:t>
      </w:r>
      <w:r>
        <w:rPr>
          <w:rFonts w:hint="eastAsia" w:ascii="微软雅黑" w:hAnsi="微软雅黑" w:eastAsia="微软雅黑"/>
          <w:lang w:val="en-US" w:eastAsia="zh-CN"/>
        </w:rPr>
        <w:t>点击右侧“自定义标准”按钮（如图2.3.3）</w:t>
      </w:r>
    </w:p>
    <w:p w14:paraId="1EC55FC8">
      <w:pPr>
        <w:spacing w:before="120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lang w:val="en-US" w:eastAsia="zh-CN"/>
        </w:rPr>
        <w:t>先添加标准名称、然后点击保存</w:t>
      </w:r>
    </w:p>
    <w:p w14:paraId="64D0890C">
      <w:pPr>
        <w:spacing w:before="120"/>
        <w:jc w:val="both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3.保存后添加左侧排放类型目录，然后选中已添加的排放源类型，点击右侧“新增排放源”，</w:t>
      </w: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填写排放源、单位后保存，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如图2.3.4</w:t>
      </w:r>
    </w:p>
    <w:p w14:paraId="0F82BC7E">
      <w:pPr>
        <w:spacing w:before="120"/>
      </w:pPr>
      <w:r>
        <w:drawing>
          <wp:inline distT="0" distB="0" distL="114300" distR="114300">
            <wp:extent cx="5266690" cy="2592070"/>
            <wp:effectExtent l="0" t="0" r="10160" b="177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7D36">
      <w:pPr>
        <w:spacing w:before="12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2.3.3</w:t>
      </w:r>
    </w:p>
    <w:p w14:paraId="5EF95BAA">
      <w:pPr>
        <w:spacing w:before="120"/>
        <w:jc w:val="center"/>
      </w:pPr>
      <w:r>
        <w:drawing>
          <wp:inline distT="0" distB="0" distL="114300" distR="114300">
            <wp:extent cx="5266690" cy="2592070"/>
            <wp:effectExtent l="0" t="0" r="10160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30D6">
      <w:pPr>
        <w:spacing w:before="12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2.3.4</w:t>
      </w:r>
    </w:p>
    <w:p w14:paraId="0C157DB8">
      <w:pPr>
        <w:spacing w:before="120"/>
        <w:jc w:val="both"/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4.编辑：点击操作中的“编辑”按钮，可修改已添加的排放源</w:t>
      </w:r>
    </w:p>
    <w:p w14:paraId="26299080">
      <w:pPr>
        <w:spacing w:before="120"/>
        <w:jc w:val="both"/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5.删除：点击操作中的“删除”按钮，删除已添加的排放源</w:t>
      </w:r>
    </w:p>
    <w:p w14:paraId="16E62E6A">
      <w:pPr>
        <w:pStyle w:val="5"/>
        <w:bidi w:val="0"/>
        <w:rPr>
          <w:rFonts w:hint="default"/>
          <w:lang w:val="en-US" w:eastAsia="zh-CN"/>
        </w:rPr>
      </w:pPr>
      <w:bookmarkStart w:id="44" w:name="_Toc9140"/>
      <w:r>
        <w:rPr>
          <w:rFonts w:hint="eastAsia"/>
          <w:lang w:val="en-US" w:eastAsia="zh-CN"/>
        </w:rPr>
        <w:t>2.3.2 GWP配置</w:t>
      </w:r>
      <w:bookmarkEnd w:id="44"/>
    </w:p>
    <w:p w14:paraId="7070B55F">
      <w:pPr>
        <w:spacing w:before="120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GWP配置功能用于管理不同气体的GWP值，以支持碳排放量的准确计算</w:t>
      </w:r>
    </w:p>
    <w:p w14:paraId="2FD0FA68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1. 新增</w:t>
      </w:r>
    </w:p>
    <w:p w14:paraId="2958913A">
      <w:pPr>
        <w:spacing w:before="120"/>
        <w:outlineLvl w:val="9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打开配置管理-GWP配置，如图2.3.5</w:t>
      </w:r>
    </w:p>
    <w:p w14:paraId="133E9C8A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lang w:val="en-US" w:eastAsia="zh-CN"/>
        </w:rPr>
        <w:t>点击“新增”按钮，填写相关数据（如图2.3.6）</w:t>
      </w:r>
    </w:p>
    <w:p w14:paraId="194903E4">
      <w:pPr>
        <w:spacing w:before="120"/>
        <w:outlineLvl w:val="9"/>
      </w:pPr>
      <w:r>
        <w:drawing>
          <wp:inline distT="0" distB="0" distL="114300" distR="114300">
            <wp:extent cx="5266690" cy="2592070"/>
            <wp:effectExtent l="0" t="0" r="10160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5568">
      <w:pPr>
        <w:spacing w:before="120"/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2.3.5</w:t>
      </w:r>
    </w:p>
    <w:p w14:paraId="0275E5EB">
      <w:pPr>
        <w:spacing w:before="120"/>
        <w:outlineLvl w:val="9"/>
      </w:pPr>
      <w:r>
        <w:drawing>
          <wp:inline distT="0" distB="0" distL="114300" distR="114300">
            <wp:extent cx="5266690" cy="2592070"/>
            <wp:effectExtent l="0" t="0" r="10160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02C4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2.3.6</w:t>
      </w:r>
    </w:p>
    <w:p w14:paraId="77841D51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2. 修改</w:t>
      </w:r>
    </w:p>
    <w:p w14:paraId="29C3AB9A">
      <w:pPr>
        <w:spacing w:before="120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1.点击编辑（已启用的无法编辑）</w:t>
      </w:r>
    </w:p>
    <w:p w14:paraId="2A6DA1E7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2.在打开的修改页面中修改对应的参数（如图2.3.7）</w:t>
      </w:r>
    </w:p>
    <w:p w14:paraId="36562DEB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71EBB494">
      <w:pPr>
        <w:spacing w:before="120"/>
      </w:pPr>
      <w:r>
        <w:drawing>
          <wp:inline distT="0" distB="0" distL="114300" distR="114300">
            <wp:extent cx="5266690" cy="2592070"/>
            <wp:effectExtent l="0" t="0" r="10160" b="177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2DC7">
      <w:pPr>
        <w:spacing w:before="12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2.3.7</w:t>
      </w:r>
    </w:p>
    <w:p w14:paraId="4C499B40">
      <w:pPr>
        <w:spacing w:before="120"/>
        <w:outlineLvl w:val="3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3. 删除</w:t>
      </w:r>
    </w:p>
    <w:p w14:paraId="4CEA8889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选择相应目标数据，点击删除，在弹出的提示窗口点击确定，删除成功（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已启用的无法删除</w:t>
      </w:r>
      <w:r>
        <w:rPr>
          <w:rFonts w:hint="eastAsia" w:ascii="微软雅黑" w:hAnsi="微软雅黑" w:eastAsia="微软雅黑"/>
          <w:lang w:val="en-US" w:eastAsia="zh-CN"/>
        </w:rPr>
        <w:t>）</w:t>
      </w:r>
    </w:p>
    <w:p w14:paraId="4BD5F605">
      <w:pPr>
        <w:spacing w:before="120"/>
        <w:jc w:val="both"/>
        <w:rPr>
          <w:rFonts w:hint="default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</w:p>
    <w:p w14:paraId="73D425C1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45" w:name="_Toc756"/>
      <w:r>
        <w:rPr>
          <w:rFonts w:hint="eastAsia"/>
          <w:lang w:val="en-US" w:eastAsia="zh-CN"/>
        </w:rPr>
        <w:t>碳盘查</w:t>
      </w:r>
      <w:bookmarkEnd w:id="45"/>
    </w:p>
    <w:p w14:paraId="182F56CA">
      <w:pPr>
        <w:pStyle w:val="16"/>
        <w:ind w:firstLine="420" w:firstLineChars="200"/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应用场景：企业侧填报年度碳排放数据，生成碳盘查报告</w:t>
      </w:r>
    </w:p>
    <w:p w14:paraId="2A0DE99E">
      <w:pPr>
        <w:pStyle w:val="16"/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企业碳盘查主要分三步：</w:t>
      </w:r>
    </w:p>
    <w:p w14:paraId="058396A4">
      <w:pPr>
        <w:pStyle w:val="16"/>
        <w:ind w:firstLine="420" w:firstLineChars="200"/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第一步：配置边界（包括填写企业基本信息、配置排放设施、确定核算标准）</w:t>
      </w:r>
    </w:p>
    <w:p w14:paraId="7CDA0B4A">
      <w:pPr>
        <w:pStyle w:val="16"/>
        <w:ind w:firstLine="420" w:firstLineChars="200"/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第二步：数据收集（填写碳排放数据、上传凭证）</w:t>
      </w:r>
    </w:p>
    <w:p w14:paraId="72D4C0F9">
      <w:pPr>
        <w:pStyle w:val="16"/>
        <w:ind w:firstLine="420" w:firstLineChars="200"/>
        <w:rPr>
          <w:rFonts w:hint="default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第三步：生成盘查报告（基础报告、升级报告、盘查清册）</w:t>
      </w:r>
    </w:p>
    <w:p w14:paraId="110ACDC0">
      <w:pPr>
        <w:pStyle w:val="16"/>
        <w:rPr>
          <w:rFonts w:hint="default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71135" cy="1762125"/>
            <wp:effectExtent l="0" t="0" r="5715" b="9525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8A15">
      <w:pPr>
        <w:pStyle w:val="5"/>
        <w:bidi w:val="0"/>
        <w:rPr>
          <w:rFonts w:hint="default"/>
          <w:lang w:val="en-US" w:eastAsia="zh-CN"/>
        </w:rPr>
      </w:pPr>
      <w:bookmarkStart w:id="46" w:name="_Toc6288"/>
      <w:r>
        <w:rPr>
          <w:rFonts w:hint="eastAsia"/>
          <w:lang w:val="en-US" w:eastAsia="zh-CN"/>
        </w:rPr>
        <w:t>2.4.1 总览</w:t>
      </w:r>
      <w:bookmarkEnd w:id="46"/>
    </w:p>
    <w:p w14:paraId="7B5E4591">
      <w:pPr>
        <w:numPr>
          <w:ilvl w:val="0"/>
          <w:numId w:val="0"/>
        </w:numPr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1.企业填报人员登录碳管理平台，打开碳盘查-总览；如图2.4.1</w:t>
      </w:r>
    </w:p>
    <w:p w14:paraId="0EE6D3C4">
      <w:pPr>
        <w:pStyle w:val="16"/>
        <w:rPr>
          <w:rFonts w:hint="default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  <w:t>2.企业未进行填报时，页面显示“立即创建”按钮，点击可开始年度碳盘查填报；如图2.4.1</w:t>
      </w:r>
    </w:p>
    <w:p w14:paraId="4B9160A5">
      <w:pPr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F08F">
      <w:pPr>
        <w:numPr>
          <w:ilvl w:val="0"/>
          <w:numId w:val="0"/>
        </w:numPr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图2.4.1</w:t>
      </w:r>
    </w:p>
    <w:p w14:paraId="3D75FD85">
      <w:pPr>
        <w:pStyle w:val="16"/>
        <w:rPr>
          <w:rFonts w:hint="eastAsia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  <w:t>3.完成《盘查库》的填报后，可在总览中查看年度碳排放数据，如图2.4.2</w:t>
      </w:r>
    </w:p>
    <w:p w14:paraId="64FAC423">
      <w:pPr>
        <w:pStyle w:val="16"/>
        <w:rPr>
          <w:rFonts w:hint="default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  <w:t>4.可通过左上角的年度控件，切换显示不同年度的数据</w:t>
      </w:r>
    </w:p>
    <w:p w14:paraId="70CE7905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E746">
      <w:pPr>
        <w:numPr>
          <w:ilvl w:val="0"/>
          <w:numId w:val="0"/>
        </w:numPr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图2.4.2</w:t>
      </w:r>
    </w:p>
    <w:p w14:paraId="2F3FE2EA">
      <w:pPr>
        <w:pStyle w:val="16"/>
        <w:rPr>
          <w:rFonts w:hint="default"/>
          <w:lang w:val="en-US" w:eastAsia="zh-CN"/>
        </w:rPr>
      </w:pPr>
    </w:p>
    <w:p w14:paraId="6992B778">
      <w:pPr>
        <w:numPr>
          <w:ilvl w:val="0"/>
          <w:numId w:val="0"/>
        </w:numPr>
        <w:jc w:val="center"/>
        <w:outlineLvl w:val="9"/>
        <w:rPr>
          <w:rFonts w:hint="default"/>
          <w:lang w:val="en-US" w:eastAsia="zh-CN"/>
        </w:rPr>
      </w:pPr>
    </w:p>
    <w:p w14:paraId="7FE7408C">
      <w:pPr>
        <w:pStyle w:val="5"/>
        <w:bidi w:val="0"/>
        <w:rPr>
          <w:rFonts w:hint="eastAsia"/>
          <w:lang w:val="en-US" w:eastAsia="zh-CN"/>
        </w:rPr>
      </w:pPr>
      <w:bookmarkStart w:id="47" w:name="_Toc13716"/>
      <w:r>
        <w:rPr>
          <w:rFonts w:hint="eastAsia"/>
          <w:lang w:val="en-US" w:eastAsia="zh-CN"/>
        </w:rPr>
        <w:t>2.4.2 盘查库</w:t>
      </w:r>
      <w:bookmarkEnd w:id="47"/>
    </w:p>
    <w:p w14:paraId="1686C0C4">
      <w:pPr>
        <w:pStyle w:val="16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theme="minorBidi"/>
          <w:b w:val="0"/>
          <w:bCs w:val="0"/>
          <w:kern w:val="2"/>
          <w:sz w:val="21"/>
          <w:szCs w:val="21"/>
          <w:lang w:val="en-US" w:eastAsia="zh-CN" w:bidi="ar-SA"/>
        </w:rPr>
        <w:t>盘查流程：</w:t>
      </w:r>
    </w:p>
    <w:p w14:paraId="472027DE">
      <w:pPr>
        <w:pStyle w:val="16"/>
      </w:pPr>
      <w:r>
        <w:drawing>
          <wp:inline distT="0" distB="0" distL="114300" distR="114300">
            <wp:extent cx="5271135" cy="1762125"/>
            <wp:effectExtent l="0" t="0" r="5715" b="9525"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CD4E">
      <w:pPr>
        <w:numPr>
          <w:ilvl w:val="0"/>
          <w:numId w:val="0"/>
        </w:numPr>
        <w:jc w:val="center"/>
        <w:outlineLvl w:val="9"/>
        <w:rPr>
          <w:rFonts w:hint="default"/>
          <w:b/>
          <w:bCs/>
          <w:sz w:val="24"/>
          <w:szCs w:val="32"/>
          <w:lang w:val="en-US"/>
        </w:rPr>
      </w:pPr>
      <w:r>
        <w:rPr>
          <w:rFonts w:hint="eastAsia"/>
          <w:lang w:val="en-US" w:eastAsia="zh-CN"/>
        </w:rPr>
        <w:t>图2.4.3</w:t>
      </w:r>
    </w:p>
    <w:p w14:paraId="05B88F20">
      <w:pPr>
        <w:pStyle w:val="6"/>
        <w:bidi w:val="0"/>
        <w:rPr>
          <w:rFonts w:hint="default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第一步：配置边界</w:t>
      </w:r>
    </w:p>
    <w:p w14:paraId="6EB1DF9F">
      <w:pPr>
        <w:spacing w:before="120"/>
        <w:outlineLvl w:val="4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1. 创建盘查期</w:t>
      </w:r>
    </w:p>
    <w:p w14:paraId="1813F970">
      <w:pPr>
        <w:spacing w:before="120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1.在总览或盘查库中，点击“立即创建”按钮，弹窗显示创建盘查期，如图2.4.4</w:t>
      </w:r>
    </w:p>
    <w:p w14:paraId="561DCF82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2.输入如图2.4.4中信息，点击确认保存</w:t>
      </w:r>
    </w:p>
    <w:p w14:paraId="310E4555">
      <w:pPr>
        <w:spacing w:before="120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013E2">
      <w:pPr>
        <w:spacing w:before="120"/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2.4.4</w:t>
      </w:r>
    </w:p>
    <w:p w14:paraId="62109493">
      <w:pPr>
        <w:spacing w:before="120"/>
        <w:outlineLvl w:val="4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2. 填写企业基本信息</w:t>
      </w:r>
    </w:p>
    <w:p w14:paraId="54EA4F2A">
      <w:pPr>
        <w:spacing w:before="120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1.创建盘查期后，首先进入“填写企业基本信息”，如图2.4.5</w:t>
      </w:r>
    </w:p>
    <w:p w14:paraId="133A966A">
      <w:pPr>
        <w:spacing w:before="120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2.填写企业基本信息</w:t>
      </w:r>
    </w:p>
    <w:p w14:paraId="579D9F04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17711047">
      <w:pPr>
        <w:pStyle w:val="16"/>
        <w:rPr>
          <w:rFonts w:hint="eastAsia" w:ascii="微软雅黑" w:hAnsi="微软雅黑" w:eastAsia="微软雅黑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1"/>
          <w:szCs w:val="21"/>
          <w:lang w:val="en-US" w:eastAsia="zh-CN"/>
        </w:rPr>
        <w:t>注意：1、报告开始时间和报告结束时间决定数据收集的周期，需认真填写</w:t>
      </w:r>
    </w:p>
    <w:p w14:paraId="073A3AAE">
      <w:pPr>
        <w:pStyle w:val="16"/>
        <w:numPr>
          <w:ilvl w:val="0"/>
          <w:numId w:val="6"/>
        </w:numPr>
        <w:ind w:firstLine="630" w:firstLineChars="300"/>
        <w:rPr>
          <w:rFonts w:hint="eastAsia" w:ascii="微软雅黑" w:hAnsi="微软雅黑" w:eastAsia="微软雅黑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1"/>
          <w:szCs w:val="21"/>
          <w:lang w:val="en-US" w:eastAsia="zh-CN"/>
        </w:rPr>
        <w:t>盘查填报期间，可在任意步骤保存，便于后续继续填写</w:t>
      </w:r>
    </w:p>
    <w:p w14:paraId="2AE91581">
      <w:pPr>
        <w:pStyle w:val="16"/>
        <w:numPr>
          <w:ilvl w:val="0"/>
          <w:numId w:val="6"/>
        </w:numPr>
        <w:ind w:firstLine="630" w:firstLineChars="300"/>
        <w:rPr>
          <w:rFonts w:hint="default" w:ascii="微软雅黑" w:hAnsi="微软雅黑" w:eastAsia="微软雅黑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1"/>
          <w:szCs w:val="21"/>
          <w:lang w:val="en-US" w:eastAsia="zh-CN"/>
        </w:rPr>
        <w:t>修改任意步骤的数据后，需要从已修改步骤往后依次重新填写（例如：完成全部盘查填报后，再次修改企业基本信息时，需要按照顺序重新依次填报）</w:t>
      </w:r>
    </w:p>
    <w:p w14:paraId="6EDE777F">
      <w:pPr>
        <w:spacing w:before="120"/>
      </w:pPr>
      <w:r>
        <w:drawing>
          <wp:inline distT="0" distB="0" distL="114300" distR="114300">
            <wp:extent cx="5266690" cy="2614295"/>
            <wp:effectExtent l="0" t="0" r="1016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899A">
      <w:pPr>
        <w:spacing w:before="12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2.4.5</w:t>
      </w:r>
    </w:p>
    <w:p w14:paraId="47A3285B">
      <w:pPr>
        <w:spacing w:before="120"/>
        <w:outlineLvl w:val="4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3. 配置设施</w:t>
      </w:r>
    </w:p>
    <w:p w14:paraId="407E6B89">
      <w:pPr>
        <w:spacing w:before="12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1.填写完毕企业基本信息后，点击下一步，进入配置设施页面，如图2.4.6</w:t>
      </w:r>
    </w:p>
    <w:p w14:paraId="5EA96507">
      <w:pPr>
        <w:pStyle w:val="16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2.点击“添加”按钮，填写设施信息</w:t>
      </w:r>
    </w:p>
    <w:p w14:paraId="29170D10">
      <w:pPr>
        <w:pStyle w:val="16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3.点击保存或下一步</w:t>
      </w:r>
    </w:p>
    <w:p w14:paraId="0A70C5C6">
      <w:pPr>
        <w:pStyle w:val="16"/>
        <w:rPr>
          <w:rFonts w:hint="default" w:ascii="微软雅黑" w:hAnsi="微软雅黑" w:eastAsia="宋体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4.保存后右侧“核算边界缩略图”会显示已添加的设施信息</w:t>
      </w:r>
    </w:p>
    <w:p w14:paraId="41D723E0">
      <w:pPr>
        <w:spacing w:before="120"/>
      </w:pPr>
      <w:r>
        <w:drawing>
          <wp:inline distT="0" distB="0" distL="114300" distR="114300">
            <wp:extent cx="5266690" cy="2499360"/>
            <wp:effectExtent l="0" t="0" r="10160" b="15240"/>
            <wp:docPr id="6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2691">
      <w:pPr>
        <w:spacing w:before="12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2.4.6</w:t>
      </w:r>
    </w:p>
    <w:p w14:paraId="2F233DE5">
      <w:pPr>
        <w:spacing w:before="120"/>
        <w:outlineLvl w:val="4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4. 配置排放源</w:t>
      </w:r>
    </w:p>
    <w:p w14:paraId="29E11100">
      <w:pPr>
        <w:spacing w:before="12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1.配置设施后，点击下一步，进入配置排放源页面，如图2.4.7</w:t>
      </w:r>
    </w:p>
    <w:p w14:paraId="69CA6248">
      <w:pPr>
        <w:spacing w:before="120"/>
      </w:pPr>
      <w:r>
        <w:drawing>
          <wp:inline distT="0" distB="0" distL="114300" distR="114300">
            <wp:extent cx="5266690" cy="2499360"/>
            <wp:effectExtent l="0" t="0" r="10160" b="15240"/>
            <wp:docPr id="7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D595">
      <w:pPr>
        <w:spacing w:before="12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2.4.7</w:t>
      </w:r>
    </w:p>
    <w:p w14:paraId="17D97F1C">
      <w:pPr>
        <w:pStyle w:val="16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2.首先在左侧设施列表中选中某一设施（设施列表来源于《配置设施》中已添加的数据），再点击“添加排放源类别”按钮，选择排放源类别，如图2.4.8</w:t>
      </w:r>
    </w:p>
    <w:p w14:paraId="16CDE5B4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EDD6">
      <w:pPr>
        <w:spacing w:before="12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2.4.8</w:t>
      </w:r>
    </w:p>
    <w:p w14:paraId="5C3933D4">
      <w:pPr>
        <w:pStyle w:val="16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3.点击保存后，点击“添加排放源”，在弹窗中选择因子类型，如图2.4.9</w:t>
      </w:r>
    </w:p>
    <w:p w14:paraId="2104518F">
      <w:pPr>
        <w:pStyle w:val="16"/>
        <w:rPr>
          <w:rFonts w:hint="eastAsia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>注意：可从系统内置的因子库中选择，也可以手动添加因子数据，如图2.4.10</w:t>
      </w:r>
    </w:p>
    <w:p w14:paraId="0586EE20">
      <w:pPr>
        <w:pStyle w:val="16"/>
        <w:rPr>
          <w:rFonts w:hint="default" w:ascii="微软雅黑" w:hAnsi="微软雅黑" w:eastAsia="微软雅黑"/>
          <w:color w:val="auto"/>
          <w:lang w:val="en-US" w:eastAsia="zh-CN"/>
        </w:rPr>
      </w:pPr>
      <w:r>
        <w:rPr>
          <w:rFonts w:hint="eastAsia" w:ascii="微软雅黑" w:hAnsi="微软雅黑" w:eastAsia="微软雅黑"/>
          <w:color w:val="auto"/>
          <w:lang w:val="en-US" w:eastAsia="zh-CN"/>
        </w:rPr>
        <w:t>4.根据企业实际情况，添加完所有设施的排放因子，点击下一步</w:t>
      </w:r>
    </w:p>
    <w:p w14:paraId="07CDCE57">
      <w:pPr>
        <w:pStyle w:val="16"/>
        <w:rPr>
          <w:rFonts w:hint="eastAsia" w:ascii="微软雅黑" w:hAnsi="微软雅黑" w:eastAsia="微软雅黑"/>
          <w:lang w:val="en-US" w:eastAsia="zh-CN"/>
        </w:rPr>
      </w:pPr>
    </w:p>
    <w:p w14:paraId="5FCA03C5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43A4">
      <w:pPr>
        <w:spacing w:before="12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2.4.9</w:t>
      </w:r>
    </w:p>
    <w:p w14:paraId="024809D2">
      <w:pPr>
        <w:pStyle w:val="16"/>
        <w:jc w:val="center"/>
      </w:pPr>
      <w:r>
        <w:drawing>
          <wp:inline distT="0" distB="0" distL="114300" distR="114300">
            <wp:extent cx="5266690" cy="2499360"/>
            <wp:effectExtent l="0" t="0" r="10160" b="15240"/>
            <wp:docPr id="7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FA87">
      <w:pPr>
        <w:spacing w:before="12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2.4.10</w:t>
      </w:r>
    </w:p>
    <w:p w14:paraId="169CAACA">
      <w:pPr>
        <w:spacing w:before="120"/>
        <w:outlineLvl w:val="4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5. 确定核算配置</w:t>
      </w:r>
    </w:p>
    <w:p w14:paraId="4BD23AD0">
      <w:pPr>
        <w:spacing w:before="120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1.完成因子配置后，点击下一步，进入确定核算配置页面</w:t>
      </w:r>
    </w:p>
    <w:p w14:paraId="14762B36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2.在当前页查看已添加的所有设施和排放源信息（如图2.4.11）</w:t>
      </w:r>
    </w:p>
    <w:p w14:paraId="435F574C">
      <w:pPr>
        <w:spacing w:before="120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3.确认无误后点击确认，进入数据填报步骤</w:t>
      </w:r>
    </w:p>
    <w:p w14:paraId="15E0375E">
      <w:pPr>
        <w:bidi w:val="0"/>
      </w:pPr>
      <w:r>
        <w:drawing>
          <wp:inline distT="0" distB="0" distL="114300" distR="114300">
            <wp:extent cx="5266690" cy="2499360"/>
            <wp:effectExtent l="0" t="0" r="10160" b="15240"/>
            <wp:docPr id="7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1AD2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图2.4.11</w:t>
      </w:r>
    </w:p>
    <w:p w14:paraId="198A87F9">
      <w:pPr>
        <w:pStyle w:val="6"/>
        <w:bidi w:val="0"/>
        <w:rPr>
          <w:rFonts w:hint="default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第二步：数据收集</w:t>
      </w:r>
    </w:p>
    <w:p w14:paraId="497664F3">
      <w:pPr>
        <w:spacing w:before="120"/>
        <w:outlineLvl w:val="4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1. 填报数据</w:t>
      </w:r>
    </w:p>
    <w:p w14:paraId="7E33BFF6">
      <w:pPr>
        <w:spacing w:before="120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1.完成第一步后，进入数据填报页面，如图2.4.12</w:t>
      </w:r>
    </w:p>
    <w:p w14:paraId="3B2336B5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2.可切换月度填报或年度填报，月度数据来源于企业基本信息中的报告开始-结束时间</w:t>
      </w:r>
    </w:p>
    <w:p w14:paraId="41375CA0">
      <w:pPr>
        <w:spacing w:before="120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3.填写排放量数据后，点击下一步</w:t>
      </w:r>
    </w:p>
    <w:p w14:paraId="67878100">
      <w:pPr>
        <w:spacing w:before="120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7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F928">
      <w:pPr>
        <w:spacing w:before="120"/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2.4.12</w:t>
      </w:r>
    </w:p>
    <w:p w14:paraId="7931EFA2">
      <w:pPr>
        <w:spacing w:before="120"/>
        <w:outlineLvl w:val="4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2. 上传凭证</w:t>
      </w:r>
    </w:p>
    <w:p w14:paraId="3B3C571B">
      <w:pPr>
        <w:spacing w:before="120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1.完成数据填报后，点击下一步进入上传凭证页面，如图2.4.13</w:t>
      </w:r>
    </w:p>
    <w:p w14:paraId="7194449A">
      <w:pPr>
        <w:spacing w:before="120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2.填写相关信息后，点击完成</w:t>
      </w:r>
    </w:p>
    <w:p w14:paraId="10231478">
      <w:pPr>
        <w:spacing w:before="120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8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E1B7">
      <w:p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2.4.13</w:t>
      </w:r>
    </w:p>
    <w:p w14:paraId="6CDCEF6F">
      <w:pPr>
        <w:pStyle w:val="16"/>
        <w:rPr>
          <w:rFonts w:hint="eastAsia"/>
          <w:lang w:val="en-US" w:eastAsia="zh-CN"/>
        </w:rPr>
      </w:pPr>
    </w:p>
    <w:p w14:paraId="50C91476">
      <w:pPr>
        <w:pStyle w:val="6"/>
        <w:bidi w:val="0"/>
        <w:rPr>
          <w:rFonts w:hint="eastAsia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第三步：生成报告</w:t>
      </w:r>
    </w:p>
    <w:p w14:paraId="68EBF524">
      <w:pPr>
        <w:numPr>
          <w:ilvl w:val="0"/>
          <w:numId w:val="0"/>
        </w:num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1.完成年度盘查数据填报后，进入第三步:生成盘查报告</w:t>
      </w:r>
      <w:r>
        <w:rPr>
          <w:rFonts w:hint="eastAsia" w:ascii="微软雅黑" w:hAnsi="微软雅黑" w:eastAsia="微软雅黑"/>
          <w:lang w:val="en-US" w:eastAsia="zh-CN"/>
        </w:rPr>
        <w:br w:type="textWrapping"/>
      </w:r>
      <w:r>
        <w:rPr>
          <w:rFonts w:hint="eastAsia" w:ascii="微软雅黑" w:hAnsi="微软雅黑" w:eastAsia="微软雅黑"/>
          <w:lang w:val="en-US" w:eastAsia="zh-CN"/>
        </w:rPr>
        <w:t>2.在完成页面，点击“生成报告”，会自动生成碳盘查报告（基础版）、碳盘查报告（升级版）、盘查清册；如图2.4.14</w:t>
      </w:r>
    </w:p>
    <w:p w14:paraId="40296385">
      <w:pPr>
        <w:numPr>
          <w:ilvl w:val="0"/>
          <w:numId w:val="0"/>
        </w:num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3.点击生成报告后自动返回盘查库首页，如图2.4.15</w:t>
      </w:r>
    </w:p>
    <w:p w14:paraId="1AFE19C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4.点击对应报告下方的“重新生成”按钮，可手动生成报告；如图2.4.15</w:t>
      </w:r>
    </w:p>
    <w:p w14:paraId="5E04F7CE">
      <w:pPr>
        <w:pStyle w:val="16"/>
        <w:rPr>
          <w:rFonts w:hint="eastAsia"/>
          <w:lang w:val="en-US" w:eastAsia="zh-CN"/>
        </w:rPr>
      </w:pPr>
    </w:p>
    <w:p w14:paraId="70276577">
      <w:pPr>
        <w:pStyle w:val="16"/>
        <w:rPr>
          <w:rFonts w:hint="eastAsia"/>
          <w:lang w:val="en-US" w:eastAsia="zh-CN"/>
        </w:rPr>
      </w:pPr>
    </w:p>
    <w:p w14:paraId="51C34430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DA2E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2.4.14</w:t>
      </w:r>
    </w:p>
    <w:p w14:paraId="0457A349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0082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2.4.15</w:t>
      </w:r>
    </w:p>
    <w:p w14:paraId="089A456A">
      <w:pPr>
        <w:pStyle w:val="16"/>
        <w:numPr>
          <w:ilvl w:val="0"/>
          <w:numId w:val="7"/>
        </w:num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预览：鼠标选中报告后，点击预览，可在线查看报告详情；如图2.4.16</w:t>
      </w:r>
    </w:p>
    <w:p w14:paraId="6A79BE16">
      <w:pPr>
        <w:pStyle w:val="16"/>
        <w:numPr>
          <w:ilvl w:val="0"/>
          <w:numId w:val="7"/>
        </w:num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下载：鼠标选中报告后，点击下载，可下载至本地；如图2.4.16</w:t>
      </w:r>
    </w:p>
    <w:p w14:paraId="5C6383FB">
      <w:pPr>
        <w:pStyle w:val="16"/>
        <w:numPr>
          <w:ilvl w:val="0"/>
          <w:numId w:val="7"/>
        </w:num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至此完成碳盘查全部步骤</w:t>
      </w:r>
    </w:p>
    <w:p w14:paraId="2D74270F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8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AFE1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2.4.16</w:t>
      </w:r>
    </w:p>
    <w:p w14:paraId="624557C4">
      <w:pPr>
        <w:pStyle w:val="5"/>
        <w:bidi w:val="0"/>
        <w:rPr>
          <w:rFonts w:hint="default"/>
          <w:lang w:val="en-US" w:eastAsia="zh-CN"/>
        </w:rPr>
      </w:pPr>
      <w:bookmarkStart w:id="48" w:name="_Toc7471"/>
      <w:r>
        <w:rPr>
          <w:rFonts w:hint="eastAsia"/>
          <w:lang w:val="en-US" w:eastAsia="zh-CN"/>
        </w:rPr>
        <w:t>2.4.3 目标及实施计划</w:t>
      </w:r>
      <w:bookmarkEnd w:id="48"/>
    </w:p>
    <w:p w14:paraId="21D98502">
      <w:pPr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通过《目标及实施计划》记录年度目标减排比例、碳强度等</w:t>
      </w:r>
    </w:p>
    <w:p w14:paraId="02E3A56B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1. 新增目标</w:t>
      </w:r>
    </w:p>
    <w:p w14:paraId="6AFEBB4F">
      <w:pPr>
        <w:spacing w:before="120"/>
        <w:outlineLvl w:val="9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打开碳盘查-目标及实施计划，如图2.4.17</w:t>
      </w:r>
    </w:p>
    <w:p w14:paraId="752A468E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lang w:val="en-US" w:eastAsia="zh-CN"/>
        </w:rPr>
        <w:t>点击“新增目标”按钮，填写相关数据（如图2.4.18）</w:t>
      </w:r>
    </w:p>
    <w:p w14:paraId="7EEB6569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3.当“基准年”有数据时，自动带出产品产值和总排放量</w:t>
      </w:r>
    </w:p>
    <w:p w14:paraId="131E7498">
      <w:pPr>
        <w:spacing w:before="120"/>
        <w:ind w:firstLine="420" w:firstLineChars="0"/>
        <w:outlineLvl w:val="9"/>
        <w:rPr>
          <w:rFonts w:hint="default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>例如：在盘查库中，已存在2022年的碳盘查数据，那么在“新增目标”时，选中基准年为2022年，会自动带出2022年的产品产值和排放总量</w:t>
      </w:r>
    </w:p>
    <w:p w14:paraId="5491353F">
      <w:pPr>
        <w:spacing w:before="120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9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135F">
      <w:pPr>
        <w:spacing w:before="120"/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2.4.17</w:t>
      </w:r>
    </w:p>
    <w:p w14:paraId="76DA3BEC">
      <w:pPr>
        <w:spacing w:before="120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8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FFBA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2.4.18</w:t>
      </w:r>
    </w:p>
    <w:p w14:paraId="160979E1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2. 修改</w:t>
      </w:r>
    </w:p>
    <w:p w14:paraId="11C36C20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1.点击编辑</w:t>
      </w:r>
    </w:p>
    <w:p w14:paraId="2C2A5DA8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2.在打开的修改页面中修改对应的参数（如图2.4.19）</w:t>
      </w:r>
    </w:p>
    <w:p w14:paraId="63E47E8E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7A92C8F2">
      <w:pPr>
        <w:spacing w:before="120"/>
      </w:pPr>
      <w:r>
        <w:drawing>
          <wp:inline distT="0" distB="0" distL="114300" distR="114300">
            <wp:extent cx="5266690" cy="2499360"/>
            <wp:effectExtent l="0" t="0" r="10160" b="15240"/>
            <wp:docPr id="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856E">
      <w:pPr>
        <w:spacing w:before="12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2.4.19</w:t>
      </w:r>
    </w:p>
    <w:p w14:paraId="27D6B5D5">
      <w:pPr>
        <w:spacing w:before="120"/>
        <w:outlineLvl w:val="3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3. 删除</w:t>
      </w:r>
    </w:p>
    <w:p w14:paraId="78DF3649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选择相应目标数据，点击删除，在弹出的提示窗口点击确定，删除成功</w:t>
      </w:r>
    </w:p>
    <w:p w14:paraId="369236A5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</w:p>
    <w:p w14:paraId="7F15CC58">
      <w:pPr>
        <w:pStyle w:val="3"/>
        <w:bidi w:val="0"/>
        <w:rPr>
          <w:rFonts w:hint="eastAsia"/>
          <w:lang w:val="en-US" w:eastAsia="zh-CN"/>
        </w:rPr>
      </w:pPr>
      <w:bookmarkStart w:id="49" w:name="_Toc25048"/>
      <w:r>
        <w:rPr>
          <w:rFonts w:hint="eastAsia"/>
          <w:lang w:val="en-US" w:eastAsia="zh-CN"/>
        </w:rPr>
        <w:t>碳足迹</w:t>
      </w:r>
      <w:bookmarkEnd w:id="49"/>
    </w:p>
    <w:p w14:paraId="4EBE95E3">
      <w:pPr>
        <w:pStyle w:val="16"/>
        <w:ind w:firstLine="420" w:firstLineChars="200"/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应用场景：对该企业的产品，进行产品碳足迹的核算的管理</w:t>
      </w:r>
    </w:p>
    <w:p w14:paraId="029FFA70">
      <w:pPr>
        <w:pStyle w:val="16"/>
        <w:ind w:firstLine="420" w:firstLineChars="200"/>
        <w:rPr>
          <w:rFonts w:hint="default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操作流程：首先完成《产品管理》和《供应商管理》，然后进行《产品碳填报》，最后进行数据填报并生成碳足迹报告</w:t>
      </w:r>
    </w:p>
    <w:p w14:paraId="629D03E5">
      <w:pPr>
        <w:pStyle w:val="16"/>
        <w:rPr>
          <w:rFonts w:hint="default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72405" cy="1991995"/>
            <wp:effectExtent l="0" t="0" r="4445" b="8255"/>
            <wp:docPr id="13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6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727F">
      <w:pPr>
        <w:pStyle w:val="5"/>
        <w:bidi w:val="0"/>
        <w:rPr>
          <w:rFonts w:hint="default"/>
          <w:lang w:val="en-US" w:eastAsia="zh-CN"/>
        </w:rPr>
      </w:pPr>
      <w:bookmarkStart w:id="50" w:name="_Toc15134"/>
      <w:r>
        <w:rPr>
          <w:rFonts w:hint="eastAsia"/>
          <w:lang w:val="en-US" w:eastAsia="zh-CN"/>
        </w:rPr>
        <w:t>2.5.1产品管理</w:t>
      </w:r>
      <w:bookmarkEnd w:id="50"/>
    </w:p>
    <w:p w14:paraId="425C7E48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 新增产品</w:t>
      </w:r>
    </w:p>
    <w:p w14:paraId="3DFC4E4E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打开碳足迹-产品管理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（如图2.5.1）</w:t>
      </w:r>
    </w:p>
    <w:p w14:paraId="2BA3CFB0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2.点击“新增”按钮</w:t>
      </w:r>
    </w:p>
    <w:p w14:paraId="191042B7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3.输入如图2.5.2</w:t>
      </w:r>
      <w:r>
        <w:rPr>
          <w:rFonts w:hint="eastAsia" w:ascii="微软雅黑" w:hAnsi="微软雅黑" w:eastAsia="微软雅黑"/>
          <w:lang w:val="en-US" w:eastAsia="zh-CN"/>
        </w:rPr>
        <w:t>中各产品信息（产品名称、产品编号、产品描述）</w:t>
      </w:r>
    </w:p>
    <w:p w14:paraId="3DCC49FD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4.保存并提交</w:t>
      </w:r>
    </w:p>
    <w:p w14:paraId="3F99CD07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0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322D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2.5.1</w:t>
      </w:r>
    </w:p>
    <w:p w14:paraId="242C85E5">
      <w:pPr>
        <w:pStyle w:val="16"/>
        <w:rPr>
          <w:rFonts w:hint="default"/>
          <w:lang w:val="en-US" w:eastAsia="zh-CN"/>
        </w:rPr>
      </w:pPr>
    </w:p>
    <w:p w14:paraId="146AB27B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0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DB91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2.5.2</w:t>
      </w:r>
    </w:p>
    <w:p w14:paraId="5BBC69CB">
      <w:pPr>
        <w:numPr>
          <w:ilvl w:val="0"/>
          <w:numId w:val="0"/>
        </w:numPr>
        <w:spacing w:before="120"/>
        <w:jc w:val="both"/>
        <w:outlineLvl w:val="3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 修改</w:t>
      </w:r>
    </w:p>
    <w:p w14:paraId="15D35E19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打开碳足迹-产品管理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，选择产品点击编辑，如图2.5.3所示</w:t>
      </w:r>
    </w:p>
    <w:p w14:paraId="53A1208F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2.在打开的修改页面中修改对应的信息</w:t>
      </w:r>
    </w:p>
    <w:p w14:paraId="6CDC3112">
      <w:pPr>
        <w:numPr>
          <w:ilvl w:val="0"/>
          <w:numId w:val="0"/>
        </w:numPr>
        <w:spacing w:before="120"/>
        <w:jc w:val="both"/>
        <w:outlineLvl w:val="9"/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4B8BF7AD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0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EDEA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2.5.3</w:t>
      </w:r>
    </w:p>
    <w:p w14:paraId="7BF24BCA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3. 删除</w:t>
      </w:r>
    </w:p>
    <w:p w14:paraId="64DB4DBD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打开碳足迹-产品管理</w:t>
      </w:r>
      <w:r>
        <w:rPr>
          <w:rFonts w:hint="eastAsia" w:ascii="微软雅黑" w:hAnsi="微软雅黑" w:eastAsia="微软雅黑" w:cs="微软雅黑"/>
          <w:lang w:val="en-US" w:eastAsia="zh-CN"/>
        </w:rPr>
        <w:t>，选择相应产品点击删除按钮，在弹出的提示窗口点击确定，删除成功。</w:t>
      </w:r>
    </w:p>
    <w:p w14:paraId="3C3D9211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注意：已经在《产品碳填报》中被引用的产品无法删除</w:t>
      </w:r>
    </w:p>
    <w:p w14:paraId="06803726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4. 查询、重置</w:t>
      </w:r>
    </w:p>
    <w:p w14:paraId="0236FF0E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打开碳足迹-产品管理，可通过产品名称进行查询，如图2.5.4所示</w:t>
      </w:r>
    </w:p>
    <w:p w14:paraId="38D43972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0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FCF0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图2.5.4</w:t>
      </w:r>
    </w:p>
    <w:p w14:paraId="669B42B6">
      <w:pPr>
        <w:pStyle w:val="5"/>
        <w:bidi w:val="0"/>
        <w:rPr>
          <w:rFonts w:hint="default"/>
          <w:lang w:val="en-US" w:eastAsia="zh-CN"/>
        </w:rPr>
      </w:pPr>
      <w:bookmarkStart w:id="51" w:name="_Toc11387"/>
      <w:r>
        <w:rPr>
          <w:rFonts w:hint="eastAsia"/>
          <w:lang w:val="en-US" w:eastAsia="zh-CN"/>
        </w:rPr>
        <w:t>2.5.2供应商管理</w:t>
      </w:r>
      <w:bookmarkEnd w:id="51"/>
    </w:p>
    <w:p w14:paraId="174219B8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 新增供应商</w:t>
      </w:r>
    </w:p>
    <w:p w14:paraId="34787A6E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打开碳足迹-供应商管理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（如图2.5.5）</w:t>
      </w:r>
    </w:p>
    <w:p w14:paraId="24318441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2.点击“新增”按钮</w:t>
      </w:r>
    </w:p>
    <w:p w14:paraId="3B041C50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3.输入如图2.5.6</w:t>
      </w:r>
      <w:r>
        <w:rPr>
          <w:rFonts w:hint="eastAsia" w:ascii="微软雅黑" w:hAnsi="微软雅黑" w:eastAsia="微软雅黑"/>
          <w:lang w:val="en-US" w:eastAsia="zh-CN"/>
        </w:rPr>
        <w:t>中各供应商信息（供应商名称、联系人姓名、联系人手机号、联系人邮箱）</w:t>
      </w:r>
    </w:p>
    <w:p w14:paraId="104A0994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4.保存并提交</w:t>
      </w:r>
    </w:p>
    <w:p w14:paraId="2DACD715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0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7EDB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2.5.5</w:t>
      </w:r>
    </w:p>
    <w:p w14:paraId="22B5D4BF">
      <w:pPr>
        <w:pStyle w:val="16"/>
        <w:rPr>
          <w:rFonts w:hint="default"/>
          <w:lang w:val="en-US" w:eastAsia="zh-CN"/>
        </w:rPr>
      </w:pPr>
    </w:p>
    <w:p w14:paraId="33A16081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1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92CA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2.5.6</w:t>
      </w:r>
    </w:p>
    <w:p w14:paraId="7EFB2F89">
      <w:pPr>
        <w:numPr>
          <w:ilvl w:val="0"/>
          <w:numId w:val="0"/>
        </w:numPr>
        <w:spacing w:before="120"/>
        <w:jc w:val="both"/>
        <w:outlineLvl w:val="3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 修改</w:t>
      </w:r>
    </w:p>
    <w:p w14:paraId="0E1F3002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打开碳足迹-供应商管理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，选择供应商点击编辑，如图2.5.7所示</w:t>
      </w:r>
    </w:p>
    <w:p w14:paraId="1D574BD7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2.在打开的修改页面中修改对应的信息</w:t>
      </w:r>
    </w:p>
    <w:p w14:paraId="28DA7557">
      <w:pPr>
        <w:numPr>
          <w:ilvl w:val="0"/>
          <w:numId w:val="0"/>
        </w:numPr>
        <w:spacing w:before="120"/>
        <w:jc w:val="both"/>
        <w:outlineLvl w:val="9"/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03357EB8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1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1E4B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2.5.7</w:t>
      </w:r>
    </w:p>
    <w:p w14:paraId="0007AEAF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3. 删除</w:t>
      </w:r>
    </w:p>
    <w:p w14:paraId="264945FD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打开碳足迹-供应商管理</w:t>
      </w:r>
      <w:r>
        <w:rPr>
          <w:rFonts w:hint="eastAsia" w:ascii="微软雅黑" w:hAnsi="微软雅黑" w:eastAsia="微软雅黑" w:cs="微软雅黑"/>
          <w:lang w:val="en-US" w:eastAsia="zh-CN"/>
        </w:rPr>
        <w:t>，选择相应供应商点击删除按钮，在弹出的提示窗口点击确定，删除成功。</w:t>
      </w:r>
    </w:p>
    <w:p w14:paraId="771F6E6E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注意：已经在《产品碳填报》中被引用的供应商无法删除</w:t>
      </w:r>
    </w:p>
    <w:p w14:paraId="00322E44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4. 查询、重置</w:t>
      </w:r>
    </w:p>
    <w:p w14:paraId="7FF7DE36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打开碳足迹-供应商管理，可通过供应商名称进行查询，如图2.5.8所示</w:t>
      </w:r>
    </w:p>
    <w:p w14:paraId="7B2EF254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1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AF21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图2.5.8</w:t>
      </w:r>
    </w:p>
    <w:p w14:paraId="49208316">
      <w:pPr>
        <w:pStyle w:val="5"/>
        <w:bidi w:val="0"/>
        <w:rPr>
          <w:rFonts w:hint="eastAsia"/>
          <w:lang w:val="en-US" w:eastAsia="zh-CN"/>
        </w:rPr>
      </w:pPr>
      <w:bookmarkStart w:id="52" w:name="_Toc18438"/>
      <w:r>
        <w:rPr>
          <w:rFonts w:hint="eastAsia"/>
          <w:lang w:val="en-US" w:eastAsia="zh-CN"/>
        </w:rPr>
        <w:t>2.5.3产品碳填报</w:t>
      </w:r>
      <w:bookmarkEnd w:id="52"/>
    </w:p>
    <w:p w14:paraId="6BB92921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default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>注意：进行产品碳填报之前，需要优先完成《产品管理》、《供应商管理》相关数据的填报；产品碳填报过程中，需要引用上述模块数据。</w:t>
      </w:r>
    </w:p>
    <w:p w14:paraId="56D2F742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 新增填报</w:t>
      </w:r>
    </w:p>
    <w:p w14:paraId="0E907205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打开碳足迹-产品碳填报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（如图2.5.9）</w:t>
      </w:r>
    </w:p>
    <w:p w14:paraId="176D9D05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2.点击“新增填报”按钮</w:t>
      </w:r>
    </w:p>
    <w:p w14:paraId="1C97791E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3.输入如图2.5.10</w:t>
      </w:r>
      <w:r>
        <w:rPr>
          <w:rFonts w:hint="eastAsia" w:ascii="微软雅黑" w:hAnsi="微软雅黑" w:eastAsia="微软雅黑"/>
          <w:lang w:val="en-US" w:eastAsia="zh-CN"/>
        </w:rPr>
        <w:t>中各信息（产品名称、产品产量等）</w:t>
      </w:r>
    </w:p>
    <w:p w14:paraId="6F65566F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4.保存并提交</w:t>
      </w:r>
    </w:p>
    <w:p w14:paraId="68D63A33">
      <w:pPr>
        <w:pStyle w:val="16"/>
        <w:rPr>
          <w:rFonts w:hint="default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>注意：新增时所选择的“系统边界”，将影响数据填报时可选的目录，需认真选择</w:t>
      </w:r>
    </w:p>
    <w:p w14:paraId="0D10B93F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1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DFEB4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2.5.9</w:t>
      </w:r>
    </w:p>
    <w:p w14:paraId="512069BB">
      <w:pPr>
        <w:pStyle w:val="16"/>
        <w:rPr>
          <w:rFonts w:hint="default"/>
          <w:lang w:val="en-US" w:eastAsia="zh-CN"/>
        </w:rPr>
      </w:pPr>
    </w:p>
    <w:p w14:paraId="25411D36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1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6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DC2F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2.5.10</w:t>
      </w:r>
    </w:p>
    <w:p w14:paraId="177FDF7B">
      <w:pPr>
        <w:numPr>
          <w:ilvl w:val="0"/>
          <w:numId w:val="0"/>
        </w:numPr>
        <w:spacing w:before="120"/>
        <w:jc w:val="both"/>
        <w:outlineLvl w:val="3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 修改</w:t>
      </w:r>
    </w:p>
    <w:p w14:paraId="0D41ADF9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打开碳足迹-产品碳填报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，选择点击编辑，如图2.5.11所示</w:t>
      </w:r>
    </w:p>
    <w:p w14:paraId="566BB481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2.在打开的修改页面中修改对应的信息</w:t>
      </w:r>
    </w:p>
    <w:p w14:paraId="23AFA604">
      <w:pPr>
        <w:numPr>
          <w:ilvl w:val="0"/>
          <w:numId w:val="0"/>
        </w:numPr>
        <w:spacing w:before="120"/>
        <w:jc w:val="both"/>
        <w:outlineLvl w:val="9"/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08EA1166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1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D2FD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2.5.11</w:t>
      </w:r>
    </w:p>
    <w:p w14:paraId="59A14F31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 删除</w:t>
      </w:r>
    </w:p>
    <w:p w14:paraId="427CF9C5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打开碳足迹-产品碳填报</w:t>
      </w:r>
      <w:r>
        <w:rPr>
          <w:rFonts w:hint="eastAsia" w:ascii="微软雅黑" w:hAnsi="微软雅黑" w:eastAsia="微软雅黑" w:cs="微软雅黑"/>
          <w:lang w:val="en-US" w:eastAsia="zh-CN"/>
        </w:rPr>
        <w:t>，选择相应数据点击删除按钮，在弹出的提示窗口点击确定，删除成功。</w:t>
      </w:r>
    </w:p>
    <w:p w14:paraId="1A0B2A9F"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查询、重置</w:t>
      </w:r>
    </w:p>
    <w:p w14:paraId="616AA315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打开碳足迹-产品碳填报，可通过产品名称、状态进行查询，如图2.5.12所示</w:t>
      </w:r>
    </w:p>
    <w:p w14:paraId="556C521B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2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328A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图2.5.12</w:t>
      </w:r>
    </w:p>
    <w:p w14:paraId="697375F2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 数据填报</w:t>
      </w:r>
    </w:p>
    <w:p w14:paraId="0C0FEC04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打开碳足迹-产品碳填报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，选择点击数据填报，如图2.5.13所示</w:t>
      </w:r>
    </w:p>
    <w:p w14:paraId="5B5DD237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2.在打开的数据填报页面，左侧目录中选中某一阶段后，点击右侧“新增填报”按钮，如图2.5.14所示</w:t>
      </w:r>
    </w:p>
    <w:p w14:paraId="31F0701B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2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DCC1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图2.5.13</w:t>
      </w:r>
    </w:p>
    <w:p w14:paraId="68FB99A6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12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FA26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图2.5.14</w:t>
      </w:r>
    </w:p>
    <w:p w14:paraId="15D4CDB7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3.填报页面中，填写相关产品碳数据，然后保存，如图2.5.15</w:t>
      </w:r>
    </w:p>
    <w:p w14:paraId="367E12D4">
      <w:pPr>
        <w:pStyle w:val="16"/>
        <w:rPr>
          <w:rFonts w:hint="default"/>
          <w:lang w:val="en-US" w:eastAsia="zh-CN"/>
        </w:rPr>
      </w:pPr>
    </w:p>
    <w:p w14:paraId="4CCC7970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12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6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B68F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图2.5.15</w:t>
      </w:r>
    </w:p>
    <w:p w14:paraId="1E247F50">
      <w:pPr>
        <w:pStyle w:val="16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4.完成数据填报后（不是所有阶段都必须填写），点击数据确认按钮，进行最终确认，如图2.5.16</w:t>
      </w:r>
    </w:p>
    <w:p w14:paraId="26324615">
      <w:pPr>
        <w:pStyle w:val="16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5.数据确认无误后，点击确认按钮，即可生成产品碳报告</w:t>
      </w:r>
    </w:p>
    <w:p w14:paraId="4BB9BBB7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12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6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1577">
      <w:p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图2.5.16</w:t>
      </w:r>
    </w:p>
    <w:p w14:paraId="1DAF2415">
      <w:pPr>
        <w:pStyle w:val="16"/>
        <w:numPr>
          <w:ilvl w:val="0"/>
          <w:numId w:val="0"/>
        </w:num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6.预览：点击“查看报告”，可在线查看碳足迹报告详情；如图2.5.17</w:t>
      </w:r>
    </w:p>
    <w:p w14:paraId="21C78B69">
      <w:pPr>
        <w:pStyle w:val="16"/>
        <w:numPr>
          <w:ilvl w:val="0"/>
          <w:numId w:val="0"/>
        </w:num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7.下载：点击“下载报告”，可下载至本地；如图2.5.17</w:t>
      </w:r>
    </w:p>
    <w:p w14:paraId="3E2FBEA7">
      <w:pPr>
        <w:pStyle w:val="16"/>
        <w:numPr>
          <w:ilvl w:val="0"/>
          <w:numId w:val="0"/>
        </w:num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8.上传认证证书：点击上传认证证书</w:t>
      </w:r>
    </w:p>
    <w:p w14:paraId="535700FC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12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6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561D">
      <w:pPr>
        <w:spacing w:before="120"/>
        <w:jc w:val="center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图2.5.17</w:t>
      </w:r>
    </w:p>
    <w:p w14:paraId="526F82DF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53" w:name="_Toc12533"/>
      <w:r>
        <w:rPr>
          <w:rFonts w:hint="eastAsia"/>
          <w:lang w:val="en-US" w:eastAsia="zh-CN"/>
        </w:rPr>
        <w:t>2.6碳资产</w:t>
      </w:r>
      <w:bookmarkEnd w:id="53"/>
    </w:p>
    <w:p w14:paraId="2A15830D">
      <w:pPr>
        <w:pStyle w:val="16"/>
        <w:ind w:firstLine="420" w:firstLineChars="200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应用场景：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碳资产包括碳资产概况、碳资产行情、我的碳资产、碳账本、碳减排项目；主要记录本企业的资产数据。</w:t>
      </w:r>
    </w:p>
    <w:p w14:paraId="6A62F094">
      <w:pPr>
        <w:pStyle w:val="16"/>
        <w:ind w:firstLine="420" w:firstLineChars="200"/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-SA"/>
        </w:rPr>
        <w:t>操作说明：首先进行《我的碳资产》填报，然后可通过《碳资产概况》查看</w:t>
      </w:r>
    </w:p>
    <w:p w14:paraId="5BAC468F">
      <w:pPr>
        <w:pStyle w:val="5"/>
        <w:bidi w:val="0"/>
        <w:rPr>
          <w:rFonts w:hint="default"/>
          <w:lang w:val="en-US" w:eastAsia="zh-CN"/>
        </w:rPr>
      </w:pPr>
      <w:bookmarkStart w:id="54" w:name="_Toc25637"/>
      <w:r>
        <w:rPr>
          <w:rFonts w:hint="eastAsia"/>
          <w:lang w:val="en-US" w:eastAsia="zh-CN"/>
        </w:rPr>
        <w:t>2.6.1我的碳资产</w:t>
      </w:r>
      <w:bookmarkEnd w:id="54"/>
    </w:p>
    <w:p w14:paraId="46AD319B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 新增碳资产</w:t>
      </w:r>
    </w:p>
    <w:p w14:paraId="464A2DF4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打开碳资产-我的碳资产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（如图2.6.1）</w:t>
      </w:r>
    </w:p>
    <w:p w14:paraId="59364BFD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2.点击“新增”按钮</w:t>
      </w:r>
    </w:p>
    <w:p w14:paraId="714120CF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3.输入如图2.6.2</w:t>
      </w:r>
      <w:r>
        <w:rPr>
          <w:rFonts w:hint="eastAsia" w:ascii="微软雅黑" w:hAnsi="微软雅黑" w:eastAsia="微软雅黑"/>
          <w:lang w:val="en-US" w:eastAsia="zh-CN"/>
        </w:rPr>
        <w:t>中各资产信息（碳资产性质、资产名称等）</w:t>
      </w:r>
    </w:p>
    <w:p w14:paraId="001D9D67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4.保存并提交</w:t>
      </w:r>
    </w:p>
    <w:p w14:paraId="54F0E3D4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3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B19C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2.6.1</w:t>
      </w:r>
    </w:p>
    <w:p w14:paraId="1942D791">
      <w:pPr>
        <w:pStyle w:val="16"/>
        <w:rPr>
          <w:rFonts w:hint="default"/>
          <w:lang w:val="en-US" w:eastAsia="zh-CN"/>
        </w:rPr>
      </w:pPr>
    </w:p>
    <w:p w14:paraId="2661BA4D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3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E00E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2.6.2</w:t>
      </w:r>
    </w:p>
    <w:p w14:paraId="53E705FC"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自定义碳资产</w:t>
      </w:r>
    </w:p>
    <w:p w14:paraId="45F6E4B4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可以自定义碳资产名称，以供在新增碳资产时选择</w:t>
      </w:r>
    </w:p>
    <w:p w14:paraId="302340F1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打开碳资产-我的碳资产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（如图2.6.3）</w:t>
      </w:r>
    </w:p>
    <w:p w14:paraId="28EB2746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2.点击“自定义碳资产”按钮，随后点击“自定义配置”按钮，如图2.6.4</w:t>
      </w:r>
    </w:p>
    <w:p w14:paraId="2D356D0E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3.输入如图2.5.2</w:t>
      </w:r>
      <w:r>
        <w:rPr>
          <w:rFonts w:hint="eastAsia" w:ascii="微软雅黑" w:hAnsi="微软雅黑" w:eastAsia="微软雅黑"/>
          <w:lang w:val="en-US" w:eastAsia="zh-CN"/>
        </w:rPr>
        <w:t>中各资产信息（碳资产性质、资产名称等）</w:t>
      </w:r>
    </w:p>
    <w:p w14:paraId="719FE272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4.保存并提交</w:t>
      </w:r>
    </w:p>
    <w:p w14:paraId="503690E8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14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7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F277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2.6.3</w:t>
      </w:r>
    </w:p>
    <w:p w14:paraId="4BADD672">
      <w:pPr>
        <w:pStyle w:val="16"/>
        <w:rPr>
          <w:rFonts w:hint="eastAsia"/>
          <w:lang w:val="en-US" w:eastAsia="zh-CN"/>
        </w:rPr>
      </w:pPr>
    </w:p>
    <w:p w14:paraId="40A6AD1A">
      <w:pPr>
        <w:pStyle w:val="16"/>
      </w:pPr>
      <w:r>
        <w:drawing>
          <wp:inline distT="0" distB="0" distL="114300" distR="114300">
            <wp:extent cx="5266690" cy="2499360"/>
            <wp:effectExtent l="0" t="0" r="10160" b="15240"/>
            <wp:docPr id="13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CC0B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2.6.4</w:t>
      </w:r>
    </w:p>
    <w:p w14:paraId="528E455D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3. 编辑</w:t>
      </w:r>
    </w:p>
    <w:p w14:paraId="2BC6EB7F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打开碳资产-我的碳资产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，选择资产点击编辑，如图2.6.5所示</w:t>
      </w:r>
    </w:p>
    <w:p w14:paraId="3CCCD808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2.在打开的修改页面中修改对应的信息</w:t>
      </w:r>
    </w:p>
    <w:p w14:paraId="35798B05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7D6E143C">
      <w:pPr>
        <w:pStyle w:val="16"/>
        <w:rPr>
          <w:rFonts w:hint="default"/>
          <w:color w:val="FF0000"/>
          <w:lang w:val="en-US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1"/>
          <w:szCs w:val="21"/>
          <w:lang w:val="en-US" w:eastAsia="zh-CN"/>
        </w:rPr>
        <w:t>注意：每当编辑或新增我的碳资产时，当编辑的资产持有数量&gt;0时，会自动在《碳账本》中新增一条明细记录</w:t>
      </w:r>
    </w:p>
    <w:p w14:paraId="231013C4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4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7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ED77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2.6.5</w:t>
      </w:r>
    </w:p>
    <w:p w14:paraId="6CA07172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4. 删除</w:t>
      </w:r>
    </w:p>
    <w:p w14:paraId="503756D5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打开碳资产-我的碳资产</w:t>
      </w:r>
      <w:r>
        <w:rPr>
          <w:rFonts w:hint="eastAsia" w:ascii="微软雅黑" w:hAnsi="微软雅黑" w:eastAsia="微软雅黑" w:cs="微软雅黑"/>
          <w:lang w:val="en-US" w:eastAsia="zh-CN"/>
        </w:rPr>
        <w:t>，选择相应资产数据点击删除按钮，在弹出的提示窗口点击确定，删除成功。</w:t>
      </w:r>
    </w:p>
    <w:p w14:paraId="794F3F55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5. 查询、重置</w:t>
      </w:r>
    </w:p>
    <w:p w14:paraId="0FBEF8CB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打开碳资产-我的碳资产，可通过资产名称、资产性质进行查询，如图2.6.6所示</w:t>
      </w:r>
    </w:p>
    <w:p w14:paraId="73103A8B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4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7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AB64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图2.6.6</w:t>
      </w:r>
    </w:p>
    <w:p w14:paraId="366DE0D6">
      <w:pPr>
        <w:pStyle w:val="5"/>
        <w:bidi w:val="0"/>
        <w:rPr>
          <w:rFonts w:hint="default"/>
          <w:lang w:val="en-US" w:eastAsia="zh-CN"/>
        </w:rPr>
      </w:pPr>
      <w:bookmarkStart w:id="55" w:name="_Toc24201"/>
      <w:r>
        <w:rPr>
          <w:rFonts w:hint="eastAsia"/>
          <w:lang w:val="en-US" w:eastAsia="zh-CN"/>
        </w:rPr>
        <w:t>2.6.2碳账本</w:t>
      </w:r>
      <w:bookmarkEnd w:id="55"/>
    </w:p>
    <w:p w14:paraId="4317D19A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 新增账本记录</w:t>
      </w:r>
    </w:p>
    <w:p w14:paraId="39443FE5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打开碳资产-碳账本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（如图2.6.7）</w:t>
      </w:r>
    </w:p>
    <w:p w14:paraId="690EDD41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2.点击“添加账本记录”按钮</w:t>
      </w:r>
    </w:p>
    <w:p w14:paraId="62C6CF7F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3.输入如图2.6.8</w:t>
      </w:r>
      <w:r>
        <w:rPr>
          <w:rFonts w:hint="eastAsia" w:ascii="微软雅黑" w:hAnsi="微软雅黑" w:eastAsia="微软雅黑"/>
          <w:lang w:val="en-US" w:eastAsia="zh-CN"/>
        </w:rPr>
        <w:t>中各资产信息（碳资产性质、资产名称等）</w:t>
      </w:r>
    </w:p>
    <w:p w14:paraId="6CBDEE4E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4.保存并提交</w:t>
      </w:r>
    </w:p>
    <w:p w14:paraId="6A401DF2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5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7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3F04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2.6.7</w:t>
      </w:r>
    </w:p>
    <w:p w14:paraId="4C8D061D">
      <w:pPr>
        <w:pStyle w:val="16"/>
        <w:rPr>
          <w:rFonts w:hint="default"/>
          <w:lang w:val="en-US" w:eastAsia="zh-CN"/>
        </w:rPr>
      </w:pPr>
    </w:p>
    <w:p w14:paraId="430E1F8F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4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7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489A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2.6.8</w:t>
      </w:r>
    </w:p>
    <w:p w14:paraId="34ED7A11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 编辑</w:t>
      </w:r>
    </w:p>
    <w:p w14:paraId="671F3DC0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打开碳资产-碳账本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，选择记录点击编辑，如图2.6.9所示</w:t>
      </w:r>
    </w:p>
    <w:p w14:paraId="0E7EFB30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2.在打开的修改页面中修改对应的信息</w:t>
      </w:r>
    </w:p>
    <w:p w14:paraId="334C795D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7CC92E3D">
      <w:pPr>
        <w:pStyle w:val="16"/>
        <w:rPr>
          <w:rFonts w:hint="default"/>
          <w:color w:val="FF0000"/>
          <w:lang w:val="en-US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1"/>
          <w:szCs w:val="21"/>
          <w:lang w:val="en-US" w:eastAsia="zh-CN"/>
        </w:rPr>
        <w:t>注意：新增或编辑碳账本时，在《我的碳资产》中，会同步进行资产的增加或减少</w:t>
      </w:r>
    </w:p>
    <w:p w14:paraId="11D01B52">
      <w:pPr>
        <w:numPr>
          <w:ilvl w:val="0"/>
          <w:numId w:val="0"/>
        </w:numPr>
        <w:spacing w:before="120"/>
        <w:jc w:val="both"/>
        <w:outlineLvl w:val="9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5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7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9131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2.6.9</w:t>
      </w:r>
    </w:p>
    <w:p w14:paraId="5D7E9B9F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3. 删除</w:t>
      </w:r>
    </w:p>
    <w:p w14:paraId="3DBC6A68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打开碳资产-碳账本</w:t>
      </w:r>
      <w:r>
        <w:rPr>
          <w:rFonts w:hint="eastAsia" w:ascii="微软雅黑" w:hAnsi="微软雅黑" w:eastAsia="微软雅黑" w:cs="微软雅黑"/>
          <w:lang w:val="en-US" w:eastAsia="zh-CN"/>
        </w:rPr>
        <w:t>，选择相应数据点击删除按钮，在弹出的提示窗口点击确定，删除成功。</w:t>
      </w:r>
    </w:p>
    <w:p w14:paraId="734122B2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4. 查询、重置</w:t>
      </w:r>
    </w:p>
    <w:p w14:paraId="10F45E36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打开碳资产-碳账本，可通过资产名称、时间进行查询，如图2.6.10所示</w:t>
      </w:r>
    </w:p>
    <w:p w14:paraId="43F18006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5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7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CC69">
      <w:p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图2.6.10</w:t>
      </w:r>
    </w:p>
    <w:p w14:paraId="08D7DAFC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5. 查看历史数据</w:t>
      </w:r>
    </w:p>
    <w:p w14:paraId="602679D2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点击查看，可查看当前记录的历史数据，如图2.6.11所示</w:t>
      </w:r>
    </w:p>
    <w:p w14:paraId="0834DB20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57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8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D3DD">
      <w:p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图2.6.11</w:t>
      </w:r>
    </w:p>
    <w:p w14:paraId="47C58D91">
      <w:pPr>
        <w:pStyle w:val="16"/>
        <w:rPr>
          <w:rFonts w:hint="eastAsia"/>
          <w:lang w:val="en-US" w:eastAsia="zh-CN"/>
        </w:rPr>
      </w:pPr>
    </w:p>
    <w:p w14:paraId="61FDB320">
      <w:pPr>
        <w:pStyle w:val="5"/>
        <w:bidi w:val="0"/>
        <w:rPr>
          <w:rFonts w:hint="eastAsia"/>
          <w:lang w:val="en-US" w:eastAsia="zh-CN"/>
        </w:rPr>
      </w:pPr>
      <w:bookmarkStart w:id="56" w:name="_Toc22962"/>
      <w:r>
        <w:rPr>
          <w:rFonts w:hint="eastAsia"/>
          <w:lang w:val="en-US" w:eastAsia="zh-CN"/>
        </w:rPr>
        <w:t>2.6.3碳资产概况</w:t>
      </w:r>
      <w:bookmarkEnd w:id="56"/>
    </w:p>
    <w:p w14:paraId="69572F7D">
      <w:pPr>
        <w:spacing w:before="120"/>
        <w:ind w:firstLine="420" w:firstLineChars="200"/>
      </w:pPr>
      <w:r>
        <w:rPr>
          <w:rFonts w:hint="eastAsia" w:ascii="微软雅黑" w:hAnsi="微软雅黑" w:eastAsia="微软雅黑"/>
          <w:lang w:val="en-US" w:eastAsia="zh-CN"/>
        </w:rPr>
        <w:t>在《我的碳资产》中填写资产数据后，可通过《碳资产概况》查看本企业的资产信息，如下图所示：</w:t>
      </w:r>
      <w:r>
        <w:rPr>
          <w:rFonts w:hint="eastAsia" w:ascii="微软雅黑" w:hAnsi="微软雅黑" w:eastAsia="微软雅黑"/>
          <w:lang w:val="en-US" w:eastAsia="zh-CN"/>
        </w:rPr>
        <w:br w:type="textWrapping"/>
      </w:r>
      <w:r>
        <w:drawing>
          <wp:inline distT="0" distB="0" distL="114300" distR="114300">
            <wp:extent cx="5266690" cy="2499360"/>
            <wp:effectExtent l="0" t="0" r="10160" b="15240"/>
            <wp:docPr id="16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8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7391">
      <w:pPr>
        <w:spacing w:before="120"/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图2.6.12</w:t>
      </w:r>
    </w:p>
    <w:p w14:paraId="57C89F98">
      <w:pPr>
        <w:pStyle w:val="5"/>
        <w:bidi w:val="0"/>
        <w:rPr>
          <w:rFonts w:hint="default"/>
          <w:lang w:val="en-US" w:eastAsia="zh-CN"/>
        </w:rPr>
      </w:pPr>
      <w:bookmarkStart w:id="57" w:name="_Toc30378"/>
      <w:r>
        <w:rPr>
          <w:rFonts w:hint="eastAsia"/>
          <w:lang w:val="en-US" w:eastAsia="zh-CN"/>
        </w:rPr>
        <w:t>2.6.4碳资产行情</w:t>
      </w:r>
      <w:bookmarkEnd w:id="57"/>
    </w:p>
    <w:p w14:paraId="42C8F249">
      <w:pPr>
        <w:pStyle w:val="16"/>
        <w:ind w:firstLine="420" w:firstLineChars="200"/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4"/>
          <w:lang w:val="en-US" w:eastAsia="zh-CN" w:bidi="ar-SA"/>
        </w:rPr>
        <w:t>功能说明：查看近期碳价行情信息，如下图所示：</w:t>
      </w:r>
    </w:p>
    <w:p w14:paraId="2EE264BA">
      <w:pPr>
        <w:pStyle w:val="16"/>
        <w:rPr>
          <w:rFonts w:hint="default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6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8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B84A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图2.6.13</w:t>
      </w:r>
    </w:p>
    <w:p w14:paraId="53710F93">
      <w:pPr>
        <w:pStyle w:val="16"/>
        <w:rPr>
          <w:rFonts w:hint="default" w:ascii="微软雅黑" w:hAnsi="微软雅黑" w:eastAsia="微软雅黑" w:cstheme="minorBidi"/>
          <w:kern w:val="2"/>
          <w:sz w:val="21"/>
          <w:szCs w:val="24"/>
          <w:lang w:val="en-US" w:eastAsia="zh-CN" w:bidi="ar-SA"/>
        </w:rPr>
      </w:pPr>
    </w:p>
    <w:p w14:paraId="7F11ED41">
      <w:pPr>
        <w:pStyle w:val="5"/>
        <w:bidi w:val="0"/>
        <w:rPr>
          <w:rFonts w:hint="eastAsia"/>
          <w:lang w:val="en-US" w:eastAsia="zh-CN"/>
        </w:rPr>
      </w:pPr>
      <w:bookmarkStart w:id="58" w:name="_Toc19483"/>
      <w:r>
        <w:rPr>
          <w:rFonts w:hint="eastAsia"/>
          <w:lang w:val="en-US" w:eastAsia="zh-CN"/>
        </w:rPr>
        <w:t>2.6.5碳减排项目</w:t>
      </w:r>
      <w:bookmarkEnd w:id="58"/>
    </w:p>
    <w:p w14:paraId="28082391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功能说明：记录企业碳减排项目数据</w:t>
      </w:r>
    </w:p>
    <w:p w14:paraId="706BD1CF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 新增项目</w:t>
      </w:r>
    </w:p>
    <w:p w14:paraId="57B354A1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打开碳资产-碳减排项目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（如图2.6.14）</w:t>
      </w:r>
    </w:p>
    <w:p w14:paraId="13994841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2.点击“新增项目”按钮</w:t>
      </w:r>
    </w:p>
    <w:p w14:paraId="1D4E4FE3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3.输入如图2.6.15</w:t>
      </w:r>
      <w:r>
        <w:rPr>
          <w:rFonts w:hint="eastAsia" w:ascii="微软雅黑" w:hAnsi="微软雅黑" w:eastAsia="微软雅黑"/>
          <w:lang w:val="en-US" w:eastAsia="zh-CN"/>
        </w:rPr>
        <w:t>中各项目信息（项目名称、项目类型等）</w:t>
      </w:r>
    </w:p>
    <w:p w14:paraId="717B919A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4.保存并提交</w:t>
      </w:r>
    </w:p>
    <w:p w14:paraId="2F7B296C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6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8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E900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2.6.14</w:t>
      </w:r>
    </w:p>
    <w:p w14:paraId="4CFF469A">
      <w:pPr>
        <w:numPr>
          <w:ilvl w:val="0"/>
          <w:numId w:val="0"/>
        </w:numPr>
        <w:spacing w:before="120"/>
        <w:jc w:val="center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6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8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84AD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2.6.15</w:t>
      </w:r>
    </w:p>
    <w:p w14:paraId="6B55F2C3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 编辑</w:t>
      </w:r>
    </w:p>
    <w:p w14:paraId="2258C178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打开碳资产-碳减排项目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，选择项目点击编辑，如图2.6.16所示</w:t>
      </w:r>
    </w:p>
    <w:p w14:paraId="4AC9D0BE">
      <w:pPr>
        <w:numPr>
          <w:ilvl w:val="0"/>
          <w:numId w:val="0"/>
        </w:numPr>
        <w:spacing w:before="120"/>
        <w:jc w:val="both"/>
        <w:outlineLvl w:val="9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2.在打开的修改页面中修改对应的信息</w:t>
      </w:r>
    </w:p>
    <w:p w14:paraId="3E6CEA33">
      <w:pPr>
        <w:numPr>
          <w:ilvl w:val="0"/>
          <w:numId w:val="0"/>
        </w:numPr>
        <w:spacing w:before="120"/>
        <w:jc w:val="both"/>
        <w:outlineLvl w:val="9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78F96993">
      <w:pPr>
        <w:numPr>
          <w:ilvl w:val="0"/>
          <w:numId w:val="0"/>
        </w:numPr>
        <w:spacing w:before="120"/>
        <w:jc w:val="both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6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8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42FA">
      <w:pPr>
        <w:numPr>
          <w:ilvl w:val="0"/>
          <w:numId w:val="0"/>
        </w:num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2.6.16</w:t>
      </w:r>
    </w:p>
    <w:p w14:paraId="45DBF307">
      <w:pPr>
        <w:numPr>
          <w:ilvl w:val="0"/>
          <w:numId w:val="0"/>
        </w:numPr>
        <w:spacing w:before="120"/>
        <w:jc w:val="both"/>
        <w:outlineLvl w:val="3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3. 删除</w:t>
      </w:r>
    </w:p>
    <w:p w14:paraId="57956B40">
      <w:pPr>
        <w:numPr>
          <w:ilvl w:val="0"/>
          <w:numId w:val="0"/>
        </w:numPr>
        <w:spacing w:before="120"/>
        <w:ind w:firstLine="420" w:firstLineChars="20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打开碳资产-碳减排项目</w:t>
      </w:r>
      <w:r>
        <w:rPr>
          <w:rFonts w:hint="eastAsia" w:ascii="微软雅黑" w:hAnsi="微软雅黑" w:eastAsia="微软雅黑" w:cs="微软雅黑"/>
          <w:lang w:val="en-US" w:eastAsia="zh-CN"/>
        </w:rPr>
        <w:t>，选择相应项目数据点击删除按钮，在弹出的提示窗口点击确定，删除成功。</w:t>
      </w:r>
    </w:p>
    <w:p w14:paraId="67A9CDE3">
      <w:pPr>
        <w:spacing w:before="120"/>
        <w:outlineLvl w:val="3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4. 查询、重置</w:t>
      </w:r>
    </w:p>
    <w:p w14:paraId="0097C02F">
      <w:pPr>
        <w:spacing w:before="120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打开碳资产-碳减排项目，可通过项目名称、项目类型进行查询，如图2.6.17所示</w:t>
      </w:r>
    </w:p>
    <w:p w14:paraId="1980BD65">
      <w:pPr>
        <w:spacing w:before="120"/>
        <w:jc w:val="center"/>
        <w:outlineLvl w:val="9"/>
      </w:pPr>
      <w:r>
        <w:drawing>
          <wp:inline distT="0" distB="0" distL="114300" distR="114300">
            <wp:extent cx="5266690" cy="2499360"/>
            <wp:effectExtent l="0" t="0" r="10160" b="15240"/>
            <wp:docPr id="169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8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BBB3">
      <w:pPr>
        <w:spacing w:before="120"/>
        <w:jc w:val="center"/>
        <w:outlineLvl w:val="9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/>
          <w:lang w:val="en-US" w:eastAsia="zh-CN"/>
        </w:rPr>
        <w:t>图2.6.17</w:t>
      </w:r>
    </w:p>
    <w:p w14:paraId="51C9AE28"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59" w:name="_Toc32682"/>
      <w:r>
        <w:rPr>
          <w:rFonts w:hint="eastAsia"/>
          <w:lang w:val="en-US" w:eastAsia="zh-CN"/>
        </w:rPr>
        <w:t>2.7工作台</w:t>
      </w:r>
      <w:bookmarkEnd w:id="59"/>
    </w:p>
    <w:p w14:paraId="76AD7D7B">
      <w:pPr>
        <w:numPr>
          <w:ilvl w:val="0"/>
          <w:numId w:val="0"/>
        </w:numPr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企业管理员可在工作台中查看年度碳排放总览、碳足迹总览以及碳资产总览等数据，也可以通过我的引用快速跳转至应用功能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；如图2.7.1</w:t>
      </w:r>
    </w:p>
    <w:p w14:paraId="71901DBF">
      <w:pPr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66690" cy="2614295"/>
            <wp:effectExtent l="0" t="0" r="1016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4225">
      <w:pPr>
        <w:numPr>
          <w:ilvl w:val="0"/>
          <w:numId w:val="0"/>
        </w:numPr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图2.7.1</w:t>
      </w:r>
    </w:p>
    <w:p w14:paraId="0D3EB1A5">
      <w:pPr>
        <w:pStyle w:val="16"/>
        <w:rPr>
          <w:rFonts w:hint="eastAsia"/>
          <w:lang w:val="en-US" w:eastAsia="zh-CN"/>
        </w:rPr>
      </w:pPr>
    </w:p>
    <w:p w14:paraId="233878C9">
      <w:pPr>
        <w:pStyle w:val="16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我的应用：展示所有应用功能，点击可快速跳转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用户信息：展示当前用户信息，包括姓名、企业名称、园区名称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碳盘查总览：显示最新年度碳盘查数据</w:t>
      </w:r>
    </w:p>
    <w:p w14:paraId="69EDA076">
      <w:pPr>
        <w:pStyle w:val="16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碳足迹总览：展示本年度所有碳足迹数据</w:t>
      </w:r>
    </w:p>
    <w:p w14:paraId="6F26A1D8">
      <w:pPr>
        <w:pStyle w:val="16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碳资产总览：展示本企业碳资产汇总数据</w:t>
      </w:r>
    </w:p>
    <w:p w14:paraId="4C0372B0">
      <w:pPr>
        <w:pStyle w:val="16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碳学院：点击可跳转至对应内容</w:t>
      </w:r>
    </w:p>
    <w:p w14:paraId="523DFCB0">
      <w:pPr>
        <w:pStyle w:val="16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常见问题：常见问题列表，点击可查看更多</w:t>
      </w:r>
    </w:p>
    <w:p w14:paraId="0B7BE21A">
      <w:pPr>
        <w:pStyle w:val="16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通知公告：点击更多可查看全部通知公告内容</w:t>
      </w:r>
    </w:p>
    <w:p w14:paraId="2588FD53">
      <w:pPr>
        <w:pStyle w:val="16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AI问答：点击弹出问答对话框，可进行问题提问回答</w:t>
      </w:r>
    </w:p>
    <w:p w14:paraId="300CFDB4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2.8企业自主填报</w:t>
      </w:r>
    </w:p>
    <w:p w14:paraId="7F4B5F0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可新增历年企业数据和本年数据</w:t>
      </w:r>
    </w:p>
    <w:p w14:paraId="519ECF9F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1. 新增填报</w:t>
      </w:r>
    </w:p>
    <w:p w14:paraId="5EECC097">
      <w:pPr>
        <w:spacing w:before="120"/>
        <w:outlineLvl w:val="9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打开企业自主填报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（如图2.8.1）</w:t>
      </w:r>
    </w:p>
    <w:p w14:paraId="7707249A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lang w:val="en-US" w:eastAsia="zh-CN"/>
        </w:rPr>
        <w:t>点击新增可以新增填报（如图2.8.2）</w:t>
      </w:r>
    </w:p>
    <w:p w14:paraId="767AE3BF">
      <w:pPr>
        <w:spacing w:before="120"/>
        <w:outlineLvl w:val="9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3.输入如图2.8.2中企业信息，点击提交</w:t>
      </w:r>
    </w:p>
    <w:p w14:paraId="09E86779">
      <w:pPr>
        <w:pStyle w:val="16"/>
      </w:pPr>
      <w:r>
        <w:drawing>
          <wp:inline distT="0" distB="0" distL="114300" distR="114300">
            <wp:extent cx="5266690" cy="2614295"/>
            <wp:effectExtent l="0" t="0" r="1016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7FCE">
      <w:pPr>
        <w:spacing w:before="120"/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2.8.1</w:t>
      </w:r>
    </w:p>
    <w:p w14:paraId="5E509C17">
      <w:pPr>
        <w:spacing w:before="120"/>
        <w:outlineLvl w:val="9"/>
      </w:pPr>
      <w:r>
        <w:drawing>
          <wp:inline distT="0" distB="0" distL="114300" distR="114300">
            <wp:extent cx="5266690" cy="2614295"/>
            <wp:effectExtent l="0" t="0" r="1016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7739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2.8.2</w:t>
      </w:r>
    </w:p>
    <w:p w14:paraId="6B03DC5E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2. 修改</w:t>
      </w:r>
    </w:p>
    <w:p w14:paraId="2BFD7D45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打开企业自主填报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，点击编辑</w:t>
      </w:r>
    </w:p>
    <w:p w14:paraId="34F229E4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2.在打开的修改页面中修改对应的参数（如图2.8.3）</w:t>
      </w:r>
    </w:p>
    <w:p w14:paraId="7AD03FDE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3.保存并提交</w:t>
      </w:r>
    </w:p>
    <w:p w14:paraId="1DEC3797">
      <w:pPr>
        <w:pStyle w:val="16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B827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2.8.3</w:t>
      </w:r>
    </w:p>
    <w:p w14:paraId="24CF7DDA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3. 删除</w:t>
      </w:r>
    </w:p>
    <w:p w14:paraId="62B45002">
      <w:pPr>
        <w:spacing w:before="120"/>
        <w:rPr>
          <w:rFonts w:hint="default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打开企业自主填报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，点击删除</w:t>
      </w:r>
    </w:p>
    <w:p w14:paraId="46BCE7E8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2.在打开的确认弹窗中点击确认（如图2.8.4）</w:t>
      </w:r>
    </w:p>
    <w:p w14:paraId="20B79948">
      <w:pPr>
        <w:pStyle w:val="16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68AD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2.8.4</w:t>
      </w:r>
    </w:p>
    <w:p w14:paraId="2A6F8A25">
      <w:pPr>
        <w:spacing w:before="120"/>
        <w:outlineLvl w:val="3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4. 查看</w:t>
      </w:r>
    </w:p>
    <w:p w14:paraId="4B345E81">
      <w:pPr>
        <w:spacing w:before="120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lang w:val="en-US" w:eastAsia="zh-CN"/>
        </w:rPr>
        <w:t>打开企业自主填报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，点击查看（如图2.8.5）</w:t>
      </w:r>
    </w:p>
    <w:p w14:paraId="1E4CD48A">
      <w:pPr>
        <w:pStyle w:val="16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BA13">
      <w:pPr>
        <w:spacing w:before="120"/>
        <w:jc w:val="center"/>
        <w:outlineLvl w:val="9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2.8.5</w:t>
      </w:r>
    </w:p>
    <w:p w14:paraId="0C1ED24B">
      <w:pPr>
        <w:pStyle w:val="16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8EA8F8">
    <w:pPr>
      <w:pStyle w:val="9"/>
      <w:tabs>
        <w:tab w:val="left" w:pos="5064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6" name="文本框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EAEA60">
                          <w:pPr>
                            <w:pStyle w:val="9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oB8kzAgAAZQQAAA4AAABkcnMvZTJvRG9jLnhtbK1UzY7TMBC+I/EO&#10;lu80aRFVqZ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VoB8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EAEA60">
                    <w:pPr>
                      <w:pStyle w:val="9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  <w:r>
      <w:rPr>
        <w:rFonts w:hint="eastAsia"/>
        <w:lang w:val="en-US" w:eastAsia="zh-CN"/>
      </w:rPr>
      <w:t xml:space="preserve">                </w:t>
    </w:r>
    <w:r>
      <w:rPr>
        <w:rFonts w:hint="eastAsia"/>
        <w:lang w:eastAsia="zh-CN"/>
      </w:rPr>
      <w:t>嘉环科技</w:t>
    </w:r>
    <w:r>
      <w:rPr>
        <w:rFonts w:hint="eastAsia"/>
        <w:lang w:val="en-US" w:eastAsia="zh-CN"/>
      </w:rPr>
      <w:t>股份</w:t>
    </w:r>
    <w:r>
      <w:rPr>
        <w:rFonts w:hint="eastAsia"/>
        <w:lang w:eastAsia="zh-CN"/>
      </w:rPr>
      <w:t>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F9968">
    <w:pPr>
      <w:pStyle w:val="10"/>
      <w:pBdr>
        <w:bottom w:val="single" w:color="auto" w:sz="6" w:space="8"/>
      </w:pBdr>
      <w:tabs>
        <w:tab w:val="center" w:pos="3960"/>
        <w:tab w:val="right" w:pos="8280"/>
        <w:tab w:val="clear" w:pos="4153"/>
        <w:tab w:val="clear" w:pos="8306"/>
      </w:tabs>
      <w:ind w:right="360"/>
      <w:jc w:val="center"/>
    </w:pPr>
    <w:r>
      <w:rPr>
        <w:rFonts w:hint="eastAsia"/>
        <w:b/>
        <w:bCs/>
        <w:sz w:val="28"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4056380</wp:posOffset>
              </wp:positionH>
              <wp:positionV relativeFrom="paragraph">
                <wp:posOffset>-142875</wp:posOffset>
              </wp:positionV>
              <wp:extent cx="1327785" cy="444500"/>
              <wp:effectExtent l="0" t="0" r="13335" b="12700"/>
              <wp:wrapSquare wrapText="bothSides"/>
              <wp:docPr id="20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785" cy="44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</wps:spPr>
                    <wps:txbx>
                      <w:txbxContent>
                        <w:p w14:paraId="5A1BB670">
                          <w:r>
                            <w:rPr>
                              <w:lang w:eastAsia="zh-CN"/>
                            </w:rPr>
                            <w:drawing>
                              <wp:inline distT="0" distB="0" distL="114300" distR="114300">
                                <wp:extent cx="1144270" cy="410210"/>
                                <wp:effectExtent l="0" t="0" r="13970" b="1270"/>
                                <wp:docPr id="201" name="图片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" name="图片 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4270" cy="410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19.4pt;margin-top:-11.25pt;height:35pt;width:104.55pt;mso-wrap-distance-bottom:3.6pt;mso-wrap-distance-left:9pt;mso-wrap-distance-right:9pt;mso-wrap-distance-top:3.6pt;mso-wrap-style:none;z-index:251660288;mso-width-relative:page;mso-height-relative:page;" fillcolor="#FFFFFF" filled="t" stroked="f" coordsize="21600,21600" o:gfxdata="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6D9STZAAAACgEAAA8AAAAAAAAAAQAgAAAA&#10;IgAAAGRycy9kb3ducmV2LnhtbFBLAQIUABQAAAAIAIdO4kDG8GHX0QEAAI4DAAAOAAAAAAAAAAEA&#10;IAAAACgBAABkcnMvZTJvRG9jLnhtbFBLBQYAAAAABgAGAFkBAABr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5A1BB670">
                    <w:r>
                      <w:rPr>
                        <w:lang w:eastAsia="zh-CN"/>
                      </w:rPr>
                      <w:drawing>
                        <wp:inline distT="0" distB="0" distL="114300" distR="114300">
                          <wp:extent cx="1144270" cy="410210"/>
                          <wp:effectExtent l="0" t="0" r="13970" b="1270"/>
                          <wp:docPr id="201" name="图片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" name="图片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4270" cy="410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/>
        <w:b/>
        <w:bCs/>
        <w:sz w:val="28"/>
        <w:lang w:val="en-US" w:eastAsia="zh-CN"/>
      </w:rPr>
      <w:t>操作</w:t>
    </w:r>
    <w:r>
      <w:rPr>
        <w:rFonts w:hint="eastAsia"/>
        <w:b/>
        <w:bCs/>
        <w:sz w:val="28"/>
        <w:lang w:eastAsia="zh-CN"/>
      </w:rPr>
      <w:t>说明书</w:t>
    </w:r>
    <w:r>
      <w:rPr>
        <w:rFonts w:hint="eastAsia"/>
        <w:lang w:val="en-US" w:eastAsia="zh-CN"/>
      </w:rPr>
      <w:t xml:space="preserve">                          </w:t>
    </w:r>
  </w:p>
  <w:p w14:paraId="6A6138DF"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8CA2A4"/>
    <w:multiLevelType w:val="singleLevel"/>
    <w:tmpl w:val="B78CA2A4"/>
    <w:lvl w:ilvl="0" w:tentative="0">
      <w:start w:val="1"/>
      <w:numFmt w:val="bullet"/>
      <w:lvlText w:val=""/>
      <w:lvlJc w:val="left"/>
      <w:pPr>
        <w:ind w:left="1050" w:hanging="420"/>
      </w:pPr>
      <w:rPr>
        <w:rFonts w:hint="default" w:ascii="Wingdings" w:hAnsi="Wingdings"/>
      </w:rPr>
    </w:lvl>
  </w:abstractNum>
  <w:abstractNum w:abstractNumId="1">
    <w:nsid w:val="CAADBA84"/>
    <w:multiLevelType w:val="singleLevel"/>
    <w:tmpl w:val="CAADBA84"/>
    <w:lvl w:ilvl="0" w:tentative="0">
      <w:start w:val="1"/>
      <w:numFmt w:val="bullet"/>
      <w:lvlText w:val=""/>
      <w:lvlJc w:val="left"/>
      <w:pPr>
        <w:ind w:left="1050" w:hanging="420"/>
      </w:pPr>
      <w:rPr>
        <w:rFonts w:hint="default" w:ascii="Wingdings" w:hAnsi="Wingdings"/>
      </w:rPr>
    </w:lvl>
  </w:abstractNum>
  <w:abstractNum w:abstractNumId="2">
    <w:nsid w:val="D31EAA9A"/>
    <w:multiLevelType w:val="singleLevel"/>
    <w:tmpl w:val="D31EAA9A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E74A119A"/>
    <w:multiLevelType w:val="singleLevel"/>
    <w:tmpl w:val="E74A119A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5E1C478"/>
    <w:multiLevelType w:val="singleLevel"/>
    <w:tmpl w:val="F5E1C478"/>
    <w:lvl w:ilvl="0" w:tentative="0">
      <w:start w:val="1"/>
      <w:numFmt w:val="bullet"/>
      <w:lvlText w:val=""/>
      <w:lvlJc w:val="left"/>
      <w:pPr>
        <w:ind w:left="1050" w:hanging="420"/>
      </w:pPr>
      <w:rPr>
        <w:rFonts w:hint="default" w:ascii="Wingdings" w:hAnsi="Wingdings"/>
      </w:rPr>
    </w:lvl>
  </w:abstractNum>
  <w:abstractNum w:abstractNumId="5">
    <w:nsid w:val="F6E6FB3D"/>
    <w:multiLevelType w:val="singleLevel"/>
    <w:tmpl w:val="F6E6FB3D"/>
    <w:lvl w:ilvl="0" w:tentative="0">
      <w:start w:val="6"/>
      <w:numFmt w:val="decimal"/>
      <w:suff w:val="space"/>
      <w:lvlText w:val="%1."/>
      <w:lvlJc w:val="left"/>
    </w:lvl>
  </w:abstractNum>
  <w:abstractNum w:abstractNumId="6">
    <w:nsid w:val="FFFFFFFB"/>
    <w:multiLevelType w:val="multilevel"/>
    <w:tmpl w:val="FFFFFFFB"/>
    <w:lvl w:ilvl="0" w:tentative="0">
      <w:start w:val="1"/>
      <w:numFmt w:val="decimal"/>
      <w:pStyle w:val="2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0NTQxOWFjNmNiNjlmMzllY2I2NDRlZDY0ODRmMDIifQ=="/>
  </w:docVars>
  <w:rsids>
    <w:rsidRoot w:val="21DA399D"/>
    <w:rsid w:val="00081BE8"/>
    <w:rsid w:val="00515329"/>
    <w:rsid w:val="00563A8A"/>
    <w:rsid w:val="00594126"/>
    <w:rsid w:val="00605D72"/>
    <w:rsid w:val="00732C9A"/>
    <w:rsid w:val="00880143"/>
    <w:rsid w:val="00924C97"/>
    <w:rsid w:val="00D03182"/>
    <w:rsid w:val="00F90BD8"/>
    <w:rsid w:val="01276201"/>
    <w:rsid w:val="018A62B8"/>
    <w:rsid w:val="01E16C11"/>
    <w:rsid w:val="01F67CCE"/>
    <w:rsid w:val="021F4265"/>
    <w:rsid w:val="026F50E3"/>
    <w:rsid w:val="02A14C44"/>
    <w:rsid w:val="02B97070"/>
    <w:rsid w:val="03353615"/>
    <w:rsid w:val="03421727"/>
    <w:rsid w:val="03774175"/>
    <w:rsid w:val="037E6FF9"/>
    <w:rsid w:val="03E71B44"/>
    <w:rsid w:val="042E012C"/>
    <w:rsid w:val="042F147B"/>
    <w:rsid w:val="04490920"/>
    <w:rsid w:val="0457023A"/>
    <w:rsid w:val="046427AB"/>
    <w:rsid w:val="047A11FF"/>
    <w:rsid w:val="047A46C3"/>
    <w:rsid w:val="04852DF3"/>
    <w:rsid w:val="04896B13"/>
    <w:rsid w:val="04A85F81"/>
    <w:rsid w:val="04CA0C12"/>
    <w:rsid w:val="04D861A9"/>
    <w:rsid w:val="05193A83"/>
    <w:rsid w:val="053F052A"/>
    <w:rsid w:val="05C2493D"/>
    <w:rsid w:val="05E64830"/>
    <w:rsid w:val="05E84A2B"/>
    <w:rsid w:val="05F73C83"/>
    <w:rsid w:val="060D46DD"/>
    <w:rsid w:val="0615689A"/>
    <w:rsid w:val="067F3806"/>
    <w:rsid w:val="069468A4"/>
    <w:rsid w:val="06960CA4"/>
    <w:rsid w:val="069D4D5C"/>
    <w:rsid w:val="06C824AF"/>
    <w:rsid w:val="06D71F0E"/>
    <w:rsid w:val="07195A15"/>
    <w:rsid w:val="073804B7"/>
    <w:rsid w:val="073836E2"/>
    <w:rsid w:val="07893EFB"/>
    <w:rsid w:val="07A66D78"/>
    <w:rsid w:val="07B82F99"/>
    <w:rsid w:val="07CA6431"/>
    <w:rsid w:val="07CE59B9"/>
    <w:rsid w:val="07EA66E7"/>
    <w:rsid w:val="08115772"/>
    <w:rsid w:val="081D5FCD"/>
    <w:rsid w:val="087A00E0"/>
    <w:rsid w:val="088C33DB"/>
    <w:rsid w:val="089B433F"/>
    <w:rsid w:val="089C532A"/>
    <w:rsid w:val="08FC1B56"/>
    <w:rsid w:val="09002DFB"/>
    <w:rsid w:val="093C5A18"/>
    <w:rsid w:val="097E3F67"/>
    <w:rsid w:val="098B2335"/>
    <w:rsid w:val="09952965"/>
    <w:rsid w:val="09E344ED"/>
    <w:rsid w:val="0A4E6919"/>
    <w:rsid w:val="0A553BC5"/>
    <w:rsid w:val="0A5B1E5E"/>
    <w:rsid w:val="0A7F6B16"/>
    <w:rsid w:val="0A8642D6"/>
    <w:rsid w:val="0A944F7A"/>
    <w:rsid w:val="0AE97934"/>
    <w:rsid w:val="0AFD6B71"/>
    <w:rsid w:val="0B131448"/>
    <w:rsid w:val="0B1A0A91"/>
    <w:rsid w:val="0B320A51"/>
    <w:rsid w:val="0B373F55"/>
    <w:rsid w:val="0B390252"/>
    <w:rsid w:val="0B423E39"/>
    <w:rsid w:val="0B5B36DB"/>
    <w:rsid w:val="0B724F77"/>
    <w:rsid w:val="0BA44C55"/>
    <w:rsid w:val="0BAC79F6"/>
    <w:rsid w:val="0BC303AF"/>
    <w:rsid w:val="0BCD7246"/>
    <w:rsid w:val="0C08719F"/>
    <w:rsid w:val="0C2A2D21"/>
    <w:rsid w:val="0C71462D"/>
    <w:rsid w:val="0C9A6BBB"/>
    <w:rsid w:val="0CC25E96"/>
    <w:rsid w:val="0CC95BD6"/>
    <w:rsid w:val="0CCC6D98"/>
    <w:rsid w:val="0CE37790"/>
    <w:rsid w:val="0D054987"/>
    <w:rsid w:val="0D4E0EB2"/>
    <w:rsid w:val="0D5D3C34"/>
    <w:rsid w:val="0D6004C4"/>
    <w:rsid w:val="0D622D86"/>
    <w:rsid w:val="0D8D617C"/>
    <w:rsid w:val="0D9608D6"/>
    <w:rsid w:val="0D981AEE"/>
    <w:rsid w:val="0DF26CD2"/>
    <w:rsid w:val="0E0A484A"/>
    <w:rsid w:val="0E30052B"/>
    <w:rsid w:val="0E336F72"/>
    <w:rsid w:val="0E4E60C0"/>
    <w:rsid w:val="0E64210D"/>
    <w:rsid w:val="0E8F5CE8"/>
    <w:rsid w:val="0EFD78F8"/>
    <w:rsid w:val="0F026CA5"/>
    <w:rsid w:val="0F0F6B21"/>
    <w:rsid w:val="0F341E1B"/>
    <w:rsid w:val="0F4568FC"/>
    <w:rsid w:val="0F86353C"/>
    <w:rsid w:val="0F9815B7"/>
    <w:rsid w:val="0F9C35AD"/>
    <w:rsid w:val="0FAB538A"/>
    <w:rsid w:val="0FC4250D"/>
    <w:rsid w:val="0FC53BEC"/>
    <w:rsid w:val="0FCD2901"/>
    <w:rsid w:val="10153A53"/>
    <w:rsid w:val="106A6395"/>
    <w:rsid w:val="108A6251"/>
    <w:rsid w:val="10D32348"/>
    <w:rsid w:val="10F42D61"/>
    <w:rsid w:val="10FC2AFB"/>
    <w:rsid w:val="115A3F00"/>
    <w:rsid w:val="11895C3C"/>
    <w:rsid w:val="11A20346"/>
    <w:rsid w:val="11AB69F0"/>
    <w:rsid w:val="11C96CDB"/>
    <w:rsid w:val="11D03BED"/>
    <w:rsid w:val="120E7E53"/>
    <w:rsid w:val="12412154"/>
    <w:rsid w:val="124F5313"/>
    <w:rsid w:val="12551F5D"/>
    <w:rsid w:val="126014B7"/>
    <w:rsid w:val="128F29AD"/>
    <w:rsid w:val="12963971"/>
    <w:rsid w:val="12A053B0"/>
    <w:rsid w:val="12A35611"/>
    <w:rsid w:val="12C25653"/>
    <w:rsid w:val="12E8175E"/>
    <w:rsid w:val="12FA73A6"/>
    <w:rsid w:val="132A02F5"/>
    <w:rsid w:val="13312CB1"/>
    <w:rsid w:val="134F2283"/>
    <w:rsid w:val="135D0906"/>
    <w:rsid w:val="13616785"/>
    <w:rsid w:val="137F725C"/>
    <w:rsid w:val="139D1D5E"/>
    <w:rsid w:val="13A3586D"/>
    <w:rsid w:val="13B32870"/>
    <w:rsid w:val="13D11BC7"/>
    <w:rsid w:val="14306F57"/>
    <w:rsid w:val="1467630A"/>
    <w:rsid w:val="14721E29"/>
    <w:rsid w:val="14D9012E"/>
    <w:rsid w:val="14E3587F"/>
    <w:rsid w:val="150E0337"/>
    <w:rsid w:val="15272C4C"/>
    <w:rsid w:val="15612C4E"/>
    <w:rsid w:val="157F5F29"/>
    <w:rsid w:val="159955AC"/>
    <w:rsid w:val="15A54F23"/>
    <w:rsid w:val="15B07D94"/>
    <w:rsid w:val="15BC5265"/>
    <w:rsid w:val="15DA3A03"/>
    <w:rsid w:val="15E95AFC"/>
    <w:rsid w:val="16062B6A"/>
    <w:rsid w:val="1619432C"/>
    <w:rsid w:val="1629508A"/>
    <w:rsid w:val="163A2F53"/>
    <w:rsid w:val="163A63DE"/>
    <w:rsid w:val="16551510"/>
    <w:rsid w:val="166A3580"/>
    <w:rsid w:val="167B2C6E"/>
    <w:rsid w:val="167C63E1"/>
    <w:rsid w:val="16A27800"/>
    <w:rsid w:val="16BB670E"/>
    <w:rsid w:val="16F078F8"/>
    <w:rsid w:val="17103D25"/>
    <w:rsid w:val="172847B6"/>
    <w:rsid w:val="174D50A0"/>
    <w:rsid w:val="17576AC1"/>
    <w:rsid w:val="177100CC"/>
    <w:rsid w:val="17A101CA"/>
    <w:rsid w:val="17F43D60"/>
    <w:rsid w:val="186D2F71"/>
    <w:rsid w:val="18A131E9"/>
    <w:rsid w:val="18AB63FB"/>
    <w:rsid w:val="18BA7B79"/>
    <w:rsid w:val="18CE4512"/>
    <w:rsid w:val="191C5C8D"/>
    <w:rsid w:val="191E3AC7"/>
    <w:rsid w:val="194979F0"/>
    <w:rsid w:val="197D1B9A"/>
    <w:rsid w:val="19A715C6"/>
    <w:rsid w:val="19AA27D5"/>
    <w:rsid w:val="19AA3CEA"/>
    <w:rsid w:val="19BE5D1C"/>
    <w:rsid w:val="19CD0D65"/>
    <w:rsid w:val="19E63414"/>
    <w:rsid w:val="19FF69FF"/>
    <w:rsid w:val="1A315225"/>
    <w:rsid w:val="1A3707EA"/>
    <w:rsid w:val="1A562397"/>
    <w:rsid w:val="1A7E520B"/>
    <w:rsid w:val="1A9507D6"/>
    <w:rsid w:val="1AB77165"/>
    <w:rsid w:val="1AB8480D"/>
    <w:rsid w:val="1AC36704"/>
    <w:rsid w:val="1ADE13DA"/>
    <w:rsid w:val="1AEF1823"/>
    <w:rsid w:val="1AF0287B"/>
    <w:rsid w:val="1B11456C"/>
    <w:rsid w:val="1B494B6F"/>
    <w:rsid w:val="1B506323"/>
    <w:rsid w:val="1B6A4B89"/>
    <w:rsid w:val="1B9C377C"/>
    <w:rsid w:val="1BC67486"/>
    <w:rsid w:val="1BCB7FB6"/>
    <w:rsid w:val="1BF40CBA"/>
    <w:rsid w:val="1C823D49"/>
    <w:rsid w:val="1C98449D"/>
    <w:rsid w:val="1C997027"/>
    <w:rsid w:val="1CD35AC4"/>
    <w:rsid w:val="1CDC070C"/>
    <w:rsid w:val="1D0E6AAD"/>
    <w:rsid w:val="1D1125A5"/>
    <w:rsid w:val="1D5D41EE"/>
    <w:rsid w:val="1D8A3963"/>
    <w:rsid w:val="1D9F5F11"/>
    <w:rsid w:val="1DEE5764"/>
    <w:rsid w:val="1E7425D4"/>
    <w:rsid w:val="1E77580F"/>
    <w:rsid w:val="1E996408"/>
    <w:rsid w:val="1EA46007"/>
    <w:rsid w:val="1ED11C45"/>
    <w:rsid w:val="1EEB1227"/>
    <w:rsid w:val="1EF30589"/>
    <w:rsid w:val="1F110829"/>
    <w:rsid w:val="1F133DFE"/>
    <w:rsid w:val="1F1E1752"/>
    <w:rsid w:val="1F35155A"/>
    <w:rsid w:val="1F376FF2"/>
    <w:rsid w:val="1F554E54"/>
    <w:rsid w:val="1F7758FF"/>
    <w:rsid w:val="1F8F12D1"/>
    <w:rsid w:val="1F9B41D0"/>
    <w:rsid w:val="1FA009E6"/>
    <w:rsid w:val="1FB17F5C"/>
    <w:rsid w:val="1FB25FAF"/>
    <w:rsid w:val="1FC55E39"/>
    <w:rsid w:val="2006755A"/>
    <w:rsid w:val="20551CF4"/>
    <w:rsid w:val="207343FD"/>
    <w:rsid w:val="207D295D"/>
    <w:rsid w:val="20A251AF"/>
    <w:rsid w:val="20AA266B"/>
    <w:rsid w:val="20C31C58"/>
    <w:rsid w:val="20E04422"/>
    <w:rsid w:val="20E2632A"/>
    <w:rsid w:val="212F7207"/>
    <w:rsid w:val="21412F51"/>
    <w:rsid w:val="21846424"/>
    <w:rsid w:val="21C27612"/>
    <w:rsid w:val="21DA399D"/>
    <w:rsid w:val="22075B63"/>
    <w:rsid w:val="2223030F"/>
    <w:rsid w:val="222D240B"/>
    <w:rsid w:val="22734E1A"/>
    <w:rsid w:val="22880CA7"/>
    <w:rsid w:val="22A27515"/>
    <w:rsid w:val="22AB4177"/>
    <w:rsid w:val="22BB67FA"/>
    <w:rsid w:val="22D8717D"/>
    <w:rsid w:val="22E26995"/>
    <w:rsid w:val="22EC49A4"/>
    <w:rsid w:val="23035BAE"/>
    <w:rsid w:val="23047A85"/>
    <w:rsid w:val="23407D5D"/>
    <w:rsid w:val="237D6817"/>
    <w:rsid w:val="23804D1C"/>
    <w:rsid w:val="23A163D2"/>
    <w:rsid w:val="23BD3B28"/>
    <w:rsid w:val="23D507D0"/>
    <w:rsid w:val="23E913FB"/>
    <w:rsid w:val="23F97147"/>
    <w:rsid w:val="24016D20"/>
    <w:rsid w:val="24043BB3"/>
    <w:rsid w:val="24201966"/>
    <w:rsid w:val="2460531D"/>
    <w:rsid w:val="246C693E"/>
    <w:rsid w:val="24786991"/>
    <w:rsid w:val="24925A8E"/>
    <w:rsid w:val="24AB7B95"/>
    <w:rsid w:val="24B452C9"/>
    <w:rsid w:val="24B52219"/>
    <w:rsid w:val="24FC2215"/>
    <w:rsid w:val="25602D1D"/>
    <w:rsid w:val="25711CAC"/>
    <w:rsid w:val="259815BF"/>
    <w:rsid w:val="259B535F"/>
    <w:rsid w:val="25D67498"/>
    <w:rsid w:val="25E1359B"/>
    <w:rsid w:val="25EB4B63"/>
    <w:rsid w:val="25ED3B22"/>
    <w:rsid w:val="262C16CD"/>
    <w:rsid w:val="26B0234D"/>
    <w:rsid w:val="26C74A11"/>
    <w:rsid w:val="27030CB2"/>
    <w:rsid w:val="272B7A97"/>
    <w:rsid w:val="275E4DF0"/>
    <w:rsid w:val="27700695"/>
    <w:rsid w:val="277420AE"/>
    <w:rsid w:val="27992B66"/>
    <w:rsid w:val="281742EB"/>
    <w:rsid w:val="281810FF"/>
    <w:rsid w:val="28370AC2"/>
    <w:rsid w:val="28383EFE"/>
    <w:rsid w:val="283C0AD1"/>
    <w:rsid w:val="285E204A"/>
    <w:rsid w:val="2875598E"/>
    <w:rsid w:val="28A030AC"/>
    <w:rsid w:val="28D6436F"/>
    <w:rsid w:val="28D75653"/>
    <w:rsid w:val="28E81544"/>
    <w:rsid w:val="290E4402"/>
    <w:rsid w:val="294934EB"/>
    <w:rsid w:val="294973FE"/>
    <w:rsid w:val="2956167E"/>
    <w:rsid w:val="29577D8C"/>
    <w:rsid w:val="297868BF"/>
    <w:rsid w:val="29AC7F21"/>
    <w:rsid w:val="29EC3A9D"/>
    <w:rsid w:val="2A157130"/>
    <w:rsid w:val="2A2E04BA"/>
    <w:rsid w:val="2A383B35"/>
    <w:rsid w:val="2ACC7A5A"/>
    <w:rsid w:val="2B2D69D6"/>
    <w:rsid w:val="2B41674B"/>
    <w:rsid w:val="2B5318C8"/>
    <w:rsid w:val="2B5962FF"/>
    <w:rsid w:val="2B771294"/>
    <w:rsid w:val="2B9C53EE"/>
    <w:rsid w:val="2BA70BE8"/>
    <w:rsid w:val="2C0E6E85"/>
    <w:rsid w:val="2C16047C"/>
    <w:rsid w:val="2C2A763C"/>
    <w:rsid w:val="2C5F332D"/>
    <w:rsid w:val="2C724D50"/>
    <w:rsid w:val="2C7C16B3"/>
    <w:rsid w:val="2C8923BC"/>
    <w:rsid w:val="2CC96FE9"/>
    <w:rsid w:val="2CD47877"/>
    <w:rsid w:val="2D1468A6"/>
    <w:rsid w:val="2D46413A"/>
    <w:rsid w:val="2DC7207E"/>
    <w:rsid w:val="2DD576B9"/>
    <w:rsid w:val="2DD73955"/>
    <w:rsid w:val="2DDD6BFF"/>
    <w:rsid w:val="2DDF1ADE"/>
    <w:rsid w:val="2DF95E42"/>
    <w:rsid w:val="2DFE4A1B"/>
    <w:rsid w:val="2E052909"/>
    <w:rsid w:val="2E0B5300"/>
    <w:rsid w:val="2E10592D"/>
    <w:rsid w:val="2E333E09"/>
    <w:rsid w:val="2E4726A7"/>
    <w:rsid w:val="2E621716"/>
    <w:rsid w:val="2E8B2026"/>
    <w:rsid w:val="2EA871D1"/>
    <w:rsid w:val="2EE0089B"/>
    <w:rsid w:val="2F0A605F"/>
    <w:rsid w:val="2F1D3611"/>
    <w:rsid w:val="2F4F78E9"/>
    <w:rsid w:val="2F5743DB"/>
    <w:rsid w:val="2F5D47E4"/>
    <w:rsid w:val="2F75254B"/>
    <w:rsid w:val="2F996992"/>
    <w:rsid w:val="2FA21F04"/>
    <w:rsid w:val="2FBE247D"/>
    <w:rsid w:val="2FC24C1C"/>
    <w:rsid w:val="2FE07195"/>
    <w:rsid w:val="2FEB2212"/>
    <w:rsid w:val="302255FE"/>
    <w:rsid w:val="303A143F"/>
    <w:rsid w:val="30AF3221"/>
    <w:rsid w:val="311E7924"/>
    <w:rsid w:val="31490F3E"/>
    <w:rsid w:val="318506C8"/>
    <w:rsid w:val="318919F9"/>
    <w:rsid w:val="31C1577F"/>
    <w:rsid w:val="31C45E8E"/>
    <w:rsid w:val="32007D72"/>
    <w:rsid w:val="32060952"/>
    <w:rsid w:val="323B669B"/>
    <w:rsid w:val="323D3EC7"/>
    <w:rsid w:val="32462178"/>
    <w:rsid w:val="327A1D8F"/>
    <w:rsid w:val="3285532C"/>
    <w:rsid w:val="329508A6"/>
    <w:rsid w:val="329D45B3"/>
    <w:rsid w:val="32FE6FFD"/>
    <w:rsid w:val="33113E36"/>
    <w:rsid w:val="33114C55"/>
    <w:rsid w:val="3314749D"/>
    <w:rsid w:val="33602117"/>
    <w:rsid w:val="337109FD"/>
    <w:rsid w:val="33B2789C"/>
    <w:rsid w:val="342C05B3"/>
    <w:rsid w:val="34331F23"/>
    <w:rsid w:val="344C64BD"/>
    <w:rsid w:val="345F50DC"/>
    <w:rsid w:val="3474514B"/>
    <w:rsid w:val="34827FB9"/>
    <w:rsid w:val="34BE6BFA"/>
    <w:rsid w:val="34D327DB"/>
    <w:rsid w:val="34F014B8"/>
    <w:rsid w:val="3507000B"/>
    <w:rsid w:val="35407EAC"/>
    <w:rsid w:val="35736099"/>
    <w:rsid w:val="358106C0"/>
    <w:rsid w:val="358F4194"/>
    <w:rsid w:val="35940FAC"/>
    <w:rsid w:val="35EB6F9C"/>
    <w:rsid w:val="361D5AA4"/>
    <w:rsid w:val="362C6688"/>
    <w:rsid w:val="36453A25"/>
    <w:rsid w:val="365A78E8"/>
    <w:rsid w:val="36603082"/>
    <w:rsid w:val="36652AE6"/>
    <w:rsid w:val="3687595A"/>
    <w:rsid w:val="3689243C"/>
    <w:rsid w:val="36903945"/>
    <w:rsid w:val="36955920"/>
    <w:rsid w:val="36AB171A"/>
    <w:rsid w:val="36D91701"/>
    <w:rsid w:val="36F62AE0"/>
    <w:rsid w:val="37066EE3"/>
    <w:rsid w:val="370F0CD7"/>
    <w:rsid w:val="3759386E"/>
    <w:rsid w:val="37793C5A"/>
    <w:rsid w:val="378C4724"/>
    <w:rsid w:val="379A46DE"/>
    <w:rsid w:val="37E43798"/>
    <w:rsid w:val="382014ED"/>
    <w:rsid w:val="38216EB3"/>
    <w:rsid w:val="382A7225"/>
    <w:rsid w:val="38787B4C"/>
    <w:rsid w:val="388F76BD"/>
    <w:rsid w:val="38B544D7"/>
    <w:rsid w:val="38D04D62"/>
    <w:rsid w:val="38F0747D"/>
    <w:rsid w:val="39173F66"/>
    <w:rsid w:val="39202850"/>
    <w:rsid w:val="392F69DF"/>
    <w:rsid w:val="395F70B8"/>
    <w:rsid w:val="396E028C"/>
    <w:rsid w:val="3986639D"/>
    <w:rsid w:val="39893797"/>
    <w:rsid w:val="39985C81"/>
    <w:rsid w:val="39D6250B"/>
    <w:rsid w:val="39F0427C"/>
    <w:rsid w:val="3A0D44E8"/>
    <w:rsid w:val="3A8C7C53"/>
    <w:rsid w:val="3A9C2416"/>
    <w:rsid w:val="3ACC2616"/>
    <w:rsid w:val="3ACF17C3"/>
    <w:rsid w:val="3B856026"/>
    <w:rsid w:val="3BAD163F"/>
    <w:rsid w:val="3BBB26DB"/>
    <w:rsid w:val="3BD44BE6"/>
    <w:rsid w:val="3BE1180B"/>
    <w:rsid w:val="3BFA2AE7"/>
    <w:rsid w:val="3C031AA5"/>
    <w:rsid w:val="3C0813E6"/>
    <w:rsid w:val="3C3F2833"/>
    <w:rsid w:val="3C3F3F89"/>
    <w:rsid w:val="3C425953"/>
    <w:rsid w:val="3CB0274A"/>
    <w:rsid w:val="3CCC1917"/>
    <w:rsid w:val="3CCF171A"/>
    <w:rsid w:val="3DEB6630"/>
    <w:rsid w:val="3E0A07A1"/>
    <w:rsid w:val="3E0D043C"/>
    <w:rsid w:val="3E21053C"/>
    <w:rsid w:val="3E483FA9"/>
    <w:rsid w:val="3E5B079E"/>
    <w:rsid w:val="3E6D5B28"/>
    <w:rsid w:val="3E9659FC"/>
    <w:rsid w:val="3E9B7E99"/>
    <w:rsid w:val="3EE74F44"/>
    <w:rsid w:val="3EF71C0A"/>
    <w:rsid w:val="3EFE2D86"/>
    <w:rsid w:val="3F4924A5"/>
    <w:rsid w:val="3F7D20B4"/>
    <w:rsid w:val="3F7D3D9E"/>
    <w:rsid w:val="3F932247"/>
    <w:rsid w:val="3F963B0D"/>
    <w:rsid w:val="3FA54607"/>
    <w:rsid w:val="3FEE070A"/>
    <w:rsid w:val="3FF97C1A"/>
    <w:rsid w:val="402A0A23"/>
    <w:rsid w:val="40301B44"/>
    <w:rsid w:val="403313DC"/>
    <w:rsid w:val="40703110"/>
    <w:rsid w:val="40970E8F"/>
    <w:rsid w:val="40A63E31"/>
    <w:rsid w:val="40C03475"/>
    <w:rsid w:val="40DF5956"/>
    <w:rsid w:val="40F4047B"/>
    <w:rsid w:val="413F3A82"/>
    <w:rsid w:val="41596145"/>
    <w:rsid w:val="4170643E"/>
    <w:rsid w:val="41735459"/>
    <w:rsid w:val="41777398"/>
    <w:rsid w:val="41790444"/>
    <w:rsid w:val="41A21974"/>
    <w:rsid w:val="41B51C75"/>
    <w:rsid w:val="41B546DA"/>
    <w:rsid w:val="41BB0254"/>
    <w:rsid w:val="41BD1593"/>
    <w:rsid w:val="41C336C9"/>
    <w:rsid w:val="41E975DF"/>
    <w:rsid w:val="41EC33D7"/>
    <w:rsid w:val="41FA49EB"/>
    <w:rsid w:val="420B0E65"/>
    <w:rsid w:val="42102596"/>
    <w:rsid w:val="4211439D"/>
    <w:rsid w:val="42235C41"/>
    <w:rsid w:val="423D02AE"/>
    <w:rsid w:val="42406B0C"/>
    <w:rsid w:val="42425455"/>
    <w:rsid w:val="42496238"/>
    <w:rsid w:val="425B2C92"/>
    <w:rsid w:val="42847059"/>
    <w:rsid w:val="42E16EC7"/>
    <w:rsid w:val="43063342"/>
    <w:rsid w:val="430B7AA3"/>
    <w:rsid w:val="430C4782"/>
    <w:rsid w:val="434B18C4"/>
    <w:rsid w:val="434E270F"/>
    <w:rsid w:val="4350263A"/>
    <w:rsid w:val="43DB24A3"/>
    <w:rsid w:val="43DD58CF"/>
    <w:rsid w:val="4442613D"/>
    <w:rsid w:val="4445653B"/>
    <w:rsid w:val="44506FB4"/>
    <w:rsid w:val="446E0F55"/>
    <w:rsid w:val="4481159D"/>
    <w:rsid w:val="45264CC2"/>
    <w:rsid w:val="45401D09"/>
    <w:rsid w:val="4691108A"/>
    <w:rsid w:val="46AD5E92"/>
    <w:rsid w:val="46BE151A"/>
    <w:rsid w:val="46CB6702"/>
    <w:rsid w:val="475A6773"/>
    <w:rsid w:val="47C42CFD"/>
    <w:rsid w:val="47F77622"/>
    <w:rsid w:val="47FE4A06"/>
    <w:rsid w:val="48064C20"/>
    <w:rsid w:val="486567B5"/>
    <w:rsid w:val="48A6083D"/>
    <w:rsid w:val="48B57952"/>
    <w:rsid w:val="48C506BB"/>
    <w:rsid w:val="48E11922"/>
    <w:rsid w:val="48F10154"/>
    <w:rsid w:val="48F909C5"/>
    <w:rsid w:val="490F5B48"/>
    <w:rsid w:val="49242431"/>
    <w:rsid w:val="492C6FB1"/>
    <w:rsid w:val="493074E1"/>
    <w:rsid w:val="494A4AC9"/>
    <w:rsid w:val="496200CD"/>
    <w:rsid w:val="49782AD9"/>
    <w:rsid w:val="49A21145"/>
    <w:rsid w:val="49A3011A"/>
    <w:rsid w:val="49E01D44"/>
    <w:rsid w:val="49EF18A1"/>
    <w:rsid w:val="49F831CF"/>
    <w:rsid w:val="4A1A6EB2"/>
    <w:rsid w:val="4A27410A"/>
    <w:rsid w:val="4A4F6A66"/>
    <w:rsid w:val="4A7A2B5C"/>
    <w:rsid w:val="4A8B23EC"/>
    <w:rsid w:val="4AAB70AB"/>
    <w:rsid w:val="4ADD0335"/>
    <w:rsid w:val="4B0A345B"/>
    <w:rsid w:val="4BF00264"/>
    <w:rsid w:val="4C0839D5"/>
    <w:rsid w:val="4C131A8F"/>
    <w:rsid w:val="4C502870"/>
    <w:rsid w:val="4C5F48F4"/>
    <w:rsid w:val="4C6935FA"/>
    <w:rsid w:val="4C7A6C66"/>
    <w:rsid w:val="4C896A20"/>
    <w:rsid w:val="4CD42E68"/>
    <w:rsid w:val="4CE4352A"/>
    <w:rsid w:val="4D8269DA"/>
    <w:rsid w:val="4D906E39"/>
    <w:rsid w:val="4DAB0500"/>
    <w:rsid w:val="4E294984"/>
    <w:rsid w:val="4E305350"/>
    <w:rsid w:val="4E3D5AFE"/>
    <w:rsid w:val="4E3E72F9"/>
    <w:rsid w:val="4E47087A"/>
    <w:rsid w:val="4E4B4A3F"/>
    <w:rsid w:val="4E866FC8"/>
    <w:rsid w:val="4E962786"/>
    <w:rsid w:val="4EEE4156"/>
    <w:rsid w:val="4EF43F69"/>
    <w:rsid w:val="4EFE7900"/>
    <w:rsid w:val="4F06403F"/>
    <w:rsid w:val="4F5252CE"/>
    <w:rsid w:val="4F8B25F1"/>
    <w:rsid w:val="4FA93393"/>
    <w:rsid w:val="500B17B2"/>
    <w:rsid w:val="50105FE8"/>
    <w:rsid w:val="50116C9A"/>
    <w:rsid w:val="50204D8F"/>
    <w:rsid w:val="5036016A"/>
    <w:rsid w:val="50390BB3"/>
    <w:rsid w:val="506D0B1E"/>
    <w:rsid w:val="50850BD9"/>
    <w:rsid w:val="509A4983"/>
    <w:rsid w:val="509C1BAA"/>
    <w:rsid w:val="50A7459D"/>
    <w:rsid w:val="50D001D2"/>
    <w:rsid w:val="50E85588"/>
    <w:rsid w:val="50F265A1"/>
    <w:rsid w:val="513D338D"/>
    <w:rsid w:val="515B3813"/>
    <w:rsid w:val="516239B9"/>
    <w:rsid w:val="51671EEC"/>
    <w:rsid w:val="51CB7F31"/>
    <w:rsid w:val="51E23DA1"/>
    <w:rsid w:val="51F5773E"/>
    <w:rsid w:val="524C2424"/>
    <w:rsid w:val="52B633F7"/>
    <w:rsid w:val="52BE4ECF"/>
    <w:rsid w:val="52C32343"/>
    <w:rsid w:val="52D429F3"/>
    <w:rsid w:val="5333102D"/>
    <w:rsid w:val="53352DE9"/>
    <w:rsid w:val="535B3F9E"/>
    <w:rsid w:val="53941496"/>
    <w:rsid w:val="53993905"/>
    <w:rsid w:val="53B52552"/>
    <w:rsid w:val="53C34C1D"/>
    <w:rsid w:val="53E34D05"/>
    <w:rsid w:val="53F07928"/>
    <w:rsid w:val="53F758AE"/>
    <w:rsid w:val="540209BD"/>
    <w:rsid w:val="54280F43"/>
    <w:rsid w:val="542A37C8"/>
    <w:rsid w:val="54534230"/>
    <w:rsid w:val="549639E7"/>
    <w:rsid w:val="54AB1879"/>
    <w:rsid w:val="54B77089"/>
    <w:rsid w:val="54CF46CB"/>
    <w:rsid w:val="5558778F"/>
    <w:rsid w:val="558073F4"/>
    <w:rsid w:val="558C48E3"/>
    <w:rsid w:val="559C1101"/>
    <w:rsid w:val="56051AFA"/>
    <w:rsid w:val="56273A7F"/>
    <w:rsid w:val="56321718"/>
    <w:rsid w:val="563A0533"/>
    <w:rsid w:val="5669446D"/>
    <w:rsid w:val="56705F65"/>
    <w:rsid w:val="5693555B"/>
    <w:rsid w:val="56AA3C03"/>
    <w:rsid w:val="56AE1A12"/>
    <w:rsid w:val="56D76A5C"/>
    <w:rsid w:val="56DB7905"/>
    <w:rsid w:val="572B1A9A"/>
    <w:rsid w:val="573769D3"/>
    <w:rsid w:val="57B547F2"/>
    <w:rsid w:val="57D02E30"/>
    <w:rsid w:val="582B20E1"/>
    <w:rsid w:val="585552E3"/>
    <w:rsid w:val="585B4B42"/>
    <w:rsid w:val="58654ABD"/>
    <w:rsid w:val="59151932"/>
    <w:rsid w:val="591C7D2C"/>
    <w:rsid w:val="592207F1"/>
    <w:rsid w:val="598B6C60"/>
    <w:rsid w:val="59EB08D1"/>
    <w:rsid w:val="5A05181E"/>
    <w:rsid w:val="5A082C1C"/>
    <w:rsid w:val="5A335359"/>
    <w:rsid w:val="5A4B14B0"/>
    <w:rsid w:val="5A4C34A2"/>
    <w:rsid w:val="5A55220A"/>
    <w:rsid w:val="5A7B63D0"/>
    <w:rsid w:val="5A86423E"/>
    <w:rsid w:val="5A9C0E2B"/>
    <w:rsid w:val="5AA028AA"/>
    <w:rsid w:val="5AA07312"/>
    <w:rsid w:val="5AB145EA"/>
    <w:rsid w:val="5AE463D1"/>
    <w:rsid w:val="5AE56066"/>
    <w:rsid w:val="5BF25AA7"/>
    <w:rsid w:val="5C0A0641"/>
    <w:rsid w:val="5C23318E"/>
    <w:rsid w:val="5C462439"/>
    <w:rsid w:val="5C544226"/>
    <w:rsid w:val="5C586511"/>
    <w:rsid w:val="5C923901"/>
    <w:rsid w:val="5CBD2E80"/>
    <w:rsid w:val="5CC94D9D"/>
    <w:rsid w:val="5D041FB0"/>
    <w:rsid w:val="5D0A1F41"/>
    <w:rsid w:val="5D5F236B"/>
    <w:rsid w:val="5D754365"/>
    <w:rsid w:val="5DB14E50"/>
    <w:rsid w:val="5DDD31E5"/>
    <w:rsid w:val="5E047966"/>
    <w:rsid w:val="5E3509A4"/>
    <w:rsid w:val="5E40007D"/>
    <w:rsid w:val="5E4077D5"/>
    <w:rsid w:val="5E4B7EC0"/>
    <w:rsid w:val="5E867ACE"/>
    <w:rsid w:val="5E99597B"/>
    <w:rsid w:val="5EA44BCC"/>
    <w:rsid w:val="5ECB7770"/>
    <w:rsid w:val="5EF20134"/>
    <w:rsid w:val="5F15743B"/>
    <w:rsid w:val="5F1E2D5F"/>
    <w:rsid w:val="5F7B1C3C"/>
    <w:rsid w:val="5F8E562C"/>
    <w:rsid w:val="5F9C5E3C"/>
    <w:rsid w:val="5FAD5C76"/>
    <w:rsid w:val="5FC70D65"/>
    <w:rsid w:val="601364F6"/>
    <w:rsid w:val="60184228"/>
    <w:rsid w:val="60257F02"/>
    <w:rsid w:val="60445207"/>
    <w:rsid w:val="6055130D"/>
    <w:rsid w:val="605B7994"/>
    <w:rsid w:val="60684A80"/>
    <w:rsid w:val="606F389B"/>
    <w:rsid w:val="606F6322"/>
    <w:rsid w:val="6092139D"/>
    <w:rsid w:val="60AC3827"/>
    <w:rsid w:val="611D0C81"/>
    <w:rsid w:val="616E5B6C"/>
    <w:rsid w:val="61855DDF"/>
    <w:rsid w:val="61D54074"/>
    <w:rsid w:val="61EC22FC"/>
    <w:rsid w:val="621A6DD3"/>
    <w:rsid w:val="62227AF6"/>
    <w:rsid w:val="627E2599"/>
    <w:rsid w:val="62D06980"/>
    <w:rsid w:val="62D54093"/>
    <w:rsid w:val="634958C6"/>
    <w:rsid w:val="634C7154"/>
    <w:rsid w:val="635A267D"/>
    <w:rsid w:val="635A7DCF"/>
    <w:rsid w:val="63BC7BBE"/>
    <w:rsid w:val="63C60A99"/>
    <w:rsid w:val="63CA5BDB"/>
    <w:rsid w:val="63D91666"/>
    <w:rsid w:val="63D9717A"/>
    <w:rsid w:val="63E75C0F"/>
    <w:rsid w:val="64037412"/>
    <w:rsid w:val="640433CF"/>
    <w:rsid w:val="643E52AF"/>
    <w:rsid w:val="6468220A"/>
    <w:rsid w:val="647F48B4"/>
    <w:rsid w:val="64A21FD2"/>
    <w:rsid w:val="64A30574"/>
    <w:rsid w:val="6535697F"/>
    <w:rsid w:val="653661BD"/>
    <w:rsid w:val="653C335B"/>
    <w:rsid w:val="65482158"/>
    <w:rsid w:val="654E348D"/>
    <w:rsid w:val="6567094E"/>
    <w:rsid w:val="65BB25D7"/>
    <w:rsid w:val="65FD4C54"/>
    <w:rsid w:val="66035EAF"/>
    <w:rsid w:val="6630772B"/>
    <w:rsid w:val="66350F3C"/>
    <w:rsid w:val="664B5E23"/>
    <w:rsid w:val="66A36A66"/>
    <w:rsid w:val="66C62242"/>
    <w:rsid w:val="66ED21C3"/>
    <w:rsid w:val="672D6CE8"/>
    <w:rsid w:val="67693016"/>
    <w:rsid w:val="679C1E9A"/>
    <w:rsid w:val="679F1A8A"/>
    <w:rsid w:val="67BA355E"/>
    <w:rsid w:val="67DD0CF0"/>
    <w:rsid w:val="6855021D"/>
    <w:rsid w:val="686C7D89"/>
    <w:rsid w:val="68BC5300"/>
    <w:rsid w:val="68C0292A"/>
    <w:rsid w:val="69181E04"/>
    <w:rsid w:val="69207C93"/>
    <w:rsid w:val="692B726B"/>
    <w:rsid w:val="69320B33"/>
    <w:rsid w:val="69407D02"/>
    <w:rsid w:val="69764F43"/>
    <w:rsid w:val="698859AD"/>
    <w:rsid w:val="69CF1535"/>
    <w:rsid w:val="69DD1669"/>
    <w:rsid w:val="6A2741F3"/>
    <w:rsid w:val="6A841BD5"/>
    <w:rsid w:val="6A9E761B"/>
    <w:rsid w:val="6AAF6316"/>
    <w:rsid w:val="6AE61287"/>
    <w:rsid w:val="6AED50E7"/>
    <w:rsid w:val="6AFC5166"/>
    <w:rsid w:val="6B2C5210"/>
    <w:rsid w:val="6B546FF4"/>
    <w:rsid w:val="6B553718"/>
    <w:rsid w:val="6B65640B"/>
    <w:rsid w:val="6B6D0535"/>
    <w:rsid w:val="6B6E1F4F"/>
    <w:rsid w:val="6B721CA8"/>
    <w:rsid w:val="6B793727"/>
    <w:rsid w:val="6B8169B8"/>
    <w:rsid w:val="6C563A10"/>
    <w:rsid w:val="6C8C78B1"/>
    <w:rsid w:val="6CB1308F"/>
    <w:rsid w:val="6CC9095C"/>
    <w:rsid w:val="6CD824B1"/>
    <w:rsid w:val="6D0901E8"/>
    <w:rsid w:val="6D3E23FB"/>
    <w:rsid w:val="6D685257"/>
    <w:rsid w:val="6DA13742"/>
    <w:rsid w:val="6DB518FB"/>
    <w:rsid w:val="6DF444C6"/>
    <w:rsid w:val="6DFA07F9"/>
    <w:rsid w:val="6E07641C"/>
    <w:rsid w:val="6E1650FF"/>
    <w:rsid w:val="6E1F3EE6"/>
    <w:rsid w:val="6E3D0832"/>
    <w:rsid w:val="6E8D21A7"/>
    <w:rsid w:val="6EAB5044"/>
    <w:rsid w:val="6EBB2D67"/>
    <w:rsid w:val="6F2E0979"/>
    <w:rsid w:val="6F3379D9"/>
    <w:rsid w:val="6F4777B9"/>
    <w:rsid w:val="6F7D067F"/>
    <w:rsid w:val="6F822E67"/>
    <w:rsid w:val="6F832817"/>
    <w:rsid w:val="6F8A1A3C"/>
    <w:rsid w:val="6FA17F98"/>
    <w:rsid w:val="6FED1F41"/>
    <w:rsid w:val="702A6D7B"/>
    <w:rsid w:val="707B5B4C"/>
    <w:rsid w:val="70893477"/>
    <w:rsid w:val="70A8064A"/>
    <w:rsid w:val="70AC5B9C"/>
    <w:rsid w:val="70DD75E3"/>
    <w:rsid w:val="71061227"/>
    <w:rsid w:val="710A2708"/>
    <w:rsid w:val="7139667B"/>
    <w:rsid w:val="716A68F6"/>
    <w:rsid w:val="716C5373"/>
    <w:rsid w:val="718801E9"/>
    <w:rsid w:val="718F5AC6"/>
    <w:rsid w:val="719D6B11"/>
    <w:rsid w:val="71FE5700"/>
    <w:rsid w:val="722259C9"/>
    <w:rsid w:val="722318D6"/>
    <w:rsid w:val="722B2CAC"/>
    <w:rsid w:val="727750AD"/>
    <w:rsid w:val="72776FBC"/>
    <w:rsid w:val="72875C4C"/>
    <w:rsid w:val="72935A29"/>
    <w:rsid w:val="730923BA"/>
    <w:rsid w:val="730C05A5"/>
    <w:rsid w:val="732B695F"/>
    <w:rsid w:val="734D0BA8"/>
    <w:rsid w:val="735A1737"/>
    <w:rsid w:val="73600984"/>
    <w:rsid w:val="737535FB"/>
    <w:rsid w:val="739F282B"/>
    <w:rsid w:val="73B40E35"/>
    <w:rsid w:val="73D46EC4"/>
    <w:rsid w:val="73E24D88"/>
    <w:rsid w:val="73FE3E47"/>
    <w:rsid w:val="740207FA"/>
    <w:rsid w:val="7417648F"/>
    <w:rsid w:val="74244C1C"/>
    <w:rsid w:val="74261C77"/>
    <w:rsid w:val="743924D8"/>
    <w:rsid w:val="747B4EFF"/>
    <w:rsid w:val="74970D07"/>
    <w:rsid w:val="74A03CAA"/>
    <w:rsid w:val="74B703D7"/>
    <w:rsid w:val="74ED2281"/>
    <w:rsid w:val="7506710A"/>
    <w:rsid w:val="752A5C15"/>
    <w:rsid w:val="754B6677"/>
    <w:rsid w:val="755B7BD7"/>
    <w:rsid w:val="759578AE"/>
    <w:rsid w:val="75A87428"/>
    <w:rsid w:val="75D1701C"/>
    <w:rsid w:val="75E47A28"/>
    <w:rsid w:val="76073140"/>
    <w:rsid w:val="760A41E9"/>
    <w:rsid w:val="761D774B"/>
    <w:rsid w:val="762133D1"/>
    <w:rsid w:val="7647389F"/>
    <w:rsid w:val="764A5EC0"/>
    <w:rsid w:val="76830F93"/>
    <w:rsid w:val="768625FC"/>
    <w:rsid w:val="76894F06"/>
    <w:rsid w:val="76F16C84"/>
    <w:rsid w:val="7712259C"/>
    <w:rsid w:val="773211BB"/>
    <w:rsid w:val="7758193E"/>
    <w:rsid w:val="77616D2A"/>
    <w:rsid w:val="7783500E"/>
    <w:rsid w:val="7791339A"/>
    <w:rsid w:val="77A110AB"/>
    <w:rsid w:val="77A26DA5"/>
    <w:rsid w:val="78157C86"/>
    <w:rsid w:val="78194339"/>
    <w:rsid w:val="781A4CFE"/>
    <w:rsid w:val="78205372"/>
    <w:rsid w:val="783666E6"/>
    <w:rsid w:val="78393DA0"/>
    <w:rsid w:val="78397B5B"/>
    <w:rsid w:val="784064C8"/>
    <w:rsid w:val="785A7BE6"/>
    <w:rsid w:val="78626EE5"/>
    <w:rsid w:val="78AB7F24"/>
    <w:rsid w:val="78C561A4"/>
    <w:rsid w:val="7943160C"/>
    <w:rsid w:val="794A2840"/>
    <w:rsid w:val="79897308"/>
    <w:rsid w:val="798A710D"/>
    <w:rsid w:val="79BF0B1C"/>
    <w:rsid w:val="7A1E6629"/>
    <w:rsid w:val="7A456C8B"/>
    <w:rsid w:val="7A543053"/>
    <w:rsid w:val="7AA637AA"/>
    <w:rsid w:val="7ACE5B06"/>
    <w:rsid w:val="7AF500C1"/>
    <w:rsid w:val="7AFA6F23"/>
    <w:rsid w:val="7B4526FB"/>
    <w:rsid w:val="7C283A7C"/>
    <w:rsid w:val="7C650805"/>
    <w:rsid w:val="7C7B0243"/>
    <w:rsid w:val="7CA16CD6"/>
    <w:rsid w:val="7CA249B6"/>
    <w:rsid w:val="7CA31B67"/>
    <w:rsid w:val="7CD867A4"/>
    <w:rsid w:val="7CE51467"/>
    <w:rsid w:val="7CFD5D2E"/>
    <w:rsid w:val="7D056538"/>
    <w:rsid w:val="7D080766"/>
    <w:rsid w:val="7D937F5B"/>
    <w:rsid w:val="7DBA2B2E"/>
    <w:rsid w:val="7DC3084B"/>
    <w:rsid w:val="7E385CB6"/>
    <w:rsid w:val="7E534243"/>
    <w:rsid w:val="7E6C5ECA"/>
    <w:rsid w:val="7E9212C3"/>
    <w:rsid w:val="7E9D3F7E"/>
    <w:rsid w:val="7EAB6F16"/>
    <w:rsid w:val="7EB046FE"/>
    <w:rsid w:val="7F12694F"/>
    <w:rsid w:val="7F267750"/>
    <w:rsid w:val="7F272085"/>
    <w:rsid w:val="7F4A00E9"/>
    <w:rsid w:val="7F62297E"/>
    <w:rsid w:val="7F7972BC"/>
    <w:rsid w:val="7F804C1A"/>
    <w:rsid w:val="7F852EB8"/>
    <w:rsid w:val="7FAA7637"/>
    <w:rsid w:val="7FC27BA4"/>
    <w:rsid w:val="7FC569A8"/>
    <w:rsid w:val="7FD053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ageBreakBefore/>
      <w:numPr>
        <w:ilvl w:val="0"/>
        <w:numId w:val="1"/>
      </w:numPr>
      <w:pBdr>
        <w:bottom w:val="single" w:color="808080" w:sz="36" w:space="3"/>
      </w:pBdr>
      <w:spacing w:after="240"/>
      <w:outlineLvl w:val="0"/>
    </w:pPr>
    <w:rPr>
      <w:b/>
      <w:smallCaps/>
      <w:sz w:val="32"/>
    </w:rPr>
  </w:style>
  <w:style w:type="paragraph" w:styleId="3">
    <w:name w:val="heading 2"/>
    <w:basedOn w:val="4"/>
    <w:next w:val="1"/>
    <w:unhideWhenUsed/>
    <w:qFormat/>
    <w:uiPriority w:val="0"/>
    <w:pPr>
      <w:keepNext/>
      <w:numPr>
        <w:ilvl w:val="1"/>
        <w:numId w:val="1"/>
      </w:numPr>
      <w:spacing w:before="240" w:after="120"/>
      <w:outlineLvl w:val="1"/>
    </w:pPr>
    <w:rPr>
      <w:b/>
      <w:sz w:val="28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_Display Text"/>
    <w:qFormat/>
    <w:uiPriority w:val="0"/>
    <w:rPr>
      <w:rFonts w:ascii="Arial" w:hAnsi="Arial" w:eastAsiaTheme="minorEastAsia" w:cstheme="minorBidi"/>
      <w:sz w:val="24"/>
      <w:szCs w:val="22"/>
      <w:lang w:val="en-US" w:eastAsia="en-US" w:bidi="ar-SA"/>
    </w:rPr>
  </w:style>
  <w:style w:type="paragraph" w:styleId="7">
    <w:name w:val="Normal Indent"/>
    <w:basedOn w:val="1"/>
    <w:qFormat/>
    <w:uiPriority w:val="0"/>
    <w:pPr>
      <w:ind w:firstLine="420"/>
    </w:pPr>
    <w:rPr>
      <w:szCs w:val="21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5">
    <w:name w:val="Hyperlink"/>
    <w:qFormat/>
    <w:uiPriority w:val="0"/>
    <w:rPr>
      <w:rFonts w:ascii="Tahoma" w:hAnsi="Tahoma" w:eastAsia="宋体"/>
      <w:color w:val="0000FF"/>
      <w:kern w:val="2"/>
      <w:sz w:val="24"/>
      <w:szCs w:val="24"/>
      <w:u w:val="single"/>
      <w:lang w:val="en-US" w:eastAsia="zh-CN" w:bidi="ar-SA"/>
    </w:rPr>
  </w:style>
  <w:style w:type="paragraph" w:customStyle="1" w:styleId="16">
    <w:name w:val="样式 正文 + 首行缩进:  2 字符"/>
    <w:basedOn w:val="1"/>
    <w:qFormat/>
    <w:uiPriority w:val="0"/>
  </w:style>
  <w:style w:type="paragraph" w:customStyle="1" w:styleId="17">
    <w:name w:val="Heading 1 - Format Only"/>
    <w:basedOn w:val="2"/>
    <w:qFormat/>
    <w:uiPriority w:val="0"/>
    <w:pPr>
      <w:numPr>
        <w:ilvl w:val="0"/>
        <w:numId w:val="0"/>
      </w:numPr>
      <w:outlineLvl w:val="9"/>
    </w:p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样式 标题 1 + 宋体 行距: 1.5 倍行距"/>
    <w:basedOn w:val="2"/>
    <w:autoRedefine/>
    <w:qFormat/>
    <w:uiPriority w:val="0"/>
    <w:pPr>
      <w:spacing w:line="360" w:lineRule="auto"/>
    </w:pPr>
    <w:rPr>
      <w:rFonts w:ascii="宋体" w:hAnsi="宋体" w:cs="宋体"/>
      <w:sz w:val="32"/>
      <w:szCs w:val="20"/>
    </w:rPr>
  </w:style>
  <w:style w:type="paragraph" w:customStyle="1" w:styleId="21">
    <w:name w:val="样式 标题 2 + 宋体 行距: 1.5 倍行距"/>
    <w:basedOn w:val="3"/>
    <w:autoRedefine/>
    <w:qFormat/>
    <w:uiPriority w:val="0"/>
    <w:pPr>
      <w:spacing w:line="360" w:lineRule="auto"/>
    </w:pPr>
    <w:rPr>
      <w:rFonts w:ascii="宋体" w:hAnsi="宋体" w:cs="宋体"/>
      <w:sz w:val="24"/>
      <w:szCs w:val="20"/>
    </w:rPr>
  </w:style>
  <w:style w:type="paragraph" w:customStyle="1" w:styleId="22">
    <w:name w:val="样式 1 + 10 磅"/>
    <w:basedOn w:val="1"/>
    <w:qFormat/>
    <w:uiPriority w:val="0"/>
    <w:pPr>
      <w:spacing w:line="360" w:lineRule="auto"/>
      <w:ind w:firstLine="420"/>
    </w:pPr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numbering" Target="numbering.xml"/><Relationship Id="rId93" Type="http://schemas.openxmlformats.org/officeDocument/2006/relationships/customXml" Target="../customXml/item1.xml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55</Pages>
  <Words>5092</Words>
  <Characters>6026</Characters>
  <Lines>0</Lines>
  <Paragraphs>0</Paragraphs>
  <TotalTime>0</TotalTime>
  <ScaleCrop>false</ScaleCrop>
  <LinksUpToDate>false</LinksUpToDate>
  <CharactersWithSpaces>6261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2017-08-23T02:43:00Z</dcterms:created>
  <dc:creator>JH</dc:creator>
  <cp:lastModifiedBy>雨隹-十二</cp:lastModifiedBy>
  <dcterms:modified xsi:type="dcterms:W3CDTF">2025-11-18T07:45:07Z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A65E424C8B47467A9214CD620E9D0228_13</vt:lpwstr>
  </property>
  <property fmtid="{D5CDD505-2E9C-101B-9397-08002B2CF9AE}" pid="4" name="KSOTemplateDocerSaveRecord">
    <vt:lpwstr>eyJoZGlkIjoiYjkxNjY2YThkNzNjNWE0NDEwZmYyZDk3MjIyZmE5YjAiLCJ1c2VySWQiOiIyNjAzOTgwMDkifQ==</vt:lpwstr>
  </property>
</Properties>
</file>