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CDA1C">
      <w:pPr>
        <w:pStyle w:val="3"/>
        <w:keepNext w:val="0"/>
        <w:keepLines w:val="0"/>
        <w:widowControl/>
        <w:suppressLineNumbers w:val="0"/>
        <w:pBdr>
          <w:top w:val="none" w:color="auto" w:sz="0" w:space="0"/>
          <w:left w:val="none" w:color="auto" w:sz="0" w:space="0"/>
          <w:bottom w:val="single" w:color="333333" w:sz="24" w:space="0"/>
          <w:right w:val="none" w:color="auto" w:sz="0" w:space="0"/>
        </w:pBdr>
        <w:spacing w:before="0" w:beforeAutospacing="0" w:after="0" w:afterAutospacing="0" w:line="40" w:lineRule="atLeast"/>
        <w:ind w:left="0" w:right="0"/>
        <w:rPr>
          <w:rFonts w:hint="eastAsia" w:ascii="华文仿宋" w:hAnsi="华文仿宋" w:eastAsia="华文仿宋" w:cs="华文仿宋"/>
          <w:sz w:val="28"/>
          <w:szCs w:val="28"/>
        </w:rPr>
      </w:pPr>
      <w:r>
        <w:rPr>
          <w:rStyle w:val="7"/>
          <w:rFonts w:hint="eastAsia" w:ascii="华文仿宋" w:hAnsi="华文仿宋" w:eastAsia="华文仿宋" w:cs="华文仿宋"/>
          <w:b/>
          <w:bCs/>
          <w:i w:val="0"/>
          <w:iCs w:val="0"/>
          <w:caps w:val="0"/>
          <w:color w:val="000000"/>
          <w:spacing w:val="0"/>
          <w:sz w:val="28"/>
          <w:szCs w:val="28"/>
          <w:u w:val="none"/>
          <w:bdr w:val="none" w:color="auto" w:sz="0" w:space="0"/>
          <w:shd w:val="clear" w:fill="FFFFFF"/>
        </w:rPr>
        <w:t>网络安全等级保护是什么？</w:t>
      </w:r>
    </w:p>
    <w:p w14:paraId="39BFF8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网络安全等级保护是指对国家安全、法人和其他组织及公民的专有信息以及公开信息和存储、传输、处理这些信息的信息系统分等级实行安全保护，对信息系统中使用的信息安全产品实行按等级管理，对信息系统中发生的信息安全事件分等级响应、处置。</w:t>
      </w:r>
    </w:p>
    <w:p w14:paraId="6973E87D">
      <w:pPr>
        <w:pStyle w:val="3"/>
        <w:keepNext w:val="0"/>
        <w:keepLines w:val="0"/>
        <w:widowControl/>
        <w:suppressLineNumbers w:val="0"/>
        <w:pBdr>
          <w:top w:val="none" w:color="auto" w:sz="0" w:space="0"/>
          <w:left w:val="none" w:color="auto" w:sz="0" w:space="0"/>
          <w:bottom w:val="single" w:color="333333" w:sz="24" w:space="0"/>
          <w:right w:val="none" w:color="auto" w:sz="0" w:space="0"/>
        </w:pBdr>
        <w:spacing w:before="0" w:beforeAutospacing="0" w:after="0" w:afterAutospacing="0" w:line="40" w:lineRule="atLeast"/>
        <w:ind w:left="0" w:right="0"/>
        <w:rPr>
          <w:rFonts w:hint="eastAsia" w:ascii="华文仿宋" w:hAnsi="华文仿宋" w:eastAsia="华文仿宋" w:cs="华文仿宋"/>
          <w:sz w:val="28"/>
          <w:szCs w:val="28"/>
        </w:rPr>
      </w:pPr>
      <w:r>
        <w:rPr>
          <w:rStyle w:val="7"/>
          <w:rFonts w:hint="eastAsia" w:ascii="华文仿宋" w:hAnsi="华文仿宋" w:eastAsia="华文仿宋" w:cs="华文仿宋"/>
          <w:b/>
          <w:bCs/>
          <w:i w:val="0"/>
          <w:iCs w:val="0"/>
          <w:caps w:val="0"/>
          <w:color w:val="000000"/>
          <w:spacing w:val="0"/>
          <w:sz w:val="28"/>
          <w:szCs w:val="28"/>
          <w:u w:val="none"/>
          <w:bdr w:val="none" w:color="auto" w:sz="0" w:space="0"/>
          <w:shd w:val="clear" w:fill="FFFFFF"/>
        </w:rPr>
        <w:t>网络安全等级保护的必要性</w:t>
      </w:r>
    </w:p>
    <w:p w14:paraId="6B7498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1. 满足国家相关法律法规和制度要求</w:t>
      </w:r>
    </w:p>
    <w:p w14:paraId="2E28B4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《网络安全法》第二十一条明确规定国家实行网络安全等级保护制度。</w:t>
      </w:r>
    </w:p>
    <w:p w14:paraId="5F9D9B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2. 满足相关主管单位和行业要求</w:t>
      </w:r>
    </w:p>
    <w:p w14:paraId="25E3A9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网络安全主管单位（公安、网信办、经信委、通管局等）要求各单位开展等级保护工作，金融、电力、广电、医疗、 教育等行业主管单位也明确要求行业客户开展等级保护工作。</w:t>
      </w:r>
    </w:p>
    <w:p w14:paraId="0E3487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3. 落实企事业单位的网络安全保护义务，合理规避或降低风险</w:t>
      </w:r>
    </w:p>
    <w:p w14:paraId="41BC7E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网络安全法等相关法律法规及政策颁布后，单位的信息系统若受到攻击、篡改或信息泄露等，相关责任人将面临问责与处罚。</w:t>
      </w:r>
    </w:p>
    <w:p w14:paraId="273FA2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4. 降低信息安全风险，提高信息系统的安全防护能力</w:t>
      </w:r>
    </w:p>
    <w:p w14:paraId="5F92E1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掌握信息系统的安全状况、排查系统安全隐患和薄弱环节、明确信息系统安全建设整改需求，进一步提升单位信息系统的安全防护能力，降低系统被攻击的风险，维护单位良好的形象；衡量信息系统的安全保护管理措施和技术措施是否符合等级保护基本要求，是否具备了相应的安全保护能力。</w:t>
      </w:r>
    </w:p>
    <w:p w14:paraId="6C4B76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5. 等级测评结果，为公安机关等安全监管部门开展监督、检查、指导等工作提供参照。</w:t>
      </w:r>
    </w:p>
    <w:p w14:paraId="7588D0AA">
      <w:pPr>
        <w:pStyle w:val="3"/>
        <w:keepNext w:val="0"/>
        <w:keepLines w:val="0"/>
        <w:widowControl/>
        <w:suppressLineNumbers w:val="0"/>
        <w:pBdr>
          <w:top w:val="none" w:color="auto" w:sz="0" w:space="0"/>
          <w:left w:val="none" w:color="auto" w:sz="0" w:space="0"/>
          <w:bottom w:val="single" w:color="333333" w:sz="24" w:space="0"/>
          <w:right w:val="none" w:color="auto" w:sz="0" w:space="0"/>
        </w:pBdr>
        <w:spacing w:before="0" w:beforeAutospacing="0" w:after="0" w:afterAutospacing="0" w:line="40" w:lineRule="atLeast"/>
        <w:ind w:left="0" w:right="0"/>
        <w:rPr>
          <w:rFonts w:hint="eastAsia" w:ascii="华文仿宋" w:hAnsi="华文仿宋" w:eastAsia="华文仿宋" w:cs="华文仿宋"/>
          <w:sz w:val="28"/>
          <w:szCs w:val="28"/>
        </w:rPr>
      </w:pPr>
      <w:r>
        <w:rPr>
          <w:rStyle w:val="7"/>
          <w:rFonts w:hint="eastAsia" w:ascii="华文仿宋" w:hAnsi="华文仿宋" w:eastAsia="华文仿宋" w:cs="华文仿宋"/>
          <w:b/>
          <w:bCs/>
          <w:i w:val="0"/>
          <w:iCs w:val="0"/>
          <w:caps w:val="0"/>
          <w:color w:val="000000"/>
          <w:spacing w:val="0"/>
          <w:sz w:val="28"/>
          <w:szCs w:val="28"/>
          <w:u w:val="none"/>
          <w:bdr w:val="none" w:color="auto" w:sz="0" w:space="0"/>
          <w:shd w:val="clear" w:fill="FFFFFF"/>
        </w:rPr>
        <w:t>主要需要开展等级保护工作的单位和企业</w:t>
      </w:r>
    </w:p>
    <w:p w14:paraId="721897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1.涉及国家安全、社会秩序、公共利益等重要信息的单位和企业，如政府机关、金融机构、电信运营商、能源企业等。</w:t>
      </w:r>
    </w:p>
    <w:p w14:paraId="3FFCAB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2.安全风险较高的单位和企业，如大型企业、互联网企业等。</w:t>
      </w:r>
    </w:p>
    <w:p w14:paraId="688CE5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3.处于战略要地、在行业中具有重要影响力的单位和企业，如医院、高校等。</w:t>
      </w:r>
    </w:p>
    <w:p w14:paraId="6FAA63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4.需要保障信息安全的关键信息基础设施运营者，如电力、石油、电信等企业。</w:t>
      </w:r>
    </w:p>
    <w:p w14:paraId="718B35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5.其他有必要开展等级保护工作的单位和企业。</w:t>
      </w:r>
    </w:p>
    <w:p w14:paraId="024EB766">
      <w:pPr>
        <w:pStyle w:val="3"/>
        <w:keepNext w:val="0"/>
        <w:keepLines w:val="0"/>
        <w:widowControl/>
        <w:suppressLineNumbers w:val="0"/>
        <w:pBdr>
          <w:top w:val="none" w:color="auto" w:sz="0" w:space="0"/>
          <w:left w:val="none" w:color="auto" w:sz="0" w:space="0"/>
          <w:bottom w:val="single" w:color="333333" w:sz="24" w:space="0"/>
          <w:right w:val="none" w:color="auto" w:sz="0" w:space="0"/>
        </w:pBdr>
        <w:spacing w:before="0" w:beforeAutospacing="0" w:after="0" w:afterAutospacing="0" w:line="40" w:lineRule="atLeast"/>
        <w:ind w:left="0" w:right="0"/>
        <w:rPr>
          <w:rFonts w:hint="eastAsia" w:ascii="华文仿宋" w:hAnsi="华文仿宋" w:eastAsia="华文仿宋" w:cs="华文仿宋"/>
          <w:sz w:val="28"/>
          <w:szCs w:val="28"/>
        </w:rPr>
      </w:pPr>
      <w:r>
        <w:rPr>
          <w:rStyle w:val="7"/>
          <w:rFonts w:hint="eastAsia" w:ascii="华文仿宋" w:hAnsi="华文仿宋" w:eastAsia="华文仿宋" w:cs="华文仿宋"/>
          <w:b/>
          <w:bCs/>
          <w:i w:val="0"/>
          <w:iCs w:val="0"/>
          <w:caps w:val="0"/>
          <w:color w:val="000000"/>
          <w:spacing w:val="0"/>
          <w:sz w:val="28"/>
          <w:szCs w:val="28"/>
          <w:u w:val="none"/>
          <w:bdr w:val="none" w:color="auto" w:sz="0" w:space="0"/>
          <w:shd w:val="clear" w:fill="FFFFFF"/>
        </w:rPr>
        <w:t>网络安全等级保护基本要求</w:t>
      </w:r>
    </w:p>
    <w:p w14:paraId="785758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b/>
          <w:bCs/>
          <w:i w:val="0"/>
          <w:iCs w:val="0"/>
          <w:caps w:val="0"/>
          <w:color w:val="333333"/>
          <w:spacing w:val="0"/>
          <w:sz w:val="28"/>
          <w:szCs w:val="28"/>
          <w:u w:val="none"/>
          <w:bdr w:val="none" w:color="auto" w:sz="0" w:space="0"/>
          <w:shd w:val="clear" w:fill="FFFFFF"/>
        </w:rPr>
        <w:drawing>
          <wp:inline distT="0" distB="0" distL="114300" distR="114300">
            <wp:extent cx="5639435" cy="2093595"/>
            <wp:effectExtent l="0" t="0" r="24765" b="1460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4"/>
                    <a:stretch>
                      <a:fillRect/>
                    </a:stretch>
                  </pic:blipFill>
                  <pic:spPr>
                    <a:xfrm>
                      <a:off x="0" y="0"/>
                      <a:ext cx="5639435" cy="2093595"/>
                    </a:xfrm>
                    <a:prstGeom prst="rect">
                      <a:avLst/>
                    </a:prstGeom>
                    <a:noFill/>
                    <a:ln w="9525">
                      <a:noFill/>
                    </a:ln>
                  </pic:spPr>
                </pic:pic>
              </a:graphicData>
            </a:graphic>
          </wp:inline>
        </w:drawing>
      </w:r>
    </w:p>
    <w:p w14:paraId="449F7EB2">
      <w:pPr>
        <w:pStyle w:val="3"/>
        <w:keepNext w:val="0"/>
        <w:keepLines w:val="0"/>
        <w:widowControl/>
        <w:suppressLineNumbers w:val="0"/>
        <w:pBdr>
          <w:top w:val="none" w:color="auto" w:sz="0" w:space="0"/>
          <w:left w:val="none" w:color="auto" w:sz="0" w:space="0"/>
          <w:bottom w:val="single" w:color="333333" w:sz="24" w:space="0"/>
          <w:right w:val="none" w:color="auto" w:sz="0" w:space="0"/>
        </w:pBdr>
        <w:spacing w:before="0" w:beforeAutospacing="0" w:after="0" w:afterAutospacing="0" w:line="40" w:lineRule="atLeast"/>
        <w:ind w:left="0" w:right="0"/>
        <w:rPr>
          <w:rFonts w:hint="eastAsia" w:ascii="华文仿宋" w:hAnsi="华文仿宋" w:eastAsia="华文仿宋" w:cs="华文仿宋"/>
          <w:sz w:val="28"/>
          <w:szCs w:val="28"/>
        </w:rPr>
      </w:pPr>
      <w:r>
        <w:rPr>
          <w:rStyle w:val="7"/>
          <w:rFonts w:hint="eastAsia" w:ascii="华文仿宋" w:hAnsi="华文仿宋" w:eastAsia="华文仿宋" w:cs="华文仿宋"/>
          <w:b/>
          <w:bCs/>
          <w:i w:val="0"/>
          <w:iCs w:val="0"/>
          <w:caps w:val="0"/>
          <w:color w:val="000000"/>
          <w:spacing w:val="0"/>
          <w:sz w:val="28"/>
          <w:szCs w:val="28"/>
          <w:u w:val="none"/>
          <w:bdr w:val="none" w:color="auto" w:sz="0" w:space="0"/>
          <w:shd w:val="clear" w:fill="FFFFFF"/>
        </w:rPr>
        <w:t>等保流程</w:t>
      </w:r>
    </w:p>
    <w:p w14:paraId="0F8319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      根据《信息安全等级保护管理办法》规定，等级保护工作主要分为五个环节：定级、备案、安全建设整改、等级测评、监督检查。</w:t>
      </w:r>
    </w:p>
    <w:p w14:paraId="08BCF5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lang w:eastAsia="zh-CN"/>
        </w:rPr>
      </w:pPr>
      <w:r>
        <w:rPr>
          <w:rFonts w:hint="eastAsia" w:ascii="华文仿宋" w:hAnsi="华文仿宋" w:eastAsia="华文仿宋" w:cs="华文仿宋"/>
          <w:color w:val="333333"/>
          <w:sz w:val="28"/>
          <w:szCs w:val="28"/>
          <w:lang w:eastAsia="zh-CN"/>
        </w:rPr>
        <w:drawing>
          <wp:inline distT="0" distB="0" distL="114300" distR="114300">
            <wp:extent cx="5268595" cy="3158490"/>
            <wp:effectExtent l="0" t="0" r="14605" b="16510"/>
            <wp:docPr id="8" name="图片 8" descr="等保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等保流程"/>
                    <pic:cNvPicPr>
                      <a:picLocks noChangeAspect="1"/>
                    </pic:cNvPicPr>
                  </pic:nvPicPr>
                  <pic:blipFill>
                    <a:blip r:embed="rId5"/>
                    <a:stretch>
                      <a:fillRect/>
                    </a:stretch>
                  </pic:blipFill>
                  <pic:spPr>
                    <a:xfrm>
                      <a:off x="0" y="0"/>
                      <a:ext cx="5268595" cy="3158490"/>
                    </a:xfrm>
                    <a:prstGeom prst="rect">
                      <a:avLst/>
                    </a:prstGeom>
                  </pic:spPr>
                </pic:pic>
              </a:graphicData>
            </a:graphic>
          </wp:inline>
        </w:drawing>
      </w:r>
    </w:p>
    <w:p w14:paraId="2E0043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1. 定级：</w:t>
      </w: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网络运营者根据《信息安全技术 网络安全等级保护定级指南》（GB/T 22240-2020）拟定网络的安全等级，组织召开专家评审会，对初步定级结果的合理性进行审批，出具专家评审意见，将初步定级结果上报行业主管部门进行审核。</w:t>
      </w:r>
    </w:p>
    <w:p w14:paraId="5C855B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根据等级保护对象的受侵害客体和对客体侵害程度，可分为五个安全保护等级:第一级自主保护、第二级指导保护、第三级监督保护、第四级强制保护、第五级专控保护。目前等级保护工作以二级等保和三级等保居多。</w:t>
      </w:r>
    </w:p>
    <w:p w14:paraId="58FD79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2. 备案：</w:t>
      </w: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网络运营者根据网监要求将网络定级材料向公安机关备案，公安机关对定级准确、符合要求的网络发放备案证明。</w:t>
      </w:r>
    </w:p>
    <w:p w14:paraId="41141A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3. 安全建设整改：</w:t>
      </w: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信息系统安全保护等级确定后，网络运营者根据网络安全保护等级，按照国家标准开展安全建设整改。</w:t>
      </w:r>
    </w:p>
    <w:p w14:paraId="7B5C6C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4. 等级测评：</w:t>
      </w: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信息系统建设完成后，网络运营者选择符合规定条件的测评机构，对信息系统开展等级测评，查找发现问题隐患。</w:t>
      </w:r>
    </w:p>
    <w:p w14:paraId="154E6D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5. 监督检查：</w:t>
      </w: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公安机关每年对网络运营者开展网络安全等级保护工作情况和网络的安全状况实施执法检查。</w:t>
      </w:r>
    </w:p>
    <w:p w14:paraId="486AEEF6">
      <w:pPr>
        <w:pStyle w:val="3"/>
        <w:keepNext w:val="0"/>
        <w:keepLines w:val="0"/>
        <w:widowControl/>
        <w:suppressLineNumbers w:val="0"/>
        <w:pBdr>
          <w:top w:val="none" w:color="auto" w:sz="0" w:space="0"/>
          <w:left w:val="none" w:color="auto" w:sz="0" w:space="0"/>
          <w:bottom w:val="single" w:color="333333" w:sz="24" w:space="0"/>
          <w:right w:val="none" w:color="auto" w:sz="0" w:space="0"/>
        </w:pBdr>
        <w:spacing w:before="0" w:beforeAutospacing="0" w:after="0" w:afterAutospacing="0" w:line="40" w:lineRule="atLeast"/>
        <w:ind w:left="0" w:right="0"/>
        <w:rPr>
          <w:rFonts w:hint="eastAsia" w:ascii="华文仿宋" w:hAnsi="华文仿宋" w:eastAsia="华文仿宋" w:cs="华文仿宋"/>
          <w:sz w:val="28"/>
          <w:szCs w:val="28"/>
        </w:rPr>
      </w:pPr>
      <w:r>
        <w:rPr>
          <w:rStyle w:val="7"/>
          <w:rFonts w:hint="eastAsia" w:ascii="华文仿宋" w:hAnsi="华文仿宋" w:eastAsia="华文仿宋" w:cs="华文仿宋"/>
          <w:b/>
          <w:bCs/>
          <w:i w:val="0"/>
          <w:iCs w:val="0"/>
          <w:caps w:val="0"/>
          <w:color w:val="000000"/>
          <w:spacing w:val="0"/>
          <w:sz w:val="28"/>
          <w:szCs w:val="28"/>
          <w:u w:val="none"/>
          <w:bdr w:val="none" w:color="auto" w:sz="0" w:space="0"/>
          <w:shd w:val="clear" w:fill="FFFFFF"/>
        </w:rPr>
        <w:t>等保测评工作流程</w:t>
      </w:r>
    </w:p>
    <w:p w14:paraId="29C7AF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lang w:eastAsia="zh-CN"/>
        </w:rPr>
      </w:pPr>
      <w:r>
        <w:rPr>
          <w:rFonts w:hint="eastAsia" w:ascii="华文仿宋" w:hAnsi="华文仿宋" w:eastAsia="华文仿宋" w:cs="华文仿宋"/>
          <w:color w:val="333333"/>
          <w:sz w:val="28"/>
          <w:szCs w:val="28"/>
          <w:lang w:eastAsia="zh-CN"/>
        </w:rPr>
        <w:drawing>
          <wp:inline distT="0" distB="0" distL="114300" distR="114300">
            <wp:extent cx="5273675" cy="6393180"/>
            <wp:effectExtent l="0" t="0" r="9525" b="7620"/>
            <wp:docPr id="9" name="图片 9" descr="等保测评工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等保测评工作流程"/>
                    <pic:cNvPicPr>
                      <a:picLocks noChangeAspect="1"/>
                    </pic:cNvPicPr>
                  </pic:nvPicPr>
                  <pic:blipFill>
                    <a:blip r:embed="rId6"/>
                    <a:stretch>
                      <a:fillRect/>
                    </a:stretch>
                  </pic:blipFill>
                  <pic:spPr>
                    <a:xfrm>
                      <a:off x="0" y="0"/>
                      <a:ext cx="5273675" cy="6393180"/>
                    </a:xfrm>
                    <a:prstGeom prst="rect">
                      <a:avLst/>
                    </a:prstGeom>
                  </pic:spPr>
                </pic:pic>
              </a:graphicData>
            </a:graphic>
          </wp:inline>
        </w:drawing>
      </w:r>
    </w:p>
    <w:p w14:paraId="4988786D">
      <w:pPr>
        <w:pStyle w:val="3"/>
        <w:keepNext w:val="0"/>
        <w:keepLines w:val="0"/>
        <w:widowControl/>
        <w:suppressLineNumbers w:val="0"/>
        <w:pBdr>
          <w:top w:val="none" w:color="auto" w:sz="0" w:space="0"/>
          <w:left w:val="none" w:color="auto" w:sz="0" w:space="0"/>
          <w:bottom w:val="single" w:color="333333" w:sz="24" w:space="0"/>
          <w:right w:val="none" w:color="auto" w:sz="0" w:space="0"/>
        </w:pBdr>
        <w:spacing w:before="0" w:beforeAutospacing="0" w:after="0" w:afterAutospacing="0" w:line="40" w:lineRule="atLeast"/>
        <w:ind w:left="0" w:right="0"/>
        <w:rPr>
          <w:rFonts w:hint="eastAsia" w:ascii="华文仿宋" w:hAnsi="华文仿宋" w:eastAsia="华文仿宋" w:cs="华文仿宋"/>
          <w:sz w:val="28"/>
          <w:szCs w:val="28"/>
        </w:rPr>
      </w:pPr>
      <w:r>
        <w:rPr>
          <w:rStyle w:val="7"/>
          <w:rFonts w:hint="eastAsia" w:ascii="华文仿宋" w:hAnsi="华文仿宋" w:eastAsia="华文仿宋" w:cs="华文仿宋"/>
          <w:b/>
          <w:bCs/>
          <w:i w:val="0"/>
          <w:iCs w:val="0"/>
          <w:caps w:val="0"/>
          <w:color w:val="000000"/>
          <w:spacing w:val="0"/>
          <w:sz w:val="28"/>
          <w:szCs w:val="28"/>
          <w:u w:val="none"/>
          <w:bdr w:val="none" w:color="auto" w:sz="0" w:space="0"/>
          <w:shd w:val="clear" w:fill="FFFFFF"/>
        </w:rPr>
        <w:t>服务优势</w:t>
      </w:r>
    </w:p>
    <w:p w14:paraId="3BFD1A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1. 市场优势：</w:t>
      </w: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专注网络安全服务行业10余年，服务客户1000+家，在管项目超过2000个，政企、事业单位、医疗、电力、金融、教育等行业全覆盖。</w:t>
      </w:r>
    </w:p>
    <w:p w14:paraId="631645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2. 项目优势：</w:t>
      </w: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具有体量大、多类型、多行业项目服务案例，并以“严谨、专注、高效、卓越”的服务获得了客户的100%好评。</w:t>
      </w:r>
    </w:p>
    <w:p w14:paraId="7A676C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3. 专业优势：</w:t>
      </w: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拥有完善的质量管理体系，领先的网络安全渗透技术，先进的网络安全测试工具。</w:t>
      </w:r>
    </w:p>
    <w:p w14:paraId="49395F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color w:val="333333"/>
          <w:sz w:val="28"/>
          <w:szCs w:val="28"/>
        </w:rPr>
      </w:pPr>
      <w:r>
        <w:rPr>
          <w:rStyle w:val="7"/>
          <w:rFonts w:hint="eastAsia" w:ascii="华文仿宋" w:hAnsi="华文仿宋" w:eastAsia="华文仿宋" w:cs="华文仿宋"/>
          <w:b/>
          <w:bCs/>
          <w:i w:val="0"/>
          <w:iCs w:val="0"/>
          <w:caps w:val="0"/>
          <w:color w:val="333333"/>
          <w:spacing w:val="0"/>
          <w:sz w:val="28"/>
          <w:szCs w:val="28"/>
          <w:u w:val="none"/>
          <w:bdr w:val="none" w:color="auto" w:sz="0" w:space="0"/>
          <w:shd w:val="clear" w:fill="FFFFFF"/>
        </w:rPr>
        <w:t>4. 团队优势：</w:t>
      </w: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t>拥有100余名网络安全技术人员，并组建了专业的技术研发团队和市场开发团队，深耕技术和市场开拓。</w:t>
      </w:r>
    </w:p>
    <w:p w14:paraId="1BA238E9">
      <w:pPr>
        <w:pStyle w:val="3"/>
        <w:keepNext w:val="0"/>
        <w:keepLines w:val="0"/>
        <w:widowControl/>
        <w:suppressLineNumbers w:val="0"/>
        <w:pBdr>
          <w:top w:val="none" w:color="auto" w:sz="0" w:space="0"/>
          <w:left w:val="none" w:color="auto" w:sz="0" w:space="0"/>
          <w:bottom w:val="single" w:color="333333" w:sz="24" w:space="0"/>
          <w:right w:val="none" w:color="auto" w:sz="0" w:space="0"/>
        </w:pBdr>
        <w:spacing w:before="0" w:beforeAutospacing="0" w:after="0" w:afterAutospacing="0" w:line="40" w:lineRule="atLeast"/>
        <w:ind w:left="0" w:right="0"/>
        <w:rPr>
          <w:rFonts w:hint="eastAsia" w:ascii="华文仿宋" w:hAnsi="华文仿宋" w:eastAsia="华文仿宋" w:cs="华文仿宋"/>
          <w:sz w:val="28"/>
          <w:szCs w:val="28"/>
        </w:rPr>
      </w:pPr>
      <w:r>
        <w:rPr>
          <w:rStyle w:val="7"/>
          <w:rFonts w:hint="eastAsia" w:ascii="华文仿宋" w:hAnsi="华文仿宋" w:eastAsia="华文仿宋" w:cs="华文仿宋"/>
          <w:b/>
          <w:bCs/>
          <w:i w:val="0"/>
          <w:iCs w:val="0"/>
          <w:caps w:val="0"/>
          <w:color w:val="000000"/>
          <w:spacing w:val="0"/>
          <w:sz w:val="28"/>
          <w:szCs w:val="28"/>
          <w:u w:val="none"/>
          <w:bdr w:val="none" w:color="auto" w:sz="0" w:space="0"/>
          <w:shd w:val="clear" w:fill="FFFFFF"/>
        </w:rPr>
        <w:t>服务流程</w:t>
      </w:r>
    </w:p>
    <w:p w14:paraId="1B078C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rPr>
          <w:rFonts w:hint="eastAsia" w:ascii="华文仿宋" w:hAnsi="华文仿宋" w:eastAsia="华文仿宋" w:cs="华文仿宋"/>
          <w:sz w:val="28"/>
          <w:szCs w:val="28"/>
        </w:rPr>
      </w:pPr>
      <w:r>
        <w:rPr>
          <w:rFonts w:hint="eastAsia" w:ascii="华文仿宋" w:hAnsi="华文仿宋" w:eastAsia="华文仿宋" w:cs="华文仿宋"/>
          <w:i w:val="0"/>
          <w:iCs w:val="0"/>
          <w:caps w:val="0"/>
          <w:color w:val="333333"/>
          <w:spacing w:val="0"/>
          <w:sz w:val="28"/>
          <w:szCs w:val="28"/>
          <w:u w:val="none"/>
          <w:bdr w:val="none" w:color="auto" w:sz="0" w:space="0"/>
          <w:shd w:val="clear" w:fill="FFFFFF"/>
        </w:rPr>
        <w:drawing>
          <wp:inline distT="0" distB="0" distL="114300" distR="114300">
            <wp:extent cx="5266690" cy="482600"/>
            <wp:effectExtent l="0" t="0" r="16510" b="0"/>
            <wp:docPr id="10" name="图片 10" descr="服务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服务流程"/>
                    <pic:cNvPicPr>
                      <a:picLocks noChangeAspect="1"/>
                    </pic:cNvPicPr>
                  </pic:nvPicPr>
                  <pic:blipFill>
                    <a:blip r:embed="rId7"/>
                    <a:stretch>
                      <a:fillRect/>
                    </a:stretch>
                  </pic:blipFill>
                  <pic:spPr>
                    <a:xfrm>
                      <a:off x="0" y="0"/>
                      <a:ext cx="5266690" cy="482600"/>
                    </a:xfrm>
                    <a:prstGeom prst="rect">
                      <a:avLst/>
                    </a:prstGeom>
                  </pic:spPr>
                </pic:pic>
              </a:graphicData>
            </a:graphic>
          </wp:inline>
        </w:drawing>
      </w:r>
      <w:bookmarkStart w:id="0" w:name="_GoBack"/>
      <w:bookmarkEnd w:id="0"/>
      <w:r>
        <w:rPr>
          <w:rFonts w:hint="eastAsia" w:ascii="华文仿宋" w:hAnsi="华文仿宋" w:eastAsia="华文仿宋" w:cs="华文仿宋"/>
          <w:i w:val="0"/>
          <w:iCs w:val="0"/>
          <w:caps w:val="0"/>
          <w:color w:val="333333"/>
          <w:spacing w:val="0"/>
          <w:sz w:val="28"/>
          <w:szCs w:val="28"/>
          <w:u w:val="none"/>
          <w:bdr w:val="none" w:color="auto" w:sz="0" w:space="0"/>
          <w:shd w:val="clear" w:fill="FFFFFF"/>
        </w:rPr>
        <w:drawing>
          <wp:inline distT="0" distB="0" distL="114300" distR="114300">
            <wp:extent cx="7620000" cy="6953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7620000" cy="69532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F68FB"/>
    <w:rsid w:val="53FF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NUL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2025-03-12T20:02:00Z</dcterms:created>
  <dc:creator>YinBing</dc:creator>
  <cp:lastModifiedBy>YinBing</cp:lastModifiedBy>
  <dcterms:modified xsi:type="dcterms:W3CDTF">2025-03-12T20:06:11Z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BAAA9627B20FFF09E777D167B51B1258_41</vt:lpwstr>
  </property>
</Properties>
</file>