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56B8CA">
      <w:pPr>
        <w:ind w:firstLine="0" w:firstLineChars="0"/>
        <w:jc w:val="center"/>
        <w:rPr>
          <w:rFonts w:ascii="黑体" w:hAnsi="黑体" w:eastAsia="黑体"/>
          <w:sz w:val="84"/>
          <w:szCs w:val="84"/>
        </w:rPr>
      </w:pPr>
    </w:p>
    <w:p w14:paraId="76997FDB">
      <w:pPr>
        <w:ind w:firstLine="0" w:firstLineChars="0"/>
        <w:jc w:val="center"/>
        <w:rPr>
          <w:rFonts w:ascii="黑体" w:hAnsi="黑体" w:eastAsia="黑体"/>
          <w:sz w:val="52"/>
          <w:szCs w:val="52"/>
        </w:rPr>
      </w:pPr>
      <w:r>
        <w:rPr>
          <w:rFonts w:hint="eastAsia" w:ascii="黑体" w:hAnsi="黑体" w:eastAsia="黑体"/>
          <w:sz w:val="52"/>
          <w:szCs w:val="52"/>
        </w:rPr>
        <w:t>数字供销一体化服务平台</w:t>
      </w:r>
    </w:p>
    <w:p w14:paraId="48A77A41">
      <w:pPr>
        <w:ind w:firstLine="0" w:firstLineChars="0"/>
        <w:jc w:val="center"/>
        <w:rPr>
          <w:rFonts w:ascii="黑体" w:hAnsi="黑体" w:eastAsia="黑体"/>
          <w:sz w:val="84"/>
          <w:szCs w:val="84"/>
        </w:rPr>
      </w:pPr>
    </w:p>
    <w:p w14:paraId="4E56DC9F">
      <w:pPr>
        <w:ind w:firstLine="0" w:firstLineChars="0"/>
        <w:jc w:val="center"/>
        <w:rPr>
          <w:rFonts w:ascii="黑体" w:hAnsi="黑体" w:eastAsia="黑体"/>
          <w:sz w:val="84"/>
          <w:szCs w:val="84"/>
        </w:rPr>
      </w:pPr>
    </w:p>
    <w:p w14:paraId="721EAF91">
      <w:pPr>
        <w:ind w:firstLine="0" w:firstLineChars="0"/>
        <w:jc w:val="center"/>
        <w:rPr>
          <w:rFonts w:ascii="黑体" w:hAnsi="黑体" w:eastAsia="黑体"/>
          <w:sz w:val="84"/>
          <w:szCs w:val="84"/>
        </w:rPr>
      </w:pPr>
    </w:p>
    <w:p w14:paraId="0903E3E6">
      <w:pPr>
        <w:ind w:firstLine="0" w:firstLineChars="0"/>
        <w:jc w:val="center"/>
        <w:rPr>
          <w:rFonts w:ascii="黑体" w:hAnsi="黑体" w:eastAsia="黑体"/>
          <w:sz w:val="84"/>
          <w:szCs w:val="84"/>
        </w:rPr>
      </w:pPr>
    </w:p>
    <w:p w14:paraId="0684F17E">
      <w:pPr>
        <w:ind w:firstLine="0" w:firstLineChars="0"/>
        <w:jc w:val="center"/>
        <w:rPr>
          <w:rFonts w:ascii="黑体" w:hAnsi="黑体" w:eastAsia="黑体"/>
          <w:sz w:val="84"/>
          <w:szCs w:val="84"/>
        </w:rPr>
      </w:pPr>
    </w:p>
    <w:p w14:paraId="0D366846">
      <w:pPr>
        <w:ind w:firstLine="0" w:firstLineChars="0"/>
        <w:jc w:val="center"/>
        <w:rPr>
          <w:rFonts w:ascii="黑体" w:hAnsi="黑体" w:eastAsia="黑体"/>
          <w:sz w:val="84"/>
          <w:szCs w:val="84"/>
        </w:rPr>
      </w:pPr>
    </w:p>
    <w:p w14:paraId="6B8279F5">
      <w:pPr>
        <w:ind w:firstLine="0" w:firstLineChars="0"/>
        <w:jc w:val="center"/>
        <w:rPr>
          <w:rFonts w:ascii="黑体" w:hAnsi="黑体" w:eastAsia="黑体"/>
          <w:szCs w:val="28"/>
        </w:rPr>
      </w:pPr>
      <w:r>
        <w:rPr>
          <w:rFonts w:hint="eastAsia" w:ascii="黑体" w:hAnsi="黑体" w:eastAsia="黑体"/>
          <w:szCs w:val="28"/>
        </w:rPr>
        <w:t>上海左岸芯慧电子科技有限公司</w:t>
      </w:r>
    </w:p>
    <w:p w14:paraId="196DE335">
      <w:pPr>
        <w:ind w:firstLine="0" w:firstLineChars="0"/>
        <w:jc w:val="center"/>
        <w:rPr>
          <w:rFonts w:ascii="黑体" w:hAnsi="黑体" w:eastAsia="黑体"/>
          <w:szCs w:val="28"/>
        </w:rPr>
      </w:pPr>
      <w:r>
        <w:rPr>
          <w:rFonts w:hint="eastAsia" w:ascii="黑体" w:hAnsi="黑体" w:eastAsia="黑体"/>
          <w:szCs w:val="28"/>
        </w:rPr>
        <w:t>202</w:t>
      </w:r>
      <w:r>
        <w:rPr>
          <w:rFonts w:hint="eastAsia" w:ascii="黑体" w:hAnsi="黑体" w:eastAsia="黑体"/>
          <w:szCs w:val="28"/>
          <w:lang w:val="en-US" w:eastAsia="zh-CN"/>
        </w:rPr>
        <w:t>4</w:t>
      </w:r>
      <w:r>
        <w:rPr>
          <w:rFonts w:hint="eastAsia" w:ascii="黑体" w:hAnsi="黑体" w:eastAsia="黑体"/>
          <w:szCs w:val="28"/>
        </w:rPr>
        <w:t>年</w:t>
      </w:r>
      <w:r>
        <w:rPr>
          <w:rFonts w:hint="eastAsia" w:ascii="黑体" w:hAnsi="黑体" w:eastAsia="黑体"/>
          <w:szCs w:val="28"/>
          <w:lang w:val="en-US" w:eastAsia="zh-CN"/>
        </w:rPr>
        <w:t>11</w:t>
      </w:r>
      <w:r>
        <w:rPr>
          <w:rFonts w:hint="eastAsia" w:ascii="黑体" w:hAnsi="黑体" w:eastAsia="黑体"/>
          <w:szCs w:val="28"/>
        </w:rPr>
        <w:t>月</w:t>
      </w:r>
    </w:p>
    <w:p w14:paraId="70792058">
      <w:pPr>
        <w:ind w:left="0" w:leftChars="0" w:firstLine="0" w:firstLineChars="0"/>
      </w:pPr>
    </w:p>
    <w:p w14:paraId="4608D753">
      <w:pPr>
        <w:pStyle w:val="2"/>
        <w:numPr>
          <w:ilvl w:val="0"/>
          <w:numId w:val="1"/>
        </w:numPr>
        <w:bidi w:val="0"/>
        <w:ind w:left="425" w:leftChars="0" w:hanging="425" w:firstLineChars="0"/>
        <w:jc w:val="left"/>
        <w:rPr>
          <w:rFonts w:hint="eastAsia"/>
        </w:rPr>
      </w:pPr>
      <w:r>
        <w:rPr>
          <w:rFonts w:hint="eastAsia"/>
        </w:rPr>
        <w:t>概述</w:t>
      </w:r>
    </w:p>
    <w:p w14:paraId="3DD53A55">
      <w:pPr>
        <w:rPr>
          <w:rFonts w:hint="eastAsia"/>
        </w:rPr>
      </w:pPr>
      <w:r>
        <w:rPr>
          <w:rFonts w:hint="eastAsia"/>
        </w:rPr>
        <w:t>立足现有信息化基础，整合现有信息化资源，深化信息资源开发利用与共享</w:t>
      </w:r>
      <w:r>
        <w:rPr>
          <w:rFonts w:hint="eastAsia"/>
          <w:lang w:eastAsia="zh-CN"/>
        </w:rPr>
        <w:t>，</w:t>
      </w:r>
      <w:bookmarkStart w:id="0" w:name="_GoBack"/>
      <w:bookmarkEnd w:id="0"/>
      <w:r>
        <w:rPr>
          <w:rFonts w:hint="eastAsia"/>
        </w:rPr>
        <w:t>强化信息技术与产业发展的深度融合，利用农业物联网、云计算、人工智能与5G的农业大数据技术，建立区域农业大数据平台，汇集各方涉农数据资源，为政府管理、指导、服务提供强有力的数据支撑。通过实施“农业生产智能化、产品经营网络化、行业管理数据化和惠农服务在线化”四大行动，建立健全农业农村基础数据资源体系，农业生产经营数字化转型取得明显进展，管理服务数字化水平明显提升。</w:t>
      </w:r>
    </w:p>
    <w:p w14:paraId="03597FEB">
      <w:pPr>
        <w:pStyle w:val="2"/>
        <w:numPr>
          <w:ilvl w:val="0"/>
          <w:numId w:val="1"/>
        </w:numPr>
        <w:bidi w:val="0"/>
        <w:ind w:left="425" w:leftChars="0" w:hanging="425" w:firstLineChars="0"/>
        <w:jc w:val="left"/>
        <w:rPr>
          <w:rFonts w:hint="eastAsia"/>
        </w:rPr>
      </w:pPr>
      <w:r>
        <w:rPr>
          <w:rFonts w:hint="eastAsia"/>
        </w:rPr>
        <w:t>软硬件环境</w:t>
      </w:r>
    </w:p>
    <w:p w14:paraId="4E9D5AE4">
      <w:pPr>
        <w:rPr>
          <w:rFonts w:hint="eastAsia"/>
        </w:rPr>
      </w:pPr>
      <w:r>
        <w:rPr>
          <w:rFonts w:hint="eastAsia"/>
        </w:rPr>
        <w:t>1.应用服务器</w:t>
      </w:r>
    </w:p>
    <w:p w14:paraId="454A3573">
      <w:pPr>
        <w:rPr>
          <w:rFonts w:hint="eastAsia"/>
        </w:rPr>
      </w:pPr>
      <w:r>
        <w:rPr>
          <w:rFonts w:hint="eastAsia"/>
        </w:rPr>
        <w:t>CentOS8.7操作系统，2核CPU，4GB内存，公网带宽10M以上</w:t>
      </w:r>
    </w:p>
    <w:p w14:paraId="5235B580">
      <w:pPr>
        <w:rPr>
          <w:rFonts w:hint="eastAsia"/>
        </w:rPr>
      </w:pPr>
      <w:r>
        <w:rPr>
          <w:rFonts w:hint="eastAsia"/>
        </w:rPr>
        <w:t>2.redis缓存服务器</w:t>
      </w:r>
    </w:p>
    <w:p w14:paraId="0D90A2A9">
      <w:pPr>
        <w:rPr>
          <w:rFonts w:hint="eastAsia"/>
        </w:rPr>
      </w:pPr>
      <w:r>
        <w:rPr>
          <w:rFonts w:hint="eastAsia"/>
        </w:rPr>
        <w:t>CentOS8.7操作系统，2核CPU，8GB内存，硬盘400G，内网即可</w:t>
      </w:r>
    </w:p>
    <w:p w14:paraId="10C49342">
      <w:pPr>
        <w:rPr>
          <w:rFonts w:hint="eastAsia"/>
        </w:rPr>
      </w:pPr>
      <w:r>
        <w:rPr>
          <w:rFonts w:hint="eastAsia"/>
        </w:rPr>
        <w:t>3.mysql数据库服务器</w:t>
      </w:r>
    </w:p>
    <w:p w14:paraId="70478BE5">
      <w:pPr>
        <w:rPr>
          <w:rFonts w:hint="eastAsia"/>
        </w:rPr>
      </w:pPr>
      <w:r>
        <w:rPr>
          <w:rFonts w:hint="eastAsia"/>
        </w:rPr>
        <w:t>阿里云数据库服务</w:t>
      </w:r>
    </w:p>
    <w:p w14:paraId="7E7F600A">
      <w:pPr>
        <w:rPr>
          <w:rFonts w:hint="eastAsia"/>
        </w:rPr>
      </w:pPr>
      <w:r>
        <w:rPr>
          <w:rFonts w:hint="eastAsia"/>
        </w:rPr>
        <w:t>4.浏览器</w:t>
      </w:r>
    </w:p>
    <w:p w14:paraId="1CE1B4D0">
      <w:pPr>
        <w:rPr>
          <w:rFonts w:hint="eastAsia"/>
        </w:rPr>
      </w:pPr>
      <w:r>
        <w:rPr>
          <w:rFonts w:hint="eastAsia"/>
        </w:rPr>
        <w:t>电脑和手机上的主流浏览器</w:t>
      </w:r>
    </w:p>
    <w:p w14:paraId="743ADDC9">
      <w:pPr>
        <w:rPr>
          <w:rFonts w:hint="eastAsia"/>
        </w:rPr>
      </w:pPr>
      <w:r>
        <w:rPr>
          <w:rFonts w:hint="eastAsia"/>
        </w:rPr>
        <w:t>5.软件环境</w:t>
      </w:r>
    </w:p>
    <w:p w14:paraId="2C677696">
      <w:pPr>
        <w:rPr>
          <w:rFonts w:hint="eastAsia"/>
        </w:rPr>
      </w:pPr>
      <w:r>
        <w:rPr>
          <w:rFonts w:hint="eastAsia"/>
        </w:rPr>
        <w:t>WindowsXP/Windows7/Windows8/Windows10</w:t>
      </w:r>
    </w:p>
    <w:p w14:paraId="4CB7AE36">
      <w:pPr>
        <w:rPr>
          <w:rFonts w:hint="eastAsia"/>
        </w:rPr>
      </w:pPr>
      <w:r>
        <w:rPr>
          <w:rFonts w:hint="eastAsia"/>
        </w:rPr>
        <w:t>6.编程语言</w:t>
      </w:r>
    </w:p>
    <w:p w14:paraId="43330735">
      <w:pPr>
        <w:rPr>
          <w:rFonts w:hint="eastAsia"/>
        </w:rPr>
      </w:pPr>
      <w:r>
        <w:rPr>
          <w:rFonts w:hint="eastAsia"/>
        </w:rPr>
        <w:t>1</w:t>
      </w:r>
    </w:p>
    <w:p w14:paraId="38D85E20">
      <w:pPr>
        <w:rPr>
          <w:rFonts w:hint="eastAsia"/>
        </w:rPr>
      </w:pPr>
      <w:r>
        <w:rPr>
          <w:rFonts w:hint="eastAsia"/>
        </w:rPr>
        <w:t>前端：HTML服务端：JAVA</w:t>
      </w:r>
    </w:p>
    <w:p w14:paraId="1EB1EE99">
      <w:pPr>
        <w:pStyle w:val="2"/>
        <w:numPr>
          <w:ilvl w:val="0"/>
          <w:numId w:val="1"/>
        </w:numPr>
        <w:bidi w:val="0"/>
        <w:ind w:left="425" w:leftChars="0" w:hanging="425" w:firstLineChars="0"/>
        <w:jc w:val="left"/>
        <w:rPr>
          <w:rFonts w:hint="eastAsia"/>
          <w:b/>
        </w:rPr>
      </w:pPr>
      <w:r>
        <w:rPr>
          <w:rFonts w:hint="eastAsia"/>
          <w:b/>
        </w:rPr>
        <w:t>使用说明</w:t>
      </w:r>
    </w:p>
    <w:p w14:paraId="41B6A494">
      <w:pPr>
        <w:pStyle w:val="3"/>
        <w:numPr>
          <w:ilvl w:val="1"/>
          <w:numId w:val="1"/>
        </w:numPr>
        <w:bidi w:val="0"/>
        <w:rPr>
          <w:rFonts w:hint="eastAsia"/>
          <w:lang w:val="en-US" w:eastAsia="zh-CN"/>
        </w:rPr>
      </w:pPr>
      <w:r>
        <w:rPr>
          <w:rFonts w:hint="eastAsia"/>
          <w:lang w:val="en-US" w:eastAsia="zh-CN"/>
        </w:rPr>
        <w:t>登录</w:t>
      </w:r>
    </w:p>
    <w:p w14:paraId="09F3290F">
      <w:pPr>
        <w:rPr>
          <w:rFonts w:hint="eastAsia"/>
        </w:rPr>
      </w:pPr>
      <w:r>
        <w:drawing>
          <wp:inline distT="0" distB="0" distL="114300" distR="114300">
            <wp:extent cx="5267960" cy="2696845"/>
            <wp:effectExtent l="0" t="0" r="15240" b="209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7960" cy="2696845"/>
                    </a:xfrm>
                    <a:prstGeom prst="rect">
                      <a:avLst/>
                    </a:prstGeom>
                    <a:noFill/>
                    <a:ln>
                      <a:noFill/>
                    </a:ln>
                  </pic:spPr>
                </pic:pic>
              </a:graphicData>
            </a:graphic>
          </wp:inline>
        </w:drawing>
      </w:r>
    </w:p>
    <w:p w14:paraId="1CCEB152">
      <w:pPr>
        <w:rPr>
          <w:rFonts w:hint="eastAsia"/>
        </w:rPr>
      </w:pPr>
      <w:r>
        <w:rPr>
          <w:rFonts w:hint="eastAsia"/>
        </w:rPr>
        <w:t>操作说明：</w:t>
      </w:r>
    </w:p>
    <w:p w14:paraId="52EC991D">
      <w:pPr>
        <w:rPr>
          <w:rFonts w:hint="eastAsia"/>
        </w:rPr>
      </w:pPr>
      <w:r>
        <w:rPr>
          <w:rFonts w:hint="eastAsia"/>
        </w:rPr>
        <w:t>web端网址：登录(snkoudai.com)</w:t>
      </w:r>
    </w:p>
    <w:p w14:paraId="14B15C9C">
      <w:pPr>
        <w:rPr>
          <w:rFonts w:hint="eastAsia"/>
        </w:rPr>
      </w:pPr>
      <w:r>
        <w:rPr>
          <w:rFonts w:hint="eastAsia"/>
        </w:rPr>
        <w:t>输入正确的账号及密码，点击【登录】即可进入系统。</w:t>
      </w:r>
    </w:p>
    <w:p w14:paraId="51BBB4C6">
      <w:pPr>
        <w:pStyle w:val="3"/>
        <w:numPr>
          <w:ilvl w:val="1"/>
          <w:numId w:val="1"/>
        </w:numPr>
        <w:bidi w:val="0"/>
        <w:rPr>
          <w:rFonts w:hint="eastAsia"/>
          <w:b/>
          <w:lang w:val="en-US" w:eastAsia="zh-CN"/>
        </w:rPr>
      </w:pPr>
      <w:r>
        <w:rPr>
          <w:rFonts w:hint="eastAsia"/>
          <w:b/>
          <w:lang w:val="en-US" w:eastAsia="zh-CN"/>
        </w:rPr>
        <w:t>土地资源</w:t>
      </w:r>
    </w:p>
    <w:p w14:paraId="7E44C18C">
      <w:pPr>
        <w:rPr>
          <w:rFonts w:hint="eastAsia"/>
          <w:lang w:val="en-US" w:eastAsia="zh-CN"/>
        </w:rPr>
      </w:pPr>
      <w:r>
        <w:rPr>
          <w:rFonts w:hint="eastAsia"/>
          <w:lang w:val="en-US" w:eastAsia="zh-CN"/>
        </w:rPr>
        <w:t xml:space="preserve">通过GIS地图的方式展示当地的所有农用地地块。从耕地、园地、林地、水域、交通、其他6个维度分别统计农用地的面积。农用地地块面积分布统计：小于3亩、3~5亩、5~10亩、10~15亩、15~20亩、20亩以上的地块数量分析。耕地坡度级别统计：坡度 ≤2°、坡度 2°～6°、坡度 6°～15°、坡度 15°～25°、坡度 &gt;25°的耕地面积统计。通过柱状图的方式，展示各个街镇的农用地面积和地块数量的对比统计分析。 </w:t>
      </w:r>
    </w:p>
    <w:p w14:paraId="1823EF63">
      <w:pPr>
        <w:pStyle w:val="3"/>
        <w:numPr>
          <w:ilvl w:val="1"/>
          <w:numId w:val="1"/>
        </w:numPr>
        <w:bidi w:val="0"/>
        <w:rPr>
          <w:rFonts w:hint="eastAsia"/>
          <w:b/>
          <w:lang w:val="en-US" w:eastAsia="zh-CN"/>
        </w:rPr>
      </w:pPr>
      <w:r>
        <w:rPr>
          <w:rFonts w:hint="eastAsia"/>
          <w:b/>
          <w:lang w:val="en-US" w:eastAsia="zh-CN"/>
        </w:rPr>
        <w:t>经营主体</w:t>
      </w:r>
    </w:p>
    <w:p w14:paraId="31DD0958">
      <w:pPr>
        <w:rPr>
          <w:rFonts w:hint="default"/>
          <w:lang w:val="en-US" w:eastAsia="zh-CN"/>
        </w:rPr>
      </w:pPr>
      <w:r>
        <w:rPr>
          <w:rFonts w:hint="default"/>
          <w:lang w:val="en-US" w:eastAsia="zh-CN"/>
        </w:rPr>
        <w:t>1、通过GIS地图的方式展示当地所有新型经营主体的分布情况，可通过主体类型、街镇/村进行筛选展示，可查看新型经营主体清单，以及每个新型经营主体的详细介绍；</w:t>
      </w:r>
    </w:p>
    <w:p w14:paraId="79C9A274">
      <w:pPr>
        <w:rPr>
          <w:rFonts w:hint="default"/>
          <w:lang w:val="en-US" w:eastAsia="zh-CN"/>
        </w:rPr>
      </w:pPr>
      <w:r>
        <w:rPr>
          <w:rFonts w:hint="default"/>
          <w:lang w:val="en-US" w:eastAsia="zh-CN"/>
        </w:rPr>
        <w:t>2、统计当地新型经营主体的数量，并根据不同的主体类型来分别统计；</w:t>
      </w:r>
    </w:p>
    <w:p w14:paraId="205EE867">
      <w:pPr>
        <w:rPr>
          <w:rFonts w:hint="default"/>
          <w:lang w:val="en-US" w:eastAsia="zh-CN"/>
        </w:rPr>
      </w:pPr>
      <w:r>
        <w:rPr>
          <w:rFonts w:hint="default"/>
          <w:lang w:val="en-US" w:eastAsia="zh-CN"/>
        </w:rPr>
        <w:t>3、按新型经营主体的示范等级来统计分析；</w:t>
      </w:r>
    </w:p>
    <w:p w14:paraId="7D42D2FA">
      <w:pPr>
        <w:rPr>
          <w:rFonts w:hint="default"/>
          <w:lang w:val="en-US" w:eastAsia="zh-CN"/>
        </w:rPr>
      </w:pPr>
      <w:r>
        <w:rPr>
          <w:rFonts w:hint="default"/>
          <w:lang w:val="en-US" w:eastAsia="zh-CN"/>
        </w:rPr>
        <w:t>4、按新型经营主体的经营状况来统计分析；</w:t>
      </w:r>
    </w:p>
    <w:p w14:paraId="11916BA9">
      <w:pPr>
        <w:rPr>
          <w:rFonts w:hint="default"/>
          <w:lang w:val="en-US" w:eastAsia="zh-CN"/>
        </w:rPr>
      </w:pPr>
      <w:r>
        <w:rPr>
          <w:rFonts w:hint="default"/>
          <w:lang w:val="en-US" w:eastAsia="zh-CN"/>
        </w:rPr>
        <w:t>5、按新型经营主体的经营类目来统计分析；</w:t>
      </w:r>
    </w:p>
    <w:p w14:paraId="25EE9F0B">
      <w:pPr>
        <w:rPr>
          <w:rFonts w:hint="default"/>
          <w:lang w:val="en-US" w:eastAsia="zh-CN"/>
        </w:rPr>
      </w:pPr>
      <w:r>
        <w:rPr>
          <w:rFonts w:hint="default"/>
          <w:lang w:val="en-US" w:eastAsia="zh-CN"/>
        </w:rPr>
        <w:t>6、通过柱状图来展示不同主体类型的经营主体的年销售额区间分布情况；</w:t>
      </w:r>
    </w:p>
    <w:p w14:paraId="05C3C9BB">
      <w:pPr>
        <w:rPr>
          <w:rFonts w:hint="default"/>
          <w:lang w:val="en-US" w:eastAsia="zh-CN"/>
        </w:rPr>
      </w:pPr>
      <w:r>
        <w:rPr>
          <w:rFonts w:hint="default"/>
          <w:lang w:val="en-US" w:eastAsia="zh-CN"/>
        </w:rPr>
        <w:t>7、通过柱状图来展示各街镇的新型经营主体分布情况；</w:t>
      </w:r>
    </w:p>
    <w:p w14:paraId="1BBB2717">
      <w:pPr>
        <w:pStyle w:val="3"/>
        <w:numPr>
          <w:ilvl w:val="1"/>
          <w:numId w:val="1"/>
        </w:numPr>
        <w:bidi w:val="0"/>
        <w:rPr>
          <w:rFonts w:hint="default"/>
          <w:b/>
          <w:lang w:val="en-US" w:eastAsia="zh-CN"/>
        </w:rPr>
      </w:pPr>
      <w:r>
        <w:rPr>
          <w:rFonts w:hint="default"/>
          <w:b/>
          <w:lang w:val="en-US" w:eastAsia="zh-CN"/>
        </w:rPr>
        <w:t>种植业管理</w:t>
      </w:r>
    </w:p>
    <w:p w14:paraId="26A784B6">
      <w:pPr>
        <w:rPr>
          <w:rFonts w:hint="default" w:eastAsia="宋体"/>
          <w:lang w:val="en-US" w:eastAsia="zh-CN"/>
        </w:rPr>
      </w:pPr>
      <w:r>
        <w:rPr>
          <w:rFonts w:hint="default" w:eastAsia="宋体"/>
          <w:lang w:val="en-US" w:eastAsia="zh-CN"/>
        </w:rPr>
        <w:t>1、通过GIS地图的方式展示粮田、菜田、经作田、果园的地块分布情况；可查看地块的基本信息、种植品种、农事操作记录、经营主体信息；</w:t>
      </w:r>
    </w:p>
    <w:p w14:paraId="53C01DCC">
      <w:pPr>
        <w:rPr>
          <w:rFonts w:hint="default" w:eastAsia="宋体"/>
          <w:lang w:val="en-US" w:eastAsia="zh-CN"/>
        </w:rPr>
      </w:pPr>
      <w:r>
        <w:rPr>
          <w:rFonts w:hint="default" w:eastAsia="宋体"/>
          <w:lang w:val="en-US" w:eastAsia="zh-CN"/>
        </w:rPr>
        <w:t>2、统计粮食作物的播种面积、总产量，以及同比增降情况；</w:t>
      </w:r>
    </w:p>
    <w:p w14:paraId="4F5FD7CD">
      <w:pPr>
        <w:rPr>
          <w:rFonts w:hint="default" w:eastAsia="宋体"/>
          <w:lang w:val="en-US" w:eastAsia="zh-CN"/>
        </w:rPr>
      </w:pPr>
      <w:r>
        <w:rPr>
          <w:rFonts w:hint="default" w:eastAsia="宋体"/>
          <w:lang w:val="en-US" w:eastAsia="zh-CN"/>
        </w:rPr>
        <w:t>3、统计蔬菜的播种面积、总产量，以及同比增降情况；</w:t>
      </w:r>
    </w:p>
    <w:p w14:paraId="1355FAC1">
      <w:pPr>
        <w:rPr>
          <w:rFonts w:hint="default" w:eastAsia="宋体"/>
          <w:lang w:val="en-US" w:eastAsia="zh-CN"/>
        </w:rPr>
      </w:pPr>
      <w:r>
        <w:rPr>
          <w:rFonts w:hint="default" w:eastAsia="宋体"/>
          <w:lang w:val="en-US" w:eastAsia="zh-CN"/>
        </w:rPr>
        <w:t>4、统计经济作物的播种面积、总产量，以及同比增降情况；</w:t>
      </w:r>
    </w:p>
    <w:p w14:paraId="3E98AD85">
      <w:pPr>
        <w:rPr>
          <w:rFonts w:hint="default" w:eastAsia="宋体"/>
          <w:lang w:val="en-US" w:eastAsia="zh-CN"/>
        </w:rPr>
      </w:pPr>
      <w:r>
        <w:rPr>
          <w:rFonts w:hint="default" w:eastAsia="宋体"/>
          <w:lang w:val="en-US" w:eastAsia="zh-CN"/>
        </w:rPr>
        <w:t>5、统计的肥料、农药施用量，以及同比增降情况；</w:t>
      </w:r>
    </w:p>
    <w:p w14:paraId="0964F58E">
      <w:pPr>
        <w:rPr>
          <w:rFonts w:hint="default" w:eastAsia="宋体"/>
          <w:lang w:val="en-US" w:eastAsia="zh-CN"/>
        </w:rPr>
      </w:pPr>
      <w:r>
        <w:rPr>
          <w:rFonts w:hint="default" w:eastAsia="宋体"/>
          <w:lang w:val="en-US" w:eastAsia="zh-CN"/>
        </w:rPr>
        <w:t>6、对经营主体的播种、施肥、用药、灌溉、采收等生产直报数据进行实时滚动展示；</w:t>
      </w:r>
    </w:p>
    <w:p w14:paraId="68EFE459">
      <w:pPr>
        <w:rPr>
          <w:rFonts w:hint="default" w:eastAsia="宋体"/>
          <w:lang w:val="en-US" w:eastAsia="zh-CN"/>
        </w:rPr>
      </w:pPr>
      <w:r>
        <w:rPr>
          <w:rFonts w:hint="default" w:eastAsia="宋体"/>
          <w:lang w:val="en-US" w:eastAsia="zh-CN"/>
        </w:rPr>
        <w:t>7、分析各类作物的价格变化趋势；</w:t>
      </w:r>
    </w:p>
    <w:p w14:paraId="3C519A87">
      <w:pPr>
        <w:rPr>
          <w:rFonts w:hint="default" w:eastAsia="宋体"/>
          <w:lang w:val="en-US" w:eastAsia="zh-CN"/>
        </w:rPr>
      </w:pPr>
      <w:r>
        <w:rPr>
          <w:rFonts w:hint="default" w:eastAsia="宋体"/>
          <w:lang w:val="en-US" w:eastAsia="zh-CN"/>
        </w:rPr>
        <w:t>8、统计种植业经营主体的农产品质量安全检查的监管情况及检查合格率。</w:t>
      </w:r>
    </w:p>
    <w:p w14:paraId="18E377C9">
      <w:pPr>
        <w:pStyle w:val="3"/>
        <w:numPr>
          <w:ilvl w:val="1"/>
          <w:numId w:val="1"/>
        </w:numPr>
        <w:bidi w:val="0"/>
        <w:rPr>
          <w:rFonts w:hint="default"/>
          <w:b/>
          <w:lang w:val="en-US" w:eastAsia="zh-CN"/>
        </w:rPr>
      </w:pPr>
      <w:r>
        <w:rPr>
          <w:rFonts w:hint="default"/>
          <w:b/>
          <w:lang w:val="en-US" w:eastAsia="zh-CN"/>
        </w:rPr>
        <w:t>渔业管理</w:t>
      </w:r>
    </w:p>
    <w:p w14:paraId="0EB905B5">
      <w:pPr>
        <w:rPr>
          <w:rFonts w:hint="default" w:eastAsia="宋体"/>
          <w:lang w:val="en-US" w:eastAsia="zh-CN"/>
        </w:rPr>
      </w:pPr>
      <w:r>
        <w:rPr>
          <w:rFonts w:hint="default" w:eastAsia="宋体"/>
          <w:lang w:val="en-US" w:eastAsia="zh-CN"/>
        </w:rPr>
        <w:t>1、通过GIS地图展示区域轮廓，以及农场分布情况；</w:t>
      </w:r>
    </w:p>
    <w:p w14:paraId="449F59B1">
      <w:pPr>
        <w:rPr>
          <w:rFonts w:hint="default" w:eastAsia="宋体"/>
          <w:lang w:val="en-US" w:eastAsia="zh-CN"/>
        </w:rPr>
      </w:pPr>
      <w:r>
        <w:rPr>
          <w:rFonts w:hint="default" w:eastAsia="宋体"/>
          <w:lang w:val="en-US" w:eastAsia="zh-CN"/>
        </w:rPr>
        <w:t>2、可查看当前渔业养殖场总数、 不同类型（可按养殖面积划分类型）的养殖场数量统计情况。</w:t>
      </w:r>
    </w:p>
    <w:p w14:paraId="3788CD7A">
      <w:pPr>
        <w:rPr>
          <w:rFonts w:hint="default" w:eastAsia="宋体"/>
          <w:lang w:val="en-US" w:eastAsia="zh-CN"/>
        </w:rPr>
      </w:pPr>
      <w:r>
        <w:rPr>
          <w:rFonts w:hint="default" w:eastAsia="宋体"/>
          <w:lang w:val="en-US" w:eastAsia="zh-CN"/>
        </w:rPr>
        <w:t>3、可统计当前养殖品种的存塘量、上市量情况。</w:t>
      </w:r>
    </w:p>
    <w:p w14:paraId="14FE0971">
      <w:pPr>
        <w:rPr>
          <w:rFonts w:hint="default" w:eastAsia="宋体"/>
          <w:lang w:val="en-US" w:eastAsia="zh-CN"/>
        </w:rPr>
      </w:pPr>
      <w:r>
        <w:rPr>
          <w:rFonts w:hint="default" w:eastAsia="宋体"/>
          <w:lang w:val="en-US" w:eastAsia="zh-CN"/>
        </w:rPr>
        <w:t>4、可统计渔业经营主体农产品质量安全监管的合格率，包含：本月合格率、本年合格率。</w:t>
      </w:r>
    </w:p>
    <w:p w14:paraId="48E6749D">
      <w:pPr>
        <w:rPr>
          <w:rFonts w:hint="default" w:eastAsia="宋体"/>
          <w:lang w:val="en-US" w:eastAsia="zh-CN"/>
        </w:rPr>
      </w:pPr>
      <w:r>
        <w:rPr>
          <w:rFonts w:hint="default" w:eastAsia="宋体"/>
          <w:lang w:val="en-US" w:eastAsia="zh-CN"/>
        </w:rPr>
        <w:t>5、可统计当前区域渔业养殖总面积、不同作物种类的养殖面积情况。</w:t>
      </w:r>
    </w:p>
    <w:p w14:paraId="44FB9B98">
      <w:pPr>
        <w:rPr>
          <w:rFonts w:hint="default" w:eastAsia="宋体"/>
          <w:lang w:val="en-US" w:eastAsia="zh-CN"/>
        </w:rPr>
      </w:pPr>
      <w:r>
        <w:rPr>
          <w:rFonts w:hint="default" w:eastAsia="宋体"/>
          <w:lang w:val="en-US" w:eastAsia="zh-CN"/>
        </w:rPr>
        <w:t>6、可查看基地的物联网设备实时监控数据，如摄像头监控。</w:t>
      </w:r>
    </w:p>
    <w:p w14:paraId="51AC97BE">
      <w:pPr>
        <w:rPr>
          <w:rFonts w:hint="default" w:eastAsia="宋体"/>
          <w:lang w:val="en-US" w:eastAsia="zh-CN"/>
        </w:rPr>
      </w:pPr>
      <w:r>
        <w:rPr>
          <w:rFonts w:hint="default" w:eastAsia="宋体"/>
          <w:lang w:val="en-US" w:eastAsia="zh-CN"/>
        </w:rPr>
        <w:t>7、可查看各类渔业养殖品种在本年和去年的价格变化趋势。</w:t>
      </w:r>
    </w:p>
    <w:p w14:paraId="20E8E242">
      <w:pPr>
        <w:rPr>
          <w:rFonts w:hint="default" w:eastAsia="宋体"/>
          <w:lang w:val="en-US" w:eastAsia="zh-CN"/>
        </w:rPr>
      </w:pPr>
      <w:r>
        <w:rPr>
          <w:rFonts w:hint="default" w:eastAsia="宋体"/>
          <w:lang w:val="en-US" w:eastAsia="zh-CN"/>
        </w:rPr>
        <w:t>8、支持渔业经营主体的开沟、投料、捕捞等农事操作数据进行实时滚动展示，同时支持查看经营主体的详情信息。</w:t>
      </w:r>
    </w:p>
    <w:p w14:paraId="62F7C8F7">
      <w:pPr>
        <w:pStyle w:val="3"/>
        <w:numPr>
          <w:ilvl w:val="1"/>
          <w:numId w:val="1"/>
        </w:numPr>
        <w:bidi w:val="0"/>
        <w:rPr>
          <w:rFonts w:hint="default"/>
          <w:b/>
          <w:lang w:val="en-US" w:eastAsia="zh-CN"/>
        </w:rPr>
      </w:pPr>
      <w:r>
        <w:rPr>
          <w:rFonts w:hint="default"/>
          <w:b/>
          <w:lang w:val="en-US" w:eastAsia="zh-CN"/>
        </w:rPr>
        <w:t xml:space="preserve"> 农机调度</w:t>
      </w:r>
    </w:p>
    <w:p w14:paraId="4281CBB0">
      <w:pPr>
        <w:rPr>
          <w:rFonts w:hint="default" w:eastAsia="宋体"/>
          <w:lang w:val="en-US" w:eastAsia="zh-CN"/>
        </w:rPr>
      </w:pPr>
      <w:r>
        <w:rPr>
          <w:rFonts w:hint="default" w:eastAsia="宋体"/>
          <w:lang w:val="en-US" w:eastAsia="zh-CN"/>
        </w:rPr>
        <w:t>1、通过GIS地图的方式展示当地粮食经营主体使用农机作业的分布情况；</w:t>
      </w:r>
    </w:p>
    <w:p w14:paraId="64E6AA70">
      <w:pPr>
        <w:rPr>
          <w:rFonts w:hint="default" w:eastAsia="宋体"/>
          <w:lang w:val="en-US" w:eastAsia="zh-CN"/>
        </w:rPr>
      </w:pPr>
      <w:r>
        <w:rPr>
          <w:rFonts w:hint="default" w:eastAsia="宋体"/>
          <w:lang w:val="en-US" w:eastAsia="zh-CN"/>
        </w:rPr>
        <w:t>2、统计辖区内累计农机作业面积、农机作业订单数、签约农机数、签约农机手数总体概览情况；</w:t>
      </w:r>
    </w:p>
    <w:p w14:paraId="62B104FE">
      <w:pPr>
        <w:rPr>
          <w:rFonts w:hint="default" w:eastAsia="宋体"/>
          <w:lang w:val="en-US" w:eastAsia="zh-CN"/>
        </w:rPr>
      </w:pPr>
      <w:r>
        <w:rPr>
          <w:rFonts w:hint="default" w:eastAsia="宋体"/>
          <w:lang w:val="en-US" w:eastAsia="zh-CN"/>
        </w:rPr>
        <w:t>3、统计跨区域作业数、跨区域作业农机/农机手数概览情况；</w:t>
      </w:r>
    </w:p>
    <w:p w14:paraId="5AB7CCFF">
      <w:pPr>
        <w:rPr>
          <w:rFonts w:hint="default" w:eastAsia="宋体"/>
          <w:lang w:val="en-US" w:eastAsia="zh-CN"/>
        </w:rPr>
      </w:pPr>
      <w:r>
        <w:rPr>
          <w:rFonts w:hint="default" w:eastAsia="宋体"/>
          <w:lang w:val="en-US" w:eastAsia="zh-CN"/>
        </w:rPr>
        <w:t>4、通过折线图展示最近12个月的各类型农机作业订单新增趋势；</w:t>
      </w:r>
    </w:p>
    <w:p w14:paraId="4CAD569D">
      <w:pPr>
        <w:rPr>
          <w:rFonts w:hint="default" w:eastAsia="宋体"/>
          <w:lang w:val="en-US" w:eastAsia="zh-CN"/>
        </w:rPr>
      </w:pPr>
      <w:r>
        <w:rPr>
          <w:rFonts w:hint="default" w:eastAsia="宋体"/>
          <w:lang w:val="en-US" w:eastAsia="zh-CN"/>
        </w:rPr>
        <w:t>5、轮播展示农机作业动态（下单和完成作业动态）；</w:t>
      </w:r>
    </w:p>
    <w:p w14:paraId="28A3CADE">
      <w:pPr>
        <w:rPr>
          <w:rFonts w:hint="default" w:eastAsia="宋体"/>
          <w:lang w:val="en-US" w:eastAsia="zh-CN"/>
        </w:rPr>
      </w:pPr>
      <w:r>
        <w:rPr>
          <w:rFonts w:hint="default" w:eastAsia="宋体"/>
          <w:lang w:val="en-US" w:eastAsia="zh-CN"/>
        </w:rPr>
        <w:t>6、按年展示不同作物的农机作业情况，包括下属辖区农机作业分布排行情况，各类型作业分布情况。</w:t>
      </w:r>
    </w:p>
    <w:p w14:paraId="4483004D">
      <w:pPr>
        <w:pStyle w:val="3"/>
        <w:numPr>
          <w:ilvl w:val="1"/>
          <w:numId w:val="1"/>
        </w:numPr>
        <w:bidi w:val="0"/>
        <w:rPr>
          <w:rFonts w:hint="default"/>
          <w:b/>
          <w:lang w:val="en-US" w:eastAsia="zh-CN"/>
        </w:rPr>
      </w:pPr>
      <w:r>
        <w:rPr>
          <w:rFonts w:hint="default"/>
          <w:b/>
          <w:lang w:val="en-US" w:eastAsia="zh-CN"/>
        </w:rPr>
        <w:t>物联网监控</w:t>
      </w:r>
    </w:p>
    <w:p w14:paraId="42F581FF">
      <w:pPr>
        <w:rPr>
          <w:rFonts w:hint="default" w:eastAsia="宋体"/>
          <w:lang w:val="en-US" w:eastAsia="zh-CN"/>
        </w:rPr>
      </w:pPr>
      <w:r>
        <w:rPr>
          <w:rFonts w:hint="default" w:eastAsia="宋体"/>
          <w:lang w:val="en-US" w:eastAsia="zh-CN"/>
        </w:rPr>
        <w:t>展示当地所有部署了物联网设备的基地，可查看某个基地所有的物联网设备实时监控数据，包含摄像头、传感器、远程控制设备、虫情测报灯、孢子捕捉仪。</w:t>
      </w:r>
    </w:p>
    <w:p w14:paraId="67636399">
      <w:pPr>
        <w:pStyle w:val="3"/>
        <w:numPr>
          <w:ilvl w:val="1"/>
          <w:numId w:val="1"/>
        </w:numPr>
        <w:bidi w:val="0"/>
        <w:rPr>
          <w:rFonts w:hint="default"/>
          <w:b/>
          <w:lang w:val="en-US" w:eastAsia="zh-CN"/>
        </w:rPr>
      </w:pPr>
      <w:r>
        <w:rPr>
          <w:rFonts w:hint="default"/>
          <w:b/>
          <w:lang w:val="en-US" w:eastAsia="zh-CN"/>
        </w:rPr>
        <w:t>农村金融</w:t>
      </w:r>
    </w:p>
    <w:p w14:paraId="0756897D">
      <w:pPr>
        <w:rPr>
          <w:rFonts w:hint="default" w:eastAsia="宋体"/>
          <w:lang w:val="en-US" w:eastAsia="zh-CN"/>
        </w:rPr>
      </w:pPr>
      <w:r>
        <w:rPr>
          <w:rFonts w:hint="default" w:eastAsia="宋体"/>
          <w:lang w:val="en-US" w:eastAsia="zh-CN"/>
        </w:rPr>
        <w:t>基于农村金融贷款单明细，统计分析当地金融贷款发展规模和特征。通过GIS地图结合区域中心点着色打点的方式展示各区县、镇村的发放贷款金额、获得贷款农场数、申请贷款金额、申请贷款农场数。通过折线图展示近6个月的每月的获得贷款农场数、发放贷款金额的变化趋势。通过柱状图展示选定区域内各放贷机构的获得贷款农场数、发放贷款金额。通过柱状图展示选定区域内不同主营业务的贷款农场的获得贷款农场数、发放贷款金额。通过饼图展示申请金额在0-50、51-100、100-150、150-200、2010-300、大于300万的区间的已放款申请单数及分布比例。实时动态轮播当地农村金融贷款记录数据。</w:t>
      </w:r>
    </w:p>
    <w:p w14:paraId="44A14129">
      <w:pPr>
        <w:pStyle w:val="3"/>
        <w:numPr>
          <w:ilvl w:val="1"/>
          <w:numId w:val="1"/>
        </w:numPr>
        <w:bidi w:val="0"/>
        <w:rPr>
          <w:rFonts w:hint="default"/>
          <w:b/>
          <w:lang w:val="en-US" w:eastAsia="zh-CN"/>
        </w:rPr>
      </w:pPr>
      <w:r>
        <w:rPr>
          <w:rFonts w:hint="default"/>
          <w:b/>
          <w:lang w:val="en-US" w:eastAsia="zh-CN"/>
        </w:rPr>
        <w:t>产权交易</w:t>
      </w:r>
    </w:p>
    <w:p w14:paraId="17B93EE0">
      <w:pPr>
        <w:rPr>
          <w:rFonts w:hint="default" w:eastAsia="宋体"/>
          <w:lang w:val="en-US" w:eastAsia="zh-CN"/>
        </w:rPr>
      </w:pPr>
      <w:r>
        <w:rPr>
          <w:rFonts w:hint="default" w:eastAsia="宋体"/>
          <w:lang w:val="en-US" w:eastAsia="zh-CN"/>
        </w:rPr>
        <w:t>1、基于产权交易明细，统计分析当地产权流转交易的发展规模和特征。切换不同年度，通过GIS地图结合区域中心点着色打点的方式统计当年的农村产权成交金额、成交宗数、成交总面积；</w:t>
      </w:r>
    </w:p>
    <w:p w14:paraId="1C273CDE">
      <w:pPr>
        <w:rPr>
          <w:rFonts w:hint="default" w:eastAsia="宋体"/>
          <w:lang w:val="en-US" w:eastAsia="zh-CN"/>
        </w:rPr>
      </w:pPr>
      <w:r>
        <w:rPr>
          <w:rFonts w:hint="default" w:eastAsia="宋体"/>
          <w:lang w:val="en-US" w:eastAsia="zh-CN"/>
        </w:rPr>
        <w:t>2、通过折线图展示当年每月的成交宗数的变化趋势；</w:t>
      </w:r>
    </w:p>
    <w:p w14:paraId="278BB978">
      <w:pPr>
        <w:rPr>
          <w:rFonts w:hint="default" w:eastAsia="宋体"/>
          <w:lang w:val="en-US" w:eastAsia="zh-CN"/>
        </w:rPr>
      </w:pPr>
      <w:r>
        <w:rPr>
          <w:rFonts w:hint="default" w:eastAsia="宋体"/>
          <w:lang w:val="en-US" w:eastAsia="zh-CN"/>
        </w:rPr>
        <w:t>3、通过饼图统计和展示当年成交流入方在各个类别的分布情况；</w:t>
      </w:r>
    </w:p>
    <w:p w14:paraId="2B8D18DE">
      <w:pPr>
        <w:rPr>
          <w:rFonts w:hint="default" w:eastAsia="宋体"/>
          <w:lang w:val="en-US" w:eastAsia="zh-CN"/>
        </w:rPr>
      </w:pPr>
      <w:r>
        <w:rPr>
          <w:rFonts w:hint="default" w:eastAsia="宋体"/>
          <w:lang w:val="en-US" w:eastAsia="zh-CN"/>
        </w:rPr>
        <w:t>4、通过柱状图统计和对比当年各区县、镇村的成交宗数；</w:t>
      </w:r>
    </w:p>
    <w:p w14:paraId="2A4BE205">
      <w:pPr>
        <w:rPr>
          <w:rFonts w:hint="default" w:eastAsia="宋体"/>
          <w:lang w:val="en-US" w:eastAsia="zh-CN"/>
        </w:rPr>
      </w:pPr>
      <w:r>
        <w:rPr>
          <w:rFonts w:hint="default" w:eastAsia="宋体"/>
          <w:lang w:val="en-US" w:eastAsia="zh-CN"/>
        </w:rPr>
        <w:t>5、过柱状图统计和对比当年各类成交商品的金额、次数、面积；</w:t>
      </w:r>
    </w:p>
    <w:p w14:paraId="61FE29BD">
      <w:pPr>
        <w:rPr>
          <w:rFonts w:hint="default" w:eastAsia="宋体"/>
          <w:lang w:val="en-US" w:eastAsia="zh-CN"/>
        </w:rPr>
      </w:pPr>
      <w:r>
        <w:rPr>
          <w:rFonts w:hint="default" w:eastAsia="宋体"/>
          <w:lang w:val="en-US" w:eastAsia="zh-CN"/>
        </w:rPr>
        <w:t>6、通过饼图统计和展示当年不同的成交方式类别下的成交宗数分布；</w:t>
      </w:r>
    </w:p>
    <w:p w14:paraId="26C8FFCD">
      <w:pPr>
        <w:rPr>
          <w:rFonts w:hint="default" w:eastAsia="宋体"/>
          <w:lang w:val="en-US" w:eastAsia="zh-CN"/>
        </w:rPr>
      </w:pPr>
      <w:r>
        <w:rPr>
          <w:rFonts w:hint="default" w:eastAsia="宋体"/>
          <w:lang w:val="en-US" w:eastAsia="zh-CN"/>
        </w:rPr>
        <w:t>7、动态轮播展示当年成交金额Top10的成交商品信息。</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Wingdings">
    <w:panose1 w:val="05000000000000000000"/>
    <w:charset w:val="00"/>
    <w:family w:val="auto"/>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DE92AB"/>
    <w:multiLevelType w:val="multilevel"/>
    <w:tmpl w:val="9FDE92A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BF531C15"/>
    <w:rsid w:val="BF531C15"/>
    <w:rsid w:val="F0BBCD20"/>
    <w:rsid w:val="F7DAD9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200" w:firstLineChars="200"/>
      <w:jc w:val="both"/>
    </w:pPr>
    <w:rPr>
      <w:rFonts w:eastAsia="宋体" w:asciiTheme="minorHAnsi" w:hAnsiTheme="minorHAnsi" w:cstheme="minorBidi"/>
      <w:kern w:val="2"/>
      <w:sz w:val="24"/>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32</TotalTime>
  <ScaleCrop>false</ScaleCrop>
  <LinksUpToDate>false</LinksUpToDate>
  <CharactersWithSpaces>0</CharactersWithSpaces>
  <Application>WPS Office_6.11.0.8885_F1E327BC-269C-435d-A152-05C5408002CA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2024-11-21T13:54:00Z</dcterms:created>
  <dc:creator>tassosxu</dc:creator>
  <cp:lastModifiedBy>tassosxu</cp:lastModifiedBy>
  <dcterms:modified xsi:type="dcterms:W3CDTF">2024-11-21T14:31:14Z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2052-6.11.0.8885</vt:lpwstr>
  </property>
  <property fmtid="{D5CDD505-2E9C-101B-9397-08002B2CF9AE}" pid="3" name="ICV">
    <vt:lpwstr>FE96F07DE83C581D14CB3E6745614AE1_41</vt:lpwstr>
  </property>
</Properties>
</file>